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168E" w14:textId="5D4B4892" w:rsidR="00B60939" w:rsidRDefault="00B60939" w:rsidP="00207D00">
      <w:bookmarkStart w:id="0" w:name="_Hlk110868737"/>
    </w:p>
    <w:p w14:paraId="51C6701A" w14:textId="15169821" w:rsidR="00B60939" w:rsidRDefault="00E34011" w:rsidP="004A6040">
      <w:pPr>
        <w:pStyle w:val="1-MainHeading"/>
      </w:pPr>
      <w:bookmarkStart w:id="1" w:name="_Toc103768645"/>
      <w:r>
        <w:t>5.11</w:t>
      </w:r>
      <w:r w:rsidR="00163F66">
        <w:tab/>
      </w:r>
      <w:r w:rsidR="00813179">
        <w:t>RELATLIMAB WITH NIVOLUMAB</w:t>
      </w:r>
      <w:r w:rsidR="00163F66">
        <w:t>,</w:t>
      </w:r>
      <w:r w:rsidR="00163F66">
        <w:br/>
      </w:r>
      <w:r w:rsidR="00813179">
        <w:t>Injection concentrate for I.V. infusion containing 80</w:t>
      </w:r>
      <w:r w:rsidR="00EB1AC8">
        <w:t> </w:t>
      </w:r>
      <w:r w:rsidR="00813179">
        <w:t>mg relatlimab and 240</w:t>
      </w:r>
      <w:r>
        <w:t xml:space="preserve"> </w:t>
      </w:r>
      <w:r w:rsidR="00813179">
        <w:t>mg nivolumab in 20mL</w:t>
      </w:r>
      <w:r w:rsidR="00163F66">
        <w:t>,</w:t>
      </w:r>
      <w:r w:rsidR="00163F66">
        <w:br/>
      </w:r>
      <w:r w:rsidR="00813179">
        <w:t>O</w:t>
      </w:r>
      <w:r w:rsidR="008A2047">
        <w:t>pdualag</w:t>
      </w:r>
      <w:r w:rsidR="00B60939" w:rsidRPr="004A6040">
        <w:rPr>
          <w:vertAlign w:val="superscript"/>
        </w:rPr>
        <w:t>®</w:t>
      </w:r>
      <w:r w:rsidR="004A6040" w:rsidRPr="004A6040">
        <w:t>,</w:t>
      </w:r>
      <w:r w:rsidR="004A6040" w:rsidRPr="004A6040">
        <w:br/>
      </w:r>
      <w:r w:rsidR="00813179">
        <w:t>Bristol-Myers Squibb Australia Pty Ltd</w:t>
      </w:r>
      <w:r w:rsidR="00B60939" w:rsidRPr="004A6040">
        <w:t>.</w:t>
      </w:r>
      <w:bookmarkEnd w:id="1"/>
    </w:p>
    <w:p w14:paraId="66061DF9" w14:textId="77777777" w:rsidR="00D24261" w:rsidRPr="006421D0" w:rsidRDefault="00D24261" w:rsidP="00D24261">
      <w:pPr>
        <w:pStyle w:val="2-SectionHeading"/>
        <w:numPr>
          <w:ilvl w:val="0"/>
          <w:numId w:val="1"/>
        </w:numPr>
      </w:pPr>
      <w:bookmarkStart w:id="2" w:name="_Toc103768647"/>
      <w:r w:rsidRPr="006421D0">
        <w:t>Purpose of submission</w:t>
      </w:r>
      <w:bookmarkEnd w:id="2"/>
    </w:p>
    <w:p w14:paraId="13B8C56F" w14:textId="0E1A291A" w:rsidR="00D24261" w:rsidRPr="006421D0" w:rsidRDefault="00D24261" w:rsidP="00D24261">
      <w:pPr>
        <w:pStyle w:val="3-BodyText"/>
        <w:numPr>
          <w:ilvl w:val="1"/>
          <w:numId w:val="1"/>
        </w:numPr>
      </w:pPr>
      <w:bookmarkStart w:id="3" w:name="_Hlk103178605"/>
      <w:r w:rsidRPr="006421D0">
        <w:rPr>
          <w:rFonts w:ascii="Calibri" w:hAnsi="Calibri" w:cs="Calibri"/>
          <w:color w:val="323130"/>
        </w:rPr>
        <w:t xml:space="preserve">The Category 1 </w:t>
      </w:r>
      <w:r w:rsidRPr="006421D0">
        <w:t xml:space="preserve">submission requested a Section 100 (Efficient Funding of Chemotherapy) Authority Required (STREAMLINED) listing of </w:t>
      </w:r>
      <w:bookmarkStart w:id="4" w:name="_Hlk103178645"/>
      <w:r w:rsidR="00ED0F30" w:rsidRPr="006421D0">
        <w:t xml:space="preserve">the fixed dose combination product of </w:t>
      </w:r>
      <w:r w:rsidRPr="006421D0">
        <w:t>relatlimab</w:t>
      </w:r>
      <w:r w:rsidR="00ED0F30" w:rsidRPr="006421D0">
        <w:t xml:space="preserve"> plus</w:t>
      </w:r>
      <w:bookmarkEnd w:id="4"/>
      <w:r w:rsidR="00ED0F30" w:rsidRPr="006421D0">
        <w:t xml:space="preserve"> </w:t>
      </w:r>
      <w:r w:rsidRPr="006421D0">
        <w:t>nivolumab (RELA+NIVO), for the treatment of patients with unresectable Stage III or IV malignant melanoma.</w:t>
      </w:r>
    </w:p>
    <w:bookmarkEnd w:id="3"/>
    <w:p w14:paraId="327ADCFC" w14:textId="77777777" w:rsidR="00D24261" w:rsidRPr="006421D0" w:rsidRDefault="00D24261" w:rsidP="00D24261">
      <w:pPr>
        <w:pStyle w:val="3-BodyText"/>
        <w:numPr>
          <w:ilvl w:val="1"/>
          <w:numId w:val="1"/>
        </w:numPr>
        <w:rPr>
          <w:rStyle w:val="CommentReference"/>
          <w:rFonts w:asciiTheme="minorHAnsi" w:hAnsiTheme="minorHAnsi"/>
          <w:b w:val="0"/>
          <w:sz w:val="24"/>
          <w:szCs w:val="24"/>
        </w:rPr>
      </w:pPr>
      <w:r w:rsidRPr="006421D0">
        <w:t>Listing was requested on the basis of a cost-utility analysis versus nivolumab monotherapy.</w:t>
      </w:r>
    </w:p>
    <w:p w14:paraId="2E7C8916" w14:textId="11311FCD" w:rsidR="00D24261" w:rsidRPr="00FD5219" w:rsidRDefault="00D24261" w:rsidP="00D24261">
      <w:pPr>
        <w:pStyle w:val="TableFigureHeading"/>
        <w:rPr>
          <w:rStyle w:val="CommentReference"/>
          <w:b/>
          <w:bCs w:val="0"/>
        </w:rPr>
      </w:pPr>
      <w:r w:rsidRPr="00FD5219">
        <w:rPr>
          <w:rStyle w:val="CommentReference"/>
          <w:b/>
          <w:bCs w:val="0"/>
        </w:rPr>
        <w:t xml:space="preserve">Table </w:t>
      </w:r>
      <w:r>
        <w:rPr>
          <w:rStyle w:val="CommentReference"/>
          <w:b/>
          <w:bCs w:val="0"/>
        </w:rPr>
        <w:fldChar w:fldCharType="begin"/>
      </w:r>
      <w:r>
        <w:rPr>
          <w:rStyle w:val="CommentReference"/>
          <w:b/>
          <w:bCs w:val="0"/>
        </w:rPr>
        <w:instrText xml:space="preserve"> SEQ Table \* ARABIC \s 1 </w:instrText>
      </w:r>
      <w:r>
        <w:rPr>
          <w:rStyle w:val="CommentReference"/>
          <w:b/>
          <w:bCs w:val="0"/>
        </w:rPr>
        <w:fldChar w:fldCharType="separate"/>
      </w:r>
      <w:r w:rsidR="00633460">
        <w:rPr>
          <w:rStyle w:val="CommentReference"/>
          <w:b/>
          <w:bCs w:val="0"/>
          <w:noProof/>
        </w:rPr>
        <w:t>1</w:t>
      </w:r>
      <w:r>
        <w:rPr>
          <w:rStyle w:val="CommentReference"/>
          <w:b/>
          <w:bCs w:val="0"/>
        </w:rPr>
        <w:fldChar w:fldCharType="end"/>
      </w:r>
      <w:r>
        <w:rPr>
          <w:rStyle w:val="CommentReference"/>
          <w:b/>
          <w:bCs w:val="0"/>
        </w:rPr>
        <w:t xml:space="preserve">: </w:t>
      </w:r>
      <w:r w:rsidRPr="00CB0C51">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71"/>
        <w:gridCol w:w="7746"/>
      </w:tblGrid>
      <w:tr w:rsidR="00D24261" w:rsidRPr="00691913" w14:paraId="5D5901CC" w14:textId="77777777" w:rsidTr="0097549F">
        <w:trPr>
          <w:cantSplit/>
          <w:tblHeader/>
        </w:trPr>
        <w:tc>
          <w:tcPr>
            <w:tcW w:w="705" w:type="pct"/>
            <w:shd w:val="clear" w:color="auto" w:fill="auto"/>
          </w:tcPr>
          <w:p w14:paraId="7AA3ED27" w14:textId="77777777" w:rsidR="00D24261" w:rsidRPr="008B1757" w:rsidRDefault="00D24261" w:rsidP="00E730EF">
            <w:pPr>
              <w:pStyle w:val="In-tableHeading"/>
              <w:rPr>
                <w:szCs w:val="20"/>
              </w:rPr>
            </w:pPr>
            <w:r w:rsidRPr="008B1757">
              <w:t>Component</w:t>
            </w:r>
          </w:p>
        </w:tc>
        <w:tc>
          <w:tcPr>
            <w:tcW w:w="4295" w:type="pct"/>
            <w:shd w:val="clear" w:color="auto" w:fill="auto"/>
          </w:tcPr>
          <w:p w14:paraId="7DCDDB0A" w14:textId="77777777" w:rsidR="00D24261" w:rsidRPr="008B1757" w:rsidRDefault="00D24261" w:rsidP="00E730EF">
            <w:pPr>
              <w:pStyle w:val="In-tableHeading"/>
            </w:pPr>
            <w:r w:rsidRPr="008B1757">
              <w:t>Description</w:t>
            </w:r>
          </w:p>
        </w:tc>
      </w:tr>
      <w:tr w:rsidR="00D24261" w:rsidRPr="00691913" w14:paraId="2F4B9C64" w14:textId="77777777" w:rsidTr="0097549F">
        <w:trPr>
          <w:cantSplit/>
        </w:trPr>
        <w:tc>
          <w:tcPr>
            <w:tcW w:w="705" w:type="pct"/>
            <w:shd w:val="clear" w:color="auto" w:fill="auto"/>
          </w:tcPr>
          <w:p w14:paraId="3AA6CFFE" w14:textId="77777777" w:rsidR="00D24261" w:rsidRPr="00691913" w:rsidRDefault="00D24261" w:rsidP="00E730EF">
            <w:pPr>
              <w:pStyle w:val="TableText0"/>
            </w:pPr>
            <w:r w:rsidRPr="00691913">
              <w:t>Population</w:t>
            </w:r>
          </w:p>
        </w:tc>
        <w:tc>
          <w:tcPr>
            <w:tcW w:w="4295" w:type="pct"/>
            <w:shd w:val="clear" w:color="auto" w:fill="auto"/>
            <w:vAlign w:val="center"/>
          </w:tcPr>
          <w:p w14:paraId="2C8617CB" w14:textId="6173FD0F" w:rsidR="00D24261" w:rsidRPr="001E1E86" w:rsidRDefault="00D24261" w:rsidP="00E730EF">
            <w:pPr>
              <w:pStyle w:val="TableText0"/>
              <w:rPr>
                <w:szCs w:val="20"/>
              </w:rPr>
            </w:pPr>
            <w:r>
              <w:t xml:space="preserve">Patients with unresectable Stage III or IV malignant melanoma </w:t>
            </w:r>
            <w:bookmarkStart w:id="5" w:name="_Hlk99629807"/>
            <w:r>
              <w:t>previously untreated with a PD-1 inhibitor for this indication.</w:t>
            </w:r>
            <w:bookmarkEnd w:id="5"/>
          </w:p>
        </w:tc>
      </w:tr>
      <w:tr w:rsidR="00D24261" w:rsidRPr="00691913" w14:paraId="030D032E" w14:textId="77777777" w:rsidTr="0097549F">
        <w:trPr>
          <w:cantSplit/>
        </w:trPr>
        <w:tc>
          <w:tcPr>
            <w:tcW w:w="705" w:type="pct"/>
            <w:shd w:val="clear" w:color="auto" w:fill="auto"/>
          </w:tcPr>
          <w:p w14:paraId="02BB7369" w14:textId="77777777" w:rsidR="00D24261" w:rsidRPr="00691913" w:rsidRDefault="00D24261" w:rsidP="00E730EF">
            <w:pPr>
              <w:pStyle w:val="TableText0"/>
            </w:pPr>
            <w:r w:rsidRPr="00691913">
              <w:t>Intervention</w:t>
            </w:r>
          </w:p>
        </w:tc>
        <w:tc>
          <w:tcPr>
            <w:tcW w:w="4295" w:type="pct"/>
            <w:shd w:val="clear" w:color="auto" w:fill="auto"/>
            <w:vAlign w:val="center"/>
          </w:tcPr>
          <w:p w14:paraId="6C4736C5" w14:textId="77777777" w:rsidR="00D24261" w:rsidRPr="00691913" w:rsidRDefault="00D24261" w:rsidP="00E730EF">
            <w:pPr>
              <w:pStyle w:val="TableText0"/>
            </w:pPr>
            <w:r>
              <w:t>Relatlimab 160 mg IV plus nivolumab 480 mg IV as fixed dose combination every 4 weeks.</w:t>
            </w:r>
          </w:p>
        </w:tc>
      </w:tr>
      <w:tr w:rsidR="00D24261" w:rsidRPr="00691913" w14:paraId="7287C6C3" w14:textId="77777777" w:rsidTr="0097549F">
        <w:trPr>
          <w:cantSplit/>
        </w:trPr>
        <w:tc>
          <w:tcPr>
            <w:tcW w:w="705" w:type="pct"/>
            <w:shd w:val="clear" w:color="auto" w:fill="auto"/>
          </w:tcPr>
          <w:p w14:paraId="253FBD93" w14:textId="77777777" w:rsidR="00D24261" w:rsidRPr="00691913" w:rsidRDefault="00D24261" w:rsidP="00E730EF">
            <w:pPr>
              <w:pStyle w:val="TableText0"/>
            </w:pPr>
            <w:r w:rsidRPr="00691913">
              <w:t>Comparator</w:t>
            </w:r>
          </w:p>
        </w:tc>
        <w:tc>
          <w:tcPr>
            <w:tcW w:w="4295" w:type="pct"/>
            <w:shd w:val="clear" w:color="auto" w:fill="auto"/>
            <w:vAlign w:val="center"/>
          </w:tcPr>
          <w:p w14:paraId="19587D49" w14:textId="77777777" w:rsidR="00D24261" w:rsidRDefault="00D24261" w:rsidP="00E730EF">
            <w:pPr>
              <w:pStyle w:val="TableText0"/>
            </w:pPr>
            <w:r>
              <w:t>Main comparator: Nivolumab 480 mg IV every 4 weeks.</w:t>
            </w:r>
          </w:p>
          <w:p w14:paraId="72CB0B92" w14:textId="3F1618FA" w:rsidR="00D24261" w:rsidRPr="00691913" w:rsidRDefault="00D24261" w:rsidP="00E730EF">
            <w:pPr>
              <w:pStyle w:val="TableText0"/>
            </w:pPr>
            <w:r>
              <w:t>Secondary comparator: Nivolumab 1 mg/kg IV plus ipilimumab 3 mg/kg IV every 3 weeks for 4 doses followed by Nivolumab 3 mg/kg IV every 2 weeks.</w:t>
            </w:r>
          </w:p>
        </w:tc>
      </w:tr>
      <w:tr w:rsidR="00D24261" w:rsidRPr="00691913" w14:paraId="673003F3" w14:textId="77777777" w:rsidTr="0097549F">
        <w:trPr>
          <w:cantSplit/>
        </w:trPr>
        <w:tc>
          <w:tcPr>
            <w:tcW w:w="705" w:type="pct"/>
            <w:shd w:val="clear" w:color="auto" w:fill="auto"/>
          </w:tcPr>
          <w:p w14:paraId="5DE1283D" w14:textId="77777777" w:rsidR="00D24261" w:rsidRPr="00691913" w:rsidRDefault="00D24261" w:rsidP="00E730EF">
            <w:pPr>
              <w:pStyle w:val="TableText0"/>
            </w:pPr>
            <w:r w:rsidRPr="00691913">
              <w:t>Outcomes</w:t>
            </w:r>
          </w:p>
        </w:tc>
        <w:tc>
          <w:tcPr>
            <w:tcW w:w="4295" w:type="pct"/>
            <w:shd w:val="clear" w:color="auto" w:fill="auto"/>
            <w:vAlign w:val="center"/>
          </w:tcPr>
          <w:p w14:paraId="21D1A0AD" w14:textId="77777777" w:rsidR="00D24261" w:rsidRDefault="00D24261" w:rsidP="00E730EF">
            <w:pPr>
              <w:pStyle w:val="TableText0"/>
            </w:pPr>
            <w:r>
              <w:t>Primary: PFS</w:t>
            </w:r>
          </w:p>
          <w:p w14:paraId="020DD1A3" w14:textId="77777777" w:rsidR="00D24261" w:rsidRPr="001E1E86" w:rsidRDefault="00D24261" w:rsidP="00E730EF">
            <w:pPr>
              <w:pStyle w:val="TableText0"/>
              <w:rPr>
                <w:rFonts w:eastAsia="Times New Roman" w:cs="Arial"/>
                <w:bCs w:val="0"/>
                <w:snapToGrid w:val="0"/>
                <w:color w:val="0066FF"/>
                <w:szCs w:val="20"/>
              </w:rPr>
            </w:pPr>
            <w:r>
              <w:t>Secondary: OS, ORR, HRQoL, and Safety</w:t>
            </w:r>
          </w:p>
        </w:tc>
      </w:tr>
      <w:tr w:rsidR="00D24261" w:rsidRPr="00691913" w14:paraId="3B7551AB" w14:textId="77777777" w:rsidTr="0097549F">
        <w:trPr>
          <w:cantSplit/>
        </w:trPr>
        <w:tc>
          <w:tcPr>
            <w:tcW w:w="705" w:type="pct"/>
            <w:shd w:val="clear" w:color="auto" w:fill="auto"/>
          </w:tcPr>
          <w:p w14:paraId="381461CA" w14:textId="77777777" w:rsidR="00D24261" w:rsidRPr="00691913" w:rsidRDefault="00D24261" w:rsidP="00E730EF">
            <w:pPr>
              <w:pStyle w:val="TableText0"/>
            </w:pPr>
            <w:r w:rsidRPr="00691913">
              <w:t>Clinical claim</w:t>
            </w:r>
          </w:p>
        </w:tc>
        <w:tc>
          <w:tcPr>
            <w:tcW w:w="4295" w:type="pct"/>
            <w:shd w:val="clear" w:color="auto" w:fill="auto"/>
            <w:vAlign w:val="center"/>
          </w:tcPr>
          <w:p w14:paraId="00F84B11" w14:textId="4E93CE40" w:rsidR="00D24261" w:rsidRDefault="00D24261" w:rsidP="00E730EF">
            <w:pPr>
              <w:pStyle w:val="TableText0"/>
            </w:pPr>
            <w:r>
              <w:t>Relatlimab plus nivolumab is superior in terms of efficacy compared to nivolumab monotherapy, with an inferior safety profile.</w:t>
            </w:r>
          </w:p>
          <w:p w14:paraId="506485FE" w14:textId="78078FDE" w:rsidR="00D24261" w:rsidRPr="001E1E86" w:rsidRDefault="00D24261" w:rsidP="00E730EF">
            <w:pPr>
              <w:pStyle w:val="TableText0"/>
              <w:rPr>
                <w:rFonts w:eastAsia="Times New Roman" w:cs="Arial"/>
                <w:bCs w:val="0"/>
                <w:snapToGrid w:val="0"/>
                <w:color w:val="0066FF"/>
                <w:szCs w:val="20"/>
              </w:rPr>
            </w:pPr>
            <w:r>
              <w:t>Relatlimab plus nivolumab is non-inferior in terms of efficacy compared to nivolumab plus ipilimumab, with a superior safety profile.</w:t>
            </w:r>
          </w:p>
        </w:tc>
      </w:tr>
    </w:tbl>
    <w:p w14:paraId="1ECADDBF" w14:textId="77777777" w:rsidR="00D24261" w:rsidRPr="00FD5219" w:rsidRDefault="00D24261" w:rsidP="00D24261">
      <w:pPr>
        <w:pStyle w:val="TableFigureFooter"/>
      </w:pPr>
      <w:r w:rsidRPr="00FD5219">
        <w:t>Source: Table 1, p18 of the submission.</w:t>
      </w:r>
    </w:p>
    <w:p w14:paraId="4D424E7B" w14:textId="4E098850" w:rsidR="00CE4001" w:rsidRDefault="00D24261" w:rsidP="00D24261">
      <w:pPr>
        <w:pStyle w:val="TableFigureFooter"/>
      </w:pPr>
      <w:r w:rsidRPr="00FD5219">
        <w:t>HRQoL = health related quality of life, IV = intravenous, ORR = overall response rate, OS = overall survival, PFS = progression-free survival, PD-1 = programmed death-1.</w:t>
      </w:r>
    </w:p>
    <w:p w14:paraId="735CA178" w14:textId="77777777" w:rsidR="00D24261" w:rsidRPr="00407F2D" w:rsidRDefault="00D24261" w:rsidP="00D24261">
      <w:pPr>
        <w:pStyle w:val="2-SectionHeading"/>
        <w:numPr>
          <w:ilvl w:val="0"/>
          <w:numId w:val="1"/>
        </w:numPr>
      </w:pPr>
      <w:bookmarkStart w:id="6" w:name="_Toc103768648"/>
      <w:r w:rsidRPr="00407F2D">
        <w:t>Background</w:t>
      </w:r>
      <w:bookmarkEnd w:id="6"/>
    </w:p>
    <w:p w14:paraId="43AB6577" w14:textId="77777777" w:rsidR="00D24261" w:rsidRPr="0097549F" w:rsidRDefault="00D24261" w:rsidP="0074263A">
      <w:pPr>
        <w:pStyle w:val="4-SubsectionHeading"/>
      </w:pPr>
      <w:bookmarkStart w:id="7" w:name="_Toc22897638"/>
      <w:bookmarkStart w:id="8" w:name="_Toc103768649"/>
      <w:r w:rsidRPr="0097549F">
        <w:t>Registration status</w:t>
      </w:r>
      <w:bookmarkEnd w:id="7"/>
      <w:bookmarkEnd w:id="8"/>
    </w:p>
    <w:p w14:paraId="0068B691" w14:textId="29FC42B2" w:rsidR="008622D2" w:rsidRPr="0097549F" w:rsidRDefault="00D24261" w:rsidP="00004F33">
      <w:pPr>
        <w:pStyle w:val="3-BodyText"/>
        <w:numPr>
          <w:ilvl w:val="1"/>
          <w:numId w:val="1"/>
        </w:numPr>
      </w:pPr>
      <w:r w:rsidRPr="0097549F">
        <w:t>The submission was made under the TGA/PBAC Parallel Process</w:t>
      </w:r>
      <w:r w:rsidR="000906B1" w:rsidRPr="0097549F">
        <w:t>.</w:t>
      </w:r>
      <w:bookmarkStart w:id="9" w:name="_Hlk103178834"/>
      <w:r w:rsidR="000906B1" w:rsidRPr="0097549F">
        <w:t xml:space="preserve"> The application was identified for consideration under the United States Food and Drug Administration’s (FDA) Project Orbis. </w:t>
      </w:r>
      <w:r w:rsidR="007C0A9F" w:rsidRPr="0097549F">
        <w:t>T</w:t>
      </w:r>
      <w:r w:rsidR="002C3054" w:rsidRPr="0097549F">
        <w:t xml:space="preserve">he </w:t>
      </w:r>
      <w:r w:rsidR="000906B1" w:rsidRPr="0097549F">
        <w:t xml:space="preserve">TGA </w:t>
      </w:r>
      <w:r w:rsidRPr="0097549F">
        <w:t xml:space="preserve">Delegate’s overview was </w:t>
      </w:r>
      <w:r w:rsidR="007C0A9F" w:rsidRPr="0097549F">
        <w:t xml:space="preserve">available at the time of the PBAC consideration. </w:t>
      </w:r>
      <w:bookmarkEnd w:id="9"/>
      <w:r w:rsidR="002C3054" w:rsidRPr="0097549F">
        <w:t xml:space="preserve">The TGA Delegate proposed to approve the registration of </w:t>
      </w:r>
      <w:r w:rsidR="0097549F" w:rsidRPr="0097549F">
        <w:t xml:space="preserve">RELA+NIVO for the: </w:t>
      </w:r>
    </w:p>
    <w:p w14:paraId="21605D39" w14:textId="7C4E81E0" w:rsidR="00D24261" w:rsidRDefault="0097549F" w:rsidP="00A3402E">
      <w:pPr>
        <w:pStyle w:val="3-BodyText"/>
        <w:ind w:left="1440"/>
      </w:pPr>
      <w:r>
        <w:lastRenderedPageBreak/>
        <w:t>‘</w:t>
      </w:r>
      <w:r w:rsidR="00D24261" w:rsidRPr="0097549F">
        <w:t>treatment of adults and adolescent patients (12 years and older and weighing at least 40 kg) with unresectable</w:t>
      </w:r>
      <w:r w:rsidR="00D24261" w:rsidRPr="006421D0">
        <w:t xml:space="preserve"> or metastatic melanoma’.</w:t>
      </w:r>
    </w:p>
    <w:p w14:paraId="3EF8C841" w14:textId="1CA7705D" w:rsidR="008E7723" w:rsidRPr="008E7723" w:rsidRDefault="008E7723" w:rsidP="008E7723">
      <w:pPr>
        <w:pStyle w:val="ListParagraph"/>
        <w:numPr>
          <w:ilvl w:val="0"/>
          <w:numId w:val="0"/>
        </w:numPr>
        <w:ind w:left="720"/>
        <w:rPr>
          <w:i/>
        </w:rPr>
      </w:pPr>
      <w:bookmarkStart w:id="10" w:name="_Hlk76375324"/>
      <w:r w:rsidRPr="008E7723">
        <w:rPr>
          <w:i/>
        </w:rPr>
        <w:t>For more detail on PBAC’s view, see section 7 PBAC outcome.</w:t>
      </w:r>
      <w:r w:rsidR="002C1151">
        <w:rPr>
          <w:i/>
        </w:rPr>
        <w:t xml:space="preserve"> </w:t>
      </w:r>
    </w:p>
    <w:p w14:paraId="08E52921" w14:textId="1DD68A49" w:rsidR="00D24261" w:rsidRPr="006421D0" w:rsidRDefault="00D24261" w:rsidP="006E188D">
      <w:pPr>
        <w:pStyle w:val="2-SectionHeading"/>
        <w:numPr>
          <w:ilvl w:val="0"/>
          <w:numId w:val="1"/>
        </w:numPr>
      </w:pPr>
      <w:bookmarkStart w:id="11" w:name="_Toc103768650"/>
      <w:bookmarkEnd w:id="10"/>
      <w:r w:rsidRPr="006421D0">
        <w:t>Requested listing</w:t>
      </w:r>
      <w:bookmarkEnd w:id="11"/>
    </w:p>
    <w:p w14:paraId="3BF39D73" w14:textId="466FF305" w:rsidR="00D141B5" w:rsidRDefault="0034197D" w:rsidP="006E188D">
      <w:pPr>
        <w:pStyle w:val="3-BodyText"/>
        <w:numPr>
          <w:ilvl w:val="1"/>
          <w:numId w:val="1"/>
        </w:numPr>
      </w:pPr>
      <w:r w:rsidRPr="006E188D">
        <w:t xml:space="preserve">Suggestions and additions proposed by the Secretariat are added in italics and </w:t>
      </w:r>
      <w:r w:rsidRPr="00631238">
        <w:t>suggested deletions are crossed out with strikethrough</w:t>
      </w:r>
    </w:p>
    <w:tbl>
      <w:tblPr>
        <w:tblW w:w="5000" w:type="pct"/>
        <w:tblCellMar>
          <w:left w:w="28" w:type="dxa"/>
          <w:right w:w="28" w:type="dxa"/>
        </w:tblCellMar>
        <w:tblLook w:val="0000" w:firstRow="0" w:lastRow="0" w:firstColumn="0" w:lastColumn="0" w:noHBand="0" w:noVBand="0"/>
      </w:tblPr>
      <w:tblGrid>
        <w:gridCol w:w="2251"/>
        <w:gridCol w:w="1282"/>
        <w:gridCol w:w="1282"/>
        <w:gridCol w:w="2280"/>
        <w:gridCol w:w="1932"/>
      </w:tblGrid>
      <w:tr w:rsidR="0097549F" w:rsidRPr="003F58F7" w14:paraId="7204B17C" w14:textId="77777777" w:rsidTr="0053543A">
        <w:trPr>
          <w:cantSplit/>
          <w:trHeight w:val="463"/>
        </w:trPr>
        <w:tc>
          <w:tcPr>
            <w:tcW w:w="1247" w:type="pct"/>
            <w:tcBorders>
              <w:top w:val="single" w:sz="4" w:space="0" w:color="auto"/>
              <w:bottom w:val="single" w:sz="4" w:space="0" w:color="auto"/>
            </w:tcBorders>
            <w:vAlign w:val="center"/>
          </w:tcPr>
          <w:p w14:paraId="32E5F80D" w14:textId="77777777" w:rsidR="0097549F" w:rsidRPr="003F58F7" w:rsidRDefault="0097549F" w:rsidP="0053543A">
            <w:pPr>
              <w:keepLines/>
              <w:jc w:val="left"/>
              <w:rPr>
                <w:rFonts w:ascii="Arial Narrow" w:hAnsi="Arial Narrow"/>
                <w:b/>
                <w:sz w:val="20"/>
              </w:rPr>
            </w:pPr>
            <w:r w:rsidRPr="003F58F7">
              <w:rPr>
                <w:rFonts w:ascii="Arial Narrow" w:hAnsi="Arial Narrow"/>
                <w:b/>
                <w:sz w:val="20"/>
              </w:rPr>
              <w:t>Name, Restriction,</w:t>
            </w:r>
          </w:p>
          <w:p w14:paraId="3B69E636" w14:textId="77777777" w:rsidR="0097549F" w:rsidRPr="003F58F7" w:rsidRDefault="0097549F" w:rsidP="0053543A">
            <w:pPr>
              <w:keepLines/>
              <w:jc w:val="left"/>
              <w:rPr>
                <w:rFonts w:ascii="Arial Narrow" w:hAnsi="Arial Narrow"/>
                <w:b/>
                <w:sz w:val="20"/>
              </w:rPr>
            </w:pPr>
            <w:r w:rsidRPr="003F58F7">
              <w:rPr>
                <w:rFonts w:ascii="Arial Narrow" w:hAnsi="Arial Narrow"/>
                <w:b/>
                <w:sz w:val="20"/>
              </w:rPr>
              <w:t>Manner of administration and form</w:t>
            </w:r>
          </w:p>
        </w:tc>
        <w:tc>
          <w:tcPr>
            <w:tcW w:w="710" w:type="pct"/>
            <w:tcBorders>
              <w:top w:val="single" w:sz="4" w:space="0" w:color="auto"/>
              <w:bottom w:val="single" w:sz="4" w:space="0" w:color="auto"/>
            </w:tcBorders>
            <w:vAlign w:val="center"/>
          </w:tcPr>
          <w:p w14:paraId="68B17723" w14:textId="0EFA65AC" w:rsidR="0097549F" w:rsidRPr="003F58F7" w:rsidRDefault="0097549F" w:rsidP="0053543A">
            <w:pPr>
              <w:keepLines/>
              <w:jc w:val="center"/>
              <w:rPr>
                <w:rFonts w:ascii="Arial Narrow" w:hAnsi="Arial Narrow"/>
                <w:b/>
                <w:sz w:val="20"/>
              </w:rPr>
            </w:pPr>
            <w:r w:rsidRPr="003F58F7">
              <w:rPr>
                <w:rFonts w:ascii="Arial Narrow" w:hAnsi="Arial Narrow"/>
                <w:b/>
                <w:sz w:val="20"/>
              </w:rPr>
              <w:t>Max</w:t>
            </w:r>
            <w:r>
              <w:rPr>
                <w:rFonts w:ascii="Arial Narrow" w:hAnsi="Arial Narrow"/>
                <w:b/>
                <w:sz w:val="20"/>
              </w:rPr>
              <w:t>. Amt.</w:t>
            </w:r>
            <w:r w:rsidRPr="003F58F7">
              <w:rPr>
                <w:rFonts w:ascii="Arial Narrow" w:hAnsi="Arial Narrow"/>
                <w:b/>
                <w:sz w:val="20"/>
              </w:rPr>
              <w:t xml:space="preserve"> (units)</w:t>
            </w:r>
          </w:p>
        </w:tc>
        <w:tc>
          <w:tcPr>
            <w:tcW w:w="710" w:type="pct"/>
            <w:tcBorders>
              <w:top w:val="single" w:sz="4" w:space="0" w:color="auto"/>
              <w:bottom w:val="single" w:sz="4" w:space="0" w:color="auto"/>
            </w:tcBorders>
            <w:vAlign w:val="center"/>
          </w:tcPr>
          <w:p w14:paraId="7B346B87" w14:textId="77777777" w:rsidR="0097549F" w:rsidRPr="003F58F7" w:rsidRDefault="0097549F" w:rsidP="0053543A">
            <w:pPr>
              <w:keepLines/>
              <w:jc w:val="center"/>
              <w:rPr>
                <w:rFonts w:ascii="Arial Narrow" w:hAnsi="Arial Narrow"/>
                <w:b/>
                <w:sz w:val="20"/>
              </w:rPr>
            </w:pPr>
            <w:r w:rsidRPr="003F58F7">
              <w:rPr>
                <w:rFonts w:ascii="Arial Narrow" w:hAnsi="Arial Narrow"/>
                <w:b/>
                <w:sz w:val="20"/>
              </w:rPr>
              <w:t>No. of</w:t>
            </w:r>
          </w:p>
          <w:p w14:paraId="250E16E0" w14:textId="77777777" w:rsidR="0097549F" w:rsidRPr="003F58F7" w:rsidRDefault="0097549F" w:rsidP="0053543A">
            <w:pPr>
              <w:keepLines/>
              <w:jc w:val="center"/>
              <w:rPr>
                <w:rFonts w:ascii="Arial Narrow" w:hAnsi="Arial Narrow"/>
                <w:b/>
                <w:sz w:val="20"/>
              </w:rPr>
            </w:pPr>
            <w:r w:rsidRPr="003F58F7">
              <w:rPr>
                <w:rFonts w:ascii="Arial Narrow" w:hAnsi="Arial Narrow"/>
                <w:b/>
                <w:sz w:val="20"/>
              </w:rPr>
              <w:t>Repeats</w:t>
            </w:r>
          </w:p>
        </w:tc>
        <w:tc>
          <w:tcPr>
            <w:tcW w:w="1263" w:type="pct"/>
            <w:tcBorders>
              <w:top w:val="single" w:sz="4" w:space="0" w:color="auto"/>
              <w:bottom w:val="single" w:sz="4" w:space="0" w:color="auto"/>
            </w:tcBorders>
            <w:vAlign w:val="center"/>
          </w:tcPr>
          <w:p w14:paraId="28905A88" w14:textId="6C1CDE64" w:rsidR="0097549F" w:rsidRPr="003F58F7" w:rsidRDefault="0097549F" w:rsidP="0053543A">
            <w:pPr>
              <w:keepLines/>
              <w:jc w:val="center"/>
              <w:rPr>
                <w:rFonts w:ascii="Arial Narrow" w:hAnsi="Arial Narrow"/>
                <w:b/>
                <w:sz w:val="20"/>
              </w:rPr>
            </w:pPr>
            <w:r>
              <w:rPr>
                <w:rFonts w:ascii="Arial Narrow" w:hAnsi="Arial Narrow"/>
                <w:b/>
                <w:sz w:val="20"/>
              </w:rPr>
              <w:t>DPMA</w:t>
            </w:r>
          </w:p>
        </w:tc>
        <w:tc>
          <w:tcPr>
            <w:tcW w:w="1070" w:type="pct"/>
            <w:tcBorders>
              <w:top w:val="single" w:sz="4" w:space="0" w:color="auto"/>
              <w:bottom w:val="single" w:sz="4" w:space="0" w:color="auto"/>
            </w:tcBorders>
            <w:vAlign w:val="center"/>
          </w:tcPr>
          <w:p w14:paraId="44EDCE00" w14:textId="77777777" w:rsidR="0097549F" w:rsidRPr="003F58F7" w:rsidRDefault="0097549F" w:rsidP="0053543A">
            <w:pPr>
              <w:keepLines/>
              <w:jc w:val="center"/>
              <w:rPr>
                <w:rFonts w:ascii="Arial Narrow" w:hAnsi="Arial Narrow"/>
                <w:b/>
                <w:sz w:val="20"/>
                <w:lang w:val="fr-FR"/>
              </w:rPr>
            </w:pPr>
            <w:r w:rsidRPr="003F58F7">
              <w:rPr>
                <w:rFonts w:ascii="Arial Narrow" w:hAnsi="Arial Narrow"/>
                <w:b/>
                <w:sz w:val="20"/>
              </w:rPr>
              <w:t>Proprietary Name and Manufacturer</w:t>
            </w:r>
          </w:p>
        </w:tc>
      </w:tr>
      <w:tr w:rsidR="0097549F" w:rsidRPr="003F58F7" w14:paraId="1D999497" w14:textId="77777777" w:rsidTr="0053543A">
        <w:trPr>
          <w:cantSplit/>
          <w:trHeight w:val="567"/>
        </w:trPr>
        <w:tc>
          <w:tcPr>
            <w:tcW w:w="1247" w:type="pct"/>
            <w:tcBorders>
              <w:top w:val="single" w:sz="4" w:space="0" w:color="auto"/>
              <w:bottom w:val="single" w:sz="4" w:space="0" w:color="auto"/>
            </w:tcBorders>
            <w:vAlign w:val="center"/>
          </w:tcPr>
          <w:p w14:paraId="3919D9EF" w14:textId="77777777" w:rsidR="0097549F" w:rsidRPr="003F58F7" w:rsidRDefault="0097549F" w:rsidP="0053543A">
            <w:pPr>
              <w:keepLines/>
              <w:jc w:val="left"/>
              <w:rPr>
                <w:rFonts w:ascii="Arial Narrow" w:hAnsi="Arial Narrow"/>
                <w:sz w:val="20"/>
              </w:rPr>
            </w:pPr>
            <w:r w:rsidRPr="003F58F7">
              <w:rPr>
                <w:rFonts w:ascii="Arial Narrow" w:hAnsi="Arial Narrow"/>
                <w:sz w:val="20"/>
              </w:rPr>
              <w:t>RELATLIMAB/NIVOLUMAB</w:t>
            </w:r>
          </w:p>
          <w:p w14:paraId="2FCA7147" w14:textId="77777777" w:rsidR="0097549F" w:rsidRPr="003F58F7" w:rsidRDefault="0097549F" w:rsidP="0053543A">
            <w:pPr>
              <w:keepLines/>
              <w:jc w:val="left"/>
              <w:rPr>
                <w:rFonts w:ascii="Arial Narrow" w:hAnsi="Arial Narrow"/>
                <w:sz w:val="20"/>
              </w:rPr>
            </w:pPr>
            <w:r w:rsidRPr="003F58F7">
              <w:rPr>
                <w:rFonts w:ascii="Arial Narrow" w:hAnsi="Arial Narrow"/>
                <w:sz w:val="20"/>
              </w:rPr>
              <w:t>80 mg/240 mg injection,</w:t>
            </w:r>
          </w:p>
          <w:p w14:paraId="04688744" w14:textId="77777777" w:rsidR="0097549F" w:rsidRPr="003F58F7" w:rsidRDefault="0097549F" w:rsidP="0053543A">
            <w:pPr>
              <w:keepLines/>
              <w:jc w:val="left"/>
              <w:rPr>
                <w:rFonts w:ascii="Arial Narrow" w:hAnsi="Arial Narrow"/>
                <w:sz w:val="20"/>
              </w:rPr>
            </w:pPr>
            <w:r w:rsidRPr="003F58F7">
              <w:rPr>
                <w:rFonts w:ascii="Arial Narrow" w:hAnsi="Arial Narrow"/>
                <w:sz w:val="20"/>
              </w:rPr>
              <w:t>1 vial × 20 mL</w:t>
            </w:r>
          </w:p>
        </w:tc>
        <w:tc>
          <w:tcPr>
            <w:tcW w:w="710" w:type="pct"/>
            <w:tcBorders>
              <w:top w:val="single" w:sz="4" w:space="0" w:color="auto"/>
              <w:bottom w:val="single" w:sz="4" w:space="0" w:color="auto"/>
            </w:tcBorders>
            <w:vAlign w:val="center"/>
          </w:tcPr>
          <w:p w14:paraId="3919E058" w14:textId="77777777" w:rsidR="0097549F" w:rsidRPr="003F58F7" w:rsidRDefault="0097549F" w:rsidP="0053543A">
            <w:pPr>
              <w:keepLines/>
              <w:jc w:val="center"/>
              <w:rPr>
                <w:rFonts w:ascii="Arial Narrow" w:hAnsi="Arial Narrow"/>
                <w:sz w:val="20"/>
              </w:rPr>
            </w:pPr>
            <w:r w:rsidRPr="003F58F7">
              <w:rPr>
                <w:rFonts w:ascii="Arial Narrow" w:hAnsi="Arial Narrow"/>
                <w:sz w:val="20"/>
              </w:rPr>
              <w:t>160 mg/480 mg</w:t>
            </w:r>
          </w:p>
        </w:tc>
        <w:tc>
          <w:tcPr>
            <w:tcW w:w="710" w:type="pct"/>
            <w:tcBorders>
              <w:top w:val="single" w:sz="4" w:space="0" w:color="auto"/>
              <w:bottom w:val="single" w:sz="4" w:space="0" w:color="auto"/>
            </w:tcBorders>
            <w:vAlign w:val="center"/>
          </w:tcPr>
          <w:p w14:paraId="30C062FE" w14:textId="77777777" w:rsidR="0097549F" w:rsidRPr="003F58F7" w:rsidRDefault="0097549F" w:rsidP="0053543A">
            <w:pPr>
              <w:keepLines/>
              <w:jc w:val="center"/>
              <w:rPr>
                <w:rFonts w:ascii="Arial Narrow" w:hAnsi="Arial Narrow"/>
                <w:sz w:val="20"/>
              </w:rPr>
            </w:pPr>
            <w:r w:rsidRPr="003F58F7">
              <w:rPr>
                <w:rFonts w:ascii="Arial Narrow" w:hAnsi="Arial Narrow"/>
                <w:sz w:val="20"/>
              </w:rPr>
              <w:t>Initial: 8</w:t>
            </w:r>
          </w:p>
          <w:p w14:paraId="5FA267A3" w14:textId="77777777" w:rsidR="0097549F" w:rsidRPr="003F58F7" w:rsidRDefault="0097549F" w:rsidP="0053543A">
            <w:pPr>
              <w:keepLines/>
              <w:jc w:val="center"/>
              <w:rPr>
                <w:rFonts w:ascii="Arial Narrow" w:hAnsi="Arial Narrow"/>
                <w:sz w:val="20"/>
              </w:rPr>
            </w:pPr>
            <w:r w:rsidRPr="003F58F7">
              <w:rPr>
                <w:rFonts w:ascii="Arial Narrow" w:hAnsi="Arial Narrow"/>
                <w:sz w:val="20"/>
              </w:rPr>
              <w:t>Continuing: 11</w:t>
            </w:r>
          </w:p>
        </w:tc>
        <w:tc>
          <w:tcPr>
            <w:tcW w:w="1263" w:type="pct"/>
            <w:tcBorders>
              <w:top w:val="single" w:sz="4" w:space="0" w:color="auto"/>
              <w:bottom w:val="single" w:sz="4" w:space="0" w:color="auto"/>
            </w:tcBorders>
            <w:vAlign w:val="center"/>
          </w:tcPr>
          <w:p w14:paraId="746ECF59" w14:textId="408F0EC6" w:rsidR="0097549F" w:rsidRPr="003F58F7" w:rsidRDefault="0097549F" w:rsidP="0053543A">
            <w:pPr>
              <w:keepLines/>
              <w:jc w:val="center"/>
              <w:rPr>
                <w:rFonts w:ascii="Arial Narrow" w:hAnsi="Arial Narrow"/>
                <w:sz w:val="20"/>
              </w:rPr>
            </w:pPr>
            <w:r>
              <w:rPr>
                <w:rFonts w:ascii="Arial Narrow" w:hAnsi="Arial Narrow"/>
                <w:sz w:val="20"/>
              </w:rPr>
              <w:t xml:space="preserve">Published: </w:t>
            </w:r>
            <w:r w:rsidRPr="003F58F7">
              <w:rPr>
                <w:rFonts w:ascii="Arial Narrow" w:hAnsi="Arial Narrow"/>
                <w:sz w:val="20"/>
              </w:rPr>
              <w:t>$</w:t>
            </w:r>
            <w:r w:rsidR="004E423C" w:rsidRPr="004E423C">
              <w:rPr>
                <w:rFonts w:ascii="Arial Narrow" w:hAnsi="Arial Narrow"/>
                <w:color w:val="000000"/>
                <w:spacing w:val="84"/>
                <w:sz w:val="20"/>
                <w:shd w:val="solid" w:color="000000" w:fill="000000"/>
                <w:fitText w:val="170" w:id="-1435825920"/>
                <w14:textFill>
                  <w14:solidFill>
                    <w14:srgbClr w14:val="000000">
                      <w14:alpha w14:val="100000"/>
                    </w14:srgbClr>
                  </w14:solidFill>
                </w14:textFill>
              </w:rPr>
              <w:t>|</w:t>
            </w:r>
            <w:r w:rsidR="004E423C" w:rsidRPr="004E423C">
              <w:rPr>
                <w:rFonts w:ascii="Arial Narrow" w:hAnsi="Arial Narrow"/>
                <w:color w:val="000000"/>
                <w:sz w:val="20"/>
                <w:shd w:val="solid" w:color="000000" w:fill="000000"/>
                <w:fitText w:val="170" w:id="-1435825920"/>
                <w14:textFill>
                  <w14:solidFill>
                    <w14:srgbClr w14:val="000000">
                      <w14:alpha w14:val="100000"/>
                    </w14:srgbClr>
                  </w14:solidFill>
                </w14:textFill>
              </w:rPr>
              <w:t>|</w:t>
            </w:r>
          </w:p>
          <w:p w14:paraId="5A158231" w14:textId="62DFC76E" w:rsidR="0097549F" w:rsidRPr="003F58F7" w:rsidRDefault="0097549F" w:rsidP="0053543A">
            <w:pPr>
              <w:keepLines/>
              <w:jc w:val="center"/>
              <w:rPr>
                <w:rFonts w:ascii="Arial Narrow" w:hAnsi="Arial Narrow"/>
                <w:sz w:val="20"/>
              </w:rPr>
            </w:pPr>
            <w:r>
              <w:rPr>
                <w:rFonts w:ascii="Arial Narrow" w:hAnsi="Arial Narrow"/>
                <w:sz w:val="20"/>
              </w:rPr>
              <w:t xml:space="preserve">Effective: </w:t>
            </w:r>
            <w:r w:rsidRPr="003F58F7">
              <w:rPr>
                <w:rFonts w:ascii="Arial Narrow" w:hAnsi="Arial Narrow"/>
                <w:sz w:val="20"/>
              </w:rPr>
              <w:t>$</w:t>
            </w:r>
            <w:r w:rsidR="004E423C" w:rsidRPr="004E423C">
              <w:rPr>
                <w:rFonts w:ascii="Arial Narrow" w:hAnsi="Arial Narrow" w:hint="eastAsia"/>
                <w:color w:val="000000"/>
                <w:w w:val="29"/>
                <w:sz w:val="20"/>
                <w:shd w:val="solid" w:color="000000" w:fill="000000"/>
                <w:fitText w:val="130" w:id="-1435825919"/>
                <w14:textFill>
                  <w14:solidFill>
                    <w14:srgbClr w14:val="000000">
                      <w14:alpha w14:val="100000"/>
                    </w14:srgbClr>
                  </w14:solidFill>
                </w14:textFill>
              </w:rPr>
              <w:t xml:space="preserve">　</w:t>
            </w:r>
            <w:r w:rsidR="004E423C" w:rsidRPr="004E423C">
              <w:rPr>
                <w:rFonts w:ascii="Arial Narrow" w:hAnsi="Arial Narrow"/>
                <w:color w:val="000000"/>
                <w:w w:val="29"/>
                <w:sz w:val="20"/>
                <w:shd w:val="solid" w:color="000000" w:fill="000000"/>
                <w:fitText w:val="130" w:id="-1435825919"/>
                <w14:textFill>
                  <w14:solidFill>
                    <w14:srgbClr w14:val="000000">
                      <w14:alpha w14:val="100000"/>
                    </w14:srgbClr>
                  </w14:solidFill>
                </w14:textFill>
              </w:rPr>
              <w:t>|</w:t>
            </w:r>
            <w:r w:rsidR="004E423C" w:rsidRPr="004E423C">
              <w:rPr>
                <w:rFonts w:ascii="Arial Narrow" w:hAnsi="Arial Narrow" w:hint="eastAsia"/>
                <w:color w:val="000000"/>
                <w:spacing w:val="2"/>
                <w:w w:val="29"/>
                <w:sz w:val="20"/>
                <w:shd w:val="solid" w:color="000000" w:fill="000000"/>
                <w:fitText w:val="130" w:id="-1435825919"/>
                <w14:textFill>
                  <w14:solidFill>
                    <w14:srgbClr w14:val="000000">
                      <w14:alpha w14:val="100000"/>
                    </w14:srgbClr>
                  </w14:solidFill>
                </w14:textFill>
              </w:rPr>
              <w:t xml:space="preserve">　</w:t>
            </w:r>
          </w:p>
        </w:tc>
        <w:tc>
          <w:tcPr>
            <w:tcW w:w="1070" w:type="pct"/>
            <w:tcBorders>
              <w:top w:val="single" w:sz="4" w:space="0" w:color="auto"/>
              <w:bottom w:val="single" w:sz="4" w:space="0" w:color="auto"/>
            </w:tcBorders>
            <w:vAlign w:val="center"/>
          </w:tcPr>
          <w:p w14:paraId="06306B32" w14:textId="77777777" w:rsidR="0097549F" w:rsidRPr="003F58F7" w:rsidRDefault="0097549F" w:rsidP="0053543A">
            <w:pPr>
              <w:keepLines/>
              <w:jc w:val="center"/>
              <w:rPr>
                <w:rFonts w:ascii="Arial Narrow" w:hAnsi="Arial Narrow"/>
                <w:sz w:val="20"/>
              </w:rPr>
            </w:pPr>
            <w:r w:rsidRPr="003F58F7">
              <w:rPr>
                <w:rFonts w:ascii="Arial Narrow" w:hAnsi="Arial Narrow"/>
                <w:sz w:val="20"/>
              </w:rPr>
              <w:t>OPDUALAG®</w:t>
            </w:r>
          </w:p>
          <w:p w14:paraId="5F06A94B" w14:textId="15EA4DD9" w:rsidR="0097549F" w:rsidRPr="003F58F7" w:rsidRDefault="0097549F" w:rsidP="0097549F">
            <w:pPr>
              <w:keepLines/>
              <w:jc w:val="center"/>
              <w:rPr>
                <w:rFonts w:ascii="Arial Narrow" w:hAnsi="Arial Narrow"/>
                <w:sz w:val="20"/>
              </w:rPr>
            </w:pPr>
            <w:r w:rsidRPr="003F58F7">
              <w:rPr>
                <w:rFonts w:ascii="Arial Narrow" w:hAnsi="Arial Narrow"/>
                <w:sz w:val="20"/>
              </w:rPr>
              <w:t>Bristol Myers Squibb Australia Pty Ltd</w:t>
            </w:r>
          </w:p>
        </w:tc>
      </w:tr>
    </w:tbl>
    <w:p w14:paraId="4FCAD1F8" w14:textId="77777777" w:rsidR="0097549F" w:rsidRPr="00631238" w:rsidRDefault="0097549F" w:rsidP="0097549F"/>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67"/>
      </w:tblGrid>
      <w:tr w:rsidR="0097549F" w:rsidRPr="00631238" w14:paraId="1558A6BE" w14:textId="77777777" w:rsidTr="0097549F">
        <w:trPr>
          <w:cantSplit/>
          <w:trHeight w:val="20"/>
        </w:trPr>
        <w:tc>
          <w:tcPr>
            <w:tcW w:w="5000" w:type="pct"/>
          </w:tcPr>
          <w:p w14:paraId="331DB294" w14:textId="77777777" w:rsidR="0097549F" w:rsidRPr="00631238" w:rsidRDefault="0097549F" w:rsidP="00E61877">
            <w:pPr>
              <w:keepNext/>
              <w:rPr>
                <w:rFonts w:ascii="Arial Narrow" w:hAnsi="Arial Narrow"/>
                <w:sz w:val="20"/>
                <w:szCs w:val="20"/>
              </w:rPr>
            </w:pPr>
            <w:r w:rsidRPr="00631238">
              <w:rPr>
                <w:rFonts w:ascii="Arial Narrow" w:hAnsi="Arial Narrow"/>
                <w:b/>
                <w:sz w:val="20"/>
                <w:szCs w:val="20"/>
              </w:rPr>
              <w:t xml:space="preserve">Category / Program: </w:t>
            </w:r>
            <w:r w:rsidRPr="00631238">
              <w:rPr>
                <w:rFonts w:ascii="Arial Narrow" w:hAnsi="Arial Narrow"/>
                <w:sz w:val="20"/>
                <w:szCs w:val="20"/>
              </w:rPr>
              <w:t xml:space="preserve">Section 100 – Efficient Funding of Chemotherapy Public/Private hospitals </w:t>
            </w:r>
          </w:p>
        </w:tc>
      </w:tr>
      <w:tr w:rsidR="0097549F" w:rsidRPr="00631238" w14:paraId="54315E3A" w14:textId="77777777" w:rsidTr="0097549F">
        <w:trPr>
          <w:cantSplit/>
          <w:trHeight w:val="20"/>
        </w:trPr>
        <w:tc>
          <w:tcPr>
            <w:tcW w:w="5000" w:type="pct"/>
          </w:tcPr>
          <w:p w14:paraId="275A746E" w14:textId="77777777" w:rsidR="0097549F" w:rsidRPr="00631238" w:rsidRDefault="0097549F" w:rsidP="00E61877">
            <w:pPr>
              <w:keepNext/>
              <w:rPr>
                <w:rFonts w:ascii="Arial Narrow" w:hAnsi="Arial Narrow"/>
                <w:b/>
                <w:sz w:val="20"/>
                <w:szCs w:val="20"/>
              </w:rPr>
            </w:pPr>
            <w:r w:rsidRPr="00631238">
              <w:rPr>
                <w:rFonts w:ascii="Arial Narrow" w:hAnsi="Arial Narrow"/>
                <w:b/>
                <w:sz w:val="20"/>
                <w:szCs w:val="20"/>
              </w:rPr>
              <w:t xml:space="preserve">Prescriber type: </w:t>
            </w:r>
            <w:r w:rsidRPr="00631238">
              <w:rPr>
                <w:rFonts w:ascii="Arial Narrow" w:hAnsi="Arial Narrow"/>
                <w:sz w:val="20"/>
                <w:szCs w:val="20"/>
              </w:rPr>
              <w:t xml:space="preserve"> </w:t>
            </w:r>
            <w:r w:rsidRPr="00631238">
              <w:rPr>
                <w:rFonts w:ascii="Arial Narrow" w:hAnsi="Arial Narrow"/>
                <w:sz w:val="20"/>
                <w:szCs w:val="20"/>
              </w:rPr>
              <w:fldChar w:fldCharType="begin">
                <w:ffData>
                  <w:name w:val=""/>
                  <w:enabled/>
                  <w:calcOnExit w:val="0"/>
                  <w:checkBox>
                    <w:sizeAuto/>
                    <w:default w:val="1"/>
                  </w:checkBox>
                </w:ffData>
              </w:fldChar>
            </w:r>
            <w:r w:rsidRPr="00631238">
              <w:rPr>
                <w:rFonts w:ascii="Arial Narrow" w:hAnsi="Arial Narrow"/>
                <w:sz w:val="20"/>
                <w:szCs w:val="20"/>
              </w:rPr>
              <w:instrText xml:space="preserve"> FORMCHECKBOX </w:instrText>
            </w:r>
            <w:r w:rsidR="003252E1">
              <w:rPr>
                <w:rFonts w:ascii="Arial Narrow" w:hAnsi="Arial Narrow"/>
                <w:sz w:val="20"/>
                <w:szCs w:val="20"/>
              </w:rPr>
            </w:r>
            <w:r w:rsidR="003252E1">
              <w:rPr>
                <w:rFonts w:ascii="Arial Narrow" w:hAnsi="Arial Narrow"/>
                <w:sz w:val="20"/>
                <w:szCs w:val="20"/>
              </w:rPr>
              <w:fldChar w:fldCharType="separate"/>
            </w:r>
            <w:r w:rsidRPr="00631238">
              <w:rPr>
                <w:rFonts w:ascii="Arial Narrow" w:hAnsi="Arial Narrow"/>
                <w:sz w:val="20"/>
                <w:szCs w:val="20"/>
              </w:rPr>
              <w:fldChar w:fldCharType="end"/>
            </w:r>
            <w:r w:rsidRPr="00631238">
              <w:rPr>
                <w:rFonts w:ascii="Arial Narrow" w:hAnsi="Arial Narrow"/>
                <w:sz w:val="20"/>
                <w:szCs w:val="20"/>
              </w:rPr>
              <w:t xml:space="preserve">Medical Practitioners  </w:t>
            </w:r>
          </w:p>
        </w:tc>
      </w:tr>
      <w:tr w:rsidR="0097549F" w:rsidRPr="00631238" w14:paraId="649079FC" w14:textId="77777777" w:rsidTr="0097549F">
        <w:trPr>
          <w:cantSplit/>
          <w:trHeight w:val="20"/>
        </w:trPr>
        <w:tc>
          <w:tcPr>
            <w:tcW w:w="5000" w:type="pct"/>
          </w:tcPr>
          <w:p w14:paraId="53545011" w14:textId="7367B825" w:rsidR="0097549F" w:rsidRPr="00631238" w:rsidRDefault="0097549F" w:rsidP="00E61877">
            <w:pPr>
              <w:rPr>
                <w:rFonts w:ascii="Arial Narrow" w:eastAsia="Calibri" w:hAnsi="Arial Narrow"/>
                <w:sz w:val="20"/>
                <w:szCs w:val="20"/>
              </w:rPr>
            </w:pPr>
            <w:r w:rsidRPr="00631238">
              <w:rPr>
                <w:rFonts w:ascii="Arial Narrow" w:hAnsi="Arial Narrow"/>
                <w:b/>
                <w:sz w:val="20"/>
                <w:szCs w:val="20"/>
              </w:rPr>
              <w:t xml:space="preserve">Restriction type: </w:t>
            </w:r>
            <w:r w:rsidRPr="00631238">
              <w:rPr>
                <w:rFonts w:ascii="Arial Narrow" w:eastAsia="Calibri" w:hAnsi="Arial Narrow"/>
                <w:sz w:val="20"/>
                <w:szCs w:val="20"/>
              </w:rPr>
              <w:fldChar w:fldCharType="begin">
                <w:ffData>
                  <w:name w:val=""/>
                  <w:enabled/>
                  <w:calcOnExit w:val="0"/>
                  <w:checkBox>
                    <w:sizeAuto/>
                    <w:default w:val="1"/>
                  </w:checkBox>
                </w:ffData>
              </w:fldChar>
            </w:r>
            <w:r w:rsidRPr="00631238">
              <w:rPr>
                <w:rFonts w:ascii="Arial Narrow" w:eastAsia="Calibri" w:hAnsi="Arial Narrow"/>
                <w:sz w:val="20"/>
                <w:szCs w:val="20"/>
              </w:rPr>
              <w:instrText xml:space="preserve"> FORMCHECKBOX </w:instrText>
            </w:r>
            <w:r w:rsidR="003252E1">
              <w:rPr>
                <w:rFonts w:ascii="Arial Narrow" w:eastAsia="Calibri" w:hAnsi="Arial Narrow"/>
                <w:sz w:val="20"/>
                <w:szCs w:val="20"/>
              </w:rPr>
            </w:r>
            <w:r w:rsidR="003252E1">
              <w:rPr>
                <w:rFonts w:ascii="Arial Narrow" w:eastAsia="Calibri" w:hAnsi="Arial Narrow"/>
                <w:sz w:val="20"/>
                <w:szCs w:val="20"/>
              </w:rPr>
              <w:fldChar w:fldCharType="separate"/>
            </w:r>
            <w:r w:rsidRPr="00631238">
              <w:rPr>
                <w:rFonts w:ascii="Arial Narrow" w:eastAsia="Calibri" w:hAnsi="Arial Narrow"/>
                <w:sz w:val="20"/>
                <w:szCs w:val="20"/>
              </w:rPr>
              <w:fldChar w:fldCharType="end"/>
            </w:r>
            <w:r w:rsidRPr="00631238">
              <w:rPr>
                <w:rFonts w:ascii="Arial Narrow" w:eastAsia="Calibri" w:hAnsi="Arial Narrow"/>
                <w:sz w:val="20"/>
                <w:szCs w:val="20"/>
              </w:rPr>
              <w:t>Authority Required (STREAMLINED)</w:t>
            </w:r>
          </w:p>
        </w:tc>
      </w:tr>
      <w:tr w:rsidR="0097549F" w:rsidRPr="00631238" w14:paraId="45A800C0" w14:textId="77777777" w:rsidTr="0097549F">
        <w:trPr>
          <w:trHeight w:val="102"/>
        </w:trPr>
        <w:tc>
          <w:tcPr>
            <w:tcW w:w="5000" w:type="pct"/>
            <w:vAlign w:val="center"/>
          </w:tcPr>
          <w:p w14:paraId="4D4B446D" w14:textId="77777777" w:rsidR="0097549F" w:rsidRPr="00631238" w:rsidRDefault="0097549F" w:rsidP="00E61877">
            <w:pPr>
              <w:textAlignment w:val="baseline"/>
              <w:rPr>
                <w:rFonts w:ascii="Arial Narrow" w:hAnsi="Arial Narrow" w:cs="Open Sans"/>
                <w:color w:val="333333"/>
                <w:sz w:val="20"/>
                <w:szCs w:val="20"/>
              </w:rPr>
            </w:pPr>
            <w:r w:rsidRPr="00631238">
              <w:rPr>
                <w:rFonts w:ascii="Arial Narrow" w:hAnsi="Arial Narrow" w:cs="Open Sans"/>
                <w:b/>
                <w:bCs/>
                <w:color w:val="333333"/>
                <w:sz w:val="20"/>
                <w:szCs w:val="20"/>
                <w:bdr w:val="none" w:sz="0" w:space="0" w:color="auto" w:frame="1"/>
              </w:rPr>
              <w:t>Administrative Advice:</w:t>
            </w:r>
          </w:p>
          <w:p w14:paraId="5B8CDA85" w14:textId="77777777" w:rsidR="0097549F" w:rsidRPr="00631238" w:rsidRDefault="0097549F" w:rsidP="00E61877">
            <w:pPr>
              <w:keepLines/>
              <w:rPr>
                <w:rFonts w:ascii="Arial Narrow" w:hAnsi="Arial Narrow"/>
                <w:color w:val="333333"/>
                <w:sz w:val="20"/>
                <w:szCs w:val="20"/>
              </w:rPr>
            </w:pPr>
            <w:r w:rsidRPr="00631238">
              <w:rPr>
                <w:rFonts w:ascii="Arial Narrow" w:hAnsi="Arial Narrow" w:cs="Open Sans"/>
                <w:color w:val="333333"/>
                <w:sz w:val="20"/>
                <w:szCs w:val="20"/>
              </w:rPr>
              <w:t>No increase in the maximum number of repeats may be authorised.</w:t>
            </w:r>
          </w:p>
        </w:tc>
      </w:tr>
      <w:tr w:rsidR="0097549F" w:rsidRPr="00631238" w14:paraId="47EAEBCD" w14:textId="77777777" w:rsidTr="0097549F">
        <w:trPr>
          <w:trHeight w:val="20"/>
        </w:trPr>
        <w:tc>
          <w:tcPr>
            <w:tcW w:w="5000" w:type="pct"/>
            <w:vAlign w:val="center"/>
          </w:tcPr>
          <w:p w14:paraId="1F17F03A" w14:textId="77777777" w:rsidR="0097549F" w:rsidRPr="00631238" w:rsidRDefault="0097549F" w:rsidP="00E61877">
            <w:pPr>
              <w:keepLines/>
              <w:rPr>
                <w:rFonts w:ascii="Arial Narrow" w:hAnsi="Arial Narrow"/>
                <w:b/>
                <w:bCs/>
                <w:color w:val="333333"/>
                <w:sz w:val="20"/>
                <w:szCs w:val="20"/>
              </w:rPr>
            </w:pPr>
            <w:r w:rsidRPr="00631238">
              <w:rPr>
                <w:rFonts w:ascii="Arial Narrow" w:hAnsi="Arial Narrow"/>
                <w:b/>
                <w:bCs/>
                <w:color w:val="333333"/>
                <w:sz w:val="20"/>
                <w:szCs w:val="20"/>
              </w:rPr>
              <w:t>Administrative Advice:</w:t>
            </w:r>
          </w:p>
          <w:p w14:paraId="7467A9D3" w14:textId="77777777" w:rsidR="0097549F" w:rsidRPr="00631238" w:rsidRDefault="0097549F" w:rsidP="00E61877">
            <w:pPr>
              <w:keepLines/>
              <w:rPr>
                <w:rFonts w:ascii="Arial Narrow" w:hAnsi="Arial Narrow"/>
                <w:b/>
                <w:bCs/>
                <w:color w:val="333333"/>
                <w:sz w:val="20"/>
                <w:szCs w:val="20"/>
              </w:rPr>
            </w:pPr>
            <w:r w:rsidRPr="00631238">
              <w:rPr>
                <w:rFonts w:ascii="Arial Narrow" w:hAnsi="Arial Narrow" w:cs="Open Sans"/>
                <w:color w:val="333333"/>
                <w:sz w:val="20"/>
                <w:szCs w:val="20"/>
              </w:rPr>
              <w:t>Special Pricing Arrangements apply.</w:t>
            </w:r>
          </w:p>
        </w:tc>
      </w:tr>
      <w:tr w:rsidR="0097549F" w:rsidRPr="00631238" w14:paraId="0D8A2474" w14:textId="77777777" w:rsidTr="0097549F">
        <w:trPr>
          <w:trHeight w:val="20"/>
        </w:trPr>
        <w:tc>
          <w:tcPr>
            <w:tcW w:w="5000" w:type="pct"/>
            <w:vAlign w:val="center"/>
          </w:tcPr>
          <w:p w14:paraId="0424A993" w14:textId="77777777" w:rsidR="0097549F" w:rsidRPr="00631238" w:rsidRDefault="0097549F" w:rsidP="00E61877">
            <w:pPr>
              <w:keepLines/>
              <w:rPr>
                <w:rFonts w:ascii="Arial Narrow" w:hAnsi="Arial Narrow"/>
                <w:b/>
                <w:bCs/>
                <w:color w:val="333333"/>
                <w:sz w:val="20"/>
                <w:szCs w:val="20"/>
              </w:rPr>
            </w:pPr>
            <w:r w:rsidRPr="00631238">
              <w:rPr>
                <w:rFonts w:ascii="Arial Narrow" w:hAnsi="Arial Narrow"/>
                <w:b/>
                <w:bCs/>
                <w:i/>
                <w:iCs/>
                <w:sz w:val="20"/>
                <w:szCs w:val="20"/>
              </w:rPr>
              <w:t>Administrative Advice:</w:t>
            </w:r>
            <w:r w:rsidRPr="00631238">
              <w:rPr>
                <w:rFonts w:ascii="Arial Narrow" w:hAnsi="Arial Narrow"/>
                <w:b/>
                <w:bCs/>
                <w:sz w:val="20"/>
                <w:szCs w:val="20"/>
              </w:rPr>
              <w:t xml:space="preserve"> </w:t>
            </w:r>
            <w:r w:rsidRPr="00631238">
              <w:rPr>
                <w:rFonts w:ascii="Arial Narrow" w:hAnsi="Arial Narrow" w:cs="Open Sans"/>
                <w:i/>
                <w:iCs/>
                <w:color w:val="333333"/>
                <w:sz w:val="20"/>
                <w:szCs w:val="20"/>
              </w:rPr>
              <w:t>No increase in the maximum amount or number of units may be authorised</w:t>
            </w:r>
          </w:p>
        </w:tc>
      </w:tr>
      <w:tr w:rsidR="0097549F" w:rsidRPr="00631238" w14:paraId="1E69BF5E" w14:textId="77777777" w:rsidTr="0097549F">
        <w:trPr>
          <w:cantSplit/>
          <w:trHeight w:val="20"/>
        </w:trPr>
        <w:tc>
          <w:tcPr>
            <w:tcW w:w="5000" w:type="pct"/>
            <w:vAlign w:val="center"/>
          </w:tcPr>
          <w:p w14:paraId="6576ECDD" w14:textId="77777777" w:rsidR="0097549F" w:rsidRPr="00631238" w:rsidRDefault="0097549F" w:rsidP="00E61877">
            <w:pPr>
              <w:keepLines/>
              <w:rPr>
                <w:rFonts w:ascii="Arial Narrow" w:hAnsi="Arial Narrow"/>
                <w:bCs/>
                <w:color w:val="333333"/>
                <w:sz w:val="20"/>
                <w:szCs w:val="20"/>
              </w:rPr>
            </w:pPr>
            <w:r w:rsidRPr="00631238">
              <w:rPr>
                <w:rFonts w:ascii="Arial Narrow" w:hAnsi="Arial Narrow"/>
                <w:b/>
                <w:bCs/>
                <w:color w:val="333333"/>
                <w:sz w:val="20"/>
                <w:szCs w:val="20"/>
              </w:rPr>
              <w:t>Episodicity:</w:t>
            </w:r>
            <w:r w:rsidRPr="00631238">
              <w:rPr>
                <w:rFonts w:ascii="Arial Narrow" w:hAnsi="Arial Narrow"/>
                <w:bCs/>
                <w:color w:val="FF0000"/>
                <w:sz w:val="20"/>
                <w:szCs w:val="20"/>
              </w:rPr>
              <w:t xml:space="preserve"> </w:t>
            </w:r>
            <w:r w:rsidRPr="00631238">
              <w:rPr>
                <w:rFonts w:ascii="Arial Narrow" w:hAnsi="Arial Narrow"/>
                <w:bCs/>
                <w:sz w:val="20"/>
                <w:szCs w:val="20"/>
              </w:rPr>
              <w:t>[blank]</w:t>
            </w:r>
          </w:p>
        </w:tc>
      </w:tr>
      <w:tr w:rsidR="0097549F" w:rsidRPr="00631238" w14:paraId="680DBEA3" w14:textId="77777777" w:rsidTr="0097549F">
        <w:trPr>
          <w:cantSplit/>
          <w:trHeight w:val="20"/>
        </w:trPr>
        <w:tc>
          <w:tcPr>
            <w:tcW w:w="5000" w:type="pct"/>
            <w:vAlign w:val="center"/>
          </w:tcPr>
          <w:p w14:paraId="61F0A599" w14:textId="77777777" w:rsidR="0097549F" w:rsidRPr="00631238" w:rsidRDefault="0097549F" w:rsidP="00E61877">
            <w:pPr>
              <w:keepLines/>
              <w:rPr>
                <w:rFonts w:ascii="Arial Narrow" w:hAnsi="Arial Narrow"/>
                <w:b/>
                <w:bCs/>
                <w:color w:val="333333"/>
                <w:sz w:val="20"/>
                <w:szCs w:val="20"/>
              </w:rPr>
            </w:pPr>
            <w:r w:rsidRPr="00631238">
              <w:rPr>
                <w:rFonts w:ascii="Arial Narrow" w:hAnsi="Arial Narrow"/>
                <w:b/>
                <w:bCs/>
                <w:color w:val="333333"/>
                <w:sz w:val="20"/>
                <w:szCs w:val="20"/>
              </w:rPr>
              <w:t xml:space="preserve">Severity: </w:t>
            </w:r>
            <w:r w:rsidRPr="00631238">
              <w:rPr>
                <w:rFonts w:ascii="Arial Narrow" w:hAnsi="Arial Narrow"/>
                <w:bCs/>
                <w:color w:val="333333"/>
                <w:sz w:val="20"/>
                <w:szCs w:val="20"/>
              </w:rPr>
              <w:t>Unresectable Stage III or Stage IV</w:t>
            </w:r>
          </w:p>
        </w:tc>
      </w:tr>
      <w:tr w:rsidR="0097549F" w:rsidRPr="00631238" w14:paraId="3948368A" w14:textId="77777777" w:rsidTr="0097549F">
        <w:trPr>
          <w:cantSplit/>
          <w:trHeight w:val="20"/>
        </w:trPr>
        <w:tc>
          <w:tcPr>
            <w:tcW w:w="5000" w:type="pct"/>
            <w:vAlign w:val="center"/>
          </w:tcPr>
          <w:p w14:paraId="1F2A6A99" w14:textId="77777777" w:rsidR="0097549F" w:rsidRPr="00631238" w:rsidRDefault="0097549F" w:rsidP="00E61877">
            <w:pPr>
              <w:keepLines/>
              <w:rPr>
                <w:rFonts w:ascii="Arial Narrow" w:hAnsi="Arial Narrow"/>
                <w:b/>
                <w:bCs/>
                <w:color w:val="333333"/>
                <w:sz w:val="20"/>
                <w:szCs w:val="20"/>
              </w:rPr>
            </w:pPr>
            <w:r w:rsidRPr="00631238">
              <w:rPr>
                <w:rFonts w:ascii="Arial Narrow" w:hAnsi="Arial Narrow"/>
                <w:b/>
                <w:bCs/>
                <w:color w:val="333333"/>
                <w:sz w:val="20"/>
                <w:szCs w:val="20"/>
              </w:rPr>
              <w:t xml:space="preserve">Condition: </w:t>
            </w:r>
            <w:r w:rsidRPr="00631238">
              <w:rPr>
                <w:rFonts w:ascii="Arial Narrow" w:hAnsi="Arial Narrow"/>
                <w:bCs/>
                <w:color w:val="FF0000"/>
                <w:sz w:val="20"/>
                <w:szCs w:val="20"/>
              </w:rPr>
              <w:t xml:space="preserve"> </w:t>
            </w:r>
            <w:r w:rsidRPr="00631238">
              <w:rPr>
                <w:rFonts w:ascii="Arial Narrow" w:hAnsi="Arial Narrow"/>
                <w:bCs/>
                <w:color w:val="333333"/>
                <w:sz w:val="20"/>
                <w:szCs w:val="20"/>
              </w:rPr>
              <w:t>Malignant melanoma</w:t>
            </w:r>
          </w:p>
        </w:tc>
      </w:tr>
      <w:tr w:rsidR="0097549F" w:rsidRPr="00631238" w14:paraId="42D8179D" w14:textId="77777777" w:rsidTr="0097549F">
        <w:trPr>
          <w:cantSplit/>
          <w:trHeight w:val="20"/>
        </w:trPr>
        <w:tc>
          <w:tcPr>
            <w:tcW w:w="5000" w:type="pct"/>
            <w:vAlign w:val="center"/>
            <w:hideMark/>
          </w:tcPr>
          <w:p w14:paraId="040EB23A" w14:textId="77777777" w:rsidR="0097549F" w:rsidRPr="00631238" w:rsidRDefault="0097549F" w:rsidP="00E61877">
            <w:pPr>
              <w:keepLines/>
              <w:rPr>
                <w:rFonts w:ascii="Arial Narrow" w:hAnsi="Arial Narrow"/>
                <w:color w:val="333333"/>
                <w:sz w:val="20"/>
                <w:szCs w:val="20"/>
              </w:rPr>
            </w:pPr>
            <w:r w:rsidRPr="00631238">
              <w:rPr>
                <w:rFonts w:ascii="Arial Narrow" w:hAnsi="Arial Narrow"/>
                <w:b/>
                <w:bCs/>
                <w:color w:val="333333"/>
                <w:sz w:val="20"/>
                <w:szCs w:val="20"/>
              </w:rPr>
              <w:t>Indication:</w:t>
            </w:r>
            <w:r w:rsidRPr="00631238">
              <w:rPr>
                <w:rFonts w:ascii="Arial Narrow" w:hAnsi="Arial Narrow"/>
                <w:color w:val="333333"/>
                <w:sz w:val="20"/>
                <w:szCs w:val="20"/>
              </w:rPr>
              <w:t xml:space="preserve"> </w:t>
            </w:r>
            <w:r w:rsidRPr="00631238">
              <w:rPr>
                <w:rFonts w:ascii="Arial Narrow" w:hAnsi="Arial Narrow" w:cs="Open Sans"/>
                <w:color w:val="333333"/>
                <w:sz w:val="20"/>
                <w:szCs w:val="20"/>
              </w:rPr>
              <w:t>Unresectable Stage III or Stage IV malignant melanoma</w:t>
            </w:r>
          </w:p>
        </w:tc>
      </w:tr>
      <w:tr w:rsidR="0097549F" w:rsidRPr="00631238" w14:paraId="0C38CD06" w14:textId="77777777" w:rsidTr="0097549F">
        <w:trPr>
          <w:cantSplit/>
          <w:trHeight w:val="20"/>
        </w:trPr>
        <w:tc>
          <w:tcPr>
            <w:tcW w:w="5000" w:type="pct"/>
            <w:vAlign w:val="center"/>
            <w:hideMark/>
          </w:tcPr>
          <w:p w14:paraId="09F16192" w14:textId="77777777" w:rsidR="0097549F" w:rsidRPr="00631238" w:rsidRDefault="0097549F" w:rsidP="00E61877">
            <w:pPr>
              <w:rPr>
                <w:rFonts w:ascii="Arial Narrow" w:hAnsi="Arial Narrow"/>
                <w:color w:val="FF0000"/>
                <w:sz w:val="20"/>
                <w:szCs w:val="20"/>
              </w:rPr>
            </w:pPr>
            <w:r w:rsidRPr="00631238">
              <w:rPr>
                <w:rFonts w:ascii="Arial Narrow" w:hAnsi="Arial Narrow"/>
                <w:b/>
                <w:bCs/>
                <w:color w:val="333333"/>
                <w:sz w:val="20"/>
                <w:szCs w:val="20"/>
              </w:rPr>
              <w:t>Treatment Phase</w:t>
            </w:r>
            <w:r w:rsidRPr="00631238">
              <w:rPr>
                <w:rFonts w:ascii="Arial Narrow" w:hAnsi="Arial Narrow"/>
                <w:b/>
                <w:bCs/>
                <w:sz w:val="20"/>
                <w:szCs w:val="20"/>
              </w:rPr>
              <w:t>:</w:t>
            </w:r>
            <w:r w:rsidRPr="00631238">
              <w:rPr>
                <w:rFonts w:ascii="Arial Narrow" w:hAnsi="Arial Narrow"/>
                <w:sz w:val="20"/>
                <w:szCs w:val="20"/>
              </w:rPr>
              <w:t xml:space="preserve"> Initial treatment     </w:t>
            </w:r>
          </w:p>
        </w:tc>
      </w:tr>
      <w:tr w:rsidR="0097549F" w:rsidRPr="00631238" w14:paraId="6894FC2E" w14:textId="77777777" w:rsidTr="0097549F">
        <w:trPr>
          <w:cantSplit/>
          <w:trHeight w:val="20"/>
        </w:trPr>
        <w:tc>
          <w:tcPr>
            <w:tcW w:w="5000" w:type="pct"/>
            <w:vAlign w:val="center"/>
          </w:tcPr>
          <w:p w14:paraId="67DEC769" w14:textId="77777777" w:rsidR="0097549F" w:rsidRPr="00631238" w:rsidRDefault="0097549F" w:rsidP="00E61877">
            <w:pPr>
              <w:rPr>
                <w:rFonts w:ascii="Arial Narrow" w:hAnsi="Arial Narrow"/>
                <w:b/>
                <w:bCs/>
                <w:color w:val="333333"/>
                <w:sz w:val="20"/>
                <w:szCs w:val="20"/>
              </w:rPr>
            </w:pPr>
          </w:p>
        </w:tc>
      </w:tr>
      <w:tr w:rsidR="0097549F" w:rsidRPr="00631238" w14:paraId="10E1A717" w14:textId="77777777" w:rsidTr="0097549F">
        <w:trPr>
          <w:cantSplit/>
          <w:trHeight w:val="20"/>
        </w:trPr>
        <w:tc>
          <w:tcPr>
            <w:tcW w:w="5000" w:type="pct"/>
            <w:vAlign w:val="center"/>
            <w:hideMark/>
          </w:tcPr>
          <w:p w14:paraId="6E1AB012" w14:textId="77777777" w:rsidR="0097549F" w:rsidRPr="00631238" w:rsidRDefault="0097549F" w:rsidP="00E61877">
            <w:pPr>
              <w:rPr>
                <w:rFonts w:ascii="Arial Narrow" w:hAnsi="Arial Narrow"/>
                <w:color w:val="FF0000"/>
                <w:sz w:val="20"/>
                <w:szCs w:val="20"/>
              </w:rPr>
            </w:pPr>
            <w:r w:rsidRPr="00631238">
              <w:rPr>
                <w:rFonts w:ascii="Arial Narrow" w:hAnsi="Arial Narrow"/>
                <w:b/>
                <w:bCs/>
                <w:color w:val="333333"/>
                <w:sz w:val="20"/>
                <w:szCs w:val="20"/>
              </w:rPr>
              <w:t xml:space="preserve">Clinical criteria: </w:t>
            </w:r>
          </w:p>
        </w:tc>
      </w:tr>
      <w:tr w:rsidR="0097549F" w:rsidRPr="00631238" w14:paraId="29E46EF7" w14:textId="77777777" w:rsidTr="0097549F">
        <w:trPr>
          <w:cantSplit/>
          <w:trHeight w:val="20"/>
        </w:trPr>
        <w:tc>
          <w:tcPr>
            <w:tcW w:w="5000" w:type="pct"/>
            <w:vAlign w:val="center"/>
            <w:hideMark/>
          </w:tcPr>
          <w:p w14:paraId="49DC7795" w14:textId="77777777" w:rsidR="0097549F" w:rsidRPr="00631238" w:rsidRDefault="0097549F" w:rsidP="00E61877">
            <w:pPr>
              <w:rPr>
                <w:rFonts w:ascii="Arial Narrow" w:hAnsi="Arial Narrow"/>
                <w:color w:val="333333"/>
                <w:sz w:val="20"/>
                <w:szCs w:val="20"/>
              </w:rPr>
            </w:pPr>
            <w:r w:rsidRPr="00631238">
              <w:rPr>
                <w:rFonts w:ascii="Arial Narrow" w:hAnsi="Arial Narrow"/>
                <w:bCs/>
                <w:sz w:val="20"/>
                <w:szCs w:val="20"/>
              </w:rPr>
              <w:t>Patient must not have received prior treatment with ipilimumab or a PD-1 (programmed cell death-1) inhibitor for the treatment of unresectable Stage III or Stage IV malignant melanoma</w:t>
            </w:r>
          </w:p>
        </w:tc>
      </w:tr>
      <w:tr w:rsidR="0097549F" w:rsidRPr="00631238" w14:paraId="45E618AA" w14:textId="77777777" w:rsidTr="0097549F">
        <w:trPr>
          <w:cantSplit/>
          <w:trHeight w:val="20"/>
        </w:trPr>
        <w:tc>
          <w:tcPr>
            <w:tcW w:w="5000" w:type="pct"/>
            <w:vAlign w:val="center"/>
            <w:hideMark/>
          </w:tcPr>
          <w:p w14:paraId="7AB326D8" w14:textId="77777777" w:rsidR="0097549F" w:rsidRPr="00631238" w:rsidRDefault="0097549F" w:rsidP="00E61877">
            <w:pPr>
              <w:rPr>
                <w:rFonts w:ascii="Arial Narrow" w:hAnsi="Arial Narrow"/>
                <w:color w:val="333333"/>
                <w:sz w:val="20"/>
                <w:szCs w:val="20"/>
              </w:rPr>
            </w:pPr>
            <w:r w:rsidRPr="00631238">
              <w:rPr>
                <w:rFonts w:ascii="Arial Narrow" w:hAnsi="Arial Narrow"/>
                <w:b/>
                <w:bCs/>
                <w:color w:val="333333"/>
                <w:sz w:val="20"/>
                <w:szCs w:val="20"/>
              </w:rPr>
              <w:t>AND</w:t>
            </w:r>
          </w:p>
        </w:tc>
      </w:tr>
      <w:tr w:rsidR="0097549F" w:rsidRPr="00631238" w14:paraId="77BED4D1" w14:textId="77777777" w:rsidTr="0097549F">
        <w:trPr>
          <w:cantSplit/>
          <w:trHeight w:val="20"/>
        </w:trPr>
        <w:tc>
          <w:tcPr>
            <w:tcW w:w="5000" w:type="pct"/>
            <w:vAlign w:val="center"/>
            <w:hideMark/>
          </w:tcPr>
          <w:p w14:paraId="536C2B1D" w14:textId="77777777" w:rsidR="0097549F" w:rsidRPr="00631238" w:rsidRDefault="0097549F" w:rsidP="00E61877">
            <w:pPr>
              <w:rPr>
                <w:rFonts w:ascii="Arial Narrow" w:hAnsi="Arial Narrow"/>
                <w:color w:val="333333"/>
                <w:sz w:val="20"/>
                <w:szCs w:val="20"/>
              </w:rPr>
            </w:pPr>
            <w:r w:rsidRPr="00631238">
              <w:rPr>
                <w:rFonts w:ascii="Arial Narrow" w:hAnsi="Arial Narrow"/>
                <w:b/>
                <w:bCs/>
                <w:color w:val="333333"/>
                <w:sz w:val="20"/>
                <w:szCs w:val="20"/>
              </w:rPr>
              <w:t>Clinical criteria:</w:t>
            </w:r>
          </w:p>
        </w:tc>
      </w:tr>
      <w:tr w:rsidR="0097549F" w:rsidRPr="00631238" w14:paraId="6A50BBE0" w14:textId="77777777" w:rsidTr="0097549F">
        <w:trPr>
          <w:cantSplit/>
          <w:trHeight w:val="20"/>
        </w:trPr>
        <w:tc>
          <w:tcPr>
            <w:tcW w:w="5000" w:type="pct"/>
            <w:vAlign w:val="center"/>
          </w:tcPr>
          <w:p w14:paraId="2281D839" w14:textId="77777777" w:rsidR="0097549F" w:rsidRPr="00631238" w:rsidRDefault="0097549F" w:rsidP="00E61877">
            <w:pPr>
              <w:rPr>
                <w:rFonts w:ascii="Arial Narrow" w:hAnsi="Arial Narrow"/>
                <w:color w:val="FF0000"/>
                <w:sz w:val="20"/>
                <w:szCs w:val="20"/>
              </w:rPr>
            </w:pPr>
            <w:r w:rsidRPr="00631238">
              <w:rPr>
                <w:rFonts w:ascii="Arial Narrow" w:hAnsi="Arial Narrow"/>
                <w:bCs/>
                <w:sz w:val="20"/>
                <w:szCs w:val="20"/>
              </w:rPr>
              <w:t>Patient must not have experienced disease progression whilst on adjuvant PD-1 inhibitor treatment or disease recurrence within 6 months of completion of adjuvant PD-1 inhibitor treatment if treated for resected Stage IIIB, IIIC, IIID or IV melanoma</w:t>
            </w:r>
          </w:p>
        </w:tc>
      </w:tr>
      <w:tr w:rsidR="0097549F" w:rsidRPr="00631238" w14:paraId="4F7A51EE" w14:textId="77777777" w:rsidTr="0097549F">
        <w:trPr>
          <w:cantSplit/>
          <w:trHeight w:val="20"/>
        </w:trPr>
        <w:tc>
          <w:tcPr>
            <w:tcW w:w="5000" w:type="pct"/>
            <w:vAlign w:val="center"/>
            <w:hideMark/>
          </w:tcPr>
          <w:p w14:paraId="7AACBA77" w14:textId="77777777" w:rsidR="0097549F" w:rsidRPr="00631238" w:rsidRDefault="0097549F" w:rsidP="00E61877">
            <w:pPr>
              <w:rPr>
                <w:rFonts w:ascii="Arial Narrow" w:hAnsi="Arial Narrow"/>
                <w:color w:val="333333"/>
                <w:sz w:val="20"/>
                <w:szCs w:val="20"/>
              </w:rPr>
            </w:pPr>
            <w:r w:rsidRPr="00631238">
              <w:rPr>
                <w:rFonts w:ascii="Arial Narrow" w:hAnsi="Arial Narrow"/>
                <w:b/>
                <w:bCs/>
                <w:color w:val="333333"/>
                <w:sz w:val="20"/>
                <w:szCs w:val="20"/>
              </w:rPr>
              <w:t>AND</w:t>
            </w:r>
          </w:p>
        </w:tc>
      </w:tr>
      <w:tr w:rsidR="0097549F" w:rsidRPr="00631238" w14:paraId="464F0E93" w14:textId="77777777" w:rsidTr="0097549F">
        <w:trPr>
          <w:cantSplit/>
          <w:trHeight w:val="20"/>
        </w:trPr>
        <w:tc>
          <w:tcPr>
            <w:tcW w:w="5000" w:type="pct"/>
            <w:vAlign w:val="center"/>
            <w:hideMark/>
          </w:tcPr>
          <w:p w14:paraId="512CFF68" w14:textId="77777777" w:rsidR="0097549F" w:rsidRPr="00631238" w:rsidRDefault="0097549F" w:rsidP="00E61877">
            <w:pPr>
              <w:rPr>
                <w:rFonts w:ascii="Arial Narrow" w:hAnsi="Arial Narrow"/>
                <w:color w:val="333333"/>
                <w:sz w:val="20"/>
                <w:szCs w:val="20"/>
              </w:rPr>
            </w:pPr>
            <w:r w:rsidRPr="00631238">
              <w:rPr>
                <w:rFonts w:ascii="Arial Narrow" w:hAnsi="Arial Narrow"/>
                <w:b/>
                <w:bCs/>
                <w:color w:val="333333"/>
                <w:sz w:val="20"/>
                <w:szCs w:val="20"/>
              </w:rPr>
              <w:t>Clinical criteria:</w:t>
            </w:r>
          </w:p>
        </w:tc>
      </w:tr>
      <w:tr w:rsidR="0097549F" w:rsidRPr="00631238" w14:paraId="1738E5C2" w14:textId="77777777" w:rsidTr="0097549F">
        <w:trPr>
          <w:cantSplit/>
          <w:trHeight w:val="20"/>
        </w:trPr>
        <w:tc>
          <w:tcPr>
            <w:tcW w:w="5000" w:type="pct"/>
            <w:vAlign w:val="center"/>
            <w:hideMark/>
          </w:tcPr>
          <w:p w14:paraId="2770389F" w14:textId="77777777" w:rsidR="0097549F" w:rsidRPr="00631238" w:rsidRDefault="0097549F" w:rsidP="00E61877">
            <w:pPr>
              <w:rPr>
                <w:rFonts w:ascii="Arial Narrow" w:hAnsi="Arial Narrow"/>
                <w:color w:val="333333"/>
                <w:sz w:val="20"/>
                <w:szCs w:val="20"/>
              </w:rPr>
            </w:pPr>
            <w:r w:rsidRPr="00631238">
              <w:rPr>
                <w:rFonts w:ascii="Arial Narrow" w:hAnsi="Arial Narrow"/>
                <w:bCs/>
                <w:sz w:val="20"/>
                <w:szCs w:val="20"/>
              </w:rPr>
              <w:t>Patient must have an Eastern Cooperative Oncology Group (ECOG) performance status of 0 or 1</w:t>
            </w:r>
          </w:p>
        </w:tc>
      </w:tr>
      <w:tr w:rsidR="0097549F" w:rsidRPr="00631238" w14:paraId="32E7816F" w14:textId="77777777" w:rsidTr="0097549F">
        <w:trPr>
          <w:cantSplit/>
          <w:trHeight w:val="20"/>
        </w:trPr>
        <w:tc>
          <w:tcPr>
            <w:tcW w:w="5000" w:type="pct"/>
            <w:vAlign w:val="center"/>
          </w:tcPr>
          <w:p w14:paraId="47BCD942" w14:textId="77777777" w:rsidR="0097549F" w:rsidRPr="00631238" w:rsidRDefault="0097549F" w:rsidP="00E61877">
            <w:pPr>
              <w:rPr>
                <w:rFonts w:ascii="Arial Narrow" w:hAnsi="Arial Narrow" w:cs="Open Sans"/>
                <w:color w:val="333333"/>
                <w:sz w:val="20"/>
                <w:szCs w:val="20"/>
                <w:shd w:val="clear" w:color="auto" w:fill="FFFFFF"/>
              </w:rPr>
            </w:pPr>
            <w:r w:rsidRPr="00631238">
              <w:rPr>
                <w:rFonts w:ascii="Arial Narrow" w:hAnsi="Arial Narrow"/>
                <w:b/>
                <w:bCs/>
                <w:color w:val="333333"/>
                <w:sz w:val="20"/>
                <w:szCs w:val="20"/>
              </w:rPr>
              <w:t>AND</w:t>
            </w:r>
          </w:p>
        </w:tc>
      </w:tr>
      <w:tr w:rsidR="0097549F" w:rsidRPr="00631238" w14:paraId="1080B2B8" w14:textId="77777777" w:rsidTr="0097549F">
        <w:trPr>
          <w:cantSplit/>
          <w:trHeight w:val="20"/>
        </w:trPr>
        <w:tc>
          <w:tcPr>
            <w:tcW w:w="5000" w:type="pct"/>
            <w:vAlign w:val="center"/>
          </w:tcPr>
          <w:p w14:paraId="742A2956" w14:textId="77777777" w:rsidR="0097549F" w:rsidRPr="00631238" w:rsidRDefault="0097549F" w:rsidP="00E61877">
            <w:pPr>
              <w:rPr>
                <w:rFonts w:ascii="Arial Narrow" w:hAnsi="Arial Narrow" w:cs="Open Sans"/>
                <w:color w:val="333333"/>
                <w:sz w:val="20"/>
                <w:szCs w:val="20"/>
                <w:shd w:val="clear" w:color="auto" w:fill="FFFFFF"/>
              </w:rPr>
            </w:pPr>
            <w:r w:rsidRPr="00631238">
              <w:rPr>
                <w:rFonts w:ascii="Arial Narrow" w:hAnsi="Arial Narrow"/>
                <w:b/>
                <w:bCs/>
                <w:color w:val="333333"/>
                <w:sz w:val="20"/>
                <w:szCs w:val="20"/>
              </w:rPr>
              <w:t>Clinical criteria:</w:t>
            </w:r>
          </w:p>
        </w:tc>
      </w:tr>
      <w:tr w:rsidR="0097549F" w:rsidRPr="00631238" w14:paraId="0513C4EB" w14:textId="77777777" w:rsidTr="0097549F">
        <w:trPr>
          <w:cantSplit/>
          <w:trHeight w:val="20"/>
        </w:trPr>
        <w:tc>
          <w:tcPr>
            <w:tcW w:w="5000" w:type="pct"/>
            <w:vAlign w:val="center"/>
          </w:tcPr>
          <w:p w14:paraId="3A3B03F6" w14:textId="77777777" w:rsidR="0097549F" w:rsidRPr="00631238" w:rsidRDefault="0097549F" w:rsidP="00E61877">
            <w:pPr>
              <w:rPr>
                <w:rFonts w:ascii="Arial Narrow" w:hAnsi="Arial Narrow"/>
                <w:b/>
                <w:bCs/>
                <w:color w:val="333333"/>
                <w:sz w:val="20"/>
                <w:szCs w:val="20"/>
              </w:rPr>
            </w:pPr>
            <w:r w:rsidRPr="00631238">
              <w:rPr>
                <w:rFonts w:ascii="Arial Narrow" w:hAnsi="Arial Narrow"/>
                <w:color w:val="333333"/>
                <w:sz w:val="20"/>
                <w:szCs w:val="20"/>
                <w:shd w:val="clear" w:color="auto" w:fill="FFFFFF"/>
              </w:rPr>
              <w:t>The condition must not be uveal melanoma</w:t>
            </w:r>
          </w:p>
        </w:tc>
      </w:tr>
      <w:tr w:rsidR="0097549F" w:rsidRPr="00631238" w14:paraId="4161D17E" w14:textId="77777777" w:rsidTr="0097549F">
        <w:trPr>
          <w:cantSplit/>
          <w:trHeight w:val="20"/>
        </w:trPr>
        <w:tc>
          <w:tcPr>
            <w:tcW w:w="5000" w:type="pct"/>
            <w:vAlign w:val="center"/>
          </w:tcPr>
          <w:p w14:paraId="6A0E4B0B" w14:textId="77777777" w:rsidR="0097549F" w:rsidRPr="00631238" w:rsidRDefault="0097549F" w:rsidP="00E61877">
            <w:pPr>
              <w:rPr>
                <w:rFonts w:ascii="Arial Narrow" w:hAnsi="Arial Narrow"/>
                <w:color w:val="333333"/>
                <w:sz w:val="20"/>
                <w:szCs w:val="20"/>
                <w:shd w:val="clear" w:color="auto" w:fill="FFFFFF"/>
              </w:rPr>
            </w:pPr>
            <w:r w:rsidRPr="00631238">
              <w:rPr>
                <w:rFonts w:ascii="Arial Narrow" w:hAnsi="Arial Narrow"/>
                <w:b/>
                <w:bCs/>
                <w:color w:val="333333"/>
                <w:sz w:val="20"/>
                <w:szCs w:val="20"/>
              </w:rPr>
              <w:t>AND</w:t>
            </w:r>
          </w:p>
        </w:tc>
      </w:tr>
      <w:tr w:rsidR="0097549F" w:rsidRPr="00631238" w14:paraId="01C92846" w14:textId="77777777" w:rsidTr="0097549F">
        <w:trPr>
          <w:cantSplit/>
          <w:trHeight w:val="20"/>
        </w:trPr>
        <w:tc>
          <w:tcPr>
            <w:tcW w:w="5000" w:type="pct"/>
            <w:vAlign w:val="center"/>
          </w:tcPr>
          <w:p w14:paraId="279E5FAD" w14:textId="77777777" w:rsidR="0097549F" w:rsidRPr="00631238" w:rsidRDefault="0097549F" w:rsidP="00E61877">
            <w:pPr>
              <w:rPr>
                <w:rFonts w:ascii="Arial Narrow" w:hAnsi="Arial Narrow"/>
                <w:color w:val="333333"/>
                <w:sz w:val="20"/>
                <w:szCs w:val="20"/>
                <w:shd w:val="clear" w:color="auto" w:fill="FFFFFF"/>
              </w:rPr>
            </w:pPr>
            <w:r w:rsidRPr="00631238">
              <w:rPr>
                <w:rFonts w:ascii="Arial Narrow" w:hAnsi="Arial Narrow"/>
                <w:b/>
                <w:bCs/>
                <w:color w:val="333333"/>
                <w:sz w:val="20"/>
                <w:szCs w:val="20"/>
              </w:rPr>
              <w:t>Clinical criteria:</w:t>
            </w:r>
          </w:p>
        </w:tc>
      </w:tr>
      <w:tr w:rsidR="0097549F" w:rsidRPr="00631238" w14:paraId="5DC9889B" w14:textId="77777777" w:rsidTr="0097549F">
        <w:trPr>
          <w:cantSplit/>
          <w:trHeight w:val="20"/>
        </w:trPr>
        <w:tc>
          <w:tcPr>
            <w:tcW w:w="5000" w:type="pct"/>
            <w:vAlign w:val="center"/>
          </w:tcPr>
          <w:p w14:paraId="23E9DCD4" w14:textId="77777777" w:rsidR="0097549F" w:rsidRPr="00631238" w:rsidRDefault="0097549F" w:rsidP="00E61877">
            <w:pPr>
              <w:rPr>
                <w:rFonts w:ascii="Arial Narrow" w:hAnsi="Arial Narrow"/>
                <w:bCs/>
                <w:sz w:val="20"/>
                <w:szCs w:val="20"/>
              </w:rPr>
            </w:pPr>
            <w:r w:rsidRPr="00631238">
              <w:rPr>
                <w:rFonts w:ascii="Arial Narrow" w:hAnsi="Arial Narrow"/>
                <w:bCs/>
                <w:sz w:val="20"/>
                <w:szCs w:val="20"/>
              </w:rPr>
              <w:t>The treatment must be the sole PBS-subsidised therapy for this condition</w:t>
            </w:r>
          </w:p>
        </w:tc>
      </w:tr>
      <w:tr w:rsidR="0097549F" w:rsidRPr="00631238" w14:paraId="1DC43A21" w14:textId="77777777" w:rsidTr="0097549F">
        <w:trPr>
          <w:cantSplit/>
          <w:trHeight w:val="20"/>
        </w:trPr>
        <w:tc>
          <w:tcPr>
            <w:tcW w:w="5000" w:type="pct"/>
            <w:vAlign w:val="center"/>
          </w:tcPr>
          <w:p w14:paraId="02AF650C" w14:textId="77777777" w:rsidR="0097549F" w:rsidRPr="00631238" w:rsidRDefault="0097549F" w:rsidP="00E61877">
            <w:pPr>
              <w:rPr>
                <w:rFonts w:ascii="Arial Narrow" w:hAnsi="Arial Narrow"/>
                <w:b/>
                <w:bCs/>
                <w:color w:val="333333"/>
                <w:sz w:val="20"/>
                <w:szCs w:val="20"/>
              </w:rPr>
            </w:pPr>
          </w:p>
        </w:tc>
      </w:tr>
      <w:tr w:rsidR="0097549F" w:rsidRPr="00631238" w14:paraId="7327A3CB" w14:textId="77777777" w:rsidTr="0097549F">
        <w:trPr>
          <w:cantSplit/>
          <w:trHeight w:val="20"/>
        </w:trPr>
        <w:tc>
          <w:tcPr>
            <w:tcW w:w="5000" w:type="pct"/>
            <w:vAlign w:val="center"/>
            <w:hideMark/>
          </w:tcPr>
          <w:p w14:paraId="38BAD91B" w14:textId="77777777" w:rsidR="0097549F" w:rsidRPr="00631238" w:rsidRDefault="0097549F" w:rsidP="00E61877">
            <w:pPr>
              <w:rPr>
                <w:rFonts w:ascii="Arial Narrow" w:hAnsi="Arial Narrow"/>
                <w:color w:val="333333"/>
                <w:sz w:val="20"/>
                <w:szCs w:val="20"/>
              </w:rPr>
            </w:pPr>
            <w:r w:rsidRPr="00631238">
              <w:rPr>
                <w:rFonts w:ascii="Arial Narrow" w:hAnsi="Arial Narrow"/>
                <w:b/>
                <w:bCs/>
                <w:color w:val="333333"/>
                <w:sz w:val="20"/>
                <w:szCs w:val="20"/>
              </w:rPr>
              <w:lastRenderedPageBreak/>
              <w:t>Population criteria:</w:t>
            </w:r>
          </w:p>
        </w:tc>
      </w:tr>
      <w:tr w:rsidR="0097549F" w:rsidRPr="00631238" w14:paraId="50AEE2DE" w14:textId="77777777" w:rsidTr="0097549F">
        <w:trPr>
          <w:cantSplit/>
          <w:trHeight w:val="20"/>
        </w:trPr>
        <w:tc>
          <w:tcPr>
            <w:tcW w:w="5000" w:type="pct"/>
            <w:vAlign w:val="center"/>
            <w:hideMark/>
          </w:tcPr>
          <w:p w14:paraId="32C87EA2" w14:textId="77777777" w:rsidR="0097549F" w:rsidRPr="00631238" w:rsidRDefault="0097549F" w:rsidP="00E61877">
            <w:pPr>
              <w:rPr>
                <w:rFonts w:ascii="Arial Narrow" w:hAnsi="Arial Narrow"/>
                <w:color w:val="333333"/>
                <w:sz w:val="20"/>
                <w:szCs w:val="20"/>
              </w:rPr>
            </w:pPr>
            <w:r w:rsidRPr="00631238">
              <w:rPr>
                <w:rFonts w:ascii="Arial Narrow" w:hAnsi="Arial Narrow"/>
                <w:color w:val="333333"/>
                <w:sz w:val="20"/>
                <w:szCs w:val="20"/>
              </w:rPr>
              <w:t>Patient must weigh at least 40 kg.</w:t>
            </w:r>
          </w:p>
        </w:tc>
      </w:tr>
      <w:tr w:rsidR="0097549F" w:rsidRPr="00631238" w14:paraId="55810AB7" w14:textId="77777777" w:rsidTr="0097549F">
        <w:trPr>
          <w:cantSplit/>
          <w:trHeight w:val="20"/>
        </w:trPr>
        <w:tc>
          <w:tcPr>
            <w:tcW w:w="5000" w:type="pct"/>
            <w:vAlign w:val="center"/>
          </w:tcPr>
          <w:p w14:paraId="6A80426C" w14:textId="77777777" w:rsidR="0097549F" w:rsidRPr="00631238" w:rsidRDefault="0097549F" w:rsidP="00E61877">
            <w:pPr>
              <w:rPr>
                <w:rFonts w:ascii="Arial Narrow" w:hAnsi="Arial Narrow"/>
                <w:color w:val="333333"/>
                <w:sz w:val="20"/>
                <w:szCs w:val="20"/>
              </w:rPr>
            </w:pPr>
            <w:r w:rsidRPr="00631238">
              <w:rPr>
                <w:rFonts w:ascii="Arial Narrow" w:hAnsi="Arial Narrow"/>
                <w:b/>
                <w:bCs/>
                <w:color w:val="333333"/>
                <w:sz w:val="20"/>
                <w:szCs w:val="20"/>
              </w:rPr>
              <w:t>Population criteria:</w:t>
            </w:r>
          </w:p>
        </w:tc>
      </w:tr>
      <w:tr w:rsidR="0097549F" w:rsidRPr="00631238" w14:paraId="092A17A8" w14:textId="77777777" w:rsidTr="0097549F">
        <w:trPr>
          <w:cantSplit/>
          <w:trHeight w:val="45"/>
        </w:trPr>
        <w:tc>
          <w:tcPr>
            <w:tcW w:w="5000" w:type="pct"/>
            <w:vAlign w:val="center"/>
          </w:tcPr>
          <w:p w14:paraId="51A02EA4" w14:textId="77777777" w:rsidR="0097549F" w:rsidRPr="00631238" w:rsidRDefault="0097549F" w:rsidP="00E61877">
            <w:pPr>
              <w:pStyle w:val="Heading2"/>
              <w:rPr>
                <w:rFonts w:cstheme="minorHAnsi"/>
                <w:color w:val="FF0000"/>
              </w:rPr>
            </w:pPr>
            <w:r w:rsidRPr="00631238">
              <w:rPr>
                <w:rFonts w:ascii="Arial Narrow" w:hAnsi="Arial Narrow" w:cs="Arial Narrow"/>
                <w:b w:val="0"/>
                <w:i/>
                <w:sz w:val="20"/>
                <w:szCs w:val="20"/>
              </w:rPr>
              <w:t>Patient must be 12 years of age or older</w:t>
            </w:r>
            <w:r w:rsidRPr="00631238">
              <w:rPr>
                <w:rFonts w:eastAsiaTheme="minorHAnsi" w:cstheme="minorHAnsi"/>
                <w:lang w:eastAsia="en-US"/>
              </w:rPr>
              <w:t xml:space="preserve"> </w:t>
            </w:r>
          </w:p>
        </w:tc>
      </w:tr>
      <w:tr w:rsidR="0097549F" w:rsidRPr="00631238" w14:paraId="2CB92E64" w14:textId="77777777" w:rsidTr="0097549F">
        <w:trPr>
          <w:cantSplit/>
          <w:trHeight w:val="20"/>
        </w:trPr>
        <w:tc>
          <w:tcPr>
            <w:tcW w:w="5000" w:type="pct"/>
            <w:vAlign w:val="center"/>
          </w:tcPr>
          <w:p w14:paraId="0E855922" w14:textId="77777777" w:rsidR="0097549F" w:rsidRPr="00631238" w:rsidRDefault="0097549F" w:rsidP="00E61877">
            <w:pPr>
              <w:rPr>
                <w:rFonts w:ascii="Arial Narrow" w:hAnsi="Arial Narrow"/>
                <w:b/>
                <w:bCs/>
                <w:color w:val="333333"/>
                <w:sz w:val="20"/>
                <w:szCs w:val="20"/>
              </w:rPr>
            </w:pPr>
          </w:p>
        </w:tc>
      </w:tr>
      <w:tr w:rsidR="0097549F" w:rsidRPr="00631238" w14:paraId="22644AC1" w14:textId="77777777" w:rsidTr="0097549F">
        <w:trPr>
          <w:cantSplit/>
          <w:trHeight w:val="20"/>
        </w:trPr>
        <w:tc>
          <w:tcPr>
            <w:tcW w:w="5000" w:type="pct"/>
            <w:vAlign w:val="center"/>
            <w:hideMark/>
          </w:tcPr>
          <w:p w14:paraId="06B66A0E" w14:textId="77777777" w:rsidR="0097549F" w:rsidRPr="00631238" w:rsidRDefault="0097549F" w:rsidP="00E61877">
            <w:pPr>
              <w:rPr>
                <w:rFonts w:ascii="Arial Narrow" w:hAnsi="Arial Narrow"/>
                <w:bCs/>
                <w:color w:val="FF0000"/>
                <w:sz w:val="20"/>
                <w:szCs w:val="20"/>
              </w:rPr>
            </w:pPr>
            <w:r w:rsidRPr="00631238">
              <w:rPr>
                <w:rFonts w:ascii="Arial Narrow" w:hAnsi="Arial Narrow"/>
                <w:b/>
                <w:bCs/>
                <w:color w:val="333333"/>
                <w:sz w:val="20"/>
                <w:szCs w:val="20"/>
              </w:rPr>
              <w:t xml:space="preserve">Prescribing Instructions: </w:t>
            </w:r>
          </w:p>
          <w:p w14:paraId="2A37311F" w14:textId="0BF6C362" w:rsidR="0097549F" w:rsidRPr="0097549F" w:rsidRDefault="0097549F" w:rsidP="00E61877">
            <w:pPr>
              <w:rPr>
                <w:rFonts w:ascii="Arial Narrow" w:hAnsi="Arial Narrow" w:cs="Arial Narrow"/>
                <w:i/>
                <w:sz w:val="20"/>
                <w:szCs w:val="20"/>
              </w:rPr>
            </w:pPr>
            <w:r w:rsidRPr="00631238">
              <w:rPr>
                <w:rFonts w:ascii="Arial Narrow" w:hAnsi="Arial Narrow" w:cs="Arial Narrow"/>
                <w:i/>
                <w:sz w:val="20"/>
                <w:szCs w:val="20"/>
              </w:rPr>
              <w:t>Patients must only receive a maximum of 160 mg relatlimab and 480 mg nivolumab every four weeks under a weight based or flat dosing regimen</w:t>
            </w:r>
          </w:p>
        </w:tc>
      </w:tr>
      <w:tr w:rsidR="0097549F" w:rsidRPr="00631238" w14:paraId="13A76489" w14:textId="77777777" w:rsidTr="0097549F">
        <w:trPr>
          <w:cantSplit/>
          <w:trHeight w:val="20"/>
        </w:trPr>
        <w:tc>
          <w:tcPr>
            <w:tcW w:w="5000" w:type="pct"/>
            <w:vAlign w:val="center"/>
          </w:tcPr>
          <w:p w14:paraId="6B360D41" w14:textId="77777777" w:rsidR="0097549F" w:rsidRPr="00631238" w:rsidRDefault="0097549F" w:rsidP="00E61877">
            <w:pPr>
              <w:rPr>
                <w:rFonts w:ascii="Arial Narrow" w:hAnsi="Arial Narrow"/>
                <w:b/>
                <w:bCs/>
                <w:color w:val="333333"/>
                <w:sz w:val="20"/>
                <w:szCs w:val="20"/>
              </w:rPr>
            </w:pPr>
            <w:r w:rsidRPr="00631238">
              <w:rPr>
                <w:rFonts w:ascii="Arial Narrow" w:hAnsi="Arial Narrow"/>
                <w:b/>
                <w:bCs/>
                <w:color w:val="333333"/>
                <w:sz w:val="20"/>
                <w:szCs w:val="20"/>
              </w:rPr>
              <w:t>Prescribing Instructions:</w:t>
            </w:r>
            <w:r w:rsidRPr="00631238">
              <w:rPr>
                <w:rFonts w:ascii="Arial Narrow" w:hAnsi="Arial Narrow" w:cs="Arial Narrow"/>
                <w:i/>
                <w:sz w:val="20"/>
                <w:szCs w:val="20"/>
              </w:rPr>
              <w:t xml:space="preserve"> The patient's body weight must be documented in the patient's medical records at the time treatment is initiated</w:t>
            </w:r>
            <w:r w:rsidRPr="00631238">
              <w:rPr>
                <w:rFonts w:ascii="Arial Narrow" w:hAnsi="Arial Narrow" w:cs="Arial Narrow"/>
                <w:iCs/>
                <w:sz w:val="20"/>
                <w:szCs w:val="20"/>
              </w:rPr>
              <w:t>.</w:t>
            </w:r>
          </w:p>
        </w:tc>
      </w:tr>
      <w:tr w:rsidR="0097549F" w:rsidRPr="00631238" w14:paraId="1112CE1A" w14:textId="77777777" w:rsidTr="0097549F">
        <w:trPr>
          <w:cantSplit/>
          <w:trHeight w:val="20"/>
        </w:trPr>
        <w:tc>
          <w:tcPr>
            <w:tcW w:w="5000" w:type="pct"/>
            <w:vAlign w:val="center"/>
          </w:tcPr>
          <w:p w14:paraId="06DE1686" w14:textId="77777777" w:rsidR="0097549F" w:rsidRPr="00631238" w:rsidRDefault="0097549F" w:rsidP="00E61877">
            <w:pPr>
              <w:rPr>
                <w:rFonts w:ascii="Arial Narrow" w:hAnsi="Arial Narrow"/>
                <w:b/>
                <w:bCs/>
                <w:color w:val="333333"/>
                <w:sz w:val="20"/>
                <w:szCs w:val="20"/>
              </w:rPr>
            </w:pPr>
            <w:r w:rsidRPr="00631238">
              <w:rPr>
                <w:rFonts w:ascii="Arial Narrow" w:hAnsi="Arial Narrow"/>
                <w:b/>
                <w:bCs/>
                <w:i/>
                <w:iCs/>
                <w:color w:val="333333"/>
                <w:sz w:val="20"/>
                <w:szCs w:val="20"/>
              </w:rPr>
              <w:t>Caution:</w:t>
            </w:r>
            <w:r w:rsidRPr="00631238">
              <w:rPr>
                <w:rFonts w:ascii="Arial Narrow" w:hAnsi="Arial Narrow"/>
                <w:b/>
                <w:bCs/>
                <w:color w:val="333333"/>
                <w:sz w:val="20"/>
                <w:szCs w:val="20"/>
              </w:rPr>
              <w:t xml:space="preserve"> </w:t>
            </w:r>
            <w:r w:rsidRPr="00631238">
              <w:rPr>
                <w:rFonts w:ascii="Arial Narrow" w:hAnsi="Arial Narrow" w:cs="Arial Narrow"/>
                <w:i/>
                <w:sz w:val="20"/>
                <w:szCs w:val="20"/>
              </w:rPr>
              <w:t>Combination treatment with relatlimab and nivolumab is associated with an increased incidence and severity of immune-related adverse reactions compared with nivolumab monotherapy. Monitoring at least prior to each dose is recommended</w:t>
            </w:r>
          </w:p>
        </w:tc>
      </w:tr>
      <w:tr w:rsidR="0097549F" w:rsidRPr="00631238" w14:paraId="66EB8FDF" w14:textId="77777777" w:rsidTr="0097549F">
        <w:trPr>
          <w:cantSplit/>
          <w:trHeight w:val="20"/>
        </w:trPr>
        <w:tc>
          <w:tcPr>
            <w:tcW w:w="5000" w:type="pct"/>
            <w:vAlign w:val="center"/>
          </w:tcPr>
          <w:p w14:paraId="62DD82B0" w14:textId="77777777" w:rsidR="0097549F" w:rsidRPr="00631238" w:rsidRDefault="0097549F" w:rsidP="00E61877">
            <w:pPr>
              <w:rPr>
                <w:rFonts w:ascii="Arial Narrow" w:hAnsi="Arial Narrow"/>
                <w:color w:val="333333"/>
                <w:sz w:val="20"/>
                <w:szCs w:val="20"/>
              </w:rPr>
            </w:pPr>
            <w:r w:rsidRPr="00631238">
              <w:rPr>
                <w:rFonts w:ascii="Arial Narrow" w:hAnsi="Arial Narrow"/>
                <w:b/>
                <w:bCs/>
                <w:i/>
                <w:iCs/>
                <w:color w:val="333333"/>
                <w:sz w:val="20"/>
                <w:szCs w:val="20"/>
              </w:rPr>
              <w:t xml:space="preserve">Caution: </w:t>
            </w:r>
            <w:r w:rsidRPr="00631238">
              <w:rPr>
                <w:rFonts w:ascii="Arial Narrow" w:hAnsi="Arial Narrow"/>
                <w:i/>
                <w:iCs/>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75FB5A77" w14:textId="77777777" w:rsidR="0034197D" w:rsidRPr="00631238" w:rsidRDefault="0034197D" w:rsidP="00305485">
      <w:pPr>
        <w:rPr>
          <w:rFonts w:eastAsiaTheme="maj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97549F" w:rsidRPr="00631238" w14:paraId="554B1D73" w14:textId="77777777" w:rsidTr="0097549F">
        <w:trPr>
          <w:cantSplit/>
          <w:trHeight w:val="20"/>
        </w:trPr>
        <w:tc>
          <w:tcPr>
            <w:tcW w:w="5000" w:type="pct"/>
            <w:vAlign w:val="center"/>
          </w:tcPr>
          <w:p w14:paraId="4E275094" w14:textId="77777777" w:rsidR="0097549F" w:rsidRPr="00631238" w:rsidRDefault="0097549F" w:rsidP="00E61877">
            <w:pPr>
              <w:keepLines/>
              <w:rPr>
                <w:rFonts w:ascii="Arial Narrow" w:hAnsi="Arial Narrow"/>
                <w:sz w:val="20"/>
                <w:szCs w:val="20"/>
              </w:rPr>
            </w:pPr>
            <w:r w:rsidRPr="00631238">
              <w:rPr>
                <w:rFonts w:ascii="Arial Narrow" w:hAnsi="Arial Narrow"/>
                <w:b/>
                <w:sz w:val="20"/>
                <w:szCs w:val="20"/>
              </w:rPr>
              <w:t xml:space="preserve">Category / Program: </w:t>
            </w:r>
            <w:r w:rsidRPr="00631238">
              <w:rPr>
                <w:rFonts w:ascii="Arial Narrow" w:hAnsi="Arial Narrow"/>
                <w:sz w:val="20"/>
                <w:szCs w:val="20"/>
              </w:rPr>
              <w:t>Section 100 – Efficient Funding of Chemotherapy Public/Private hospitals</w:t>
            </w:r>
          </w:p>
        </w:tc>
      </w:tr>
      <w:tr w:rsidR="0097549F" w:rsidRPr="00631238" w14:paraId="65173971" w14:textId="77777777" w:rsidTr="0097549F">
        <w:trPr>
          <w:cantSplit/>
          <w:trHeight w:val="20"/>
        </w:trPr>
        <w:tc>
          <w:tcPr>
            <w:tcW w:w="5000" w:type="pct"/>
            <w:vAlign w:val="center"/>
          </w:tcPr>
          <w:p w14:paraId="7B50C80B" w14:textId="77777777" w:rsidR="0097549F" w:rsidRPr="00631238" w:rsidRDefault="0097549F" w:rsidP="00E61877">
            <w:pPr>
              <w:keepLines/>
              <w:rPr>
                <w:rFonts w:ascii="Arial Narrow" w:hAnsi="Arial Narrow"/>
                <w:b/>
                <w:sz w:val="20"/>
                <w:szCs w:val="20"/>
              </w:rPr>
            </w:pPr>
            <w:r w:rsidRPr="00631238">
              <w:rPr>
                <w:rFonts w:ascii="Arial Narrow" w:hAnsi="Arial Narrow"/>
                <w:b/>
                <w:sz w:val="20"/>
                <w:szCs w:val="20"/>
              </w:rPr>
              <w:t>Prescriber type:</w:t>
            </w:r>
            <w:r w:rsidRPr="00631238">
              <w:rPr>
                <w:rFonts w:ascii="Arial Narrow" w:hAnsi="Arial Narrow"/>
                <w:sz w:val="20"/>
                <w:szCs w:val="20"/>
              </w:rPr>
              <w:t xml:space="preserve"> </w:t>
            </w:r>
            <w:r w:rsidRPr="00631238">
              <w:rPr>
                <w:rFonts w:ascii="Arial Narrow" w:hAnsi="Arial Narrow"/>
                <w:sz w:val="20"/>
                <w:szCs w:val="20"/>
              </w:rPr>
              <w:fldChar w:fldCharType="begin">
                <w:ffData>
                  <w:name w:val=""/>
                  <w:enabled/>
                  <w:calcOnExit w:val="0"/>
                  <w:checkBox>
                    <w:sizeAuto/>
                    <w:default w:val="1"/>
                  </w:checkBox>
                </w:ffData>
              </w:fldChar>
            </w:r>
            <w:r w:rsidRPr="00631238">
              <w:rPr>
                <w:rFonts w:ascii="Arial Narrow" w:hAnsi="Arial Narrow"/>
                <w:sz w:val="20"/>
                <w:szCs w:val="20"/>
              </w:rPr>
              <w:instrText xml:space="preserve"> FORMCHECKBOX </w:instrText>
            </w:r>
            <w:r w:rsidR="003252E1">
              <w:rPr>
                <w:rFonts w:ascii="Arial Narrow" w:hAnsi="Arial Narrow"/>
                <w:sz w:val="20"/>
                <w:szCs w:val="20"/>
              </w:rPr>
            </w:r>
            <w:r w:rsidR="003252E1">
              <w:rPr>
                <w:rFonts w:ascii="Arial Narrow" w:hAnsi="Arial Narrow"/>
                <w:sz w:val="20"/>
                <w:szCs w:val="20"/>
              </w:rPr>
              <w:fldChar w:fldCharType="separate"/>
            </w:r>
            <w:r w:rsidRPr="00631238">
              <w:rPr>
                <w:rFonts w:ascii="Arial Narrow" w:hAnsi="Arial Narrow"/>
                <w:sz w:val="20"/>
                <w:szCs w:val="20"/>
              </w:rPr>
              <w:fldChar w:fldCharType="end"/>
            </w:r>
            <w:r w:rsidRPr="00631238">
              <w:rPr>
                <w:rFonts w:ascii="Arial Narrow" w:hAnsi="Arial Narrow"/>
                <w:sz w:val="20"/>
                <w:szCs w:val="20"/>
              </w:rPr>
              <w:t>Medical Practitioners</w:t>
            </w:r>
          </w:p>
        </w:tc>
      </w:tr>
      <w:tr w:rsidR="0097549F" w:rsidRPr="00631238" w14:paraId="27BCA637" w14:textId="77777777" w:rsidTr="0097549F">
        <w:trPr>
          <w:cantSplit/>
          <w:trHeight w:val="106"/>
        </w:trPr>
        <w:tc>
          <w:tcPr>
            <w:tcW w:w="5000" w:type="pct"/>
            <w:vAlign w:val="center"/>
          </w:tcPr>
          <w:p w14:paraId="6EBEC5F1" w14:textId="33FBF360" w:rsidR="0097549F" w:rsidRPr="00631238" w:rsidRDefault="0097549F" w:rsidP="00E61877">
            <w:pPr>
              <w:keepLines/>
              <w:rPr>
                <w:rFonts w:ascii="Arial Narrow" w:eastAsia="Calibri" w:hAnsi="Arial Narrow"/>
                <w:color w:val="FF0000"/>
                <w:sz w:val="20"/>
                <w:szCs w:val="20"/>
              </w:rPr>
            </w:pPr>
            <w:r w:rsidRPr="00631238">
              <w:rPr>
                <w:rFonts w:ascii="Arial Narrow" w:hAnsi="Arial Narrow"/>
                <w:b/>
                <w:sz w:val="20"/>
                <w:szCs w:val="20"/>
              </w:rPr>
              <w:t xml:space="preserve">Restriction type: </w:t>
            </w:r>
            <w:r w:rsidRPr="00631238">
              <w:rPr>
                <w:rFonts w:ascii="Arial Narrow" w:eastAsia="Calibri" w:hAnsi="Arial Narrow"/>
                <w:sz w:val="20"/>
                <w:szCs w:val="20"/>
              </w:rPr>
              <w:fldChar w:fldCharType="begin">
                <w:ffData>
                  <w:name w:val=""/>
                  <w:enabled/>
                  <w:calcOnExit w:val="0"/>
                  <w:checkBox>
                    <w:sizeAuto/>
                    <w:default w:val="1"/>
                  </w:checkBox>
                </w:ffData>
              </w:fldChar>
            </w:r>
            <w:r w:rsidRPr="00631238">
              <w:rPr>
                <w:rFonts w:ascii="Arial Narrow" w:eastAsia="Calibri" w:hAnsi="Arial Narrow"/>
                <w:sz w:val="20"/>
                <w:szCs w:val="20"/>
              </w:rPr>
              <w:instrText xml:space="preserve"> FORMCHECKBOX </w:instrText>
            </w:r>
            <w:r w:rsidR="003252E1">
              <w:rPr>
                <w:rFonts w:ascii="Arial Narrow" w:eastAsia="Calibri" w:hAnsi="Arial Narrow"/>
                <w:sz w:val="20"/>
                <w:szCs w:val="20"/>
              </w:rPr>
            </w:r>
            <w:r w:rsidR="003252E1">
              <w:rPr>
                <w:rFonts w:ascii="Arial Narrow" w:eastAsia="Calibri" w:hAnsi="Arial Narrow"/>
                <w:sz w:val="20"/>
                <w:szCs w:val="20"/>
              </w:rPr>
              <w:fldChar w:fldCharType="separate"/>
            </w:r>
            <w:r w:rsidRPr="00631238">
              <w:rPr>
                <w:rFonts w:ascii="Arial Narrow" w:eastAsia="Calibri" w:hAnsi="Arial Narrow"/>
                <w:sz w:val="20"/>
                <w:szCs w:val="20"/>
              </w:rPr>
              <w:fldChar w:fldCharType="end"/>
            </w:r>
            <w:r w:rsidRPr="00631238">
              <w:rPr>
                <w:rFonts w:ascii="Arial Narrow" w:eastAsia="Calibri" w:hAnsi="Arial Narrow"/>
                <w:sz w:val="20"/>
                <w:szCs w:val="20"/>
              </w:rPr>
              <w:t xml:space="preserve">Authority Required – Streamlined  </w:t>
            </w:r>
          </w:p>
        </w:tc>
      </w:tr>
      <w:tr w:rsidR="0097549F" w:rsidRPr="00631238" w14:paraId="48A485B7" w14:textId="77777777" w:rsidTr="0097549F">
        <w:trPr>
          <w:cantSplit/>
          <w:trHeight w:val="20"/>
        </w:trPr>
        <w:tc>
          <w:tcPr>
            <w:tcW w:w="5000" w:type="pct"/>
            <w:vAlign w:val="center"/>
          </w:tcPr>
          <w:p w14:paraId="10C12026" w14:textId="77777777" w:rsidR="0097549F" w:rsidRPr="00631238" w:rsidRDefault="0097549F" w:rsidP="00E61877">
            <w:pPr>
              <w:textAlignment w:val="baseline"/>
              <w:rPr>
                <w:rFonts w:ascii="Arial Narrow" w:hAnsi="Arial Narrow" w:cs="Open Sans"/>
                <w:color w:val="333333"/>
                <w:sz w:val="20"/>
                <w:szCs w:val="20"/>
              </w:rPr>
            </w:pPr>
            <w:r w:rsidRPr="00631238">
              <w:rPr>
                <w:rFonts w:ascii="Arial Narrow" w:hAnsi="Arial Narrow" w:cs="Open Sans"/>
                <w:b/>
                <w:bCs/>
                <w:color w:val="333333"/>
                <w:sz w:val="20"/>
                <w:szCs w:val="20"/>
                <w:bdr w:val="none" w:sz="0" w:space="0" w:color="auto" w:frame="1"/>
              </w:rPr>
              <w:t>Administrative Advice:</w:t>
            </w:r>
          </w:p>
          <w:p w14:paraId="5BFB0966" w14:textId="77777777" w:rsidR="0097549F" w:rsidRPr="00631238" w:rsidRDefault="0097549F" w:rsidP="00E61877">
            <w:pPr>
              <w:keepLines/>
              <w:rPr>
                <w:rFonts w:ascii="Arial Narrow" w:hAnsi="Arial Narrow"/>
                <w:b/>
                <w:sz w:val="20"/>
                <w:szCs w:val="20"/>
              </w:rPr>
            </w:pPr>
            <w:r w:rsidRPr="00631238">
              <w:rPr>
                <w:rFonts w:ascii="Arial Narrow" w:hAnsi="Arial Narrow" w:cs="Open Sans"/>
                <w:color w:val="333333"/>
                <w:sz w:val="20"/>
                <w:szCs w:val="20"/>
              </w:rPr>
              <w:t>No increase in the maximum number of repeats may be authorised.</w:t>
            </w:r>
          </w:p>
        </w:tc>
      </w:tr>
      <w:tr w:rsidR="0097549F" w:rsidRPr="00631238" w14:paraId="2B7E54C6" w14:textId="77777777" w:rsidTr="0097549F">
        <w:trPr>
          <w:cantSplit/>
          <w:trHeight w:val="45"/>
        </w:trPr>
        <w:tc>
          <w:tcPr>
            <w:tcW w:w="5000" w:type="pct"/>
            <w:vAlign w:val="center"/>
          </w:tcPr>
          <w:p w14:paraId="30F1DBC6" w14:textId="77777777" w:rsidR="0097549F" w:rsidRPr="00631238" w:rsidRDefault="0097549F" w:rsidP="00E61877">
            <w:pPr>
              <w:keepLines/>
              <w:rPr>
                <w:rFonts w:ascii="Arial Narrow" w:hAnsi="Arial Narrow" w:cs="Open Sans"/>
                <w:b/>
                <w:bCs/>
                <w:color w:val="333333"/>
                <w:sz w:val="20"/>
                <w:szCs w:val="20"/>
                <w:bdr w:val="none" w:sz="0" w:space="0" w:color="auto" w:frame="1"/>
              </w:rPr>
            </w:pPr>
            <w:r w:rsidRPr="00631238">
              <w:rPr>
                <w:rFonts w:ascii="Arial Narrow" w:hAnsi="Arial Narrow" w:cs="Open Sans"/>
                <w:b/>
                <w:bCs/>
                <w:color w:val="333333"/>
                <w:sz w:val="20"/>
                <w:szCs w:val="20"/>
                <w:bdr w:val="none" w:sz="0" w:space="0" w:color="auto" w:frame="1"/>
              </w:rPr>
              <w:t>Administrative Advice:</w:t>
            </w:r>
          </w:p>
          <w:p w14:paraId="49891884" w14:textId="77777777" w:rsidR="0097549F" w:rsidRPr="00631238" w:rsidRDefault="0097549F" w:rsidP="00E61877">
            <w:pPr>
              <w:keepLines/>
              <w:rPr>
                <w:rFonts w:ascii="Arial Narrow" w:hAnsi="Arial Narrow"/>
                <w:b/>
                <w:sz w:val="20"/>
                <w:szCs w:val="20"/>
              </w:rPr>
            </w:pPr>
            <w:r w:rsidRPr="00631238">
              <w:rPr>
                <w:rFonts w:ascii="Arial Narrow" w:hAnsi="Arial Narrow" w:cs="Open Sans"/>
                <w:color w:val="333333"/>
                <w:sz w:val="20"/>
                <w:szCs w:val="20"/>
              </w:rPr>
              <w:t>Special Pricing Arrangements apply.</w:t>
            </w:r>
          </w:p>
        </w:tc>
      </w:tr>
      <w:tr w:rsidR="0097549F" w:rsidRPr="00631238" w14:paraId="0B7CA736" w14:textId="77777777" w:rsidTr="0097549F">
        <w:trPr>
          <w:cantSplit/>
          <w:trHeight w:val="45"/>
        </w:trPr>
        <w:tc>
          <w:tcPr>
            <w:tcW w:w="5000" w:type="pct"/>
            <w:vAlign w:val="center"/>
          </w:tcPr>
          <w:p w14:paraId="0F2396FC" w14:textId="77777777" w:rsidR="0097549F" w:rsidRPr="00631238" w:rsidRDefault="0097549F" w:rsidP="00E61877">
            <w:pPr>
              <w:keepLines/>
              <w:rPr>
                <w:rFonts w:ascii="Arial Narrow" w:hAnsi="Arial Narrow" w:cs="Open Sans"/>
                <w:b/>
                <w:bCs/>
                <w:i/>
                <w:iCs/>
                <w:color w:val="333333"/>
                <w:sz w:val="20"/>
                <w:szCs w:val="20"/>
                <w:bdr w:val="none" w:sz="0" w:space="0" w:color="auto" w:frame="1"/>
              </w:rPr>
            </w:pPr>
            <w:r w:rsidRPr="00631238">
              <w:rPr>
                <w:rFonts w:ascii="Arial Narrow" w:hAnsi="Arial Narrow" w:cs="Open Sans"/>
                <w:b/>
                <w:bCs/>
                <w:i/>
                <w:iCs/>
                <w:color w:val="333333"/>
                <w:sz w:val="20"/>
                <w:szCs w:val="20"/>
                <w:bdr w:val="none" w:sz="0" w:space="0" w:color="auto" w:frame="1"/>
              </w:rPr>
              <w:t>Administrative Advice:</w:t>
            </w:r>
          </w:p>
          <w:p w14:paraId="6363ECB4" w14:textId="77777777" w:rsidR="0097549F" w:rsidRPr="00631238" w:rsidRDefault="0097549F" w:rsidP="00E61877">
            <w:pPr>
              <w:keepLines/>
              <w:rPr>
                <w:rFonts w:ascii="Arial Narrow" w:hAnsi="Arial Narrow"/>
                <w:b/>
                <w:bCs/>
                <w:i/>
                <w:iCs/>
                <w:color w:val="333333"/>
                <w:sz w:val="20"/>
                <w:szCs w:val="20"/>
              </w:rPr>
            </w:pPr>
            <w:r w:rsidRPr="00631238">
              <w:rPr>
                <w:rFonts w:ascii="Arial Narrow" w:hAnsi="Arial Narrow"/>
                <w:b/>
                <w:bCs/>
                <w:sz w:val="20"/>
                <w:szCs w:val="20"/>
              </w:rPr>
              <w:t xml:space="preserve"> </w:t>
            </w:r>
            <w:r w:rsidRPr="00631238">
              <w:rPr>
                <w:rFonts w:ascii="Arial Narrow" w:hAnsi="Arial Narrow" w:cs="Open Sans"/>
                <w:i/>
                <w:iCs/>
                <w:color w:val="333333"/>
                <w:sz w:val="20"/>
                <w:szCs w:val="20"/>
              </w:rPr>
              <w:t>No increase in the maximum amount or number of units may be authorised</w:t>
            </w:r>
          </w:p>
        </w:tc>
      </w:tr>
      <w:tr w:rsidR="0097549F" w:rsidRPr="00631238" w14:paraId="508760A3" w14:textId="77777777" w:rsidTr="0097549F">
        <w:trPr>
          <w:cantSplit/>
          <w:trHeight w:val="20"/>
        </w:trPr>
        <w:tc>
          <w:tcPr>
            <w:tcW w:w="5000" w:type="pct"/>
            <w:vAlign w:val="center"/>
          </w:tcPr>
          <w:p w14:paraId="2C68EE36" w14:textId="77777777" w:rsidR="0097549F" w:rsidRPr="00631238" w:rsidRDefault="0097549F" w:rsidP="00E61877">
            <w:pPr>
              <w:rPr>
                <w:rFonts w:ascii="Arial Narrow" w:hAnsi="Arial Narrow"/>
                <w:b/>
                <w:bCs/>
                <w:color w:val="333333"/>
                <w:sz w:val="20"/>
                <w:szCs w:val="20"/>
              </w:rPr>
            </w:pPr>
            <w:r w:rsidRPr="00631238">
              <w:rPr>
                <w:rFonts w:ascii="Arial Narrow" w:hAnsi="Arial Narrow"/>
                <w:b/>
                <w:bCs/>
                <w:color w:val="333333"/>
                <w:sz w:val="20"/>
                <w:szCs w:val="20"/>
              </w:rPr>
              <w:t xml:space="preserve">Episodicity: </w:t>
            </w:r>
            <w:r w:rsidRPr="00631238">
              <w:rPr>
                <w:rFonts w:ascii="Arial Narrow" w:hAnsi="Arial Narrow"/>
                <w:color w:val="333333"/>
                <w:sz w:val="20"/>
                <w:szCs w:val="20"/>
              </w:rPr>
              <w:t>[blank]</w:t>
            </w:r>
            <w:r w:rsidRPr="00631238">
              <w:rPr>
                <w:rFonts w:ascii="Arial Narrow" w:hAnsi="Arial Narrow"/>
                <w:bCs/>
                <w:color w:val="FF0000"/>
                <w:sz w:val="20"/>
                <w:szCs w:val="20"/>
              </w:rPr>
              <w:t xml:space="preserve"> </w:t>
            </w:r>
          </w:p>
        </w:tc>
      </w:tr>
      <w:tr w:rsidR="0097549F" w:rsidRPr="00631238" w14:paraId="46F42695" w14:textId="77777777" w:rsidTr="0097549F">
        <w:trPr>
          <w:cantSplit/>
          <w:trHeight w:val="20"/>
        </w:trPr>
        <w:tc>
          <w:tcPr>
            <w:tcW w:w="5000" w:type="pct"/>
            <w:vAlign w:val="center"/>
          </w:tcPr>
          <w:p w14:paraId="4DC984B0" w14:textId="77777777" w:rsidR="0097549F" w:rsidRPr="00631238" w:rsidRDefault="0097549F" w:rsidP="00E61877">
            <w:pPr>
              <w:rPr>
                <w:rFonts w:ascii="Arial Narrow" w:hAnsi="Arial Narrow"/>
                <w:b/>
                <w:bCs/>
                <w:i/>
                <w:iCs/>
                <w:color w:val="333333"/>
                <w:sz w:val="20"/>
                <w:szCs w:val="20"/>
              </w:rPr>
            </w:pPr>
            <w:r w:rsidRPr="00631238">
              <w:rPr>
                <w:rFonts w:ascii="Arial Narrow" w:hAnsi="Arial Narrow"/>
                <w:b/>
                <w:bCs/>
                <w:color w:val="333333"/>
                <w:sz w:val="20"/>
                <w:szCs w:val="20"/>
              </w:rPr>
              <w:t xml:space="preserve">Severity: </w:t>
            </w:r>
            <w:r w:rsidRPr="00631238">
              <w:rPr>
                <w:rFonts w:ascii="Arial Narrow" w:hAnsi="Arial Narrow"/>
                <w:bCs/>
                <w:color w:val="333333"/>
                <w:sz w:val="20"/>
                <w:szCs w:val="20"/>
              </w:rPr>
              <w:t>Unresectable Stage III or Stage IV</w:t>
            </w:r>
          </w:p>
        </w:tc>
      </w:tr>
      <w:tr w:rsidR="0097549F" w:rsidRPr="00631238" w14:paraId="4F1C8505" w14:textId="77777777" w:rsidTr="0097549F">
        <w:trPr>
          <w:cantSplit/>
          <w:trHeight w:val="20"/>
        </w:trPr>
        <w:tc>
          <w:tcPr>
            <w:tcW w:w="5000" w:type="pct"/>
            <w:vAlign w:val="center"/>
          </w:tcPr>
          <w:p w14:paraId="0169B39F" w14:textId="77777777" w:rsidR="0097549F" w:rsidRPr="00631238" w:rsidRDefault="0097549F" w:rsidP="00E61877">
            <w:pPr>
              <w:rPr>
                <w:rFonts w:ascii="Arial Narrow" w:hAnsi="Arial Narrow"/>
                <w:b/>
                <w:bCs/>
                <w:color w:val="333333"/>
                <w:sz w:val="20"/>
                <w:szCs w:val="20"/>
              </w:rPr>
            </w:pPr>
            <w:r w:rsidRPr="00631238">
              <w:rPr>
                <w:rFonts w:ascii="Arial Narrow" w:hAnsi="Arial Narrow"/>
                <w:b/>
                <w:bCs/>
                <w:color w:val="333333"/>
                <w:sz w:val="20"/>
                <w:szCs w:val="20"/>
              </w:rPr>
              <w:t xml:space="preserve">Condition: </w:t>
            </w:r>
            <w:r w:rsidRPr="00631238">
              <w:rPr>
                <w:rFonts w:ascii="Arial Narrow" w:hAnsi="Arial Narrow"/>
                <w:bCs/>
                <w:color w:val="FF0000"/>
                <w:sz w:val="20"/>
                <w:szCs w:val="20"/>
              </w:rPr>
              <w:t xml:space="preserve"> </w:t>
            </w:r>
            <w:r w:rsidRPr="00631238">
              <w:rPr>
                <w:rFonts w:ascii="Arial Narrow" w:hAnsi="Arial Narrow"/>
                <w:bCs/>
                <w:color w:val="333333"/>
                <w:sz w:val="20"/>
                <w:szCs w:val="20"/>
              </w:rPr>
              <w:t>Malignant melanoma</w:t>
            </w:r>
          </w:p>
        </w:tc>
      </w:tr>
      <w:tr w:rsidR="0097549F" w:rsidRPr="00631238" w14:paraId="352FEE11" w14:textId="77777777" w:rsidTr="0097549F">
        <w:trPr>
          <w:cantSplit/>
          <w:trHeight w:val="20"/>
        </w:trPr>
        <w:tc>
          <w:tcPr>
            <w:tcW w:w="5000" w:type="pct"/>
            <w:vAlign w:val="center"/>
            <w:hideMark/>
          </w:tcPr>
          <w:p w14:paraId="5CF16EAE" w14:textId="77777777" w:rsidR="0097549F" w:rsidRPr="00631238" w:rsidRDefault="0097549F" w:rsidP="00E61877">
            <w:pPr>
              <w:rPr>
                <w:rFonts w:ascii="Arial Narrow" w:hAnsi="Arial Narrow"/>
                <w:color w:val="333333"/>
                <w:sz w:val="20"/>
                <w:szCs w:val="20"/>
              </w:rPr>
            </w:pPr>
            <w:r w:rsidRPr="00631238">
              <w:rPr>
                <w:rFonts w:ascii="Arial Narrow" w:hAnsi="Arial Narrow"/>
                <w:b/>
                <w:bCs/>
                <w:color w:val="333333"/>
                <w:sz w:val="20"/>
                <w:szCs w:val="20"/>
              </w:rPr>
              <w:t>Indication:</w:t>
            </w:r>
            <w:r w:rsidRPr="00631238">
              <w:rPr>
                <w:rFonts w:ascii="Arial Narrow" w:hAnsi="Arial Narrow"/>
                <w:color w:val="333333"/>
                <w:sz w:val="20"/>
                <w:szCs w:val="20"/>
              </w:rPr>
              <w:t xml:space="preserve"> </w:t>
            </w:r>
            <w:r w:rsidRPr="00631238">
              <w:rPr>
                <w:rFonts w:ascii="Arial Narrow" w:hAnsi="Arial Narrow" w:cs="Open Sans"/>
                <w:color w:val="333333"/>
                <w:sz w:val="20"/>
                <w:szCs w:val="20"/>
              </w:rPr>
              <w:t>Unresectable Stage III or Stage IV malignant melanoma</w:t>
            </w:r>
          </w:p>
        </w:tc>
      </w:tr>
      <w:tr w:rsidR="0097549F" w:rsidRPr="00631238" w14:paraId="6E07E0A9" w14:textId="77777777" w:rsidTr="0097549F">
        <w:trPr>
          <w:cantSplit/>
          <w:trHeight w:val="20"/>
        </w:trPr>
        <w:tc>
          <w:tcPr>
            <w:tcW w:w="5000" w:type="pct"/>
            <w:vAlign w:val="center"/>
            <w:hideMark/>
          </w:tcPr>
          <w:p w14:paraId="6D303902" w14:textId="77777777" w:rsidR="0097549F" w:rsidRPr="00631238" w:rsidRDefault="0097549F" w:rsidP="00E61877">
            <w:pPr>
              <w:rPr>
                <w:rFonts w:ascii="Arial Narrow" w:hAnsi="Arial Narrow"/>
                <w:color w:val="FF0000"/>
                <w:sz w:val="20"/>
                <w:szCs w:val="20"/>
              </w:rPr>
            </w:pPr>
            <w:r w:rsidRPr="00631238">
              <w:rPr>
                <w:rFonts w:ascii="Arial Narrow" w:hAnsi="Arial Narrow"/>
                <w:b/>
                <w:bCs/>
                <w:color w:val="333333"/>
                <w:sz w:val="20"/>
                <w:szCs w:val="20"/>
              </w:rPr>
              <w:t xml:space="preserve">Treatment Phase </w:t>
            </w:r>
            <w:r w:rsidRPr="00631238">
              <w:rPr>
                <w:rFonts w:ascii="Arial Narrow" w:hAnsi="Arial Narrow"/>
                <w:sz w:val="20"/>
                <w:szCs w:val="20"/>
              </w:rPr>
              <w:t xml:space="preserve">Continuing </w:t>
            </w:r>
            <w:r w:rsidRPr="00631238">
              <w:rPr>
                <w:rFonts w:ascii="Arial Narrow" w:hAnsi="Arial Narrow"/>
                <w:i/>
                <w:iCs/>
                <w:sz w:val="20"/>
                <w:szCs w:val="20"/>
              </w:rPr>
              <w:t>treatment</w:t>
            </w:r>
            <w:r w:rsidRPr="00631238">
              <w:rPr>
                <w:rFonts w:ascii="Arial Narrow" w:hAnsi="Arial Narrow"/>
                <w:color w:val="FF0000"/>
                <w:sz w:val="20"/>
                <w:szCs w:val="20"/>
              </w:rPr>
              <w:t xml:space="preserve">      </w:t>
            </w:r>
          </w:p>
        </w:tc>
      </w:tr>
      <w:tr w:rsidR="0097549F" w:rsidRPr="00631238" w14:paraId="7FF08FAE" w14:textId="77777777" w:rsidTr="0097549F">
        <w:trPr>
          <w:cantSplit/>
          <w:trHeight w:val="20"/>
        </w:trPr>
        <w:tc>
          <w:tcPr>
            <w:tcW w:w="5000" w:type="pct"/>
            <w:vAlign w:val="center"/>
          </w:tcPr>
          <w:p w14:paraId="79C46F59" w14:textId="77777777" w:rsidR="0097549F" w:rsidRPr="00631238" w:rsidRDefault="0097549F" w:rsidP="00E61877">
            <w:pPr>
              <w:rPr>
                <w:rFonts w:ascii="Arial Narrow" w:hAnsi="Arial Narrow"/>
                <w:b/>
                <w:bCs/>
                <w:color w:val="333333"/>
                <w:sz w:val="20"/>
                <w:szCs w:val="20"/>
              </w:rPr>
            </w:pPr>
          </w:p>
        </w:tc>
      </w:tr>
      <w:tr w:rsidR="0097549F" w:rsidRPr="00631238" w14:paraId="32EF64FC" w14:textId="77777777" w:rsidTr="0097549F">
        <w:trPr>
          <w:cantSplit/>
          <w:trHeight w:val="20"/>
        </w:trPr>
        <w:tc>
          <w:tcPr>
            <w:tcW w:w="5000" w:type="pct"/>
            <w:vAlign w:val="center"/>
          </w:tcPr>
          <w:p w14:paraId="77FFFF3B" w14:textId="77777777" w:rsidR="0097549F" w:rsidRPr="00631238" w:rsidRDefault="0097549F" w:rsidP="00E61877">
            <w:pPr>
              <w:rPr>
                <w:rFonts w:ascii="Arial Narrow" w:hAnsi="Arial Narrow"/>
                <w:b/>
                <w:bCs/>
                <w:color w:val="333333"/>
                <w:sz w:val="20"/>
                <w:szCs w:val="20"/>
              </w:rPr>
            </w:pPr>
            <w:r w:rsidRPr="00631238">
              <w:rPr>
                <w:rFonts w:ascii="Arial Narrow" w:hAnsi="Arial Narrow"/>
                <w:b/>
                <w:bCs/>
                <w:color w:val="333333"/>
                <w:sz w:val="20"/>
                <w:szCs w:val="20"/>
              </w:rPr>
              <w:t>Clinical criteria:</w:t>
            </w:r>
          </w:p>
        </w:tc>
      </w:tr>
      <w:tr w:rsidR="0097549F" w:rsidRPr="00631238" w14:paraId="486941F7" w14:textId="77777777" w:rsidTr="0097549F">
        <w:trPr>
          <w:cantSplit/>
          <w:trHeight w:val="20"/>
        </w:trPr>
        <w:tc>
          <w:tcPr>
            <w:tcW w:w="5000" w:type="pct"/>
            <w:vAlign w:val="center"/>
          </w:tcPr>
          <w:p w14:paraId="528B6331" w14:textId="77777777" w:rsidR="0097549F" w:rsidRPr="00631238" w:rsidRDefault="0097549F" w:rsidP="00E61877">
            <w:pPr>
              <w:rPr>
                <w:rFonts w:ascii="Arial Narrow" w:hAnsi="Arial Narrow"/>
                <w:sz w:val="20"/>
                <w:szCs w:val="20"/>
              </w:rPr>
            </w:pPr>
            <w:r w:rsidRPr="00631238">
              <w:rPr>
                <w:rFonts w:ascii="Arial Narrow" w:hAnsi="Arial Narrow"/>
                <w:sz w:val="20"/>
                <w:szCs w:val="20"/>
              </w:rPr>
              <w:t>The treatment must be the sole PBS-subsidised therapy for this condition</w:t>
            </w:r>
          </w:p>
        </w:tc>
      </w:tr>
      <w:tr w:rsidR="0097549F" w:rsidRPr="00631238" w14:paraId="71E90B56" w14:textId="77777777" w:rsidTr="0097549F">
        <w:trPr>
          <w:cantSplit/>
          <w:trHeight w:val="20"/>
        </w:trPr>
        <w:tc>
          <w:tcPr>
            <w:tcW w:w="5000" w:type="pct"/>
            <w:vAlign w:val="center"/>
          </w:tcPr>
          <w:p w14:paraId="72BA58AE" w14:textId="77777777" w:rsidR="0097549F" w:rsidRPr="00631238" w:rsidRDefault="0097549F" w:rsidP="00E61877">
            <w:pPr>
              <w:rPr>
                <w:rFonts w:ascii="Arial Narrow" w:hAnsi="Arial Narrow"/>
                <w:sz w:val="20"/>
                <w:szCs w:val="20"/>
              </w:rPr>
            </w:pPr>
            <w:r w:rsidRPr="00631238">
              <w:rPr>
                <w:rFonts w:ascii="Arial Narrow" w:hAnsi="Arial Narrow"/>
                <w:b/>
                <w:bCs/>
                <w:color w:val="333333"/>
                <w:sz w:val="20"/>
                <w:szCs w:val="20"/>
              </w:rPr>
              <w:t>AND</w:t>
            </w:r>
          </w:p>
        </w:tc>
      </w:tr>
      <w:tr w:rsidR="0097549F" w:rsidRPr="00631238" w14:paraId="5A46A81E" w14:textId="77777777" w:rsidTr="0097549F">
        <w:trPr>
          <w:cantSplit/>
          <w:trHeight w:val="20"/>
        </w:trPr>
        <w:tc>
          <w:tcPr>
            <w:tcW w:w="5000" w:type="pct"/>
            <w:vAlign w:val="center"/>
          </w:tcPr>
          <w:p w14:paraId="7B111B06" w14:textId="77777777" w:rsidR="0097549F" w:rsidRPr="00631238" w:rsidRDefault="0097549F" w:rsidP="00E61877">
            <w:pPr>
              <w:rPr>
                <w:rFonts w:ascii="Arial Narrow" w:hAnsi="Arial Narrow"/>
                <w:sz w:val="20"/>
                <w:szCs w:val="20"/>
              </w:rPr>
            </w:pPr>
            <w:r w:rsidRPr="00631238">
              <w:rPr>
                <w:rFonts w:ascii="Arial Narrow" w:hAnsi="Arial Narrow"/>
                <w:b/>
                <w:bCs/>
                <w:color w:val="333333"/>
                <w:sz w:val="20"/>
                <w:szCs w:val="20"/>
              </w:rPr>
              <w:t>Clinical criteria:</w:t>
            </w:r>
          </w:p>
        </w:tc>
      </w:tr>
      <w:tr w:rsidR="0097549F" w:rsidRPr="00631238" w14:paraId="03D2B669" w14:textId="77777777" w:rsidTr="0097549F">
        <w:trPr>
          <w:cantSplit/>
          <w:trHeight w:val="20"/>
        </w:trPr>
        <w:tc>
          <w:tcPr>
            <w:tcW w:w="5000" w:type="pct"/>
            <w:vAlign w:val="center"/>
          </w:tcPr>
          <w:p w14:paraId="6AB6D9E9" w14:textId="77777777" w:rsidR="0097549F" w:rsidRPr="00631238" w:rsidRDefault="0097549F" w:rsidP="00E61877">
            <w:pPr>
              <w:rPr>
                <w:rFonts w:ascii="Arial Narrow" w:hAnsi="Arial Narrow"/>
                <w:b/>
                <w:bCs/>
                <w:color w:val="333333"/>
                <w:sz w:val="20"/>
                <w:szCs w:val="20"/>
              </w:rPr>
            </w:pPr>
            <w:r w:rsidRPr="00631238">
              <w:rPr>
                <w:rFonts w:ascii="Arial Narrow" w:hAnsi="Arial Narrow"/>
                <w:sz w:val="20"/>
                <w:szCs w:val="20"/>
              </w:rPr>
              <w:t xml:space="preserve">Patient must have previously </w:t>
            </w:r>
            <w:r w:rsidRPr="00631238">
              <w:rPr>
                <w:rFonts w:ascii="Arial Narrow" w:hAnsi="Arial Narrow"/>
                <w:strike/>
                <w:sz w:val="20"/>
                <w:szCs w:val="20"/>
              </w:rPr>
              <w:t>been issued with an authority prescription for</w:t>
            </w:r>
            <w:r w:rsidRPr="00631238">
              <w:rPr>
                <w:rFonts w:ascii="Arial Narrow" w:hAnsi="Arial Narrow"/>
                <w:sz w:val="20"/>
                <w:szCs w:val="20"/>
              </w:rPr>
              <w:t xml:space="preserve"> </w:t>
            </w:r>
            <w:r w:rsidRPr="00631238">
              <w:rPr>
                <w:rFonts w:ascii="Arial Narrow" w:hAnsi="Arial Narrow"/>
                <w:i/>
                <w:iCs/>
                <w:sz w:val="20"/>
                <w:szCs w:val="20"/>
              </w:rPr>
              <w:t>received PBS-subsidised treatment with this</w:t>
            </w:r>
            <w:r w:rsidRPr="00631238">
              <w:rPr>
                <w:rFonts w:ascii="Arial Narrow" w:hAnsi="Arial Narrow"/>
                <w:sz w:val="20"/>
                <w:szCs w:val="20"/>
              </w:rPr>
              <w:t xml:space="preserve"> drug for this condition.</w:t>
            </w:r>
          </w:p>
        </w:tc>
      </w:tr>
      <w:tr w:rsidR="0097549F" w:rsidRPr="00631238" w14:paraId="3B78094A" w14:textId="77777777" w:rsidTr="0097549F">
        <w:trPr>
          <w:cantSplit/>
          <w:trHeight w:val="20"/>
        </w:trPr>
        <w:tc>
          <w:tcPr>
            <w:tcW w:w="5000" w:type="pct"/>
            <w:vAlign w:val="center"/>
          </w:tcPr>
          <w:p w14:paraId="072F4508" w14:textId="77777777" w:rsidR="0097549F" w:rsidRPr="00631238" w:rsidRDefault="0097549F" w:rsidP="00E61877">
            <w:pPr>
              <w:rPr>
                <w:rFonts w:ascii="Arial Narrow" w:hAnsi="Arial Narrow"/>
                <w:b/>
                <w:bCs/>
                <w:color w:val="333333"/>
                <w:sz w:val="20"/>
                <w:szCs w:val="20"/>
              </w:rPr>
            </w:pPr>
            <w:r w:rsidRPr="00631238">
              <w:rPr>
                <w:rFonts w:ascii="Arial Narrow" w:hAnsi="Arial Narrow"/>
                <w:b/>
                <w:bCs/>
                <w:color w:val="333333"/>
                <w:sz w:val="20"/>
                <w:szCs w:val="20"/>
              </w:rPr>
              <w:t>AND</w:t>
            </w:r>
          </w:p>
        </w:tc>
      </w:tr>
      <w:tr w:rsidR="0097549F" w:rsidRPr="00631238" w14:paraId="4ACE80FA" w14:textId="77777777" w:rsidTr="0097549F">
        <w:trPr>
          <w:cantSplit/>
          <w:trHeight w:val="20"/>
        </w:trPr>
        <w:tc>
          <w:tcPr>
            <w:tcW w:w="5000" w:type="pct"/>
            <w:vAlign w:val="center"/>
          </w:tcPr>
          <w:p w14:paraId="0883FEB1" w14:textId="77777777" w:rsidR="0097549F" w:rsidRPr="00631238" w:rsidRDefault="0097549F" w:rsidP="00E61877">
            <w:pPr>
              <w:rPr>
                <w:rFonts w:ascii="Arial Narrow" w:hAnsi="Arial Narrow"/>
                <w:b/>
                <w:bCs/>
                <w:color w:val="333333"/>
                <w:sz w:val="20"/>
                <w:szCs w:val="20"/>
              </w:rPr>
            </w:pPr>
            <w:r w:rsidRPr="00631238">
              <w:rPr>
                <w:rFonts w:ascii="Arial Narrow" w:hAnsi="Arial Narrow"/>
                <w:b/>
                <w:bCs/>
                <w:color w:val="333333"/>
                <w:sz w:val="20"/>
                <w:szCs w:val="20"/>
              </w:rPr>
              <w:t>Clinical criteria:</w:t>
            </w:r>
          </w:p>
        </w:tc>
      </w:tr>
      <w:tr w:rsidR="0097549F" w:rsidRPr="00631238" w14:paraId="79D335CE" w14:textId="77777777" w:rsidTr="0097549F">
        <w:trPr>
          <w:cantSplit/>
          <w:trHeight w:val="20"/>
        </w:trPr>
        <w:tc>
          <w:tcPr>
            <w:tcW w:w="5000" w:type="pct"/>
            <w:vAlign w:val="center"/>
          </w:tcPr>
          <w:p w14:paraId="232C695F" w14:textId="77777777" w:rsidR="0097549F" w:rsidRPr="00631238" w:rsidRDefault="0097549F" w:rsidP="00E61877">
            <w:pPr>
              <w:rPr>
                <w:rFonts w:ascii="Arial Narrow" w:hAnsi="Arial Narrow"/>
                <w:b/>
                <w:bCs/>
                <w:color w:val="333333"/>
                <w:sz w:val="20"/>
                <w:szCs w:val="20"/>
              </w:rPr>
            </w:pPr>
            <w:r w:rsidRPr="00631238">
              <w:rPr>
                <w:rFonts w:ascii="Arial Narrow" w:hAnsi="Arial Narrow"/>
                <w:sz w:val="20"/>
                <w:szCs w:val="20"/>
              </w:rPr>
              <w:t>Patient must not have developed disease progression while receiving PBS-subsidised treatment with this drug for this condition</w:t>
            </w:r>
          </w:p>
        </w:tc>
      </w:tr>
      <w:tr w:rsidR="0097549F" w:rsidRPr="00631238" w14:paraId="6CF630F9" w14:textId="77777777" w:rsidTr="0097549F">
        <w:trPr>
          <w:cantSplit/>
          <w:trHeight w:val="20"/>
        </w:trPr>
        <w:tc>
          <w:tcPr>
            <w:tcW w:w="5000" w:type="pct"/>
            <w:vAlign w:val="center"/>
          </w:tcPr>
          <w:p w14:paraId="044BD9FB" w14:textId="77777777" w:rsidR="0097549F" w:rsidRPr="00631238" w:rsidRDefault="0097549F" w:rsidP="00E61877">
            <w:pPr>
              <w:rPr>
                <w:rFonts w:ascii="Arial Narrow" w:hAnsi="Arial Narrow"/>
                <w:b/>
                <w:bCs/>
                <w:color w:val="333333"/>
                <w:sz w:val="20"/>
                <w:szCs w:val="20"/>
              </w:rPr>
            </w:pPr>
          </w:p>
        </w:tc>
      </w:tr>
      <w:tr w:rsidR="0097549F" w:rsidRPr="00631238" w14:paraId="6CCA855A" w14:textId="77777777" w:rsidTr="0097549F">
        <w:trPr>
          <w:cantSplit/>
          <w:trHeight w:val="20"/>
        </w:trPr>
        <w:tc>
          <w:tcPr>
            <w:tcW w:w="5000" w:type="pct"/>
            <w:vAlign w:val="center"/>
          </w:tcPr>
          <w:p w14:paraId="194AFCA2" w14:textId="77777777" w:rsidR="0097549F" w:rsidRPr="00631238" w:rsidRDefault="0097549F" w:rsidP="00E61877">
            <w:pPr>
              <w:rPr>
                <w:rFonts w:ascii="Arial Narrow" w:hAnsi="Arial Narrow"/>
                <w:b/>
                <w:bCs/>
                <w:color w:val="333333"/>
                <w:sz w:val="20"/>
                <w:szCs w:val="20"/>
              </w:rPr>
            </w:pPr>
            <w:r w:rsidRPr="00631238">
              <w:rPr>
                <w:rFonts w:ascii="Arial Narrow" w:hAnsi="Arial Narrow"/>
                <w:b/>
                <w:bCs/>
                <w:color w:val="333333"/>
                <w:sz w:val="20"/>
                <w:szCs w:val="20"/>
              </w:rPr>
              <w:t>Population criteria:</w:t>
            </w:r>
          </w:p>
        </w:tc>
      </w:tr>
      <w:tr w:rsidR="0097549F" w:rsidRPr="00631238" w14:paraId="2B72487A" w14:textId="77777777" w:rsidTr="0097549F">
        <w:trPr>
          <w:cantSplit/>
          <w:trHeight w:val="20"/>
        </w:trPr>
        <w:tc>
          <w:tcPr>
            <w:tcW w:w="5000" w:type="pct"/>
            <w:vAlign w:val="center"/>
          </w:tcPr>
          <w:p w14:paraId="091CA854" w14:textId="77777777" w:rsidR="0097549F" w:rsidRPr="00631238" w:rsidRDefault="0097549F" w:rsidP="00E61877">
            <w:pPr>
              <w:rPr>
                <w:rFonts w:ascii="Arial Narrow" w:hAnsi="Arial Narrow"/>
                <w:b/>
                <w:bCs/>
                <w:strike/>
                <w:color w:val="333333"/>
                <w:sz w:val="20"/>
                <w:szCs w:val="20"/>
              </w:rPr>
            </w:pPr>
            <w:r w:rsidRPr="00631238">
              <w:rPr>
                <w:rFonts w:ascii="Arial Narrow" w:hAnsi="Arial Narrow"/>
                <w:strike/>
                <w:color w:val="333333"/>
                <w:sz w:val="20"/>
                <w:szCs w:val="20"/>
              </w:rPr>
              <w:t>Patient must weigh at least 40 kg</w:t>
            </w:r>
          </w:p>
        </w:tc>
      </w:tr>
      <w:tr w:rsidR="0097549F" w:rsidRPr="00631238" w14:paraId="2B213471" w14:textId="77777777" w:rsidTr="0097549F">
        <w:trPr>
          <w:cantSplit/>
          <w:trHeight w:val="20"/>
        </w:trPr>
        <w:tc>
          <w:tcPr>
            <w:tcW w:w="5000" w:type="pct"/>
            <w:vAlign w:val="center"/>
          </w:tcPr>
          <w:p w14:paraId="3A60B58A" w14:textId="77777777" w:rsidR="0097549F" w:rsidRPr="00631238" w:rsidRDefault="0097549F" w:rsidP="00E61877">
            <w:pPr>
              <w:rPr>
                <w:rFonts w:ascii="Arial Narrow" w:hAnsi="Arial Narrow"/>
                <w:b/>
                <w:bCs/>
                <w:i/>
                <w:iCs/>
                <w:color w:val="333333"/>
                <w:sz w:val="20"/>
                <w:szCs w:val="20"/>
              </w:rPr>
            </w:pPr>
          </w:p>
        </w:tc>
      </w:tr>
      <w:tr w:rsidR="0097549F" w:rsidRPr="00631238" w14:paraId="5C9B9933" w14:textId="77777777" w:rsidTr="0097549F">
        <w:trPr>
          <w:cantSplit/>
          <w:trHeight w:val="20"/>
        </w:trPr>
        <w:tc>
          <w:tcPr>
            <w:tcW w:w="5000" w:type="pct"/>
            <w:vAlign w:val="center"/>
          </w:tcPr>
          <w:p w14:paraId="46B2EB30" w14:textId="77777777" w:rsidR="0097549F" w:rsidRPr="00631238" w:rsidRDefault="0097549F" w:rsidP="00E61877">
            <w:pPr>
              <w:rPr>
                <w:rFonts w:ascii="Arial Narrow" w:hAnsi="Arial Narrow"/>
                <w:b/>
                <w:bCs/>
                <w:i/>
                <w:iCs/>
                <w:color w:val="333333"/>
                <w:sz w:val="20"/>
                <w:szCs w:val="20"/>
              </w:rPr>
            </w:pPr>
            <w:r w:rsidRPr="00631238">
              <w:rPr>
                <w:rFonts w:ascii="Arial Narrow" w:hAnsi="Arial Narrow"/>
                <w:b/>
                <w:bCs/>
                <w:i/>
                <w:iCs/>
                <w:color w:val="333333"/>
                <w:sz w:val="20"/>
                <w:szCs w:val="20"/>
              </w:rPr>
              <w:lastRenderedPageBreak/>
              <w:t>Prescribing Instructions:</w:t>
            </w:r>
          </w:p>
          <w:p w14:paraId="58F57BCF" w14:textId="77777777" w:rsidR="0097549F" w:rsidRPr="00631238" w:rsidRDefault="0097549F" w:rsidP="00E61877">
            <w:pPr>
              <w:rPr>
                <w:rFonts w:ascii="Arial Narrow" w:hAnsi="Arial Narrow" w:cs="Arial Narrow"/>
                <w:i/>
                <w:sz w:val="20"/>
                <w:szCs w:val="20"/>
              </w:rPr>
            </w:pPr>
            <w:r w:rsidRPr="00631238">
              <w:rPr>
                <w:rFonts w:ascii="Arial Narrow" w:hAnsi="Arial Narrow" w:cs="Arial Narrow"/>
                <w:i/>
                <w:sz w:val="20"/>
                <w:szCs w:val="20"/>
              </w:rPr>
              <w:t>Patients must only receive a maximum of 160 mg relatlimab and 480 mg nivolumab every four weeks under a weight based or flat dosing regimen</w:t>
            </w:r>
          </w:p>
        </w:tc>
      </w:tr>
      <w:tr w:rsidR="0097549F" w:rsidRPr="00631238" w14:paraId="6356A4D7" w14:textId="77777777" w:rsidTr="0097549F">
        <w:trPr>
          <w:cantSplit/>
          <w:trHeight w:val="20"/>
        </w:trPr>
        <w:tc>
          <w:tcPr>
            <w:tcW w:w="5000" w:type="pct"/>
            <w:vAlign w:val="center"/>
          </w:tcPr>
          <w:p w14:paraId="3E46166F" w14:textId="77777777" w:rsidR="0097549F" w:rsidRPr="00631238" w:rsidRDefault="0097549F" w:rsidP="00E61877">
            <w:pPr>
              <w:rPr>
                <w:rFonts w:ascii="Arial Narrow" w:hAnsi="Arial Narrow"/>
                <w:b/>
                <w:bCs/>
                <w:i/>
                <w:iCs/>
                <w:color w:val="333333"/>
                <w:sz w:val="20"/>
                <w:szCs w:val="20"/>
              </w:rPr>
            </w:pPr>
            <w:r w:rsidRPr="00631238">
              <w:rPr>
                <w:rFonts w:ascii="Arial Narrow" w:hAnsi="Arial Narrow"/>
                <w:b/>
                <w:bCs/>
                <w:i/>
                <w:iCs/>
                <w:color w:val="333333"/>
                <w:sz w:val="20"/>
                <w:szCs w:val="20"/>
              </w:rPr>
              <w:t>Prescribing Instructions:</w:t>
            </w:r>
          </w:p>
          <w:p w14:paraId="21D78003" w14:textId="77777777" w:rsidR="0097549F" w:rsidRPr="00631238" w:rsidRDefault="0097549F" w:rsidP="00E61877">
            <w:pPr>
              <w:rPr>
                <w:rFonts w:ascii="Arial Narrow" w:hAnsi="Arial Narrow"/>
                <w:color w:val="333333"/>
                <w:sz w:val="20"/>
                <w:szCs w:val="20"/>
              </w:rPr>
            </w:pPr>
            <w:r w:rsidRPr="00631238">
              <w:rPr>
                <w:rFonts w:ascii="Arial Narrow" w:hAnsi="Arial Narrow" w:cs="Arial Narrow"/>
                <w:i/>
                <w:sz w:val="20"/>
                <w:szCs w:val="20"/>
              </w:rPr>
              <w:t>The patient's body weight must be documented in the patient's medical records at the time treatment is initiated</w:t>
            </w:r>
            <w:r w:rsidRPr="00631238">
              <w:rPr>
                <w:rFonts w:ascii="Arial Narrow" w:hAnsi="Arial Narrow" w:cs="Arial Narrow"/>
                <w:iCs/>
                <w:sz w:val="20"/>
                <w:szCs w:val="20"/>
              </w:rPr>
              <w:t>.</w:t>
            </w:r>
          </w:p>
        </w:tc>
      </w:tr>
      <w:tr w:rsidR="0097549F" w:rsidRPr="00631238" w14:paraId="42A78FC5" w14:textId="77777777" w:rsidTr="0097549F">
        <w:trPr>
          <w:cantSplit/>
          <w:trHeight w:val="20"/>
        </w:trPr>
        <w:tc>
          <w:tcPr>
            <w:tcW w:w="5000" w:type="pct"/>
            <w:vAlign w:val="center"/>
          </w:tcPr>
          <w:p w14:paraId="00B1DE3E" w14:textId="77777777" w:rsidR="0097549F" w:rsidRPr="00631238" w:rsidRDefault="0097549F" w:rsidP="00E61877">
            <w:pPr>
              <w:rPr>
                <w:rFonts w:ascii="Arial Narrow" w:hAnsi="Arial Narrow"/>
                <w:b/>
                <w:bCs/>
                <w:i/>
                <w:iCs/>
                <w:color w:val="333333"/>
                <w:sz w:val="20"/>
                <w:szCs w:val="20"/>
              </w:rPr>
            </w:pPr>
            <w:r w:rsidRPr="00631238">
              <w:rPr>
                <w:rFonts w:ascii="Arial Narrow" w:hAnsi="Arial Narrow"/>
                <w:b/>
                <w:bCs/>
                <w:color w:val="333333"/>
                <w:sz w:val="20"/>
                <w:szCs w:val="20"/>
              </w:rPr>
              <w:t>Caution:</w:t>
            </w:r>
            <w:r w:rsidRPr="00631238">
              <w:rPr>
                <w:rFonts w:ascii="Arial Narrow" w:hAnsi="Arial Narrow" w:cs="Open Sans"/>
                <w:color w:val="222222"/>
                <w:sz w:val="20"/>
                <w:szCs w:val="20"/>
              </w:rPr>
              <w:t xml:space="preserve"> </w:t>
            </w:r>
            <w:r w:rsidRPr="00631238">
              <w:rPr>
                <w:rFonts w:ascii="Arial Narrow" w:hAnsi="Arial Narrow" w:cs="Arial Narrow"/>
                <w:i/>
                <w:sz w:val="20"/>
                <w:szCs w:val="20"/>
              </w:rPr>
              <w:t>Combination treatment with relatlimab and nivolumab is associated with an increased incidence and severity of immune-related adverse reactions compared with nivolumab monotherapy. Monitoring at least prior to each dose is recommended.</w:t>
            </w:r>
          </w:p>
        </w:tc>
      </w:tr>
    </w:tbl>
    <w:p w14:paraId="0DF1EDF5" w14:textId="77777777" w:rsidR="0034197D" w:rsidRPr="00631238" w:rsidRDefault="0034197D" w:rsidP="0034197D">
      <w:pPr>
        <w:pStyle w:val="ListBullet"/>
      </w:pPr>
    </w:p>
    <w:p w14:paraId="3798F40A" w14:textId="0F7771B7" w:rsidR="00D24261" w:rsidRPr="006E188D" w:rsidRDefault="00D24261" w:rsidP="0097549F">
      <w:pPr>
        <w:pStyle w:val="ListParagraph"/>
        <w:numPr>
          <w:ilvl w:val="1"/>
          <w:numId w:val="1"/>
        </w:numPr>
        <w:rPr>
          <w:rFonts w:cstheme="minorHAnsi"/>
          <w:iCs/>
        </w:rPr>
      </w:pPr>
      <w:bookmarkStart w:id="12" w:name="_Hlk100924670"/>
      <w:r w:rsidRPr="006E188D">
        <w:rPr>
          <w:rFonts w:cstheme="minorHAnsi"/>
          <w:iCs/>
        </w:rPr>
        <w:t xml:space="preserve">The </w:t>
      </w:r>
      <w:r w:rsidR="000E3F9B" w:rsidRPr="006E188D">
        <w:rPr>
          <w:rFonts w:cstheme="minorHAnsi"/>
          <w:iCs/>
        </w:rPr>
        <w:t xml:space="preserve">submission proposed a </w:t>
      </w:r>
      <w:r w:rsidRPr="006E188D">
        <w:rPr>
          <w:rFonts w:cstheme="minorHAnsi"/>
          <w:iCs/>
        </w:rPr>
        <w:t xml:space="preserve">Special Pricing Arrangement </w:t>
      </w:r>
      <w:r w:rsidR="000E3F9B" w:rsidRPr="006E188D">
        <w:rPr>
          <w:rFonts w:cstheme="minorHAnsi"/>
          <w:iCs/>
        </w:rPr>
        <w:t xml:space="preserve">and provided proposed published and effective prices. </w:t>
      </w:r>
    </w:p>
    <w:p w14:paraId="65589986" w14:textId="0A74C9D8" w:rsidR="006E188D" w:rsidRDefault="00D24261" w:rsidP="0097549F">
      <w:pPr>
        <w:pStyle w:val="Subtitle"/>
        <w:numPr>
          <w:ilvl w:val="1"/>
          <w:numId w:val="1"/>
        </w:numPr>
        <w:spacing w:after="120"/>
      </w:pPr>
      <w:bookmarkStart w:id="13" w:name="_Hlk100924704"/>
      <w:bookmarkEnd w:id="12"/>
      <w:r w:rsidRPr="00557007">
        <w:rPr>
          <w:rFonts w:asciiTheme="minorHAnsi" w:hAnsiTheme="minorHAnsi" w:cs="Arial"/>
          <w:sz w:val="24"/>
        </w:rPr>
        <w:t>The requested restriction was consistent with the eligibility criteria for the key trial for RELA+NIVO (CA224047), which included patients who had not previously received systemic anti-cancer therapy for unresectable or metastatic melanoma</w:t>
      </w:r>
      <w:r w:rsidR="00094D24" w:rsidRPr="00557007">
        <w:rPr>
          <w:rFonts w:asciiTheme="minorHAnsi" w:hAnsiTheme="minorHAnsi" w:cs="Arial"/>
          <w:sz w:val="24"/>
        </w:rPr>
        <w:t xml:space="preserve"> and who had </w:t>
      </w:r>
      <w:r w:rsidR="00262BAC" w:rsidRPr="00557007">
        <w:rPr>
          <w:rFonts w:asciiTheme="minorHAnsi" w:hAnsiTheme="minorHAnsi" w:cs="Arial"/>
          <w:sz w:val="24"/>
        </w:rPr>
        <w:t xml:space="preserve">an </w:t>
      </w:r>
      <w:r w:rsidR="00DD4E33" w:rsidRPr="00557007">
        <w:rPr>
          <w:rFonts w:asciiTheme="minorHAnsi" w:hAnsiTheme="minorHAnsi" w:cs="Arial"/>
          <w:sz w:val="24"/>
        </w:rPr>
        <w:t xml:space="preserve">ECOG </w:t>
      </w:r>
      <w:r w:rsidR="00094D24" w:rsidRPr="00557007">
        <w:rPr>
          <w:rFonts w:asciiTheme="minorHAnsi" w:hAnsiTheme="minorHAnsi" w:cs="Arial"/>
          <w:sz w:val="24"/>
        </w:rPr>
        <w:t>performance status of ≤ 1</w:t>
      </w:r>
      <w:r w:rsidRPr="00557007">
        <w:rPr>
          <w:rFonts w:asciiTheme="minorHAnsi" w:hAnsiTheme="minorHAnsi" w:cs="Arial"/>
          <w:sz w:val="24"/>
        </w:rPr>
        <w:t xml:space="preserve">. Of note, the requested restriction </w:t>
      </w:r>
      <w:r w:rsidR="00094D24" w:rsidRPr="00557007">
        <w:rPr>
          <w:rFonts w:asciiTheme="minorHAnsi" w:hAnsiTheme="minorHAnsi" w:cs="Arial"/>
          <w:sz w:val="24"/>
        </w:rPr>
        <w:t xml:space="preserve">did not exclude patients with active brain metastases, </w:t>
      </w:r>
      <w:r w:rsidR="004533BA" w:rsidRPr="00557007">
        <w:rPr>
          <w:rFonts w:asciiTheme="minorHAnsi" w:hAnsiTheme="minorHAnsi" w:cs="Arial"/>
          <w:sz w:val="24"/>
        </w:rPr>
        <w:t>which was an exclusion criterion in CA224047</w:t>
      </w:r>
      <w:r w:rsidRPr="00557007">
        <w:rPr>
          <w:rFonts w:asciiTheme="minorHAnsi" w:hAnsiTheme="minorHAnsi" w:cs="Arial"/>
          <w:sz w:val="24"/>
        </w:rPr>
        <w:t>.</w:t>
      </w:r>
      <w:r w:rsidR="00590A54">
        <w:t xml:space="preserve"> </w:t>
      </w:r>
    </w:p>
    <w:p w14:paraId="381F6C77" w14:textId="20D2C7A0" w:rsidR="00D6694F" w:rsidRDefault="00D24261" w:rsidP="0097549F">
      <w:pPr>
        <w:pStyle w:val="Subtitle"/>
        <w:numPr>
          <w:ilvl w:val="1"/>
          <w:numId w:val="1"/>
        </w:numPr>
        <w:spacing w:after="120"/>
        <w:rPr>
          <w:rFonts w:asciiTheme="minorHAnsi" w:hAnsiTheme="minorHAnsi" w:cs="Arial"/>
          <w:sz w:val="24"/>
        </w:rPr>
      </w:pPr>
      <w:r w:rsidRPr="006E188D">
        <w:rPr>
          <w:rFonts w:asciiTheme="minorHAnsi" w:hAnsiTheme="minorHAnsi" w:cs="Arial"/>
          <w:sz w:val="24"/>
        </w:rPr>
        <w:t xml:space="preserve">The requested restriction did not specify any age </w:t>
      </w:r>
      <w:r w:rsidR="006D1187" w:rsidRPr="006E188D">
        <w:rPr>
          <w:rFonts w:asciiTheme="minorHAnsi" w:hAnsiTheme="minorHAnsi" w:cs="Arial"/>
          <w:sz w:val="24"/>
        </w:rPr>
        <w:t>criteria</w:t>
      </w:r>
      <w:r w:rsidRPr="006E188D">
        <w:rPr>
          <w:rFonts w:asciiTheme="minorHAnsi" w:hAnsiTheme="minorHAnsi" w:cs="Arial"/>
          <w:sz w:val="24"/>
        </w:rPr>
        <w:t xml:space="preserve"> and did not require a Lanksky Performance Score of ≥ 80% for adolescents, </w:t>
      </w:r>
      <w:r w:rsidR="004C6F8B" w:rsidRPr="006E188D">
        <w:rPr>
          <w:rFonts w:asciiTheme="minorHAnsi" w:hAnsiTheme="minorHAnsi" w:cs="Arial"/>
          <w:sz w:val="24"/>
        </w:rPr>
        <w:t>whereas</w:t>
      </w:r>
      <w:r w:rsidRPr="006E188D">
        <w:rPr>
          <w:rFonts w:asciiTheme="minorHAnsi" w:hAnsiTheme="minorHAnsi" w:cs="Arial"/>
          <w:sz w:val="24"/>
        </w:rPr>
        <w:t xml:space="preserve"> the proposed TGA indication and the key trial (</w:t>
      </w:r>
      <w:bookmarkStart w:id="14" w:name="_Hlk100825756"/>
      <w:r w:rsidRPr="006E188D">
        <w:rPr>
          <w:rFonts w:asciiTheme="minorHAnsi" w:hAnsiTheme="minorHAnsi" w:cs="Arial"/>
          <w:sz w:val="24"/>
        </w:rPr>
        <w:t>CA224047</w:t>
      </w:r>
      <w:bookmarkEnd w:id="14"/>
      <w:r w:rsidRPr="006E188D">
        <w:rPr>
          <w:rFonts w:asciiTheme="minorHAnsi" w:hAnsiTheme="minorHAnsi" w:cs="Arial"/>
          <w:sz w:val="24"/>
        </w:rPr>
        <w:t xml:space="preserve">) </w:t>
      </w:r>
      <w:r w:rsidR="004C6F8B" w:rsidRPr="006E188D">
        <w:rPr>
          <w:rFonts w:asciiTheme="minorHAnsi" w:hAnsiTheme="minorHAnsi" w:cs="Arial"/>
          <w:sz w:val="24"/>
        </w:rPr>
        <w:t>restricted use to</w:t>
      </w:r>
      <w:r w:rsidRPr="006E188D">
        <w:rPr>
          <w:rFonts w:asciiTheme="minorHAnsi" w:hAnsiTheme="minorHAnsi" w:cs="Arial"/>
          <w:sz w:val="24"/>
        </w:rPr>
        <w:t xml:space="preserve"> patients aged 12 years or older. Adolescents were eligible to participate in CA224047, but the trial did not recruit any patients younger than 18 years old. </w:t>
      </w:r>
    </w:p>
    <w:p w14:paraId="66219C9B" w14:textId="77777777" w:rsidR="00673659" w:rsidRPr="00AF1DAD" w:rsidRDefault="00673659" w:rsidP="0097549F">
      <w:pPr>
        <w:pStyle w:val="3-BodyText"/>
        <w:numPr>
          <w:ilvl w:val="1"/>
          <w:numId w:val="1"/>
        </w:numPr>
      </w:pPr>
      <w:r w:rsidRPr="00AF1DAD">
        <w:t>The requested restriction was consistent with the current PBS listing for NIVO+IPI for the treatment of unresectable Stage III or IV malignant melanoma.</w:t>
      </w:r>
    </w:p>
    <w:p w14:paraId="7507FACC" w14:textId="06B5E12B" w:rsidR="009262C2" w:rsidRPr="00AF1DAD" w:rsidRDefault="00D6694F" w:rsidP="0097549F">
      <w:pPr>
        <w:pStyle w:val="3-BodyText"/>
        <w:numPr>
          <w:ilvl w:val="1"/>
          <w:numId w:val="1"/>
        </w:numPr>
      </w:pPr>
      <w:bookmarkStart w:id="15" w:name="_Hlk103090316"/>
      <w:r w:rsidRPr="002C64EC">
        <w:t xml:space="preserve">The submission did not request </w:t>
      </w:r>
      <w:r w:rsidR="00F47A6D">
        <w:t xml:space="preserve">a </w:t>
      </w:r>
      <w:r w:rsidRPr="002C64EC">
        <w:t xml:space="preserve">grandfather restriction given that patients currently receiving RELA+NIVO </w:t>
      </w:r>
      <w:r w:rsidR="00262BAC">
        <w:t xml:space="preserve">will </w:t>
      </w:r>
      <w:r w:rsidRPr="002C64EC">
        <w:t>not align with the proposed PBS listing</w:t>
      </w:r>
      <w:bookmarkEnd w:id="15"/>
      <w:r>
        <w:t>.</w:t>
      </w:r>
      <w:r w:rsidR="009262C2">
        <w:t xml:space="preserve"> </w:t>
      </w:r>
      <w:r w:rsidR="009262C2" w:rsidRPr="00AF1DAD">
        <w:t>The sponsor currently provides RELA+NIVO to patients who h</w:t>
      </w:r>
      <w:r w:rsidR="00C814C9" w:rsidRPr="00AF1DAD">
        <w:t>a</w:t>
      </w:r>
      <w:r w:rsidR="009262C2" w:rsidRPr="00AF1DAD">
        <w:t>ve experienced disease progression after treatment with all PBS-listed therapies.</w:t>
      </w:r>
    </w:p>
    <w:p w14:paraId="55FE6687" w14:textId="77777777" w:rsidR="008E7723" w:rsidRPr="008E7723" w:rsidRDefault="008E7723" w:rsidP="008E7723">
      <w:pPr>
        <w:pStyle w:val="ListParagraph"/>
        <w:numPr>
          <w:ilvl w:val="0"/>
          <w:numId w:val="0"/>
        </w:numPr>
        <w:ind w:left="720"/>
        <w:rPr>
          <w:i/>
        </w:rPr>
      </w:pPr>
      <w:r w:rsidRPr="002B53F8">
        <w:rPr>
          <w:i/>
        </w:rPr>
        <w:t>For more detail on PBAC’s view, see section 7 PBAC outcome.</w:t>
      </w:r>
    </w:p>
    <w:p w14:paraId="31FF1407" w14:textId="17F0C0DE" w:rsidR="00D24261" w:rsidRPr="00407F2D" w:rsidRDefault="00D24261" w:rsidP="006E188D">
      <w:pPr>
        <w:pStyle w:val="2-SectionHeading"/>
        <w:numPr>
          <w:ilvl w:val="0"/>
          <w:numId w:val="1"/>
        </w:numPr>
      </w:pPr>
      <w:bookmarkStart w:id="16" w:name="_Toc103345888"/>
      <w:bookmarkStart w:id="17" w:name="_Toc103347095"/>
      <w:bookmarkStart w:id="18" w:name="_Toc103352116"/>
      <w:bookmarkStart w:id="19" w:name="_Toc103768651"/>
      <w:bookmarkEnd w:id="13"/>
      <w:bookmarkEnd w:id="16"/>
      <w:bookmarkEnd w:id="17"/>
      <w:bookmarkEnd w:id="18"/>
      <w:r>
        <w:t>Population and disease</w:t>
      </w:r>
      <w:bookmarkEnd w:id="19"/>
    </w:p>
    <w:p w14:paraId="21B00E10" w14:textId="316F30BB" w:rsidR="00D24261" w:rsidRPr="00C1742E" w:rsidRDefault="00D24261" w:rsidP="00D24261">
      <w:pPr>
        <w:pStyle w:val="3-BodyText"/>
        <w:numPr>
          <w:ilvl w:val="1"/>
          <w:numId w:val="1"/>
        </w:numPr>
        <w:rPr>
          <w:color w:val="0066FF"/>
        </w:rPr>
      </w:pPr>
      <w:r>
        <w:t>Australia and New Zealand have the highest incidence and mortality rates from melanoma in the world</w:t>
      </w:r>
      <w:r>
        <w:rPr>
          <w:rStyle w:val="FootnoteReference"/>
        </w:rPr>
        <w:footnoteReference w:id="1"/>
      </w:r>
      <w:r>
        <w:t xml:space="preserve">. It has been estimated that </w:t>
      </w:r>
      <w:r w:rsidR="009B40FE">
        <w:t xml:space="preserve">the </w:t>
      </w:r>
      <w:r>
        <w:t>incidence of melanoma was 16,878 cases in 2018, with 1,315 deaths</w:t>
      </w:r>
      <w:r>
        <w:rPr>
          <w:rStyle w:val="FootnoteReference"/>
        </w:rPr>
        <w:footnoteReference w:id="2"/>
      </w:r>
      <w:r>
        <w:t xml:space="preserve">. </w:t>
      </w:r>
      <w:r w:rsidRPr="00C1742E">
        <w:t xml:space="preserve">Based on 2011-2016 data, the overall 5-year </w:t>
      </w:r>
      <w:r w:rsidRPr="00C1742E">
        <w:lastRenderedPageBreak/>
        <w:t>survival rate of patients diagnosed with Stage III and IV melanoma was approximately 61.1% and 26.2%, respectively</w:t>
      </w:r>
      <w:r w:rsidR="002E383D">
        <w:rPr>
          <w:rStyle w:val="FootnoteReference"/>
        </w:rPr>
        <w:footnoteReference w:id="3"/>
      </w:r>
      <w:r w:rsidRPr="00C1742E">
        <w:t>.</w:t>
      </w:r>
    </w:p>
    <w:p w14:paraId="7A183428" w14:textId="341813C9" w:rsidR="00D24261" w:rsidRPr="00501AF4" w:rsidRDefault="00D24261" w:rsidP="00D24261">
      <w:pPr>
        <w:pStyle w:val="3-BodyText"/>
        <w:numPr>
          <w:ilvl w:val="1"/>
          <w:numId w:val="1"/>
        </w:numPr>
        <w:rPr>
          <w:i/>
          <w:iCs/>
        </w:rPr>
      </w:pPr>
      <w:r>
        <w:t>The submission proposed RELA+NIVO as a</w:t>
      </w:r>
      <w:r w:rsidR="006D5F90">
        <w:t xml:space="preserve"> first line</w:t>
      </w:r>
      <w:r>
        <w:t xml:space="preserve"> alternative to currently available </w:t>
      </w:r>
      <w:r w:rsidR="00D969BC">
        <w:t xml:space="preserve">PBS subsidised </w:t>
      </w:r>
      <w:r w:rsidR="000F4A84">
        <w:t>programmed cell death protein 1 (</w:t>
      </w:r>
      <w:r>
        <w:t>PD-1</w:t>
      </w:r>
      <w:r w:rsidR="000F4A84">
        <w:t>)</w:t>
      </w:r>
      <w:r>
        <w:t xml:space="preserve"> based treatments in the management of patients with unresectable stage III or IV malignant melanoma. The submission’s proposed place in therapy for RELA+NIVO is presented in </w:t>
      </w:r>
      <w:r>
        <w:fldChar w:fldCharType="begin"/>
      </w:r>
      <w:r>
        <w:instrText xml:space="preserve"> REF _Ref100925206 \h  \* MERGEFORMAT </w:instrText>
      </w:r>
      <w:r>
        <w:fldChar w:fldCharType="separate"/>
      </w:r>
      <w:r w:rsidR="00633460" w:rsidRPr="00633460">
        <w:t>Figure 1</w:t>
      </w:r>
      <w:r>
        <w:fldChar w:fldCharType="end"/>
      </w:r>
      <w:r>
        <w:t>.</w:t>
      </w:r>
      <w:r w:rsidR="00AB357E">
        <w:t xml:space="preserve"> </w:t>
      </w:r>
    </w:p>
    <w:p w14:paraId="0D95D327" w14:textId="48081240" w:rsidR="00D24261" w:rsidRPr="007E660C" w:rsidRDefault="00D24261" w:rsidP="004C6F8B">
      <w:pPr>
        <w:pStyle w:val="Caption"/>
        <w:keepNext/>
        <w:rPr>
          <w:rStyle w:val="CommentReference"/>
          <w:b/>
          <w:bCs w:val="0"/>
          <w:color w:val="000000" w:themeColor="text1"/>
        </w:rPr>
      </w:pPr>
      <w:bookmarkStart w:id="20" w:name="_Ref100925206"/>
      <w:r w:rsidRPr="007E660C">
        <w:rPr>
          <w:rStyle w:val="CommentReference"/>
          <w:b/>
          <w:bCs w:val="0"/>
          <w:color w:val="000000" w:themeColor="text1"/>
        </w:rPr>
        <w:t xml:space="preserve">Figure </w:t>
      </w:r>
      <w:r w:rsidRPr="007E660C">
        <w:rPr>
          <w:rStyle w:val="CommentReference"/>
          <w:b/>
          <w:bCs w:val="0"/>
          <w:color w:val="000000" w:themeColor="text1"/>
        </w:rPr>
        <w:fldChar w:fldCharType="begin"/>
      </w:r>
      <w:r w:rsidRPr="007E660C">
        <w:rPr>
          <w:rStyle w:val="CommentReference"/>
          <w:b/>
          <w:bCs w:val="0"/>
          <w:color w:val="000000" w:themeColor="text1"/>
        </w:rPr>
        <w:instrText xml:space="preserve"> SEQ Figure \* ARABIC </w:instrText>
      </w:r>
      <w:r w:rsidRPr="007E660C">
        <w:rPr>
          <w:rStyle w:val="CommentReference"/>
          <w:b/>
          <w:bCs w:val="0"/>
          <w:color w:val="000000" w:themeColor="text1"/>
        </w:rPr>
        <w:fldChar w:fldCharType="separate"/>
      </w:r>
      <w:r w:rsidR="00633460">
        <w:rPr>
          <w:rStyle w:val="CommentReference"/>
          <w:b/>
          <w:bCs w:val="0"/>
          <w:noProof/>
          <w:color w:val="000000" w:themeColor="text1"/>
        </w:rPr>
        <w:t>1</w:t>
      </w:r>
      <w:r w:rsidRPr="007E660C">
        <w:rPr>
          <w:rStyle w:val="CommentReference"/>
          <w:b/>
          <w:bCs w:val="0"/>
          <w:color w:val="000000" w:themeColor="text1"/>
        </w:rPr>
        <w:fldChar w:fldCharType="end"/>
      </w:r>
      <w:bookmarkEnd w:id="20"/>
      <w:r w:rsidRPr="007E660C">
        <w:rPr>
          <w:rStyle w:val="CommentReference"/>
          <w:b/>
          <w:bCs w:val="0"/>
          <w:color w:val="000000" w:themeColor="text1"/>
        </w:rPr>
        <w:t xml:space="preserve">: Proposed clinical management algorithms for </w:t>
      </w:r>
      <w:r w:rsidR="00F8558D">
        <w:rPr>
          <w:rStyle w:val="CommentReference"/>
          <w:b/>
          <w:bCs w:val="0"/>
          <w:color w:val="000000" w:themeColor="text1"/>
        </w:rPr>
        <w:t xml:space="preserve">patients </w:t>
      </w:r>
      <w:r w:rsidRPr="007E660C">
        <w:rPr>
          <w:rStyle w:val="CommentReference"/>
          <w:b/>
          <w:bCs w:val="0"/>
          <w:color w:val="000000" w:themeColor="text1"/>
        </w:rPr>
        <w:t>with previously untreated unresectable Stage III or IV malignant melanoma</w:t>
      </w:r>
      <w:r w:rsidR="000F4A84">
        <w:rPr>
          <w:rStyle w:val="CommentReference"/>
          <w:b/>
          <w:bCs w:val="0"/>
          <w:color w:val="000000" w:themeColor="text1"/>
        </w:rPr>
        <w:t xml:space="preserve"> in Australia</w:t>
      </w:r>
    </w:p>
    <w:tbl>
      <w:tblPr>
        <w:tblW w:w="5000" w:type="pct"/>
        <w:tblLayout w:type="fixed"/>
        <w:tblLook w:val="04A0" w:firstRow="1" w:lastRow="0" w:firstColumn="1" w:lastColumn="0" w:noHBand="0" w:noVBand="1"/>
        <w:tblCaption w:val="Figure 1: Proposed clinical management algorithms for patients with previously untreated unresectable Stage III or IV malignant melanoma in Australia"/>
      </w:tblPr>
      <w:tblGrid>
        <w:gridCol w:w="412"/>
        <w:gridCol w:w="689"/>
        <w:gridCol w:w="961"/>
        <w:gridCol w:w="963"/>
        <w:gridCol w:w="550"/>
        <w:gridCol w:w="276"/>
        <w:gridCol w:w="276"/>
        <w:gridCol w:w="685"/>
        <w:gridCol w:w="961"/>
        <w:gridCol w:w="1100"/>
        <w:gridCol w:w="550"/>
        <w:gridCol w:w="1594"/>
      </w:tblGrid>
      <w:tr w:rsidR="004C6F8B" w14:paraId="0EF367E2" w14:textId="77777777" w:rsidTr="004C6F8B">
        <w:trPr>
          <w:trHeight w:val="201"/>
        </w:trPr>
        <w:tc>
          <w:tcPr>
            <w:tcW w:w="228" w:type="pct"/>
            <w:noWrap/>
            <w:vAlign w:val="bottom"/>
            <w:hideMark/>
          </w:tcPr>
          <w:p w14:paraId="47D232F1" w14:textId="77777777" w:rsidR="004C6F8B" w:rsidRDefault="004C6F8B" w:rsidP="004C6F8B">
            <w:pPr>
              <w:keepNext/>
              <w:jc w:val="left"/>
              <w:rPr>
                <w:rFonts w:ascii="Times New Roman" w:hAnsi="Times New Roman" w:cs="Times New Roman"/>
                <w:sz w:val="20"/>
                <w:szCs w:val="20"/>
              </w:rPr>
            </w:pPr>
          </w:p>
        </w:tc>
        <w:tc>
          <w:tcPr>
            <w:tcW w:w="1754" w:type="pct"/>
            <w:gridSpan w:val="4"/>
            <w:tcBorders>
              <w:top w:val="single" w:sz="8" w:space="0" w:color="auto"/>
              <w:left w:val="single" w:sz="8" w:space="0" w:color="auto"/>
              <w:bottom w:val="single" w:sz="8" w:space="0" w:color="000000"/>
              <w:right w:val="single" w:sz="8" w:space="0" w:color="000000"/>
            </w:tcBorders>
            <w:noWrap/>
            <w:vAlign w:val="bottom"/>
            <w:hideMark/>
          </w:tcPr>
          <w:p w14:paraId="65F93518" w14:textId="77777777" w:rsidR="004C6F8B" w:rsidRPr="00515B3A" w:rsidRDefault="004C6F8B" w:rsidP="004C6F8B">
            <w:pPr>
              <w:keepNext/>
              <w:jc w:val="center"/>
              <w:rPr>
                <w:rFonts w:cs="Calibri"/>
                <w:b/>
                <w:bCs/>
                <w:color w:val="000000"/>
                <w:sz w:val="18"/>
                <w:szCs w:val="18"/>
              </w:rPr>
            </w:pPr>
            <w:r w:rsidRPr="00515B3A">
              <w:rPr>
                <w:rFonts w:cs="Calibri"/>
                <w:b/>
                <w:bCs/>
                <w:color w:val="000000"/>
                <w:sz w:val="18"/>
                <w:szCs w:val="18"/>
              </w:rPr>
              <w:t>BRAF-negative</w:t>
            </w:r>
          </w:p>
        </w:tc>
        <w:tc>
          <w:tcPr>
            <w:tcW w:w="153" w:type="pct"/>
          </w:tcPr>
          <w:p w14:paraId="0E686309" w14:textId="77777777" w:rsidR="004C6F8B" w:rsidRPr="00515B3A" w:rsidRDefault="004C6F8B" w:rsidP="004C6F8B">
            <w:pPr>
              <w:keepNext/>
              <w:rPr>
                <w:rFonts w:cs="Calibri"/>
                <w:b/>
                <w:bCs/>
                <w:color w:val="000000"/>
                <w:sz w:val="18"/>
                <w:szCs w:val="18"/>
              </w:rPr>
            </w:pPr>
          </w:p>
        </w:tc>
        <w:tc>
          <w:tcPr>
            <w:tcW w:w="153" w:type="pct"/>
            <w:noWrap/>
            <w:vAlign w:val="bottom"/>
            <w:hideMark/>
          </w:tcPr>
          <w:p w14:paraId="2476C8FD" w14:textId="7EDA0E6D" w:rsidR="004C6F8B" w:rsidRPr="00515B3A" w:rsidRDefault="004C6F8B" w:rsidP="004C6F8B">
            <w:pPr>
              <w:keepNext/>
              <w:rPr>
                <w:rFonts w:cs="Calibri"/>
                <w:b/>
                <w:bCs/>
                <w:color w:val="000000"/>
                <w:sz w:val="18"/>
                <w:szCs w:val="18"/>
              </w:rPr>
            </w:pPr>
          </w:p>
        </w:tc>
        <w:tc>
          <w:tcPr>
            <w:tcW w:w="2712" w:type="pct"/>
            <w:gridSpan w:val="5"/>
            <w:tcBorders>
              <w:top w:val="single" w:sz="8" w:space="0" w:color="auto"/>
              <w:left w:val="single" w:sz="8" w:space="0" w:color="auto"/>
              <w:bottom w:val="single" w:sz="4" w:space="0" w:color="auto"/>
              <w:right w:val="single" w:sz="8" w:space="0" w:color="000000"/>
            </w:tcBorders>
            <w:noWrap/>
            <w:vAlign w:val="bottom"/>
            <w:hideMark/>
          </w:tcPr>
          <w:p w14:paraId="7C0961A1" w14:textId="77777777" w:rsidR="004C6F8B" w:rsidRPr="00515B3A" w:rsidRDefault="004C6F8B" w:rsidP="004C6F8B">
            <w:pPr>
              <w:keepNext/>
              <w:jc w:val="center"/>
              <w:rPr>
                <w:rFonts w:cs="Calibri"/>
                <w:b/>
                <w:bCs/>
                <w:color w:val="000000"/>
                <w:sz w:val="18"/>
                <w:szCs w:val="18"/>
              </w:rPr>
            </w:pPr>
            <w:r w:rsidRPr="00515B3A">
              <w:rPr>
                <w:rFonts w:cs="Calibri"/>
                <w:b/>
                <w:bCs/>
                <w:color w:val="000000"/>
                <w:sz w:val="18"/>
                <w:szCs w:val="18"/>
              </w:rPr>
              <w:t>BRAF-positive</w:t>
            </w:r>
          </w:p>
        </w:tc>
      </w:tr>
      <w:tr w:rsidR="004C6F8B" w14:paraId="585F340F" w14:textId="77777777" w:rsidTr="004C6F8B">
        <w:trPr>
          <w:trHeight w:val="194"/>
        </w:trPr>
        <w:tc>
          <w:tcPr>
            <w:tcW w:w="228" w:type="pct"/>
            <w:vMerge w:val="restart"/>
            <w:tcBorders>
              <w:top w:val="single" w:sz="8" w:space="0" w:color="auto"/>
              <w:left w:val="single" w:sz="8" w:space="0" w:color="auto"/>
              <w:bottom w:val="single" w:sz="8" w:space="0" w:color="000000"/>
              <w:right w:val="single" w:sz="8" w:space="0" w:color="auto"/>
            </w:tcBorders>
            <w:noWrap/>
            <w:vAlign w:val="center"/>
            <w:hideMark/>
          </w:tcPr>
          <w:p w14:paraId="2AE50F76" w14:textId="77777777" w:rsidR="004C6F8B" w:rsidRPr="00515B3A" w:rsidRDefault="004C6F8B" w:rsidP="004C6F8B">
            <w:pPr>
              <w:keepNext/>
              <w:jc w:val="center"/>
              <w:rPr>
                <w:rFonts w:cs="Calibri"/>
                <w:b/>
                <w:bCs/>
                <w:color w:val="000000"/>
                <w:sz w:val="18"/>
                <w:szCs w:val="18"/>
              </w:rPr>
            </w:pPr>
            <w:r w:rsidRPr="00515B3A">
              <w:rPr>
                <w:rFonts w:cs="Calibri"/>
                <w:b/>
                <w:bCs/>
                <w:color w:val="000000"/>
                <w:sz w:val="18"/>
                <w:szCs w:val="18"/>
              </w:rPr>
              <w:t>1L / 2L</w:t>
            </w:r>
          </w:p>
        </w:tc>
        <w:tc>
          <w:tcPr>
            <w:tcW w:w="1449" w:type="pct"/>
            <w:gridSpan w:val="3"/>
            <w:tcBorders>
              <w:top w:val="single" w:sz="8" w:space="0" w:color="auto"/>
              <w:left w:val="nil"/>
              <w:bottom w:val="single" w:sz="4" w:space="0" w:color="auto"/>
              <w:right w:val="single" w:sz="8" w:space="0" w:color="000000"/>
            </w:tcBorders>
            <w:noWrap/>
            <w:vAlign w:val="bottom"/>
            <w:hideMark/>
          </w:tcPr>
          <w:p w14:paraId="308EEAD9" w14:textId="77777777" w:rsidR="004C6F8B" w:rsidRPr="00515B3A" w:rsidRDefault="004C6F8B" w:rsidP="004C6F8B">
            <w:pPr>
              <w:keepNext/>
              <w:jc w:val="center"/>
              <w:rPr>
                <w:rFonts w:cs="Calibri"/>
                <w:i/>
                <w:iCs/>
                <w:color w:val="000000"/>
                <w:sz w:val="18"/>
                <w:szCs w:val="18"/>
              </w:rPr>
            </w:pPr>
            <w:r w:rsidRPr="00515B3A">
              <w:rPr>
                <w:rFonts w:cs="Calibri"/>
                <w:i/>
                <w:iCs/>
                <w:color w:val="000000"/>
                <w:sz w:val="18"/>
                <w:szCs w:val="18"/>
              </w:rPr>
              <w:t>anti-PD-1 based treatment*</w:t>
            </w:r>
          </w:p>
        </w:tc>
        <w:tc>
          <w:tcPr>
            <w:tcW w:w="305" w:type="pct"/>
            <w:vMerge w:val="restart"/>
            <w:tcBorders>
              <w:top w:val="nil"/>
              <w:left w:val="single" w:sz="8" w:space="0" w:color="auto"/>
              <w:bottom w:val="single" w:sz="8" w:space="0" w:color="000000"/>
              <w:right w:val="single" w:sz="8" w:space="0" w:color="auto"/>
            </w:tcBorders>
            <w:noWrap/>
            <w:vAlign w:val="center"/>
            <w:hideMark/>
          </w:tcPr>
          <w:p w14:paraId="75D45D85"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IPI</w:t>
            </w:r>
            <w:r w:rsidRPr="00515B3A">
              <w:rPr>
                <w:rFonts w:cs="Calibri"/>
                <w:color w:val="000000"/>
                <w:sz w:val="18"/>
                <w:szCs w:val="18"/>
                <w:vertAlign w:val="superscript"/>
              </w:rPr>
              <w:t>#</w:t>
            </w:r>
          </w:p>
        </w:tc>
        <w:tc>
          <w:tcPr>
            <w:tcW w:w="153" w:type="pct"/>
          </w:tcPr>
          <w:p w14:paraId="4631E45D" w14:textId="77777777" w:rsidR="004C6F8B" w:rsidRPr="00515B3A" w:rsidRDefault="004C6F8B" w:rsidP="004C6F8B">
            <w:pPr>
              <w:keepNext/>
              <w:rPr>
                <w:rFonts w:cs="Calibri"/>
                <w:color w:val="000000"/>
                <w:sz w:val="18"/>
                <w:szCs w:val="18"/>
              </w:rPr>
            </w:pPr>
          </w:p>
        </w:tc>
        <w:tc>
          <w:tcPr>
            <w:tcW w:w="153" w:type="pct"/>
            <w:noWrap/>
            <w:vAlign w:val="bottom"/>
            <w:hideMark/>
          </w:tcPr>
          <w:p w14:paraId="6F14BD96" w14:textId="55AC186D" w:rsidR="004C6F8B" w:rsidRPr="00515B3A" w:rsidRDefault="004C6F8B" w:rsidP="004C6F8B">
            <w:pPr>
              <w:keepNext/>
              <w:rPr>
                <w:rFonts w:cs="Calibri"/>
                <w:color w:val="000000"/>
                <w:sz w:val="18"/>
                <w:szCs w:val="18"/>
              </w:rPr>
            </w:pPr>
          </w:p>
        </w:tc>
        <w:tc>
          <w:tcPr>
            <w:tcW w:w="1523" w:type="pct"/>
            <w:gridSpan w:val="3"/>
            <w:tcBorders>
              <w:top w:val="single" w:sz="8" w:space="0" w:color="auto"/>
              <w:left w:val="single" w:sz="8" w:space="0" w:color="auto"/>
              <w:bottom w:val="single" w:sz="4" w:space="0" w:color="auto"/>
              <w:right w:val="single" w:sz="8" w:space="0" w:color="000000"/>
            </w:tcBorders>
            <w:noWrap/>
            <w:vAlign w:val="bottom"/>
            <w:hideMark/>
          </w:tcPr>
          <w:p w14:paraId="09BA1084" w14:textId="77777777" w:rsidR="004C6F8B" w:rsidRPr="00515B3A" w:rsidRDefault="004C6F8B" w:rsidP="004C6F8B">
            <w:pPr>
              <w:keepNext/>
              <w:jc w:val="center"/>
              <w:rPr>
                <w:rFonts w:cs="Calibri"/>
                <w:i/>
                <w:iCs/>
                <w:color w:val="000000"/>
                <w:sz w:val="18"/>
                <w:szCs w:val="18"/>
              </w:rPr>
            </w:pPr>
            <w:r w:rsidRPr="00515B3A">
              <w:rPr>
                <w:rFonts w:cs="Calibri"/>
                <w:i/>
                <w:iCs/>
                <w:color w:val="000000"/>
                <w:sz w:val="18"/>
                <w:szCs w:val="18"/>
              </w:rPr>
              <w:t>anti-PD-1 based treatment*</w:t>
            </w:r>
          </w:p>
        </w:tc>
        <w:tc>
          <w:tcPr>
            <w:tcW w:w="305" w:type="pct"/>
            <w:vMerge w:val="restart"/>
            <w:tcBorders>
              <w:top w:val="single" w:sz="8" w:space="0" w:color="auto"/>
              <w:left w:val="single" w:sz="8" w:space="0" w:color="auto"/>
              <w:bottom w:val="single" w:sz="8" w:space="0" w:color="000000"/>
              <w:right w:val="single" w:sz="8" w:space="0" w:color="auto"/>
            </w:tcBorders>
            <w:noWrap/>
            <w:vAlign w:val="center"/>
            <w:hideMark/>
          </w:tcPr>
          <w:p w14:paraId="42185685"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IPI</w:t>
            </w:r>
            <w:r w:rsidRPr="00515B3A">
              <w:rPr>
                <w:rFonts w:cs="Calibri"/>
                <w:color w:val="000000"/>
                <w:sz w:val="18"/>
                <w:szCs w:val="18"/>
                <w:vertAlign w:val="superscript"/>
              </w:rPr>
              <w:t>#</w:t>
            </w:r>
          </w:p>
        </w:tc>
        <w:tc>
          <w:tcPr>
            <w:tcW w:w="884" w:type="pct"/>
            <w:vMerge w:val="restart"/>
            <w:tcBorders>
              <w:top w:val="single" w:sz="8" w:space="0" w:color="auto"/>
              <w:left w:val="single" w:sz="8" w:space="0" w:color="auto"/>
              <w:bottom w:val="single" w:sz="8" w:space="0" w:color="000000"/>
              <w:right w:val="single" w:sz="8" w:space="0" w:color="auto"/>
            </w:tcBorders>
            <w:noWrap/>
            <w:vAlign w:val="center"/>
            <w:hideMark/>
          </w:tcPr>
          <w:p w14:paraId="3ABBF97E" w14:textId="77777777" w:rsidR="004C6F8B" w:rsidRPr="00515B3A" w:rsidRDefault="004C6F8B" w:rsidP="004C6F8B">
            <w:pPr>
              <w:keepNext/>
              <w:jc w:val="center"/>
              <w:rPr>
                <w:rFonts w:cs="Calibri"/>
                <w:color w:val="000000"/>
                <w:sz w:val="18"/>
                <w:szCs w:val="18"/>
              </w:rPr>
            </w:pPr>
            <w:r w:rsidRPr="00515B3A">
              <w:rPr>
                <w:rFonts w:cs="Calibri"/>
                <w:i/>
                <w:iCs/>
                <w:color w:val="000000"/>
                <w:sz w:val="18"/>
                <w:szCs w:val="18"/>
              </w:rPr>
              <w:t>BRAF inhibitor-based treatment</w:t>
            </w:r>
            <w:r w:rsidRPr="00515B3A">
              <w:rPr>
                <w:rFonts w:cs="Calibri"/>
                <w:color w:val="000000"/>
                <w:sz w:val="18"/>
                <w:szCs w:val="18"/>
                <w:vertAlign w:val="superscript"/>
              </w:rPr>
              <w:t>#</w:t>
            </w:r>
          </w:p>
        </w:tc>
      </w:tr>
      <w:tr w:rsidR="004C6F8B" w14:paraId="16956A22" w14:textId="77777777" w:rsidTr="004C6F8B">
        <w:trPr>
          <w:trHeight w:val="194"/>
        </w:trPr>
        <w:tc>
          <w:tcPr>
            <w:tcW w:w="228" w:type="pct"/>
            <w:vMerge/>
            <w:tcBorders>
              <w:top w:val="single" w:sz="8" w:space="0" w:color="auto"/>
              <w:left w:val="single" w:sz="8" w:space="0" w:color="auto"/>
              <w:bottom w:val="single" w:sz="8" w:space="0" w:color="000000"/>
              <w:right w:val="single" w:sz="8" w:space="0" w:color="auto"/>
            </w:tcBorders>
            <w:vAlign w:val="center"/>
            <w:hideMark/>
          </w:tcPr>
          <w:p w14:paraId="575D02C2" w14:textId="77777777" w:rsidR="004C6F8B" w:rsidRPr="00515B3A" w:rsidRDefault="004C6F8B" w:rsidP="004C6F8B">
            <w:pPr>
              <w:keepNext/>
              <w:jc w:val="left"/>
              <w:rPr>
                <w:rFonts w:cs="Calibri"/>
                <w:b/>
                <w:bCs/>
                <w:color w:val="000000"/>
                <w:sz w:val="18"/>
                <w:szCs w:val="18"/>
              </w:rPr>
            </w:pPr>
          </w:p>
        </w:tc>
        <w:tc>
          <w:tcPr>
            <w:tcW w:w="382" w:type="pct"/>
            <w:tcBorders>
              <w:top w:val="nil"/>
              <w:left w:val="nil"/>
              <w:bottom w:val="single" w:sz="4" w:space="0" w:color="auto"/>
              <w:right w:val="single" w:sz="4" w:space="0" w:color="auto"/>
            </w:tcBorders>
            <w:noWrap/>
            <w:vAlign w:val="bottom"/>
            <w:hideMark/>
          </w:tcPr>
          <w:p w14:paraId="263FA81E"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NIVO</w:t>
            </w:r>
          </w:p>
        </w:tc>
        <w:tc>
          <w:tcPr>
            <w:tcW w:w="533" w:type="pct"/>
            <w:tcBorders>
              <w:top w:val="nil"/>
              <w:left w:val="nil"/>
              <w:bottom w:val="single" w:sz="4" w:space="0" w:color="auto"/>
              <w:right w:val="single" w:sz="4" w:space="0" w:color="auto"/>
            </w:tcBorders>
            <w:noWrap/>
            <w:vAlign w:val="bottom"/>
            <w:hideMark/>
          </w:tcPr>
          <w:p w14:paraId="73213FFE" w14:textId="77777777" w:rsidR="004C6F8B" w:rsidRPr="00515B3A" w:rsidRDefault="004C6F8B" w:rsidP="004C6F8B">
            <w:pPr>
              <w:keepNext/>
              <w:rPr>
                <w:rFonts w:cs="Calibri"/>
                <w:color w:val="000000"/>
                <w:sz w:val="18"/>
                <w:szCs w:val="18"/>
              </w:rPr>
            </w:pPr>
            <w:r w:rsidRPr="00515B3A">
              <w:rPr>
                <w:rFonts w:cs="Calibri"/>
                <w:color w:val="000000"/>
                <w:sz w:val="18"/>
                <w:szCs w:val="18"/>
              </w:rPr>
              <w:t>PEMBRO</w:t>
            </w:r>
          </w:p>
        </w:tc>
        <w:tc>
          <w:tcPr>
            <w:tcW w:w="534" w:type="pct"/>
            <w:tcBorders>
              <w:top w:val="nil"/>
              <w:left w:val="nil"/>
              <w:bottom w:val="single" w:sz="4" w:space="0" w:color="auto"/>
              <w:right w:val="single" w:sz="8" w:space="0" w:color="auto"/>
            </w:tcBorders>
            <w:noWrap/>
            <w:vAlign w:val="bottom"/>
            <w:hideMark/>
          </w:tcPr>
          <w:p w14:paraId="5DA0DCD9"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NIVO+IPI</w:t>
            </w:r>
          </w:p>
        </w:tc>
        <w:tc>
          <w:tcPr>
            <w:tcW w:w="305" w:type="pct"/>
            <w:vMerge/>
            <w:tcBorders>
              <w:top w:val="nil"/>
              <w:left w:val="single" w:sz="8" w:space="0" w:color="auto"/>
              <w:bottom w:val="single" w:sz="8" w:space="0" w:color="000000"/>
              <w:right w:val="single" w:sz="8" w:space="0" w:color="auto"/>
            </w:tcBorders>
            <w:vAlign w:val="center"/>
            <w:hideMark/>
          </w:tcPr>
          <w:p w14:paraId="7F45481F" w14:textId="77777777" w:rsidR="004C6F8B" w:rsidRPr="00515B3A" w:rsidRDefault="004C6F8B" w:rsidP="004C6F8B">
            <w:pPr>
              <w:keepNext/>
              <w:jc w:val="left"/>
              <w:rPr>
                <w:rFonts w:cs="Calibri"/>
                <w:color w:val="000000"/>
                <w:sz w:val="16"/>
                <w:szCs w:val="16"/>
              </w:rPr>
            </w:pPr>
          </w:p>
        </w:tc>
        <w:tc>
          <w:tcPr>
            <w:tcW w:w="153" w:type="pct"/>
          </w:tcPr>
          <w:p w14:paraId="7E29FE4A" w14:textId="77777777" w:rsidR="004C6F8B" w:rsidRPr="00515B3A" w:rsidRDefault="004C6F8B" w:rsidP="004C6F8B">
            <w:pPr>
              <w:keepNext/>
              <w:rPr>
                <w:rFonts w:cs="Calibri"/>
                <w:color w:val="000000"/>
                <w:sz w:val="16"/>
                <w:szCs w:val="16"/>
              </w:rPr>
            </w:pPr>
          </w:p>
        </w:tc>
        <w:tc>
          <w:tcPr>
            <w:tcW w:w="153" w:type="pct"/>
            <w:noWrap/>
            <w:vAlign w:val="bottom"/>
            <w:hideMark/>
          </w:tcPr>
          <w:p w14:paraId="1FECBE8E" w14:textId="0312AAAA" w:rsidR="004C6F8B" w:rsidRPr="00515B3A" w:rsidRDefault="004C6F8B" w:rsidP="004C6F8B">
            <w:pPr>
              <w:keepNext/>
              <w:rPr>
                <w:rFonts w:cs="Calibri"/>
                <w:color w:val="000000"/>
                <w:sz w:val="16"/>
                <w:szCs w:val="16"/>
              </w:rPr>
            </w:pPr>
          </w:p>
        </w:tc>
        <w:tc>
          <w:tcPr>
            <w:tcW w:w="380" w:type="pct"/>
            <w:tcBorders>
              <w:top w:val="nil"/>
              <w:left w:val="single" w:sz="8" w:space="0" w:color="auto"/>
              <w:bottom w:val="single" w:sz="4" w:space="0" w:color="auto"/>
              <w:right w:val="single" w:sz="4" w:space="0" w:color="auto"/>
            </w:tcBorders>
            <w:noWrap/>
            <w:vAlign w:val="bottom"/>
            <w:hideMark/>
          </w:tcPr>
          <w:p w14:paraId="585719A3"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NIVO</w:t>
            </w:r>
          </w:p>
        </w:tc>
        <w:tc>
          <w:tcPr>
            <w:tcW w:w="533" w:type="pct"/>
            <w:tcBorders>
              <w:top w:val="nil"/>
              <w:left w:val="nil"/>
              <w:bottom w:val="single" w:sz="4" w:space="0" w:color="auto"/>
              <w:right w:val="single" w:sz="4" w:space="0" w:color="auto"/>
            </w:tcBorders>
            <w:noWrap/>
            <w:vAlign w:val="bottom"/>
            <w:hideMark/>
          </w:tcPr>
          <w:p w14:paraId="207F6A11"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PEMBRO</w:t>
            </w:r>
          </w:p>
        </w:tc>
        <w:tc>
          <w:tcPr>
            <w:tcW w:w="610" w:type="pct"/>
            <w:tcBorders>
              <w:top w:val="nil"/>
              <w:left w:val="nil"/>
              <w:bottom w:val="single" w:sz="4" w:space="0" w:color="auto"/>
              <w:right w:val="single" w:sz="8" w:space="0" w:color="auto"/>
            </w:tcBorders>
            <w:noWrap/>
            <w:vAlign w:val="bottom"/>
            <w:hideMark/>
          </w:tcPr>
          <w:p w14:paraId="5314DE93"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NIVO+IPI</w:t>
            </w:r>
          </w:p>
        </w:tc>
        <w:tc>
          <w:tcPr>
            <w:tcW w:w="305" w:type="pct"/>
            <w:vMerge/>
            <w:tcBorders>
              <w:top w:val="single" w:sz="8" w:space="0" w:color="auto"/>
              <w:left w:val="single" w:sz="8" w:space="0" w:color="auto"/>
              <w:bottom w:val="single" w:sz="8" w:space="0" w:color="000000"/>
              <w:right w:val="single" w:sz="8" w:space="0" w:color="auto"/>
            </w:tcBorders>
            <w:vAlign w:val="center"/>
            <w:hideMark/>
          </w:tcPr>
          <w:p w14:paraId="62AB836B" w14:textId="77777777" w:rsidR="004C6F8B" w:rsidRDefault="004C6F8B" w:rsidP="004C6F8B">
            <w:pPr>
              <w:keepNext/>
              <w:jc w:val="left"/>
              <w:rPr>
                <w:rFonts w:cs="Calibri"/>
                <w:color w:val="000000"/>
                <w:sz w:val="18"/>
                <w:szCs w:val="18"/>
              </w:rPr>
            </w:pPr>
          </w:p>
        </w:tc>
        <w:tc>
          <w:tcPr>
            <w:tcW w:w="884" w:type="pct"/>
            <w:vMerge/>
            <w:tcBorders>
              <w:top w:val="single" w:sz="8" w:space="0" w:color="auto"/>
              <w:left w:val="single" w:sz="8" w:space="0" w:color="auto"/>
              <w:bottom w:val="single" w:sz="8" w:space="0" w:color="000000"/>
              <w:right w:val="single" w:sz="8" w:space="0" w:color="auto"/>
            </w:tcBorders>
            <w:vAlign w:val="center"/>
            <w:hideMark/>
          </w:tcPr>
          <w:p w14:paraId="68DD8DCA" w14:textId="77777777" w:rsidR="004C6F8B" w:rsidRDefault="004C6F8B" w:rsidP="004C6F8B">
            <w:pPr>
              <w:keepNext/>
              <w:jc w:val="left"/>
              <w:rPr>
                <w:rFonts w:cs="Calibri"/>
                <w:color w:val="000000"/>
                <w:sz w:val="18"/>
                <w:szCs w:val="18"/>
              </w:rPr>
            </w:pPr>
          </w:p>
        </w:tc>
      </w:tr>
      <w:tr w:rsidR="004C6F8B" w14:paraId="7C914219" w14:textId="77777777" w:rsidTr="004C6F8B">
        <w:trPr>
          <w:trHeight w:val="291"/>
        </w:trPr>
        <w:tc>
          <w:tcPr>
            <w:tcW w:w="228" w:type="pct"/>
            <w:vMerge/>
            <w:tcBorders>
              <w:top w:val="single" w:sz="8" w:space="0" w:color="auto"/>
              <w:left w:val="single" w:sz="8" w:space="0" w:color="auto"/>
              <w:bottom w:val="single" w:sz="8" w:space="0" w:color="000000"/>
              <w:right w:val="single" w:sz="8" w:space="0" w:color="auto"/>
            </w:tcBorders>
            <w:vAlign w:val="center"/>
            <w:hideMark/>
          </w:tcPr>
          <w:p w14:paraId="7D155577" w14:textId="77777777" w:rsidR="004C6F8B" w:rsidRPr="00515B3A" w:rsidRDefault="004C6F8B" w:rsidP="004C6F8B">
            <w:pPr>
              <w:keepNext/>
              <w:jc w:val="left"/>
              <w:rPr>
                <w:rFonts w:cs="Calibri"/>
                <w:b/>
                <w:bCs/>
                <w:color w:val="000000"/>
                <w:sz w:val="18"/>
                <w:szCs w:val="18"/>
              </w:rPr>
            </w:pPr>
          </w:p>
        </w:tc>
        <w:tc>
          <w:tcPr>
            <w:tcW w:w="1449" w:type="pct"/>
            <w:gridSpan w:val="3"/>
            <w:tcBorders>
              <w:top w:val="nil"/>
              <w:left w:val="nil"/>
              <w:bottom w:val="single" w:sz="8" w:space="0" w:color="auto"/>
              <w:right w:val="single" w:sz="8" w:space="0" w:color="000000"/>
            </w:tcBorders>
            <w:shd w:val="clear" w:color="auto" w:fill="D0CECE"/>
            <w:noWrap/>
            <w:vAlign w:val="bottom"/>
            <w:hideMark/>
          </w:tcPr>
          <w:p w14:paraId="367CC27F"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NIVO+RELA </w:t>
            </w:r>
          </w:p>
        </w:tc>
        <w:tc>
          <w:tcPr>
            <w:tcW w:w="305" w:type="pct"/>
            <w:vMerge/>
            <w:tcBorders>
              <w:top w:val="nil"/>
              <w:left w:val="single" w:sz="8" w:space="0" w:color="auto"/>
              <w:bottom w:val="single" w:sz="8" w:space="0" w:color="000000"/>
              <w:right w:val="single" w:sz="8" w:space="0" w:color="auto"/>
            </w:tcBorders>
            <w:vAlign w:val="center"/>
            <w:hideMark/>
          </w:tcPr>
          <w:p w14:paraId="6B3E5D2C" w14:textId="77777777" w:rsidR="004C6F8B" w:rsidRPr="00515B3A" w:rsidRDefault="004C6F8B" w:rsidP="004C6F8B">
            <w:pPr>
              <w:keepNext/>
              <w:jc w:val="left"/>
              <w:rPr>
                <w:rFonts w:cs="Calibri"/>
                <w:color w:val="000000"/>
                <w:sz w:val="16"/>
                <w:szCs w:val="16"/>
              </w:rPr>
            </w:pPr>
          </w:p>
        </w:tc>
        <w:tc>
          <w:tcPr>
            <w:tcW w:w="153" w:type="pct"/>
          </w:tcPr>
          <w:p w14:paraId="196DEA03" w14:textId="77777777" w:rsidR="004C6F8B" w:rsidRPr="00515B3A" w:rsidRDefault="004C6F8B" w:rsidP="004C6F8B">
            <w:pPr>
              <w:keepNext/>
              <w:rPr>
                <w:rFonts w:cs="Calibri"/>
                <w:color w:val="000000"/>
                <w:sz w:val="16"/>
                <w:szCs w:val="16"/>
              </w:rPr>
            </w:pPr>
          </w:p>
        </w:tc>
        <w:tc>
          <w:tcPr>
            <w:tcW w:w="153" w:type="pct"/>
            <w:noWrap/>
            <w:vAlign w:val="bottom"/>
            <w:hideMark/>
          </w:tcPr>
          <w:p w14:paraId="5289556C" w14:textId="2C0D687A" w:rsidR="004C6F8B" w:rsidRPr="00515B3A" w:rsidRDefault="004C6F8B" w:rsidP="004C6F8B">
            <w:pPr>
              <w:keepNext/>
              <w:rPr>
                <w:rFonts w:cs="Calibri"/>
                <w:color w:val="000000"/>
                <w:sz w:val="16"/>
                <w:szCs w:val="16"/>
              </w:rPr>
            </w:pPr>
          </w:p>
        </w:tc>
        <w:tc>
          <w:tcPr>
            <w:tcW w:w="1523" w:type="pct"/>
            <w:gridSpan w:val="3"/>
            <w:tcBorders>
              <w:top w:val="nil"/>
              <w:left w:val="single" w:sz="8" w:space="0" w:color="auto"/>
              <w:bottom w:val="single" w:sz="8" w:space="0" w:color="auto"/>
              <w:right w:val="single" w:sz="8" w:space="0" w:color="000000"/>
            </w:tcBorders>
            <w:shd w:val="clear" w:color="auto" w:fill="D0CECE"/>
            <w:noWrap/>
            <w:vAlign w:val="bottom"/>
            <w:hideMark/>
          </w:tcPr>
          <w:p w14:paraId="799EF48F" w14:textId="77777777" w:rsidR="004C6F8B" w:rsidRPr="00515B3A" w:rsidRDefault="004C6F8B" w:rsidP="004C6F8B">
            <w:pPr>
              <w:keepNext/>
              <w:jc w:val="center"/>
              <w:rPr>
                <w:rFonts w:cs="Calibri"/>
                <w:color w:val="000000"/>
                <w:sz w:val="18"/>
                <w:szCs w:val="18"/>
              </w:rPr>
            </w:pPr>
            <w:r w:rsidRPr="00515B3A">
              <w:rPr>
                <w:rFonts w:cs="Calibri"/>
                <w:color w:val="000000"/>
                <w:sz w:val="18"/>
                <w:szCs w:val="18"/>
              </w:rPr>
              <w:t>NIVO+RELA</w:t>
            </w:r>
          </w:p>
        </w:tc>
        <w:tc>
          <w:tcPr>
            <w:tcW w:w="305" w:type="pct"/>
            <w:vMerge/>
            <w:tcBorders>
              <w:top w:val="single" w:sz="8" w:space="0" w:color="auto"/>
              <w:left w:val="single" w:sz="8" w:space="0" w:color="auto"/>
              <w:bottom w:val="single" w:sz="8" w:space="0" w:color="000000"/>
              <w:right w:val="single" w:sz="8" w:space="0" w:color="auto"/>
            </w:tcBorders>
            <w:vAlign w:val="center"/>
            <w:hideMark/>
          </w:tcPr>
          <w:p w14:paraId="62191A78" w14:textId="77777777" w:rsidR="004C6F8B" w:rsidRDefault="004C6F8B" w:rsidP="004C6F8B">
            <w:pPr>
              <w:keepNext/>
              <w:jc w:val="left"/>
              <w:rPr>
                <w:rFonts w:cs="Calibri"/>
                <w:color w:val="000000"/>
                <w:sz w:val="18"/>
                <w:szCs w:val="18"/>
              </w:rPr>
            </w:pPr>
          </w:p>
        </w:tc>
        <w:tc>
          <w:tcPr>
            <w:tcW w:w="884" w:type="pct"/>
            <w:vMerge/>
            <w:tcBorders>
              <w:top w:val="single" w:sz="8" w:space="0" w:color="auto"/>
              <w:left w:val="single" w:sz="8" w:space="0" w:color="auto"/>
              <w:bottom w:val="single" w:sz="8" w:space="0" w:color="000000"/>
              <w:right w:val="single" w:sz="8" w:space="0" w:color="auto"/>
            </w:tcBorders>
            <w:vAlign w:val="center"/>
            <w:hideMark/>
          </w:tcPr>
          <w:p w14:paraId="781945A2" w14:textId="77777777" w:rsidR="004C6F8B" w:rsidRDefault="004C6F8B" w:rsidP="004C6F8B">
            <w:pPr>
              <w:keepNext/>
              <w:jc w:val="left"/>
              <w:rPr>
                <w:rFonts w:cs="Calibri"/>
                <w:color w:val="000000"/>
                <w:sz w:val="18"/>
                <w:szCs w:val="18"/>
              </w:rPr>
            </w:pPr>
          </w:p>
        </w:tc>
      </w:tr>
    </w:tbl>
    <w:p w14:paraId="6BA1A8CC" w14:textId="77777777" w:rsidR="00D24261" w:rsidRDefault="00D24261" w:rsidP="004C6F8B">
      <w:pPr>
        <w:pStyle w:val="TableFigureFooter"/>
        <w:keepNext/>
      </w:pPr>
      <w:r>
        <w:t>Source: Figure 6, p28 of the submission.</w:t>
      </w:r>
    </w:p>
    <w:p w14:paraId="33D593B8" w14:textId="77777777" w:rsidR="00D24261" w:rsidRDefault="00D24261" w:rsidP="004C6F8B">
      <w:pPr>
        <w:pStyle w:val="TableFigureFooter"/>
        <w:keepNext/>
      </w:pPr>
      <w:r>
        <w:t>BRAF= B-Raf proto-oncogene, IPI= ipilimumab, PEMBRO= pembrolizumab, PD-1= programmed cell death protein 1, NIVO= nivolumab, NIVO+IPI= nivolumab plus ipilimumab, RELA= relatlimab, RELA+NIVO= relatlimab plus nivolumab.</w:t>
      </w:r>
    </w:p>
    <w:p w14:paraId="2390CC31" w14:textId="77777777" w:rsidR="00D24261" w:rsidRDefault="00D24261" w:rsidP="00D24261">
      <w:pPr>
        <w:pStyle w:val="TableFigureFooter"/>
      </w:pPr>
      <w:r>
        <w:t>*PBS allows treatment with one anti-PD1 based treatment per patient. Choice between those listed above. Prior treatment with IPI excludes anti-PD1 treatment.</w:t>
      </w:r>
    </w:p>
    <w:p w14:paraId="04F63F2F" w14:textId="77777777" w:rsidR="00D24261" w:rsidRPr="007E660C" w:rsidRDefault="00D24261" w:rsidP="00D24261">
      <w:pPr>
        <w:pStyle w:val="TableFigureFooter"/>
        <w:rPr>
          <w:color w:val="0066FF"/>
        </w:rPr>
      </w:pPr>
      <w:r>
        <w:t>#PBS allows treatment with IPI and BRAF inhibitor-based treatment as either 1st or 2nd line treatment.</w:t>
      </w:r>
    </w:p>
    <w:p w14:paraId="75E29735" w14:textId="46CD13C0" w:rsidR="00D24261" w:rsidRPr="006421D0" w:rsidRDefault="00D24261" w:rsidP="00D24261">
      <w:pPr>
        <w:pStyle w:val="3-BodyText"/>
        <w:numPr>
          <w:ilvl w:val="1"/>
          <w:numId w:val="1"/>
        </w:numPr>
        <w:rPr>
          <w:color w:val="0066FF"/>
        </w:rPr>
      </w:pPr>
      <w:r w:rsidRPr="00C1742E">
        <w:t xml:space="preserve">Relatlimab is a fully human antibody specified for human </w:t>
      </w:r>
      <w:r w:rsidR="00C814C9">
        <w:t>lymphocyte activation gene (</w:t>
      </w:r>
      <w:r w:rsidRPr="00C1742E">
        <w:t>LAG</w:t>
      </w:r>
      <w:r w:rsidR="00C814C9">
        <w:t>)</w:t>
      </w:r>
      <w:r w:rsidRPr="00C1742E">
        <w:t>-3, which binds to a defined epitope on LAG-3 and blocks the interaction of LAG-3 with its ligand. Relatlimab enhances activation human T-cells in superantigen simulation assays when added alone or in combination with nivolumab</w:t>
      </w:r>
      <w:r>
        <w:t xml:space="preserve">. </w:t>
      </w:r>
      <w:r w:rsidRPr="00C1742E">
        <w:t xml:space="preserve">Nivolumab </w:t>
      </w:r>
      <w:r w:rsidRPr="006421D0">
        <w:t xml:space="preserve">acts as an immunomodulating agent by blocking the interaction between PD-1 and its ligands (PD-L1 and PD-L2), resulting in activation of T-cells and cell-mediated immune responses against tumour cells or pathogens. </w:t>
      </w:r>
    </w:p>
    <w:p w14:paraId="10CFC1BF" w14:textId="1874D483" w:rsidR="00D24261" w:rsidRPr="006421D0" w:rsidRDefault="00D24261" w:rsidP="00D24261">
      <w:pPr>
        <w:pStyle w:val="3-BodyText"/>
        <w:numPr>
          <w:ilvl w:val="1"/>
          <w:numId w:val="1"/>
        </w:numPr>
      </w:pPr>
      <w:r w:rsidRPr="006421D0">
        <w:t xml:space="preserve">For </w:t>
      </w:r>
      <w:r w:rsidR="009B40FE" w:rsidRPr="006421D0">
        <w:t>B-Raf proto-oncogene (</w:t>
      </w:r>
      <w:r w:rsidRPr="006421D0">
        <w:t>BRAF</w:t>
      </w:r>
      <w:r w:rsidR="009B40FE" w:rsidRPr="006421D0">
        <w:t>)</w:t>
      </w:r>
      <w:r w:rsidRPr="006421D0">
        <w:t>-negative (wild-type) patients, immunotherapy with nivolumab, pembrolizumab or combination of NIVO+IPI is recommended for the first-line setting. The</w:t>
      </w:r>
      <w:r w:rsidRPr="006421D0">
        <w:rPr>
          <w:color w:val="0066FF"/>
        </w:rPr>
        <w:t xml:space="preserve"> </w:t>
      </w:r>
      <w:r w:rsidRPr="006421D0">
        <w:t>National Comprehensive Cancer Network (NCCN) recently recommended the use of RELA+NIVO in the first line of therapy for unresectable Stage III or IV metastatic melanoma</w:t>
      </w:r>
      <w:r w:rsidRPr="006421D0">
        <w:rPr>
          <w:rStyle w:val="FootnoteReference"/>
        </w:rPr>
        <w:footnoteReference w:id="4"/>
      </w:r>
      <w:r w:rsidRPr="006421D0">
        <w:t xml:space="preserve">. </w:t>
      </w:r>
    </w:p>
    <w:p w14:paraId="78326AF1" w14:textId="77777777" w:rsidR="008E7723" w:rsidRPr="008E7723" w:rsidRDefault="00D24261" w:rsidP="00D24261">
      <w:pPr>
        <w:pStyle w:val="3-BodyText"/>
        <w:numPr>
          <w:ilvl w:val="1"/>
          <w:numId w:val="1"/>
        </w:numPr>
        <w:rPr>
          <w:color w:val="0066FF"/>
        </w:rPr>
      </w:pPr>
      <w:r w:rsidRPr="006421D0">
        <w:t>BRAF-positive (mutant) patients can receive sequential treatment with PD-1 and BRAF inhibitors</w:t>
      </w:r>
      <w:r w:rsidR="008F35A9" w:rsidRPr="006421D0">
        <w:t xml:space="preserve">, with clinical factors dictating </w:t>
      </w:r>
      <w:r w:rsidRPr="006421D0">
        <w:t>the optimal sequence of treatment</w:t>
      </w:r>
      <w:r w:rsidR="008E7723">
        <w:t>.</w:t>
      </w:r>
    </w:p>
    <w:p w14:paraId="413DA140" w14:textId="77777777" w:rsidR="008E7723" w:rsidRPr="008E7723" w:rsidRDefault="008E7723" w:rsidP="008E7723">
      <w:pPr>
        <w:pStyle w:val="ListParagraph"/>
        <w:numPr>
          <w:ilvl w:val="0"/>
          <w:numId w:val="0"/>
        </w:numPr>
        <w:ind w:left="720"/>
        <w:rPr>
          <w:i/>
        </w:rPr>
      </w:pPr>
      <w:r w:rsidRPr="008E7723">
        <w:rPr>
          <w:i/>
        </w:rPr>
        <w:t>For more detail on PBAC’s view, see section 7 PBAC outcome.</w:t>
      </w:r>
    </w:p>
    <w:p w14:paraId="2DE44F60" w14:textId="77777777" w:rsidR="00D24261" w:rsidRPr="006421D0" w:rsidRDefault="00D24261" w:rsidP="00D24261">
      <w:pPr>
        <w:pStyle w:val="2-SectionHeading"/>
        <w:numPr>
          <w:ilvl w:val="0"/>
          <w:numId w:val="1"/>
        </w:numPr>
      </w:pPr>
      <w:bookmarkStart w:id="21" w:name="_Toc103768652"/>
      <w:r w:rsidRPr="006421D0">
        <w:lastRenderedPageBreak/>
        <w:t>Comparator</w:t>
      </w:r>
      <w:bookmarkEnd w:id="21"/>
    </w:p>
    <w:p w14:paraId="2AC5D4E4" w14:textId="5CA09537" w:rsidR="00D24261" w:rsidRPr="006421D0" w:rsidRDefault="00D24261" w:rsidP="007528FB">
      <w:pPr>
        <w:pStyle w:val="3-BodyText"/>
        <w:numPr>
          <w:ilvl w:val="1"/>
          <w:numId w:val="1"/>
        </w:numPr>
        <w:rPr>
          <w:snapToGrid/>
          <w:lang w:val="en-US"/>
        </w:rPr>
      </w:pPr>
      <w:r w:rsidRPr="006421D0">
        <w:rPr>
          <w:snapToGrid/>
          <w:lang w:val="en-US"/>
        </w:rPr>
        <w:t xml:space="preserve">The submission nominated nivolumab monotherapy, a proxy for treatment with PD-1 inhibitor monotherapy, as the main comparator. </w:t>
      </w:r>
      <w:r w:rsidR="00F8558D" w:rsidRPr="006421D0">
        <w:rPr>
          <w:snapToGrid/>
          <w:lang w:val="en-US"/>
        </w:rPr>
        <w:t>N</w:t>
      </w:r>
      <w:r w:rsidRPr="006421D0">
        <w:rPr>
          <w:snapToGrid/>
          <w:lang w:val="en-US"/>
        </w:rPr>
        <w:t xml:space="preserve">ivolumab plus ipilimumab (NIVO+IPI) was nominated as a secondary comparator. The main arguments provided </w:t>
      </w:r>
      <w:r w:rsidR="00D80C6B" w:rsidRPr="006421D0">
        <w:rPr>
          <w:snapToGrid/>
          <w:lang w:val="en-US"/>
        </w:rPr>
        <w:t xml:space="preserve">by the submission </w:t>
      </w:r>
      <w:r w:rsidRPr="006421D0">
        <w:rPr>
          <w:snapToGrid/>
          <w:lang w:val="en-US"/>
        </w:rPr>
        <w:t xml:space="preserve">in support </w:t>
      </w:r>
      <w:r w:rsidR="00D80C6B" w:rsidRPr="006421D0">
        <w:rPr>
          <w:snapToGrid/>
          <w:lang w:val="en-US"/>
        </w:rPr>
        <w:t>these</w:t>
      </w:r>
      <w:r w:rsidRPr="006421D0">
        <w:rPr>
          <w:snapToGrid/>
          <w:lang w:val="en-US"/>
        </w:rPr>
        <w:t xml:space="preserve"> nomination</w:t>
      </w:r>
      <w:r w:rsidR="00D80C6B" w:rsidRPr="006421D0">
        <w:rPr>
          <w:snapToGrid/>
          <w:lang w:val="en-US"/>
        </w:rPr>
        <w:t>s</w:t>
      </w:r>
      <w:r w:rsidRPr="006421D0">
        <w:rPr>
          <w:snapToGrid/>
          <w:lang w:val="en-US"/>
        </w:rPr>
        <w:t xml:space="preserve"> were:</w:t>
      </w:r>
    </w:p>
    <w:p w14:paraId="0284FF74" w14:textId="16CD2DB3" w:rsidR="00D24261" w:rsidRPr="006421D0" w:rsidRDefault="00D24261" w:rsidP="007528FB">
      <w:pPr>
        <w:pStyle w:val="3-BodyText"/>
        <w:numPr>
          <w:ilvl w:val="0"/>
          <w:numId w:val="5"/>
        </w:numPr>
        <w:ind w:left="993" w:hanging="284"/>
        <w:rPr>
          <w:snapToGrid/>
          <w:lang w:val="en-US"/>
        </w:rPr>
      </w:pPr>
      <w:r w:rsidRPr="006421D0">
        <w:rPr>
          <w:snapToGrid/>
          <w:lang w:val="en-US"/>
        </w:rPr>
        <w:t xml:space="preserve">PD-1 inhibitor monotherapy is predominantly used as first-line treatment of unresectable Stage III or IV melanoma in Australia. </w:t>
      </w:r>
      <w:r w:rsidR="00414B67" w:rsidRPr="006421D0">
        <w:rPr>
          <w:snapToGrid/>
          <w:lang w:val="en-US"/>
        </w:rPr>
        <w:t>The</w:t>
      </w:r>
      <w:r w:rsidR="0077732D">
        <w:rPr>
          <w:snapToGrid/>
          <w:lang w:val="en-US"/>
        </w:rPr>
        <w:t xml:space="preserve"> Pre-Sub-Committee Response</w:t>
      </w:r>
      <w:r w:rsidR="00414B67" w:rsidRPr="006421D0">
        <w:rPr>
          <w:snapToGrid/>
          <w:lang w:val="en-US"/>
        </w:rPr>
        <w:t xml:space="preserve"> </w:t>
      </w:r>
      <w:r w:rsidR="0077732D">
        <w:rPr>
          <w:snapToGrid/>
          <w:lang w:val="en-US"/>
        </w:rPr>
        <w:t>(</w:t>
      </w:r>
      <w:r w:rsidR="00414B67" w:rsidRPr="006421D0">
        <w:rPr>
          <w:snapToGrid/>
          <w:lang w:val="en-US"/>
        </w:rPr>
        <w:t>PSCR</w:t>
      </w:r>
      <w:r w:rsidR="0077732D">
        <w:rPr>
          <w:snapToGrid/>
          <w:lang w:val="en-US"/>
        </w:rPr>
        <w:t>)</w:t>
      </w:r>
      <w:r w:rsidR="00414B67" w:rsidRPr="006421D0">
        <w:rPr>
          <w:snapToGrid/>
          <w:lang w:val="en-US"/>
        </w:rPr>
        <w:t xml:space="preserve"> stated that 49% of patients are initiated on PD-1 </w:t>
      </w:r>
      <w:r w:rsidR="008F35A9" w:rsidRPr="006421D0">
        <w:rPr>
          <w:snapToGrid/>
          <w:lang w:val="en-US"/>
        </w:rPr>
        <w:t>mono</w:t>
      </w:r>
      <w:r w:rsidR="00414B67" w:rsidRPr="006421D0">
        <w:rPr>
          <w:snapToGrid/>
          <w:lang w:val="en-US"/>
        </w:rPr>
        <w:t>therapy.</w:t>
      </w:r>
    </w:p>
    <w:p w14:paraId="4348C9B3" w14:textId="77777777" w:rsidR="00D24261" w:rsidRPr="006421D0" w:rsidRDefault="00D24261" w:rsidP="007528FB">
      <w:pPr>
        <w:pStyle w:val="3-BodyText"/>
        <w:numPr>
          <w:ilvl w:val="0"/>
          <w:numId w:val="5"/>
        </w:numPr>
        <w:ind w:left="993" w:hanging="284"/>
        <w:rPr>
          <w:snapToGrid/>
          <w:lang w:val="en-US"/>
        </w:rPr>
      </w:pPr>
      <w:r w:rsidRPr="006421D0">
        <w:rPr>
          <w:snapToGrid/>
          <w:lang w:val="en-US"/>
        </w:rPr>
        <w:t>The choice between PD-1 based or BRAF-based treatment is mainly based on patients’ individual disease and circumstances.</w:t>
      </w:r>
    </w:p>
    <w:p w14:paraId="5A6EB996" w14:textId="0F70C8A3" w:rsidR="00D24261" w:rsidRPr="006421D0" w:rsidRDefault="00D24261" w:rsidP="007528FB">
      <w:pPr>
        <w:pStyle w:val="3-BodyText"/>
        <w:numPr>
          <w:ilvl w:val="0"/>
          <w:numId w:val="5"/>
        </w:numPr>
        <w:ind w:left="993" w:hanging="284"/>
        <w:rPr>
          <w:snapToGrid/>
          <w:lang w:val="en-US"/>
        </w:rPr>
      </w:pPr>
      <w:r w:rsidRPr="006421D0">
        <w:rPr>
          <w:snapToGrid/>
          <w:lang w:val="en-US"/>
        </w:rPr>
        <w:t>Head-to-head evidence comparing RELA+NIVO and nivolumab monotherapy is available.</w:t>
      </w:r>
      <w:r w:rsidR="00C97B17" w:rsidRPr="006421D0">
        <w:rPr>
          <w:snapToGrid/>
          <w:lang w:val="en-US"/>
        </w:rPr>
        <w:t xml:space="preserve"> The ESC noted the available evidence does not dictate the comparator.</w:t>
      </w:r>
    </w:p>
    <w:p w14:paraId="6499F901" w14:textId="25FA6157" w:rsidR="002C66DE" w:rsidRPr="006421D0" w:rsidRDefault="002C66DE" w:rsidP="007528FB">
      <w:pPr>
        <w:pStyle w:val="3-BodyText"/>
        <w:numPr>
          <w:ilvl w:val="1"/>
          <w:numId w:val="1"/>
        </w:numPr>
        <w:rPr>
          <w:snapToGrid/>
          <w:lang w:val="en-US"/>
        </w:rPr>
      </w:pPr>
      <w:r w:rsidRPr="006421D0">
        <w:rPr>
          <w:snapToGrid/>
          <w:lang w:val="en-US"/>
        </w:rPr>
        <w:t xml:space="preserve">The nominated </w:t>
      </w:r>
      <w:r w:rsidR="004C6F8B" w:rsidRPr="006421D0">
        <w:rPr>
          <w:snapToGrid/>
          <w:lang w:val="en-US"/>
        </w:rPr>
        <w:t xml:space="preserve">main </w:t>
      </w:r>
      <w:r w:rsidRPr="006421D0">
        <w:rPr>
          <w:snapToGrid/>
          <w:lang w:val="en-US"/>
        </w:rPr>
        <w:t xml:space="preserve">comparator (nivolumab monotherapy) and secondary comparator (NIVO+IPI) </w:t>
      </w:r>
      <w:r w:rsidR="00885C89" w:rsidRPr="006421D0">
        <w:rPr>
          <w:snapToGrid/>
          <w:lang w:val="en-US"/>
        </w:rPr>
        <w:t>were</w:t>
      </w:r>
      <w:r w:rsidRPr="006421D0">
        <w:rPr>
          <w:snapToGrid/>
          <w:lang w:val="en-US"/>
        </w:rPr>
        <w:t xml:space="preserve"> used </w:t>
      </w:r>
      <w:r w:rsidR="00293896" w:rsidRPr="006421D0">
        <w:rPr>
          <w:snapToGrid/>
          <w:lang w:val="en-US"/>
        </w:rPr>
        <w:t>to determine</w:t>
      </w:r>
      <w:r w:rsidRPr="006421D0">
        <w:rPr>
          <w:snapToGrid/>
          <w:lang w:val="en-US"/>
        </w:rPr>
        <w:t xml:space="preserve"> the comparative effectiveness and safety of RELA+NIVO. However, only the main comparator </w:t>
      </w:r>
      <w:r w:rsidR="004C6F8B" w:rsidRPr="006421D0">
        <w:rPr>
          <w:snapToGrid/>
          <w:lang w:val="en-US"/>
        </w:rPr>
        <w:t xml:space="preserve">(nivolumab monotherapy) </w:t>
      </w:r>
      <w:r w:rsidRPr="006421D0">
        <w:rPr>
          <w:snapToGrid/>
          <w:lang w:val="en-US"/>
        </w:rPr>
        <w:t xml:space="preserve">was </w:t>
      </w:r>
      <w:r w:rsidR="00885C89" w:rsidRPr="006421D0">
        <w:rPr>
          <w:snapToGrid/>
          <w:lang w:val="en-US"/>
        </w:rPr>
        <w:t>used in</w:t>
      </w:r>
      <w:r w:rsidRPr="006421D0">
        <w:rPr>
          <w:snapToGrid/>
          <w:lang w:val="en-US"/>
        </w:rPr>
        <w:t xml:space="preserve"> the economic model and financial estimates. </w:t>
      </w:r>
    </w:p>
    <w:p w14:paraId="64D28D00" w14:textId="26031761" w:rsidR="00D24261" w:rsidRPr="006421D0" w:rsidRDefault="00D24261" w:rsidP="007528FB">
      <w:pPr>
        <w:pStyle w:val="3-BodyText"/>
        <w:numPr>
          <w:ilvl w:val="1"/>
          <w:numId w:val="1"/>
        </w:numPr>
        <w:rPr>
          <w:snapToGrid/>
          <w:lang w:val="en-US"/>
        </w:rPr>
      </w:pPr>
      <w:r w:rsidRPr="006421D0">
        <w:rPr>
          <w:snapToGrid/>
          <w:lang w:val="en-US"/>
        </w:rPr>
        <w:t xml:space="preserve">The </w:t>
      </w:r>
      <w:r w:rsidR="00D80C6B" w:rsidRPr="006421D0">
        <w:rPr>
          <w:snapToGrid/>
          <w:lang w:val="en-US"/>
        </w:rPr>
        <w:t xml:space="preserve">ESC considered that the </w:t>
      </w:r>
      <w:r w:rsidRPr="006421D0">
        <w:rPr>
          <w:snapToGrid/>
          <w:lang w:val="en-US"/>
        </w:rPr>
        <w:t xml:space="preserve">choice of nivolumab monotherapy as the main comparator </w:t>
      </w:r>
      <w:r w:rsidR="00D80C6B" w:rsidRPr="006421D0">
        <w:rPr>
          <w:snapToGrid/>
          <w:lang w:val="en-US"/>
        </w:rPr>
        <w:t>was not</w:t>
      </w:r>
      <w:r w:rsidRPr="006421D0">
        <w:rPr>
          <w:snapToGrid/>
          <w:lang w:val="en-US"/>
        </w:rPr>
        <w:t xml:space="preserve"> appropriate, </w:t>
      </w:r>
      <w:r w:rsidR="00D80C6B" w:rsidRPr="006421D0">
        <w:rPr>
          <w:snapToGrid/>
          <w:lang w:val="en-US"/>
        </w:rPr>
        <w:t xml:space="preserve">with </w:t>
      </w:r>
      <w:r w:rsidRPr="006421D0">
        <w:rPr>
          <w:snapToGrid/>
          <w:lang w:val="en-US"/>
        </w:rPr>
        <w:t xml:space="preserve">the </w:t>
      </w:r>
      <w:r w:rsidR="00DF7145" w:rsidRPr="006421D0">
        <w:rPr>
          <w:snapToGrid/>
          <w:lang w:val="en-US"/>
        </w:rPr>
        <w:t>most appropriate</w:t>
      </w:r>
      <w:r w:rsidRPr="006421D0">
        <w:rPr>
          <w:snapToGrid/>
          <w:lang w:val="en-US"/>
        </w:rPr>
        <w:t xml:space="preserve"> comparator for RELA+NIVO </w:t>
      </w:r>
      <w:r w:rsidR="00D80C6B" w:rsidRPr="006421D0">
        <w:rPr>
          <w:snapToGrid/>
          <w:lang w:val="en-US"/>
        </w:rPr>
        <w:t>being</w:t>
      </w:r>
      <w:r w:rsidRPr="006421D0">
        <w:rPr>
          <w:snapToGrid/>
          <w:lang w:val="en-US"/>
        </w:rPr>
        <w:t xml:space="preserve"> NIVO+IPI for the following reasons:</w:t>
      </w:r>
      <w:r w:rsidR="000A5B8A" w:rsidRPr="006421D0">
        <w:rPr>
          <w:snapToGrid/>
          <w:lang w:val="en-US"/>
        </w:rPr>
        <w:t xml:space="preserve"> </w:t>
      </w:r>
    </w:p>
    <w:p w14:paraId="5F424FB5" w14:textId="092441A2" w:rsidR="004168FE" w:rsidRPr="006421D0" w:rsidRDefault="001733D4" w:rsidP="007528FB">
      <w:pPr>
        <w:pStyle w:val="3-BodyText"/>
        <w:numPr>
          <w:ilvl w:val="0"/>
          <w:numId w:val="6"/>
        </w:numPr>
        <w:ind w:left="993" w:hanging="284"/>
      </w:pPr>
      <w:r w:rsidRPr="006421D0">
        <w:rPr>
          <w:snapToGrid/>
          <w:lang w:val="en-US"/>
        </w:rPr>
        <w:t>Based on the improved p</w:t>
      </w:r>
      <w:r w:rsidRPr="006421D0">
        <w:t>rogression-free survival (PFS) and overall survival (OS) with combination therapy (e.g., NIVO+IPI) compared with nivolumab alone</w:t>
      </w:r>
      <w:r w:rsidR="00375FA3" w:rsidRPr="006421D0">
        <w:t xml:space="preserve">, </w:t>
      </w:r>
      <w:r w:rsidR="00375FA3" w:rsidRPr="006421D0">
        <w:rPr>
          <w:snapToGrid/>
          <w:lang w:val="en-US"/>
        </w:rPr>
        <w:t>c</w:t>
      </w:r>
      <w:r w:rsidR="000A5B8A" w:rsidRPr="006421D0">
        <w:rPr>
          <w:snapToGrid/>
          <w:lang w:val="en-US"/>
        </w:rPr>
        <w:t>linical</w:t>
      </w:r>
      <w:bookmarkStart w:id="22" w:name="_Hlk103170347"/>
      <w:r w:rsidR="000A5B8A" w:rsidRPr="006421D0">
        <w:rPr>
          <w:snapToGrid/>
          <w:lang w:val="en-US"/>
        </w:rPr>
        <w:t xml:space="preserve"> </w:t>
      </w:r>
      <w:r w:rsidR="00C55296" w:rsidRPr="006421D0">
        <w:rPr>
          <w:snapToGrid/>
          <w:lang w:val="en-US"/>
        </w:rPr>
        <w:t xml:space="preserve">guidelines </w:t>
      </w:r>
      <w:r w:rsidR="002C66DE" w:rsidRPr="006421D0">
        <w:t>recommend the use of combination therapy over PD-1 inhibitor monotherapy for the treatment of unresectable Stage III or IV metastatic</w:t>
      </w:r>
      <w:r w:rsidR="002C66DE" w:rsidRPr="00AF1DAD">
        <w:t xml:space="preserve"> </w:t>
      </w:r>
      <w:r w:rsidR="002C66DE" w:rsidRPr="006421D0">
        <w:t>melanoma</w:t>
      </w:r>
      <w:r w:rsidR="006343B1" w:rsidRPr="006421D0">
        <w:t xml:space="preserve"> if tolerated</w:t>
      </w:r>
      <w:r w:rsidR="002C66DE" w:rsidRPr="006421D0">
        <w:rPr>
          <w:vertAlign w:val="superscript"/>
        </w:rPr>
        <w:footnoteReference w:id="5"/>
      </w:r>
      <w:r w:rsidR="002C66DE" w:rsidRPr="006421D0">
        <w:t xml:space="preserve">. </w:t>
      </w:r>
      <w:r w:rsidR="00414B67" w:rsidRPr="006421D0">
        <w:t xml:space="preserve">The ESC noted that combination therapy (i.e. NIVO+IPI) was increasingly the preferred first-line treatment for patients in Australia especially as the management of the adverse events associated with ipilimumab has improved. </w:t>
      </w:r>
    </w:p>
    <w:p w14:paraId="6A137BB8" w14:textId="22CD4D88" w:rsidR="001E6F70" w:rsidRDefault="00D24261" w:rsidP="007528FB">
      <w:pPr>
        <w:pStyle w:val="3-BodyText"/>
        <w:numPr>
          <w:ilvl w:val="0"/>
          <w:numId w:val="6"/>
        </w:numPr>
        <w:ind w:left="993" w:hanging="284"/>
      </w:pPr>
      <w:r w:rsidRPr="006421D0">
        <w:t>Combination therapy is also preferred in aggressive disease including patients with elevated lactate dehydrogenase (LDH) or American Joint Committee on Cancer (AJCC) baseline metastasis stage of M1c. Notably, 43% of the patients in CA224047 trial (RELA+NIVO) and 59% of the patients in CA209067 (NIVO+IPI) had M1c stage.</w:t>
      </w:r>
      <w:r w:rsidR="0029580F" w:rsidRPr="006421D0">
        <w:t xml:space="preserve"> </w:t>
      </w:r>
    </w:p>
    <w:p w14:paraId="246A1CFE" w14:textId="104B5BEB" w:rsidR="001C049E" w:rsidRDefault="0052290F" w:rsidP="002B53F8">
      <w:pPr>
        <w:pStyle w:val="Default"/>
        <w:numPr>
          <w:ilvl w:val="1"/>
          <w:numId w:val="1"/>
        </w:numPr>
        <w:spacing w:after="120"/>
        <w:jc w:val="both"/>
        <w:rPr>
          <w:rFonts w:asciiTheme="minorHAnsi" w:hAnsiTheme="minorHAnsi" w:cs="Arial"/>
          <w:snapToGrid w:val="0"/>
          <w:color w:val="auto"/>
        </w:rPr>
      </w:pPr>
      <w:r w:rsidRPr="00854715">
        <w:rPr>
          <w:rFonts w:asciiTheme="minorHAnsi" w:hAnsiTheme="minorHAnsi" w:cs="Arial"/>
          <w:snapToGrid w:val="0"/>
          <w:color w:val="auto"/>
        </w:rPr>
        <w:t xml:space="preserve">The </w:t>
      </w:r>
      <w:r w:rsidR="00631238">
        <w:rPr>
          <w:rFonts w:asciiTheme="minorHAnsi" w:hAnsiTheme="minorHAnsi" w:cs="Arial"/>
          <w:snapToGrid w:val="0"/>
          <w:color w:val="auto"/>
        </w:rPr>
        <w:t>p</w:t>
      </w:r>
      <w:r w:rsidRPr="00854715">
        <w:rPr>
          <w:rFonts w:asciiTheme="minorHAnsi" w:hAnsiTheme="minorHAnsi" w:cs="Arial"/>
          <w:snapToGrid w:val="0"/>
          <w:color w:val="auto"/>
        </w:rPr>
        <w:t xml:space="preserve">re-PBAC response </w:t>
      </w:r>
      <w:r w:rsidR="00622331" w:rsidRPr="00854715">
        <w:rPr>
          <w:rFonts w:asciiTheme="minorHAnsi" w:hAnsiTheme="minorHAnsi" w:cs="Arial"/>
          <w:snapToGrid w:val="0"/>
          <w:color w:val="auto"/>
        </w:rPr>
        <w:t xml:space="preserve">(p1) </w:t>
      </w:r>
      <w:r w:rsidRPr="00854715">
        <w:rPr>
          <w:rFonts w:asciiTheme="minorHAnsi" w:hAnsiTheme="minorHAnsi" w:cs="Arial"/>
          <w:snapToGrid w:val="0"/>
          <w:color w:val="auto"/>
        </w:rPr>
        <w:t xml:space="preserve">stated that </w:t>
      </w:r>
      <w:r w:rsidR="001B4EB1" w:rsidRPr="00854715">
        <w:rPr>
          <w:rFonts w:asciiTheme="minorHAnsi" w:hAnsiTheme="minorHAnsi" w:cs="Arial"/>
          <w:snapToGrid w:val="0"/>
          <w:color w:val="auto"/>
        </w:rPr>
        <w:t>analysis of PBS data for PD-1 monotherapy and NIVO+IPI initiation/induction d</w:t>
      </w:r>
      <w:r w:rsidR="00631238">
        <w:rPr>
          <w:rFonts w:asciiTheme="minorHAnsi" w:hAnsiTheme="minorHAnsi" w:cs="Arial"/>
          <w:snapToGrid w:val="0"/>
          <w:color w:val="auto"/>
        </w:rPr>
        <w:t>id</w:t>
      </w:r>
      <w:r w:rsidR="001B4EB1" w:rsidRPr="00854715">
        <w:rPr>
          <w:rFonts w:asciiTheme="minorHAnsi" w:hAnsiTheme="minorHAnsi" w:cs="Arial"/>
          <w:snapToGrid w:val="0"/>
          <w:color w:val="auto"/>
        </w:rPr>
        <w:t xml:space="preserve"> not indicate any increase</w:t>
      </w:r>
      <w:r w:rsidR="00631238">
        <w:rPr>
          <w:rFonts w:asciiTheme="minorHAnsi" w:hAnsiTheme="minorHAnsi" w:cs="Arial"/>
          <w:snapToGrid w:val="0"/>
          <w:color w:val="auto"/>
        </w:rPr>
        <w:t xml:space="preserve"> in </w:t>
      </w:r>
      <w:r w:rsidR="00622331" w:rsidRPr="00854715">
        <w:rPr>
          <w:rFonts w:asciiTheme="minorHAnsi" w:hAnsiTheme="minorHAnsi" w:cs="Arial"/>
          <w:snapToGrid w:val="0"/>
          <w:color w:val="auto"/>
        </w:rPr>
        <w:t xml:space="preserve">preference to </w:t>
      </w:r>
      <w:r w:rsidR="001B4EB1" w:rsidRPr="00854715">
        <w:rPr>
          <w:rFonts w:asciiTheme="minorHAnsi" w:hAnsiTheme="minorHAnsi" w:cs="Arial"/>
          <w:snapToGrid w:val="0"/>
          <w:color w:val="auto"/>
        </w:rPr>
        <w:t>initiat</w:t>
      </w:r>
      <w:r w:rsidR="00622331" w:rsidRPr="00854715">
        <w:rPr>
          <w:rFonts w:asciiTheme="minorHAnsi" w:hAnsiTheme="minorHAnsi" w:cs="Arial"/>
          <w:snapToGrid w:val="0"/>
          <w:color w:val="auto"/>
        </w:rPr>
        <w:t xml:space="preserve">e patients </w:t>
      </w:r>
      <w:r w:rsidR="002B53F8">
        <w:rPr>
          <w:rFonts w:asciiTheme="minorHAnsi" w:hAnsiTheme="minorHAnsi" w:cs="Arial"/>
          <w:snapToGrid w:val="0"/>
          <w:color w:val="auto"/>
        </w:rPr>
        <w:t>on</w:t>
      </w:r>
      <w:r w:rsidR="00622331" w:rsidRPr="00854715">
        <w:rPr>
          <w:rFonts w:asciiTheme="minorHAnsi" w:hAnsiTheme="minorHAnsi" w:cs="Arial"/>
          <w:snapToGrid w:val="0"/>
          <w:color w:val="auto"/>
        </w:rPr>
        <w:t xml:space="preserve"> </w:t>
      </w:r>
      <w:r w:rsidR="001B4EB1" w:rsidRPr="00854715">
        <w:rPr>
          <w:rFonts w:asciiTheme="minorHAnsi" w:hAnsiTheme="minorHAnsi" w:cs="Arial"/>
          <w:snapToGrid w:val="0"/>
          <w:color w:val="auto"/>
        </w:rPr>
        <w:t xml:space="preserve">combination NIVO+IPI </w:t>
      </w:r>
      <w:r w:rsidR="002B53F8">
        <w:rPr>
          <w:rFonts w:asciiTheme="minorHAnsi" w:hAnsiTheme="minorHAnsi" w:cs="Arial"/>
          <w:snapToGrid w:val="0"/>
          <w:color w:val="auto"/>
        </w:rPr>
        <w:t>over</w:t>
      </w:r>
      <w:r w:rsidR="001B4EB1" w:rsidRPr="00854715">
        <w:rPr>
          <w:rFonts w:asciiTheme="minorHAnsi" w:hAnsiTheme="minorHAnsi" w:cs="Arial"/>
          <w:snapToGrid w:val="0"/>
          <w:color w:val="auto"/>
        </w:rPr>
        <w:t xml:space="preserve"> PD-1 monotherapy. </w:t>
      </w:r>
      <w:r w:rsidR="00631238">
        <w:rPr>
          <w:rFonts w:asciiTheme="minorHAnsi" w:hAnsiTheme="minorHAnsi" w:cs="Arial"/>
          <w:snapToGrid w:val="0"/>
          <w:color w:val="auto"/>
        </w:rPr>
        <w:t xml:space="preserve">The pre-PBAC </w:t>
      </w:r>
      <w:r w:rsidR="00631238">
        <w:rPr>
          <w:rFonts w:asciiTheme="minorHAnsi" w:hAnsiTheme="minorHAnsi" w:cs="Arial"/>
          <w:snapToGrid w:val="0"/>
          <w:color w:val="auto"/>
        </w:rPr>
        <w:lastRenderedPageBreak/>
        <w:t xml:space="preserve">response further stated that since </w:t>
      </w:r>
      <w:r w:rsidR="001B4EB1" w:rsidRPr="00854715">
        <w:rPr>
          <w:rFonts w:asciiTheme="minorHAnsi" w:hAnsiTheme="minorHAnsi" w:cs="Arial"/>
          <w:snapToGrid w:val="0"/>
          <w:color w:val="auto"/>
        </w:rPr>
        <w:t>March 2020</w:t>
      </w:r>
      <w:r w:rsidR="00631238">
        <w:rPr>
          <w:rFonts w:asciiTheme="minorHAnsi" w:hAnsiTheme="minorHAnsi" w:cs="Arial"/>
          <w:snapToGrid w:val="0"/>
          <w:color w:val="auto"/>
        </w:rPr>
        <w:t xml:space="preserve">, when PBS </w:t>
      </w:r>
      <w:r w:rsidR="00622331" w:rsidRPr="00854715">
        <w:rPr>
          <w:rFonts w:asciiTheme="minorHAnsi" w:hAnsiTheme="minorHAnsi" w:cs="Arial"/>
          <w:snapToGrid w:val="0"/>
          <w:color w:val="auto"/>
        </w:rPr>
        <w:t xml:space="preserve">eligibility for PD-1 based treatments was expanded to include </w:t>
      </w:r>
      <w:r w:rsidR="00631238">
        <w:rPr>
          <w:rFonts w:asciiTheme="minorHAnsi" w:hAnsiTheme="minorHAnsi" w:cs="Arial"/>
          <w:snapToGrid w:val="0"/>
          <w:color w:val="auto"/>
        </w:rPr>
        <w:t xml:space="preserve">first line </w:t>
      </w:r>
      <w:r w:rsidR="00622331" w:rsidRPr="00854715">
        <w:rPr>
          <w:rFonts w:asciiTheme="minorHAnsi" w:hAnsiTheme="minorHAnsi" w:cs="Arial"/>
          <w:snapToGrid w:val="0"/>
          <w:color w:val="auto"/>
        </w:rPr>
        <w:t>treatment for BRAF-</w:t>
      </w:r>
      <w:r w:rsidR="00631238">
        <w:rPr>
          <w:rFonts w:asciiTheme="minorHAnsi" w:hAnsiTheme="minorHAnsi" w:cs="Arial"/>
          <w:snapToGrid w:val="0"/>
          <w:color w:val="auto"/>
        </w:rPr>
        <w:t xml:space="preserve">mutant </w:t>
      </w:r>
      <w:r w:rsidR="00622331" w:rsidRPr="00854715">
        <w:rPr>
          <w:rFonts w:asciiTheme="minorHAnsi" w:hAnsiTheme="minorHAnsi" w:cs="Arial"/>
          <w:snapToGrid w:val="0"/>
          <w:color w:val="auto"/>
        </w:rPr>
        <w:t>melanoma</w:t>
      </w:r>
      <w:r w:rsidR="001B4EB1" w:rsidRPr="00854715">
        <w:rPr>
          <w:rFonts w:asciiTheme="minorHAnsi" w:hAnsiTheme="minorHAnsi" w:cs="Arial"/>
          <w:snapToGrid w:val="0"/>
          <w:color w:val="auto"/>
        </w:rPr>
        <w:t xml:space="preserve">, PD-1 monotherapy has represented approximately 60% of patient initiations, while the proportion of combination NIVO+IPI </w:t>
      </w:r>
      <w:r w:rsidR="00631238">
        <w:rPr>
          <w:rFonts w:asciiTheme="minorHAnsi" w:hAnsiTheme="minorHAnsi" w:cs="Arial"/>
          <w:snapToGrid w:val="0"/>
          <w:color w:val="auto"/>
        </w:rPr>
        <w:t xml:space="preserve">therapy </w:t>
      </w:r>
      <w:r w:rsidR="001B4EB1" w:rsidRPr="00854715">
        <w:rPr>
          <w:rFonts w:asciiTheme="minorHAnsi" w:hAnsiTheme="minorHAnsi" w:cs="Arial"/>
          <w:snapToGrid w:val="0"/>
          <w:color w:val="auto"/>
        </w:rPr>
        <w:t>has remained stable at approximately 40%</w:t>
      </w:r>
      <w:r w:rsidR="00622331" w:rsidRPr="00854715">
        <w:rPr>
          <w:rFonts w:asciiTheme="minorHAnsi" w:hAnsiTheme="minorHAnsi" w:cs="Arial"/>
          <w:snapToGrid w:val="0"/>
          <w:color w:val="auto"/>
        </w:rPr>
        <w:t>.</w:t>
      </w:r>
      <w:r w:rsidR="001C049E">
        <w:rPr>
          <w:rFonts w:asciiTheme="minorHAnsi" w:hAnsiTheme="minorHAnsi" w:cs="Arial"/>
          <w:snapToGrid w:val="0"/>
          <w:color w:val="auto"/>
        </w:rPr>
        <w:t xml:space="preserve"> </w:t>
      </w:r>
    </w:p>
    <w:p w14:paraId="26E07055" w14:textId="3BCE2695" w:rsidR="00854715" w:rsidRPr="00697D3E" w:rsidRDefault="00854715" w:rsidP="002B53F8">
      <w:pPr>
        <w:pStyle w:val="Default"/>
        <w:numPr>
          <w:ilvl w:val="1"/>
          <w:numId w:val="1"/>
        </w:numPr>
        <w:spacing w:after="120"/>
        <w:jc w:val="both"/>
        <w:rPr>
          <w:rFonts w:asciiTheme="minorHAnsi" w:hAnsiTheme="minorHAnsi" w:cs="Arial"/>
          <w:snapToGrid w:val="0"/>
          <w:color w:val="auto"/>
        </w:rPr>
      </w:pPr>
      <w:r w:rsidRPr="00697D3E">
        <w:rPr>
          <w:rFonts w:asciiTheme="minorHAnsi" w:hAnsiTheme="minorHAnsi" w:cs="Arial"/>
          <w:snapToGrid w:val="0"/>
          <w:color w:val="auto"/>
        </w:rPr>
        <w:t xml:space="preserve">The Pre-PBAC response disagreed that the NCCN Guidelines unambiguously recommend the use of combination therapy if tolerated. The </w:t>
      </w:r>
      <w:r w:rsidR="009762A0">
        <w:rPr>
          <w:rFonts w:asciiTheme="minorHAnsi" w:hAnsiTheme="minorHAnsi" w:cs="Arial"/>
          <w:snapToGrid w:val="0"/>
          <w:color w:val="auto"/>
        </w:rPr>
        <w:t>p</w:t>
      </w:r>
      <w:r w:rsidRPr="00697D3E">
        <w:rPr>
          <w:rFonts w:asciiTheme="minorHAnsi" w:hAnsiTheme="minorHAnsi" w:cs="Arial"/>
          <w:snapToGrid w:val="0"/>
          <w:color w:val="auto"/>
        </w:rPr>
        <w:t>re-PBAC response reiterated that the Guidelines refer to a range of factors that should be considered when deciding upon combination therapy.</w:t>
      </w:r>
    </w:p>
    <w:p w14:paraId="079D9C99" w14:textId="017F6575" w:rsidR="008E7723" w:rsidRPr="00052A13" w:rsidRDefault="008E7723" w:rsidP="00052A13">
      <w:pPr>
        <w:ind w:firstLine="709"/>
        <w:rPr>
          <w:rFonts w:asciiTheme="minorHAnsi" w:hAnsiTheme="minorHAnsi"/>
          <w:i/>
        </w:rPr>
      </w:pPr>
      <w:r w:rsidRPr="00C33D30">
        <w:rPr>
          <w:rFonts w:asciiTheme="minorHAnsi" w:hAnsiTheme="minorHAnsi"/>
          <w:i/>
        </w:rPr>
        <w:t>For more detail on PBAC’s view, see section 7 PBAC outcome.</w:t>
      </w:r>
    </w:p>
    <w:p w14:paraId="3EB1E985" w14:textId="739A64B9" w:rsidR="00D24261" w:rsidRDefault="00D24261" w:rsidP="00D24261">
      <w:pPr>
        <w:pStyle w:val="2-SectionHeading"/>
        <w:numPr>
          <w:ilvl w:val="0"/>
          <w:numId w:val="1"/>
        </w:numPr>
      </w:pPr>
      <w:bookmarkStart w:id="23" w:name="_Toc103768653"/>
      <w:bookmarkStart w:id="24" w:name="_Toc22897640"/>
      <w:bookmarkEnd w:id="22"/>
      <w:r w:rsidRPr="006421D0">
        <w:t>Consideration of the evidence</w:t>
      </w:r>
      <w:bookmarkEnd w:id="23"/>
    </w:p>
    <w:p w14:paraId="6B6E4D36" w14:textId="77777777" w:rsidR="00FB018E" w:rsidRPr="00FB018E" w:rsidRDefault="00FB018E" w:rsidP="00FB018E">
      <w:pPr>
        <w:pStyle w:val="4-SubsectionHeading"/>
        <w:rPr>
          <w:sz w:val="28"/>
          <w:szCs w:val="28"/>
        </w:rPr>
      </w:pPr>
      <w:r w:rsidRPr="00FB018E">
        <w:rPr>
          <w:sz w:val="28"/>
          <w:szCs w:val="28"/>
        </w:rPr>
        <w:t>Sponsor hearing</w:t>
      </w:r>
    </w:p>
    <w:p w14:paraId="7EDD529A" w14:textId="53DF5FA3" w:rsidR="0034197D" w:rsidRPr="00DA7B49" w:rsidRDefault="0034197D" w:rsidP="00E61877">
      <w:pPr>
        <w:widowControl w:val="0"/>
        <w:numPr>
          <w:ilvl w:val="1"/>
          <w:numId w:val="1"/>
        </w:numPr>
        <w:spacing w:after="120"/>
        <w:rPr>
          <w:rFonts w:asciiTheme="minorHAnsi" w:hAnsiTheme="minorHAnsi"/>
          <w:bCs/>
          <w:snapToGrid w:val="0"/>
        </w:rPr>
      </w:pPr>
      <w:r w:rsidRPr="00DA7B49">
        <w:rPr>
          <w:rFonts w:cs="Calibri"/>
          <w:bCs/>
          <w:snapToGrid w:val="0"/>
        </w:rPr>
        <w:t>There was no hearing for this item</w:t>
      </w:r>
      <w:r w:rsidRPr="00DA7B49">
        <w:rPr>
          <w:rFonts w:asciiTheme="minorHAnsi" w:hAnsiTheme="minorHAnsi"/>
          <w:bCs/>
          <w:snapToGrid w:val="0"/>
        </w:rPr>
        <w:t>.</w:t>
      </w:r>
    </w:p>
    <w:p w14:paraId="0D9EA604" w14:textId="77777777" w:rsidR="00FB018E" w:rsidRPr="00DA7B49" w:rsidRDefault="00FB018E" w:rsidP="00697D3E">
      <w:pPr>
        <w:pStyle w:val="4-SubsectionHeading"/>
        <w:rPr>
          <w:sz w:val="28"/>
          <w:szCs w:val="28"/>
        </w:rPr>
      </w:pPr>
      <w:r w:rsidRPr="00DA7B49">
        <w:rPr>
          <w:sz w:val="28"/>
          <w:szCs w:val="28"/>
        </w:rPr>
        <w:t>Consumer comments</w:t>
      </w:r>
    </w:p>
    <w:p w14:paraId="7E9EB3C4" w14:textId="6E936626" w:rsidR="00FB018E" w:rsidRPr="00DA7B49" w:rsidRDefault="00FB018E" w:rsidP="00FB018E">
      <w:pPr>
        <w:widowControl w:val="0"/>
        <w:numPr>
          <w:ilvl w:val="1"/>
          <w:numId w:val="1"/>
        </w:numPr>
        <w:spacing w:after="120"/>
        <w:rPr>
          <w:rFonts w:asciiTheme="minorHAnsi" w:hAnsiTheme="minorHAnsi"/>
          <w:bCs/>
          <w:snapToGrid w:val="0"/>
        </w:rPr>
      </w:pPr>
      <w:r w:rsidRPr="00DA7B49">
        <w:rPr>
          <w:rFonts w:asciiTheme="minorHAnsi" w:hAnsiTheme="minorHAnsi"/>
          <w:bCs/>
          <w:snapToGrid w:val="0"/>
        </w:rPr>
        <w:t>The PBAC noted and welcomed the input from individuals (</w:t>
      </w:r>
      <w:r w:rsidR="00637C6D" w:rsidRPr="00DA7B49">
        <w:rPr>
          <w:rFonts w:asciiTheme="minorHAnsi" w:hAnsiTheme="minorHAnsi"/>
          <w:bCs/>
          <w:snapToGrid w:val="0"/>
        </w:rPr>
        <w:t>6</w:t>
      </w:r>
      <w:r w:rsidRPr="00DA7B49">
        <w:rPr>
          <w:rFonts w:asciiTheme="minorHAnsi" w:hAnsiTheme="minorHAnsi"/>
          <w:bCs/>
          <w:snapToGrid w:val="0"/>
        </w:rPr>
        <w:t>), health care professionals (1) and organisations (</w:t>
      </w:r>
      <w:r w:rsidR="00637C6D" w:rsidRPr="00DA7B49">
        <w:rPr>
          <w:rFonts w:asciiTheme="minorHAnsi" w:hAnsiTheme="minorHAnsi"/>
          <w:bCs/>
          <w:snapToGrid w:val="0"/>
        </w:rPr>
        <w:t>3</w:t>
      </w:r>
      <w:r w:rsidRPr="00DA7B49">
        <w:rPr>
          <w:rFonts w:asciiTheme="minorHAnsi" w:hAnsiTheme="minorHAnsi"/>
          <w:bCs/>
          <w:snapToGrid w:val="0"/>
        </w:rPr>
        <w:t xml:space="preserve">) via the Consumer Comments facility on the PBS website.  The comments </w:t>
      </w:r>
      <w:r w:rsidR="00DA7B49" w:rsidRPr="00DA7B49">
        <w:rPr>
          <w:rFonts w:asciiTheme="minorHAnsi" w:hAnsiTheme="minorHAnsi"/>
          <w:bCs/>
          <w:snapToGrid w:val="0"/>
        </w:rPr>
        <w:t xml:space="preserve">from individuals, the Melanoma and Skin Cancer Advocacy Network (MSCAN) and Melanoma Patients Australia </w:t>
      </w:r>
      <w:r w:rsidR="00972B39">
        <w:rPr>
          <w:rFonts w:asciiTheme="minorHAnsi" w:hAnsiTheme="minorHAnsi"/>
          <w:bCs/>
          <w:snapToGrid w:val="0"/>
        </w:rPr>
        <w:t>supported the submission and highlighted the demand for alternate effective therapies</w:t>
      </w:r>
      <w:r w:rsidR="00DA7B49" w:rsidRPr="00DA7B49">
        <w:rPr>
          <w:rFonts w:asciiTheme="minorHAnsi" w:hAnsiTheme="minorHAnsi"/>
          <w:bCs/>
          <w:snapToGrid w:val="0"/>
        </w:rPr>
        <w:t xml:space="preserve">. </w:t>
      </w:r>
    </w:p>
    <w:p w14:paraId="171ED812" w14:textId="748A00E1" w:rsidR="00637C6D" w:rsidRPr="00DA7B49" w:rsidRDefault="00637C6D" w:rsidP="0052290F">
      <w:pPr>
        <w:pStyle w:val="ListParagraph"/>
        <w:widowControl w:val="0"/>
        <w:numPr>
          <w:ilvl w:val="1"/>
          <w:numId w:val="1"/>
        </w:numPr>
        <w:rPr>
          <w:bCs/>
        </w:rPr>
      </w:pPr>
      <w:r w:rsidRPr="00DA7B49">
        <w:rPr>
          <w:bCs/>
        </w:rPr>
        <w:t xml:space="preserve">The Medical Oncology Group of Australia (MOGA) also expressed its support for the </w:t>
      </w:r>
      <w:r w:rsidR="002861B1" w:rsidRPr="00DA7B49">
        <w:rPr>
          <w:bCs/>
        </w:rPr>
        <w:t xml:space="preserve">RELA + NIVO </w:t>
      </w:r>
      <w:r w:rsidRPr="00DA7B49">
        <w:rPr>
          <w:bCs/>
        </w:rPr>
        <w:t xml:space="preserve">submission. The PBAC noted that the MOGA presented a European Society for Medical Oncology Magnitude of Clinical Benefit Scale (ESMO-MCBS) for </w:t>
      </w:r>
      <w:r w:rsidR="002861B1" w:rsidRPr="00DA7B49">
        <w:rPr>
          <w:bCs/>
        </w:rPr>
        <w:t>RELA + NIVO</w:t>
      </w:r>
      <w:r w:rsidRPr="00DA7B49">
        <w:rPr>
          <w:bCs/>
        </w:rPr>
        <w:t>, which was limited to 3 (out of a maximum of 5, where 5 and 4 represent the grades with substantial improvement)</w:t>
      </w:r>
      <w:r w:rsidR="002861B1" w:rsidRPr="00DA7B49">
        <w:rPr>
          <w:rStyle w:val="FootnoteReference"/>
          <w:bCs/>
        </w:rPr>
        <w:footnoteReference w:id="6"/>
      </w:r>
      <w:r w:rsidRPr="00DA7B49">
        <w:rPr>
          <w:bCs/>
        </w:rPr>
        <w:t xml:space="preserve">, based on a comparison with </w:t>
      </w:r>
      <w:r w:rsidR="002861B1" w:rsidRPr="00DA7B49">
        <w:rPr>
          <w:bCs/>
        </w:rPr>
        <w:t>nivolumab.</w:t>
      </w:r>
    </w:p>
    <w:p w14:paraId="4A587459" w14:textId="4CCFADC3" w:rsidR="00D24261" w:rsidRPr="00DA7B49" w:rsidRDefault="00D24261" w:rsidP="0074263A">
      <w:pPr>
        <w:pStyle w:val="4-SubsectionHeading"/>
        <w:rPr>
          <w:sz w:val="28"/>
          <w:szCs w:val="28"/>
        </w:rPr>
      </w:pPr>
      <w:bookmarkStart w:id="25" w:name="_Toc103768654"/>
      <w:r w:rsidRPr="00DA7B49">
        <w:rPr>
          <w:sz w:val="28"/>
          <w:szCs w:val="28"/>
        </w:rPr>
        <w:t xml:space="preserve">Clinical </w:t>
      </w:r>
      <w:bookmarkEnd w:id="24"/>
      <w:r w:rsidRPr="00DA7B49">
        <w:rPr>
          <w:sz w:val="28"/>
          <w:szCs w:val="28"/>
        </w:rPr>
        <w:t>trials</w:t>
      </w:r>
      <w:bookmarkEnd w:id="25"/>
    </w:p>
    <w:p w14:paraId="3E745CCA" w14:textId="776408EE" w:rsidR="00D24261" w:rsidRPr="00DA7B49" w:rsidRDefault="00D24261" w:rsidP="00D24261">
      <w:pPr>
        <w:pStyle w:val="3-BodyText"/>
        <w:numPr>
          <w:ilvl w:val="1"/>
          <w:numId w:val="1"/>
        </w:numPr>
      </w:pPr>
      <w:r w:rsidRPr="00DA7B49">
        <w:t>The submission was based on one head-to-head randomised, double-blind, phase III trial comparing RELA+NIVO combination therapy to nivolumab monotherapy in patients with previously untreated unresectable Stage III or IV metastatic melanoma (CA224047).</w:t>
      </w:r>
    </w:p>
    <w:p w14:paraId="11187EC9" w14:textId="3BEE57E1" w:rsidR="00D24261" w:rsidRPr="006421D0" w:rsidRDefault="00D24261" w:rsidP="00D24261">
      <w:pPr>
        <w:pStyle w:val="3-BodyText"/>
        <w:numPr>
          <w:ilvl w:val="1"/>
          <w:numId w:val="1"/>
        </w:numPr>
      </w:pPr>
      <w:r w:rsidRPr="00DA7B49">
        <w:t>An indirect</w:t>
      </w:r>
      <w:r w:rsidRPr="006421D0">
        <w:t xml:space="preserve"> treatment comparison (ITC) of RELA+NIVO and NIVO+IPI, using nivolumab</w:t>
      </w:r>
      <w:r w:rsidR="006B35E3" w:rsidRPr="006421D0">
        <w:t xml:space="preserve"> monotherapy</w:t>
      </w:r>
      <w:r w:rsidRPr="006421D0">
        <w:t xml:space="preserve"> as the common reference, was presented based on two phase III randomised controlled trials (RCTs): CA224047 which compared RELA+NIVO with nivolumab monotherapy and </w:t>
      </w:r>
      <w:bookmarkStart w:id="26" w:name="_Hlk100829389"/>
      <w:r w:rsidRPr="006421D0">
        <w:t>CA209067</w:t>
      </w:r>
      <w:bookmarkEnd w:id="26"/>
      <w:r w:rsidRPr="006421D0">
        <w:t xml:space="preserve"> which compared nivolumab monotherapy or </w:t>
      </w:r>
      <w:r w:rsidRPr="006421D0">
        <w:lastRenderedPageBreak/>
        <w:t>NIVO+IPI with ipilimumab monotherapy, in patients with previously untreated unresectable or metastatic melanoma.</w:t>
      </w:r>
    </w:p>
    <w:p w14:paraId="73C4B0D8" w14:textId="3B8A463B" w:rsidR="00D24261" w:rsidRPr="006421D0" w:rsidRDefault="00D24261" w:rsidP="00D24261">
      <w:pPr>
        <w:pStyle w:val="3-BodyText"/>
        <w:numPr>
          <w:ilvl w:val="1"/>
          <w:numId w:val="1"/>
        </w:numPr>
        <w:rPr>
          <w:snapToGrid/>
          <w:lang w:val="en-US"/>
        </w:rPr>
      </w:pPr>
      <w:r w:rsidRPr="006421D0">
        <w:rPr>
          <w:snapToGrid/>
          <w:lang w:val="en-US"/>
        </w:rPr>
        <w:t xml:space="preserve">Details of the </w:t>
      </w:r>
      <w:r w:rsidR="00DE54FC" w:rsidRPr="006421D0">
        <w:rPr>
          <w:snapToGrid/>
          <w:lang w:val="en-US"/>
        </w:rPr>
        <w:t xml:space="preserve">clinical </w:t>
      </w:r>
      <w:r w:rsidRPr="006421D0">
        <w:rPr>
          <w:snapToGrid/>
          <w:lang w:val="en-US"/>
        </w:rPr>
        <w:t xml:space="preserve">trials presented in the submission are provided in </w:t>
      </w:r>
      <w:r w:rsidR="00733ACF" w:rsidRPr="006421D0">
        <w:rPr>
          <w:snapToGrid/>
          <w:lang w:val="en-US"/>
        </w:rPr>
        <w:fldChar w:fldCharType="begin"/>
      </w:r>
      <w:r w:rsidR="00733ACF" w:rsidRPr="006421D0">
        <w:rPr>
          <w:snapToGrid/>
          <w:lang w:val="en-US"/>
        </w:rPr>
        <w:instrText xml:space="preserve"> REF _Ref103180914 \h  \* MERGEFORMAT </w:instrText>
      </w:r>
      <w:r w:rsidR="00733ACF" w:rsidRPr="006421D0">
        <w:rPr>
          <w:snapToGrid/>
          <w:lang w:val="en-US"/>
        </w:rPr>
      </w:r>
      <w:r w:rsidR="00733ACF" w:rsidRPr="006421D0">
        <w:rPr>
          <w:snapToGrid/>
          <w:lang w:val="en-US"/>
        </w:rPr>
        <w:fldChar w:fldCharType="separate"/>
      </w:r>
      <w:r w:rsidR="00633460" w:rsidRPr="00633460">
        <w:rPr>
          <w:snapToGrid/>
          <w:lang w:val="en-US"/>
        </w:rPr>
        <w:t>Table 2</w:t>
      </w:r>
      <w:r w:rsidR="00733ACF" w:rsidRPr="006421D0">
        <w:rPr>
          <w:snapToGrid/>
          <w:lang w:val="en-US"/>
        </w:rPr>
        <w:fldChar w:fldCharType="end"/>
      </w:r>
      <w:r w:rsidR="00733ACF" w:rsidRPr="006421D0">
        <w:rPr>
          <w:snapToGrid/>
          <w:lang w:val="en-US"/>
        </w:rPr>
        <w:t>.</w:t>
      </w:r>
    </w:p>
    <w:p w14:paraId="5BC147C7" w14:textId="0D3E864D" w:rsidR="00D24261" w:rsidRPr="00E25F2D" w:rsidRDefault="00D24261" w:rsidP="00335139">
      <w:pPr>
        <w:pStyle w:val="Caption"/>
        <w:keepNext/>
        <w:spacing w:after="0"/>
        <w:contextualSpacing/>
        <w:rPr>
          <w:rStyle w:val="CommentReference"/>
          <w:b/>
          <w:bCs w:val="0"/>
          <w:color w:val="000000" w:themeColor="text1"/>
        </w:rPr>
      </w:pPr>
      <w:bookmarkStart w:id="27" w:name="_Ref103180914"/>
      <w:bookmarkStart w:id="28" w:name="_Ref100925639"/>
      <w:r w:rsidRPr="00E25F2D">
        <w:rPr>
          <w:rStyle w:val="CommentReference"/>
          <w:b/>
          <w:bCs w:val="0"/>
          <w:color w:val="000000" w:themeColor="text1"/>
        </w:rPr>
        <w:t xml:space="preserve">Table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2</w:t>
      </w:r>
      <w:r>
        <w:rPr>
          <w:rStyle w:val="CommentReference"/>
          <w:b/>
          <w:bCs w:val="0"/>
          <w:color w:val="000000" w:themeColor="text1"/>
        </w:rPr>
        <w:fldChar w:fldCharType="end"/>
      </w:r>
      <w:bookmarkEnd w:id="27"/>
      <w:r w:rsidRPr="00E25F2D">
        <w:rPr>
          <w:rStyle w:val="CommentReference"/>
          <w:b/>
          <w:bCs w:val="0"/>
          <w:color w:val="000000" w:themeColor="text1"/>
        </w:rPr>
        <w:t>: Trials and associated reports presented in the submission</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D24261" w:rsidRPr="00AF1DAD" w14:paraId="3CCBA760" w14:textId="77777777" w:rsidTr="0061030A">
        <w:trPr>
          <w:cantSplit/>
          <w:tblHeader/>
        </w:trPr>
        <w:tc>
          <w:tcPr>
            <w:tcW w:w="796" w:type="pct"/>
            <w:vAlign w:val="center"/>
          </w:tcPr>
          <w:p w14:paraId="20EB7A22" w14:textId="77777777" w:rsidR="00D24261" w:rsidRPr="00AF1DAD" w:rsidRDefault="00D24261" w:rsidP="00335139">
            <w:pPr>
              <w:pStyle w:val="In-tableHeading"/>
              <w:contextualSpacing/>
            </w:pPr>
            <w:r w:rsidRPr="00AF1DAD">
              <w:t>Trial ID</w:t>
            </w:r>
          </w:p>
        </w:tc>
        <w:tc>
          <w:tcPr>
            <w:tcW w:w="3027" w:type="pct"/>
            <w:tcBorders>
              <w:bottom w:val="single" w:sz="4" w:space="0" w:color="auto"/>
            </w:tcBorders>
            <w:vAlign w:val="center"/>
          </w:tcPr>
          <w:p w14:paraId="04B91FDB" w14:textId="77777777" w:rsidR="00D24261" w:rsidRPr="00AF1DAD" w:rsidRDefault="00D24261" w:rsidP="00335139">
            <w:pPr>
              <w:pStyle w:val="In-tableHeading"/>
              <w:contextualSpacing/>
            </w:pPr>
            <w:r w:rsidRPr="00AF1DAD">
              <w:t>Protocol title/ Publication title</w:t>
            </w:r>
          </w:p>
        </w:tc>
        <w:tc>
          <w:tcPr>
            <w:tcW w:w="1177" w:type="pct"/>
            <w:tcBorders>
              <w:bottom w:val="single" w:sz="4" w:space="0" w:color="auto"/>
            </w:tcBorders>
            <w:vAlign w:val="center"/>
          </w:tcPr>
          <w:p w14:paraId="4D07BC32" w14:textId="77777777" w:rsidR="00D24261" w:rsidRPr="00AF1DAD" w:rsidRDefault="00D24261" w:rsidP="00335139">
            <w:pPr>
              <w:pStyle w:val="In-tableHeading"/>
              <w:contextualSpacing/>
            </w:pPr>
            <w:r w:rsidRPr="00AF1DAD">
              <w:t>Publication citation</w:t>
            </w:r>
          </w:p>
        </w:tc>
      </w:tr>
      <w:tr w:rsidR="00D24261" w:rsidRPr="00AF1DAD" w14:paraId="747D35DC" w14:textId="77777777" w:rsidTr="0061030A">
        <w:trPr>
          <w:cantSplit/>
          <w:tblHeader/>
        </w:trPr>
        <w:tc>
          <w:tcPr>
            <w:tcW w:w="796" w:type="pct"/>
            <w:vMerge w:val="restart"/>
            <w:tcBorders>
              <w:right w:val="single" w:sz="4" w:space="0" w:color="auto"/>
            </w:tcBorders>
            <w:vAlign w:val="center"/>
          </w:tcPr>
          <w:p w14:paraId="6BE0E637" w14:textId="77777777" w:rsidR="00D24261" w:rsidRPr="00AF1DAD" w:rsidRDefault="00D24261" w:rsidP="00335139">
            <w:pPr>
              <w:pStyle w:val="TableText0"/>
            </w:pPr>
            <w:r w:rsidRPr="00AF1DAD">
              <w:t>CA224047</w:t>
            </w:r>
          </w:p>
        </w:tc>
        <w:tc>
          <w:tcPr>
            <w:tcW w:w="3027" w:type="pct"/>
            <w:tcBorders>
              <w:top w:val="single" w:sz="4" w:space="0" w:color="auto"/>
              <w:left w:val="single" w:sz="4" w:space="0" w:color="auto"/>
              <w:bottom w:val="nil"/>
              <w:right w:val="single" w:sz="4" w:space="0" w:color="auto"/>
            </w:tcBorders>
            <w:vAlign w:val="center"/>
          </w:tcPr>
          <w:p w14:paraId="2DECABBE" w14:textId="77777777" w:rsidR="00D24261" w:rsidRPr="00AF1DAD" w:rsidRDefault="00D24261" w:rsidP="00335139">
            <w:pPr>
              <w:pStyle w:val="TableText0"/>
              <w:keepNext w:val="0"/>
              <w:rPr>
                <w:szCs w:val="18"/>
              </w:rPr>
            </w:pPr>
            <w:r w:rsidRPr="00AF1DAD">
              <w:rPr>
                <w:szCs w:val="18"/>
              </w:rPr>
              <w:t>A Randomized, Double-Blind Phase 2/3 Study of Relatlimab Combined with NIVO versus NIVO in Participants with Previously Untreated Metastatic or Unresectable Melanoma</w:t>
            </w:r>
          </w:p>
        </w:tc>
        <w:tc>
          <w:tcPr>
            <w:tcW w:w="1177" w:type="pct"/>
            <w:tcBorders>
              <w:top w:val="single" w:sz="4" w:space="0" w:color="auto"/>
              <w:left w:val="single" w:sz="4" w:space="0" w:color="auto"/>
              <w:bottom w:val="nil"/>
              <w:right w:val="single" w:sz="4" w:space="0" w:color="auto"/>
            </w:tcBorders>
            <w:vAlign w:val="center"/>
          </w:tcPr>
          <w:p w14:paraId="6B8550E4" w14:textId="77777777" w:rsidR="00D24261" w:rsidRPr="00AF1DAD" w:rsidRDefault="00D24261" w:rsidP="00335139">
            <w:pPr>
              <w:pStyle w:val="TableText0"/>
              <w:keepNext w:val="0"/>
            </w:pPr>
            <w:r w:rsidRPr="00AF1DAD">
              <w:t>May 2021</w:t>
            </w:r>
          </w:p>
        </w:tc>
      </w:tr>
      <w:tr w:rsidR="00D24261" w:rsidRPr="00AF1DAD" w14:paraId="6DD6CD11" w14:textId="77777777" w:rsidTr="0061030A">
        <w:trPr>
          <w:cantSplit/>
          <w:tblHeader/>
        </w:trPr>
        <w:tc>
          <w:tcPr>
            <w:tcW w:w="796" w:type="pct"/>
            <w:vMerge/>
            <w:tcBorders>
              <w:right w:val="single" w:sz="4" w:space="0" w:color="auto"/>
            </w:tcBorders>
            <w:vAlign w:val="center"/>
          </w:tcPr>
          <w:p w14:paraId="02881CA8"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3AC00384" w14:textId="77777777" w:rsidR="00D24261" w:rsidRPr="00AF1DAD" w:rsidRDefault="00D24261" w:rsidP="00335139">
            <w:pPr>
              <w:pStyle w:val="TableText0"/>
              <w:keepNext w:val="0"/>
              <w:rPr>
                <w:szCs w:val="18"/>
              </w:rPr>
            </w:pPr>
            <w:r w:rsidRPr="00AF1DAD">
              <w:rPr>
                <w:szCs w:val="18"/>
              </w:rPr>
              <w:t>Addendum 01 to the Primary Clinical Study Report for Study CA224047: A Randomized, Double-Blind Phase 2/3 Study of Relatlimab Combined with Nivolumab Versus Nivolumab in Participants with Previously Untreated Metastatic or Unresectable Melanoma</w:t>
            </w:r>
          </w:p>
        </w:tc>
        <w:tc>
          <w:tcPr>
            <w:tcW w:w="1177" w:type="pct"/>
            <w:tcBorders>
              <w:top w:val="nil"/>
              <w:left w:val="single" w:sz="4" w:space="0" w:color="auto"/>
              <w:bottom w:val="nil"/>
              <w:right w:val="single" w:sz="4" w:space="0" w:color="auto"/>
            </w:tcBorders>
            <w:vAlign w:val="center"/>
          </w:tcPr>
          <w:p w14:paraId="7353B86B" w14:textId="77777777" w:rsidR="00D24261" w:rsidRPr="00AF1DAD" w:rsidRDefault="00D24261" w:rsidP="00335139">
            <w:pPr>
              <w:pStyle w:val="TableText0"/>
              <w:keepNext w:val="0"/>
              <w:rPr>
                <w:szCs w:val="18"/>
              </w:rPr>
            </w:pPr>
            <w:r w:rsidRPr="00AF1DAD">
              <w:rPr>
                <w:szCs w:val="18"/>
              </w:rPr>
              <w:t>Jan 2022</w:t>
            </w:r>
          </w:p>
        </w:tc>
      </w:tr>
      <w:tr w:rsidR="00D24261" w:rsidRPr="00AF1DAD" w14:paraId="39B67E95" w14:textId="77777777" w:rsidTr="0061030A">
        <w:trPr>
          <w:cantSplit/>
          <w:tblHeader/>
        </w:trPr>
        <w:tc>
          <w:tcPr>
            <w:tcW w:w="796" w:type="pct"/>
            <w:vMerge/>
            <w:tcBorders>
              <w:right w:val="single" w:sz="4" w:space="0" w:color="auto"/>
            </w:tcBorders>
            <w:vAlign w:val="center"/>
          </w:tcPr>
          <w:p w14:paraId="6485EA1A"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0072DB10" w14:textId="77777777" w:rsidR="00D24261" w:rsidRPr="00AF1DAD" w:rsidRDefault="00D24261" w:rsidP="00335139">
            <w:pPr>
              <w:pStyle w:val="TableText0"/>
              <w:keepNext w:val="0"/>
              <w:rPr>
                <w:szCs w:val="18"/>
                <w:lang w:val="en-US"/>
              </w:rPr>
            </w:pPr>
            <w:r w:rsidRPr="00AF1DAD">
              <w:rPr>
                <w:szCs w:val="18"/>
              </w:rPr>
              <w:t>Schadendorf D, Tawbi HA, Lipson EJ et al. Health-related quality of life with relatlimab plus nivolumab versus nivolumab in patients with previously untreated metastatic or unresectable melanoma: RELATIVITY-047</w:t>
            </w:r>
          </w:p>
        </w:tc>
        <w:tc>
          <w:tcPr>
            <w:tcW w:w="1177" w:type="pct"/>
            <w:tcBorders>
              <w:top w:val="nil"/>
              <w:left w:val="single" w:sz="4" w:space="0" w:color="auto"/>
              <w:bottom w:val="nil"/>
              <w:right w:val="single" w:sz="4" w:space="0" w:color="auto"/>
            </w:tcBorders>
            <w:vAlign w:val="center"/>
          </w:tcPr>
          <w:p w14:paraId="514AB2B4" w14:textId="77777777" w:rsidR="00D24261" w:rsidRPr="00AF1DAD" w:rsidRDefault="00D24261" w:rsidP="00335139">
            <w:pPr>
              <w:pStyle w:val="TableText0"/>
              <w:keepNext w:val="0"/>
              <w:rPr>
                <w:szCs w:val="18"/>
                <w:lang w:val="en-US"/>
              </w:rPr>
            </w:pPr>
            <w:r w:rsidRPr="00AF1DAD">
              <w:rPr>
                <w:szCs w:val="18"/>
                <w:lang w:val="en-US"/>
              </w:rPr>
              <w:t>18</w:t>
            </w:r>
            <w:r w:rsidRPr="00AF1DAD">
              <w:rPr>
                <w:szCs w:val="18"/>
                <w:vertAlign w:val="superscript"/>
                <w:lang w:val="en-US"/>
              </w:rPr>
              <w:t>th</w:t>
            </w:r>
            <w:r w:rsidRPr="00AF1DAD">
              <w:rPr>
                <w:szCs w:val="18"/>
                <w:lang w:val="en-US"/>
              </w:rPr>
              <w:t xml:space="preserve"> International Congress of the Society for Melanoma Research (SMR) 2021; 59</w:t>
            </w:r>
          </w:p>
        </w:tc>
      </w:tr>
      <w:tr w:rsidR="00D24261" w:rsidRPr="00AF1DAD" w14:paraId="677E5C87" w14:textId="77777777" w:rsidTr="0061030A">
        <w:trPr>
          <w:cantSplit/>
          <w:tblHeader/>
        </w:trPr>
        <w:tc>
          <w:tcPr>
            <w:tcW w:w="796" w:type="pct"/>
            <w:vMerge/>
            <w:tcBorders>
              <w:right w:val="single" w:sz="4" w:space="0" w:color="auto"/>
            </w:tcBorders>
            <w:vAlign w:val="center"/>
          </w:tcPr>
          <w:p w14:paraId="2922DB3E"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3941AD72" w14:textId="77777777" w:rsidR="00D24261" w:rsidRPr="00AF1DAD" w:rsidRDefault="00D24261" w:rsidP="00335139">
            <w:pPr>
              <w:pStyle w:val="TableText0"/>
              <w:keepNext w:val="0"/>
              <w:rPr>
                <w:szCs w:val="18"/>
              </w:rPr>
            </w:pPr>
            <w:r w:rsidRPr="00AF1DAD">
              <w:t xml:space="preserve">Tawbi HA, Schadendorf D, Lipson EJ, et al. Relatlimab and Nivolumab versus Nivolumab in Untreated Advanced Melanoma. </w:t>
            </w:r>
          </w:p>
        </w:tc>
        <w:tc>
          <w:tcPr>
            <w:tcW w:w="1177" w:type="pct"/>
            <w:tcBorders>
              <w:top w:val="nil"/>
              <w:left w:val="single" w:sz="4" w:space="0" w:color="auto"/>
              <w:bottom w:val="nil"/>
              <w:right w:val="single" w:sz="4" w:space="0" w:color="auto"/>
            </w:tcBorders>
            <w:vAlign w:val="center"/>
          </w:tcPr>
          <w:p w14:paraId="27A7B2AD" w14:textId="77777777" w:rsidR="00D24261" w:rsidRPr="00AF1DAD" w:rsidRDefault="00D24261" w:rsidP="00335139">
            <w:pPr>
              <w:pStyle w:val="TableText0"/>
              <w:keepNext w:val="0"/>
              <w:rPr>
                <w:szCs w:val="18"/>
                <w:lang w:val="en-US"/>
              </w:rPr>
            </w:pPr>
            <w:r w:rsidRPr="00AF1DAD">
              <w:t>NEJM 2022; 386(1): 24–34.</w:t>
            </w:r>
          </w:p>
        </w:tc>
      </w:tr>
      <w:tr w:rsidR="00D24261" w:rsidRPr="00AF1DAD" w14:paraId="3C573A1C" w14:textId="77777777" w:rsidTr="0061030A">
        <w:trPr>
          <w:cantSplit/>
          <w:tblHeader/>
        </w:trPr>
        <w:tc>
          <w:tcPr>
            <w:tcW w:w="796" w:type="pct"/>
            <w:vMerge/>
            <w:tcBorders>
              <w:right w:val="single" w:sz="4" w:space="0" w:color="auto"/>
            </w:tcBorders>
            <w:vAlign w:val="center"/>
          </w:tcPr>
          <w:p w14:paraId="75B0A465"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149FB27A" w14:textId="77777777" w:rsidR="00D24261" w:rsidRPr="00AF1DAD" w:rsidRDefault="00D24261" w:rsidP="00335139">
            <w:pPr>
              <w:pStyle w:val="TableText0"/>
              <w:keepNext w:val="0"/>
            </w:pPr>
            <w:r w:rsidRPr="00AF1DAD">
              <w:t>Hodi FS, Tawbi HA, Lipson EJ et al. 1036O Relatlimab (RELA) + nivolumab (NIVO) vs. NIVO in previously untreated metastatic or unresectable melanoma: Additional efficacy in RELATIVITY-047.</w:t>
            </w:r>
          </w:p>
        </w:tc>
        <w:tc>
          <w:tcPr>
            <w:tcW w:w="1177" w:type="pct"/>
            <w:tcBorders>
              <w:top w:val="nil"/>
              <w:left w:val="single" w:sz="4" w:space="0" w:color="auto"/>
              <w:bottom w:val="nil"/>
              <w:right w:val="single" w:sz="4" w:space="0" w:color="auto"/>
            </w:tcBorders>
            <w:vAlign w:val="center"/>
          </w:tcPr>
          <w:p w14:paraId="4D8EA87E" w14:textId="77777777" w:rsidR="00D24261" w:rsidRPr="00AF1DAD" w:rsidRDefault="00D24261" w:rsidP="00335139">
            <w:pPr>
              <w:pStyle w:val="TableText0"/>
              <w:keepNext w:val="0"/>
              <w:rPr>
                <w:lang w:val="en-US"/>
              </w:rPr>
            </w:pPr>
            <w:r w:rsidRPr="00AF1DAD">
              <w:rPr>
                <w:szCs w:val="18"/>
                <w:lang w:val="en-US"/>
              </w:rPr>
              <w:t xml:space="preserve">Annals of Oncology 2021; </w:t>
            </w:r>
            <w:r w:rsidRPr="00AF1DAD">
              <w:rPr>
                <w:lang w:val="en-US"/>
              </w:rPr>
              <w:t>32: S867-S868</w:t>
            </w:r>
          </w:p>
          <w:p w14:paraId="74E2D01F" w14:textId="77777777" w:rsidR="00D24261" w:rsidRPr="00AF1DAD" w:rsidRDefault="00D24261" w:rsidP="00335139">
            <w:pPr>
              <w:pStyle w:val="TableText0"/>
              <w:keepNext w:val="0"/>
              <w:rPr>
                <w:szCs w:val="18"/>
                <w:lang w:val="en-US"/>
              </w:rPr>
            </w:pPr>
          </w:p>
        </w:tc>
      </w:tr>
      <w:tr w:rsidR="00D24261" w:rsidRPr="00AF1DAD" w14:paraId="2AAA4EEF" w14:textId="77777777" w:rsidTr="0061030A">
        <w:trPr>
          <w:cantSplit/>
          <w:tblHeader/>
        </w:trPr>
        <w:tc>
          <w:tcPr>
            <w:tcW w:w="796" w:type="pct"/>
            <w:vMerge/>
            <w:tcBorders>
              <w:right w:val="single" w:sz="4" w:space="0" w:color="auto"/>
            </w:tcBorders>
            <w:vAlign w:val="center"/>
          </w:tcPr>
          <w:p w14:paraId="795D1FF5"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049FE767" w14:textId="77777777" w:rsidR="00D24261" w:rsidRPr="00AF1DAD" w:rsidRDefault="00D24261" w:rsidP="00335139">
            <w:pPr>
              <w:pStyle w:val="TableText0"/>
              <w:keepNext w:val="0"/>
            </w:pPr>
            <w:r w:rsidRPr="00AF1DAD">
              <w:t xml:space="preserve">Lipson EJ, Long GV, Tawbi HA et al. </w:t>
            </w:r>
            <w:r w:rsidRPr="00AF1DAD">
              <w:rPr>
                <w:lang w:val="en-US"/>
              </w:rPr>
              <w:t>A randomized, double-blind, phase II/III study of relatlimab (anti-LAG-3) in combination with nivolumab (anti-PD-1) versus nivolumab alone in previously untreated metastatic or unresectable melanoma.</w:t>
            </w:r>
            <w:r w:rsidRPr="00AF1DAD">
              <w:t xml:space="preserve"> </w:t>
            </w:r>
          </w:p>
        </w:tc>
        <w:tc>
          <w:tcPr>
            <w:tcW w:w="1177" w:type="pct"/>
            <w:tcBorders>
              <w:top w:val="nil"/>
              <w:left w:val="single" w:sz="4" w:space="0" w:color="auto"/>
              <w:bottom w:val="nil"/>
              <w:right w:val="single" w:sz="4" w:space="0" w:color="auto"/>
            </w:tcBorders>
            <w:vAlign w:val="center"/>
          </w:tcPr>
          <w:p w14:paraId="057D1564" w14:textId="77777777" w:rsidR="00D24261" w:rsidRPr="00AF1DAD" w:rsidRDefault="00D24261" w:rsidP="00335139">
            <w:pPr>
              <w:pStyle w:val="TableText0"/>
              <w:keepNext w:val="0"/>
              <w:rPr>
                <w:szCs w:val="18"/>
                <w:lang w:val="en-US"/>
              </w:rPr>
            </w:pPr>
            <w:r w:rsidRPr="00AF1DAD">
              <w:rPr>
                <w:lang w:val="en-US"/>
              </w:rPr>
              <w:t>Annals of Oncology 2018; 29: viii464-viii465</w:t>
            </w:r>
          </w:p>
        </w:tc>
      </w:tr>
      <w:tr w:rsidR="00D24261" w:rsidRPr="00AF1DAD" w14:paraId="26EE20A8" w14:textId="77777777" w:rsidTr="0061030A">
        <w:trPr>
          <w:cantSplit/>
          <w:tblHeader/>
        </w:trPr>
        <w:tc>
          <w:tcPr>
            <w:tcW w:w="796" w:type="pct"/>
            <w:vMerge/>
            <w:tcBorders>
              <w:bottom w:val="nil"/>
              <w:right w:val="single" w:sz="4" w:space="0" w:color="auto"/>
            </w:tcBorders>
            <w:vAlign w:val="center"/>
          </w:tcPr>
          <w:p w14:paraId="62A2E3BD"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1E07BD5A" w14:textId="77777777" w:rsidR="00D24261" w:rsidRPr="00AF1DAD" w:rsidRDefault="00D24261" w:rsidP="00335139">
            <w:pPr>
              <w:pStyle w:val="TableText0"/>
              <w:keepNext w:val="0"/>
            </w:pPr>
            <w:r w:rsidRPr="00AF1DAD">
              <w:t xml:space="preserve">Lipson EJ, Tawbi HA, Schadendorf D et al. </w:t>
            </w:r>
            <w:r w:rsidRPr="00AF1DAD">
              <w:rPr>
                <w:lang w:val="en-US"/>
              </w:rPr>
              <w:t>Relatlimab (RELA) plus nivolumab (NIVO) versus NIVO in first-line advanced melanoma: Primary phase III results from RELATIVITY-047 (CA224-047).</w:t>
            </w:r>
          </w:p>
        </w:tc>
        <w:tc>
          <w:tcPr>
            <w:tcW w:w="1177" w:type="pct"/>
            <w:tcBorders>
              <w:top w:val="nil"/>
              <w:left w:val="single" w:sz="4" w:space="0" w:color="auto"/>
              <w:bottom w:val="nil"/>
              <w:right w:val="single" w:sz="4" w:space="0" w:color="auto"/>
            </w:tcBorders>
            <w:vAlign w:val="center"/>
          </w:tcPr>
          <w:p w14:paraId="29F7EA8E" w14:textId="77777777" w:rsidR="00D24261" w:rsidRPr="00AF1DAD" w:rsidRDefault="00D24261" w:rsidP="00335139">
            <w:pPr>
              <w:pStyle w:val="TableText0"/>
              <w:keepNext w:val="0"/>
              <w:rPr>
                <w:szCs w:val="18"/>
                <w:lang w:val="en-US"/>
              </w:rPr>
            </w:pPr>
            <w:r w:rsidRPr="00AF1DAD">
              <w:rPr>
                <w:lang w:val="en-US"/>
              </w:rPr>
              <w:t>Journal of Clinical Oncology 2021; 39(15_suppl).</w:t>
            </w:r>
          </w:p>
        </w:tc>
      </w:tr>
      <w:tr w:rsidR="00D24261" w:rsidRPr="00AF1DAD" w14:paraId="1FE0F509" w14:textId="77777777" w:rsidTr="0061030A">
        <w:trPr>
          <w:cantSplit/>
          <w:tblHeader/>
        </w:trPr>
        <w:tc>
          <w:tcPr>
            <w:tcW w:w="796" w:type="pct"/>
            <w:vMerge w:val="restart"/>
            <w:tcBorders>
              <w:right w:val="single" w:sz="4" w:space="0" w:color="auto"/>
            </w:tcBorders>
            <w:vAlign w:val="center"/>
          </w:tcPr>
          <w:p w14:paraId="1867830F" w14:textId="77777777" w:rsidR="00D24261" w:rsidRPr="00AF1DAD" w:rsidRDefault="00D24261" w:rsidP="00335139">
            <w:pPr>
              <w:pStyle w:val="TableText0"/>
              <w:keepNext w:val="0"/>
            </w:pPr>
            <w:r w:rsidRPr="00AF1DAD">
              <w:t>CA209067</w:t>
            </w:r>
          </w:p>
        </w:tc>
        <w:tc>
          <w:tcPr>
            <w:tcW w:w="3027" w:type="pct"/>
            <w:tcBorders>
              <w:top w:val="single" w:sz="4" w:space="0" w:color="auto"/>
              <w:left w:val="single" w:sz="4" w:space="0" w:color="auto"/>
              <w:bottom w:val="nil"/>
              <w:right w:val="single" w:sz="4" w:space="0" w:color="auto"/>
            </w:tcBorders>
            <w:vAlign w:val="center"/>
          </w:tcPr>
          <w:p w14:paraId="561B8880" w14:textId="7CCA5106" w:rsidR="00D24261" w:rsidRPr="00AF1DAD" w:rsidRDefault="00D24261" w:rsidP="00335139">
            <w:pPr>
              <w:pStyle w:val="TableText0"/>
              <w:keepNext w:val="0"/>
            </w:pPr>
            <w:r w:rsidRPr="00AF1DAD">
              <w:t xml:space="preserve">A Phase 3, Randomized, Double-blind Study of NIVO Monotherapy or NIVO Combined </w:t>
            </w:r>
            <w:r w:rsidR="00AC7464" w:rsidRPr="00AF1DAD">
              <w:t>with</w:t>
            </w:r>
            <w:r w:rsidRPr="00AF1DAD">
              <w:t xml:space="preserve"> IPI Versus IPI Monotherapy in Subjects </w:t>
            </w:r>
            <w:r w:rsidR="00AC7464" w:rsidRPr="00AF1DAD">
              <w:t>with</w:t>
            </w:r>
            <w:r w:rsidRPr="00AF1DAD">
              <w:t xml:space="preserve"> Previously Untreated Unresectable or Metastatic Melanoma</w:t>
            </w:r>
          </w:p>
        </w:tc>
        <w:tc>
          <w:tcPr>
            <w:tcW w:w="1177" w:type="pct"/>
            <w:tcBorders>
              <w:top w:val="single" w:sz="4" w:space="0" w:color="auto"/>
              <w:left w:val="single" w:sz="4" w:space="0" w:color="auto"/>
              <w:bottom w:val="nil"/>
              <w:right w:val="single" w:sz="4" w:space="0" w:color="auto"/>
            </w:tcBorders>
            <w:vAlign w:val="center"/>
          </w:tcPr>
          <w:p w14:paraId="79507D39" w14:textId="77777777" w:rsidR="00D24261" w:rsidRPr="00AF1DAD" w:rsidRDefault="00D24261" w:rsidP="00335139">
            <w:pPr>
              <w:pStyle w:val="TableText0"/>
              <w:keepNext w:val="0"/>
            </w:pPr>
            <w:r w:rsidRPr="00AF1DAD">
              <w:t>June 2015</w:t>
            </w:r>
          </w:p>
        </w:tc>
      </w:tr>
      <w:tr w:rsidR="00D24261" w:rsidRPr="00AF1DAD" w14:paraId="5CC36DEF" w14:textId="77777777" w:rsidTr="0061030A">
        <w:trPr>
          <w:cantSplit/>
          <w:tblHeader/>
        </w:trPr>
        <w:tc>
          <w:tcPr>
            <w:tcW w:w="796" w:type="pct"/>
            <w:vMerge/>
            <w:tcBorders>
              <w:right w:val="single" w:sz="4" w:space="0" w:color="auto"/>
            </w:tcBorders>
            <w:vAlign w:val="center"/>
          </w:tcPr>
          <w:p w14:paraId="14252188"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6F8407EA" w14:textId="77777777" w:rsidR="00D24261" w:rsidRPr="00AF1DAD" w:rsidRDefault="00D24261" w:rsidP="00335139">
            <w:pPr>
              <w:pStyle w:val="TableText0"/>
              <w:keepNext w:val="0"/>
              <w:rPr>
                <w:szCs w:val="18"/>
              </w:rPr>
            </w:pPr>
            <w:r w:rsidRPr="00AF1DAD">
              <w:rPr>
                <w:szCs w:val="18"/>
              </w:rPr>
              <w:t xml:space="preserve">Hodi FS, Chiarion-Sileni V, Gonzalez R et al. Nivolumab plus ipilimumab or nivolumab alone versus ipilimumab alone in advanced melanoma (CheckMate 067): 4-year outcomes of a multicentre, randomised, phase 3 trial. </w:t>
            </w:r>
          </w:p>
        </w:tc>
        <w:tc>
          <w:tcPr>
            <w:tcW w:w="1177" w:type="pct"/>
            <w:tcBorders>
              <w:top w:val="nil"/>
              <w:left w:val="single" w:sz="4" w:space="0" w:color="auto"/>
              <w:bottom w:val="nil"/>
              <w:right w:val="single" w:sz="4" w:space="0" w:color="auto"/>
            </w:tcBorders>
            <w:vAlign w:val="center"/>
          </w:tcPr>
          <w:p w14:paraId="37308DFA" w14:textId="77777777" w:rsidR="00D24261" w:rsidRPr="00AF1DAD" w:rsidRDefault="00D24261" w:rsidP="00335139">
            <w:pPr>
              <w:pStyle w:val="TableText0"/>
              <w:keepNext w:val="0"/>
            </w:pPr>
            <w:r w:rsidRPr="00AF1DAD">
              <w:rPr>
                <w:szCs w:val="18"/>
              </w:rPr>
              <w:t>The Lancet Oncology 2018; 19(11): 1480-1492.</w:t>
            </w:r>
          </w:p>
        </w:tc>
      </w:tr>
      <w:tr w:rsidR="00D24261" w:rsidRPr="00AF1DAD" w14:paraId="55836A24" w14:textId="77777777" w:rsidTr="0061030A">
        <w:trPr>
          <w:cantSplit/>
          <w:tblHeader/>
        </w:trPr>
        <w:tc>
          <w:tcPr>
            <w:tcW w:w="796" w:type="pct"/>
            <w:vMerge/>
            <w:tcBorders>
              <w:right w:val="single" w:sz="4" w:space="0" w:color="auto"/>
            </w:tcBorders>
            <w:vAlign w:val="center"/>
          </w:tcPr>
          <w:p w14:paraId="505D59EB"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284F5C06" w14:textId="77777777" w:rsidR="00D24261" w:rsidRPr="00AF1DAD" w:rsidRDefault="00D24261" w:rsidP="00335139">
            <w:pPr>
              <w:pStyle w:val="TableText0"/>
              <w:keepNext w:val="0"/>
              <w:rPr>
                <w:szCs w:val="18"/>
              </w:rPr>
            </w:pPr>
            <w:r w:rsidRPr="00AF1DAD">
              <w:rPr>
                <w:szCs w:val="18"/>
              </w:rPr>
              <w:t>Larkin J, Chiarion-Sileni V, Gonzalez R et al. Combined nivolumab and ipilimumab or monotherapy in untreated Melanoma.</w:t>
            </w:r>
          </w:p>
        </w:tc>
        <w:tc>
          <w:tcPr>
            <w:tcW w:w="1177" w:type="pct"/>
            <w:tcBorders>
              <w:top w:val="nil"/>
              <w:left w:val="single" w:sz="4" w:space="0" w:color="auto"/>
              <w:bottom w:val="nil"/>
              <w:right w:val="single" w:sz="4" w:space="0" w:color="auto"/>
            </w:tcBorders>
            <w:vAlign w:val="center"/>
          </w:tcPr>
          <w:p w14:paraId="078A08E2" w14:textId="1DBD86E8" w:rsidR="00D24261" w:rsidRPr="00AF1DAD" w:rsidRDefault="00D24261" w:rsidP="00335139">
            <w:pPr>
              <w:pStyle w:val="TableText0"/>
              <w:keepNext w:val="0"/>
            </w:pPr>
            <w:r w:rsidRPr="00AF1DAD">
              <w:rPr>
                <w:szCs w:val="18"/>
              </w:rPr>
              <w:t>N</w:t>
            </w:r>
            <w:r w:rsidR="00EF74F8" w:rsidRPr="00AF1DAD">
              <w:rPr>
                <w:szCs w:val="18"/>
              </w:rPr>
              <w:t>ew England Journal of Medicine</w:t>
            </w:r>
            <w:r w:rsidRPr="00AF1DAD">
              <w:rPr>
                <w:szCs w:val="18"/>
              </w:rPr>
              <w:t xml:space="preserve"> 2015; 373(1): 23-34.</w:t>
            </w:r>
          </w:p>
        </w:tc>
      </w:tr>
      <w:tr w:rsidR="00D24261" w:rsidRPr="00AF1DAD" w14:paraId="5DA7CE83" w14:textId="77777777" w:rsidTr="0061030A">
        <w:trPr>
          <w:cantSplit/>
          <w:tblHeader/>
        </w:trPr>
        <w:tc>
          <w:tcPr>
            <w:tcW w:w="796" w:type="pct"/>
            <w:vMerge/>
            <w:tcBorders>
              <w:right w:val="single" w:sz="4" w:space="0" w:color="auto"/>
            </w:tcBorders>
            <w:vAlign w:val="center"/>
          </w:tcPr>
          <w:p w14:paraId="2D8BCF14" w14:textId="77777777" w:rsidR="00D24261" w:rsidRPr="00AF1DAD" w:rsidRDefault="00D24261" w:rsidP="00335139">
            <w:pPr>
              <w:pStyle w:val="TableText0"/>
              <w:keepNext w:val="0"/>
            </w:pPr>
          </w:p>
        </w:tc>
        <w:tc>
          <w:tcPr>
            <w:tcW w:w="3027" w:type="pct"/>
            <w:tcBorders>
              <w:top w:val="nil"/>
              <w:left w:val="single" w:sz="4" w:space="0" w:color="auto"/>
              <w:bottom w:val="nil"/>
              <w:right w:val="single" w:sz="4" w:space="0" w:color="auto"/>
            </w:tcBorders>
            <w:vAlign w:val="center"/>
          </w:tcPr>
          <w:p w14:paraId="67941099" w14:textId="77777777" w:rsidR="00D24261" w:rsidRPr="00AF1DAD" w:rsidRDefault="00D24261" w:rsidP="00335139">
            <w:pPr>
              <w:pStyle w:val="TableText0"/>
              <w:keepNext w:val="0"/>
              <w:rPr>
                <w:szCs w:val="18"/>
              </w:rPr>
            </w:pPr>
            <w:r w:rsidRPr="00AF1DAD">
              <w:rPr>
                <w:szCs w:val="18"/>
              </w:rPr>
              <w:t>Larkin J, Chiarion-Sileni V, Gonzalez R et al. Five-year survival with combined nivolumab and ipilimumab in advanced melanoma.</w:t>
            </w:r>
          </w:p>
        </w:tc>
        <w:tc>
          <w:tcPr>
            <w:tcW w:w="1177" w:type="pct"/>
            <w:tcBorders>
              <w:top w:val="nil"/>
              <w:left w:val="single" w:sz="4" w:space="0" w:color="auto"/>
              <w:bottom w:val="nil"/>
              <w:right w:val="single" w:sz="4" w:space="0" w:color="auto"/>
            </w:tcBorders>
            <w:vAlign w:val="center"/>
          </w:tcPr>
          <w:p w14:paraId="364DB1B9" w14:textId="199AACDA" w:rsidR="00D24261" w:rsidRPr="00AF1DAD" w:rsidRDefault="00D24261" w:rsidP="00335139">
            <w:pPr>
              <w:pStyle w:val="TableText0"/>
              <w:keepNext w:val="0"/>
            </w:pPr>
            <w:r w:rsidRPr="00AF1DAD">
              <w:rPr>
                <w:szCs w:val="18"/>
              </w:rPr>
              <w:t>N</w:t>
            </w:r>
            <w:r w:rsidR="00EF74F8" w:rsidRPr="00AF1DAD">
              <w:rPr>
                <w:szCs w:val="18"/>
              </w:rPr>
              <w:t>ew England Journal of Medicine</w:t>
            </w:r>
            <w:r w:rsidRPr="00AF1DAD">
              <w:rPr>
                <w:szCs w:val="18"/>
              </w:rPr>
              <w:t xml:space="preserve"> 2019; 381(16): 1535-1546.</w:t>
            </w:r>
          </w:p>
        </w:tc>
      </w:tr>
      <w:tr w:rsidR="00D24261" w:rsidRPr="00AF1DAD" w14:paraId="3A023027" w14:textId="77777777" w:rsidTr="0061030A">
        <w:trPr>
          <w:cantSplit/>
          <w:tblHeader/>
        </w:trPr>
        <w:tc>
          <w:tcPr>
            <w:tcW w:w="796" w:type="pct"/>
            <w:vMerge/>
            <w:tcBorders>
              <w:bottom w:val="single" w:sz="4" w:space="0" w:color="auto"/>
              <w:right w:val="single" w:sz="4" w:space="0" w:color="auto"/>
            </w:tcBorders>
            <w:vAlign w:val="center"/>
          </w:tcPr>
          <w:p w14:paraId="09AA5C4C" w14:textId="77777777" w:rsidR="00D24261" w:rsidRPr="00AF1DAD" w:rsidRDefault="00D24261" w:rsidP="00335139">
            <w:pPr>
              <w:pStyle w:val="TableText0"/>
              <w:keepNext w:val="0"/>
            </w:pPr>
          </w:p>
        </w:tc>
        <w:tc>
          <w:tcPr>
            <w:tcW w:w="3027" w:type="pct"/>
            <w:tcBorders>
              <w:top w:val="nil"/>
              <w:left w:val="single" w:sz="4" w:space="0" w:color="auto"/>
              <w:bottom w:val="single" w:sz="4" w:space="0" w:color="auto"/>
              <w:right w:val="single" w:sz="4" w:space="0" w:color="auto"/>
            </w:tcBorders>
            <w:vAlign w:val="center"/>
          </w:tcPr>
          <w:p w14:paraId="67A387E1" w14:textId="77777777" w:rsidR="00D24261" w:rsidRPr="00AF1DAD" w:rsidRDefault="00D24261" w:rsidP="00335139">
            <w:pPr>
              <w:pStyle w:val="TableText0"/>
              <w:keepNext w:val="0"/>
              <w:rPr>
                <w:szCs w:val="18"/>
              </w:rPr>
            </w:pPr>
            <w:r w:rsidRPr="00AF1DAD">
              <w:rPr>
                <w:szCs w:val="18"/>
              </w:rPr>
              <w:t>Wolchok JD, Chiarion-Sileni V, Gonzalez R et al. Overall Survival with Combined Nivolumab and Ipilimumab in Advanced Melanoma.</w:t>
            </w:r>
          </w:p>
        </w:tc>
        <w:tc>
          <w:tcPr>
            <w:tcW w:w="1177" w:type="pct"/>
            <w:tcBorders>
              <w:top w:val="nil"/>
              <w:left w:val="single" w:sz="4" w:space="0" w:color="auto"/>
              <w:bottom w:val="single" w:sz="4" w:space="0" w:color="auto"/>
              <w:right w:val="single" w:sz="4" w:space="0" w:color="auto"/>
            </w:tcBorders>
            <w:vAlign w:val="center"/>
          </w:tcPr>
          <w:p w14:paraId="07A0AC64" w14:textId="7E155266" w:rsidR="00D24261" w:rsidRPr="00AF1DAD" w:rsidRDefault="00D24261" w:rsidP="00335139">
            <w:pPr>
              <w:pStyle w:val="TableText0"/>
              <w:keepNext w:val="0"/>
            </w:pPr>
            <w:r w:rsidRPr="00AF1DAD">
              <w:rPr>
                <w:szCs w:val="18"/>
              </w:rPr>
              <w:t>N</w:t>
            </w:r>
            <w:r w:rsidR="00EF74F8" w:rsidRPr="00AF1DAD">
              <w:rPr>
                <w:szCs w:val="18"/>
              </w:rPr>
              <w:t>ew England Journal of Medicine</w:t>
            </w:r>
            <w:r w:rsidRPr="00AF1DAD">
              <w:rPr>
                <w:szCs w:val="18"/>
              </w:rPr>
              <w:t xml:space="preserve"> 2017; 377(14): 1345-1356.</w:t>
            </w:r>
          </w:p>
        </w:tc>
      </w:tr>
    </w:tbl>
    <w:p w14:paraId="00FE0803" w14:textId="69D8AF25" w:rsidR="00D24261" w:rsidRDefault="00D24261" w:rsidP="00D24261">
      <w:pPr>
        <w:pStyle w:val="TableFigureFooter"/>
      </w:pPr>
      <w:r>
        <w:t xml:space="preserve">Source: Table 14, p46-47 and Attachment 10a_2.2 </w:t>
      </w:r>
      <w:r w:rsidRPr="00D13A3E">
        <w:t xml:space="preserve">of the </w:t>
      </w:r>
      <w:r>
        <w:t>submission.</w:t>
      </w:r>
    </w:p>
    <w:p w14:paraId="2C860547" w14:textId="1474BB67" w:rsidR="002A4629" w:rsidRDefault="00D24261" w:rsidP="00D24261">
      <w:pPr>
        <w:pStyle w:val="TableFigureFooter"/>
      </w:pPr>
      <w:r>
        <w:t xml:space="preserve">IPI = ipilimumab, LAG-3 = </w:t>
      </w:r>
      <w:r w:rsidRPr="005A6272">
        <w:t>lymphocyte activation gene 3</w:t>
      </w:r>
      <w:r>
        <w:t>, NIVO = nivolumab, PD-1 = programmed cell death protein 1, RELA = relatlimab.</w:t>
      </w:r>
    </w:p>
    <w:p w14:paraId="5D4623BA" w14:textId="77777777" w:rsidR="002A4629" w:rsidRDefault="002A4629">
      <w:pPr>
        <w:jc w:val="left"/>
        <w:rPr>
          <w:rFonts w:ascii="Arial Narrow" w:hAnsi="Arial Narrow"/>
          <w:snapToGrid w:val="0"/>
          <w:sz w:val="18"/>
          <w:szCs w:val="22"/>
        </w:rPr>
      </w:pPr>
      <w:r>
        <w:br w:type="page"/>
      </w:r>
    </w:p>
    <w:p w14:paraId="2C853263" w14:textId="62F6EF03" w:rsidR="00D24261" w:rsidRPr="00EF74F8" w:rsidRDefault="00D24261" w:rsidP="00D24261">
      <w:pPr>
        <w:pStyle w:val="3-BodyText"/>
        <w:numPr>
          <w:ilvl w:val="1"/>
          <w:numId w:val="1"/>
        </w:numPr>
        <w:rPr>
          <w:b/>
        </w:rPr>
      </w:pPr>
      <w:r w:rsidRPr="00B50DB8">
        <w:lastRenderedPageBreak/>
        <w:t xml:space="preserve">The key features of the </w:t>
      </w:r>
      <w:r>
        <w:t>included evidence</w:t>
      </w:r>
      <w:r w:rsidRPr="00B50DB8">
        <w:t xml:space="preserve"> are summarise</w:t>
      </w:r>
      <w:r w:rsidRPr="00EF74F8">
        <w:t>d in</w:t>
      </w:r>
      <w:r w:rsidR="00EF74F8" w:rsidRPr="00EF74F8">
        <w:t xml:space="preserve"> </w:t>
      </w:r>
      <w:r w:rsidR="00EF74F8" w:rsidRPr="00EF74F8">
        <w:fldChar w:fldCharType="begin"/>
      </w:r>
      <w:r w:rsidR="00EF74F8" w:rsidRPr="00EF74F8">
        <w:instrText xml:space="preserve"> REF _Ref103181102 \h  \* MERGEFORMAT </w:instrText>
      </w:r>
      <w:r w:rsidR="00EF74F8" w:rsidRPr="00EF74F8">
        <w:fldChar w:fldCharType="separate"/>
      </w:r>
      <w:r w:rsidR="00633460" w:rsidRPr="00633460">
        <w:t>Table 3</w:t>
      </w:r>
      <w:r w:rsidR="00EF74F8" w:rsidRPr="00EF74F8">
        <w:fldChar w:fldCharType="end"/>
      </w:r>
      <w:r w:rsidRPr="00EF74F8">
        <w:t>.</w:t>
      </w:r>
    </w:p>
    <w:p w14:paraId="0CEACAC9" w14:textId="0BEB0E84" w:rsidR="00D24261" w:rsidRPr="00E25F2D" w:rsidRDefault="00D24261" w:rsidP="00D24261">
      <w:pPr>
        <w:pStyle w:val="Caption"/>
        <w:keepNext/>
        <w:spacing w:after="0"/>
        <w:rPr>
          <w:rStyle w:val="CommentReference"/>
          <w:b/>
          <w:bCs w:val="0"/>
          <w:color w:val="000000" w:themeColor="text1"/>
        </w:rPr>
      </w:pPr>
      <w:bookmarkStart w:id="29" w:name="_Ref103181102"/>
      <w:bookmarkStart w:id="30" w:name="_Ref100925887"/>
      <w:r w:rsidRPr="00E25F2D">
        <w:rPr>
          <w:rStyle w:val="CommentReference"/>
          <w:b/>
          <w:bCs w:val="0"/>
          <w:color w:val="000000" w:themeColor="text1"/>
        </w:rPr>
        <w:t xml:space="preserve">Table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3</w:t>
      </w:r>
      <w:r>
        <w:rPr>
          <w:rStyle w:val="CommentReference"/>
          <w:b/>
          <w:bCs w:val="0"/>
          <w:color w:val="000000" w:themeColor="text1"/>
        </w:rPr>
        <w:fldChar w:fldCharType="end"/>
      </w:r>
      <w:bookmarkEnd w:id="29"/>
      <w:r w:rsidRPr="00E25F2D">
        <w:rPr>
          <w:rStyle w:val="CommentReference"/>
          <w:b/>
          <w:bCs w:val="0"/>
          <w:color w:val="000000" w:themeColor="text1"/>
        </w:rPr>
        <w:t>: Key features of the included evidence</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985"/>
        <w:gridCol w:w="709"/>
        <w:gridCol w:w="1986"/>
        <w:gridCol w:w="711"/>
        <w:gridCol w:w="1701"/>
        <w:gridCol w:w="1417"/>
        <w:gridCol w:w="1508"/>
      </w:tblGrid>
      <w:tr w:rsidR="00D24261" w:rsidRPr="00B41614" w14:paraId="0D089C7D" w14:textId="77777777" w:rsidTr="00E76C33">
        <w:trPr>
          <w:cantSplit/>
          <w:tblHeader/>
        </w:trPr>
        <w:tc>
          <w:tcPr>
            <w:tcW w:w="547" w:type="pct"/>
            <w:shd w:val="clear" w:color="auto" w:fill="auto"/>
            <w:vAlign w:val="center"/>
          </w:tcPr>
          <w:p w14:paraId="26722F71" w14:textId="77777777" w:rsidR="00D24261" w:rsidRPr="00B41614" w:rsidRDefault="00D24261" w:rsidP="00E730EF">
            <w:pPr>
              <w:pStyle w:val="In-tableHeading"/>
            </w:pPr>
            <w:r w:rsidRPr="00B41614">
              <w:t>Trial</w:t>
            </w:r>
          </w:p>
        </w:tc>
        <w:tc>
          <w:tcPr>
            <w:tcW w:w="393" w:type="pct"/>
            <w:shd w:val="clear" w:color="auto" w:fill="auto"/>
            <w:vAlign w:val="center"/>
          </w:tcPr>
          <w:p w14:paraId="0592B68B" w14:textId="77777777" w:rsidR="00D24261" w:rsidRPr="00B41614" w:rsidRDefault="00D24261" w:rsidP="00E730EF">
            <w:pPr>
              <w:pStyle w:val="In-tableHeading"/>
              <w:jc w:val="center"/>
            </w:pPr>
            <w:r w:rsidRPr="00B41614">
              <w:t>N</w:t>
            </w:r>
          </w:p>
        </w:tc>
        <w:tc>
          <w:tcPr>
            <w:tcW w:w="1101" w:type="pct"/>
            <w:shd w:val="clear" w:color="auto" w:fill="auto"/>
            <w:vAlign w:val="center"/>
          </w:tcPr>
          <w:p w14:paraId="68719BF7" w14:textId="77777777" w:rsidR="00D24261" w:rsidRPr="00B41614" w:rsidRDefault="00D24261" w:rsidP="00E730EF">
            <w:pPr>
              <w:pStyle w:val="In-tableHeading"/>
              <w:jc w:val="center"/>
            </w:pPr>
            <w:r w:rsidRPr="00B41614">
              <w:t>Design/ duration</w:t>
            </w:r>
          </w:p>
        </w:tc>
        <w:tc>
          <w:tcPr>
            <w:tcW w:w="394" w:type="pct"/>
            <w:shd w:val="clear" w:color="auto" w:fill="auto"/>
            <w:vAlign w:val="center"/>
          </w:tcPr>
          <w:p w14:paraId="69795464" w14:textId="77777777" w:rsidR="00D24261" w:rsidRPr="00B41614" w:rsidRDefault="00D24261" w:rsidP="00E730EF">
            <w:pPr>
              <w:pStyle w:val="In-tableHeading"/>
              <w:jc w:val="center"/>
            </w:pPr>
            <w:r w:rsidRPr="00B41614">
              <w:t>Risk of bias</w:t>
            </w:r>
          </w:p>
        </w:tc>
        <w:tc>
          <w:tcPr>
            <w:tcW w:w="943" w:type="pct"/>
            <w:shd w:val="clear" w:color="auto" w:fill="auto"/>
            <w:vAlign w:val="center"/>
          </w:tcPr>
          <w:p w14:paraId="6EA77A02" w14:textId="77777777" w:rsidR="00D24261" w:rsidRPr="00B41614" w:rsidRDefault="00D24261" w:rsidP="00E730EF">
            <w:pPr>
              <w:pStyle w:val="In-tableHeading"/>
              <w:jc w:val="center"/>
            </w:pPr>
            <w:r w:rsidRPr="00B41614">
              <w:t>Patient population</w:t>
            </w:r>
          </w:p>
        </w:tc>
        <w:tc>
          <w:tcPr>
            <w:tcW w:w="786" w:type="pct"/>
            <w:shd w:val="clear" w:color="auto" w:fill="auto"/>
            <w:vAlign w:val="center"/>
          </w:tcPr>
          <w:p w14:paraId="2A009E55" w14:textId="77777777" w:rsidR="00D24261" w:rsidRPr="00B41614" w:rsidRDefault="00D24261" w:rsidP="00E730EF">
            <w:pPr>
              <w:pStyle w:val="In-tableHeading"/>
              <w:jc w:val="center"/>
            </w:pPr>
            <w:r w:rsidRPr="00B41614">
              <w:t>Outcomes</w:t>
            </w:r>
          </w:p>
        </w:tc>
        <w:tc>
          <w:tcPr>
            <w:tcW w:w="837" w:type="pct"/>
            <w:shd w:val="clear" w:color="auto" w:fill="auto"/>
            <w:vAlign w:val="center"/>
          </w:tcPr>
          <w:p w14:paraId="74C6E33D" w14:textId="59C5D2B0" w:rsidR="00D24261" w:rsidRPr="00B41614" w:rsidRDefault="00D24261" w:rsidP="00E730EF">
            <w:pPr>
              <w:pStyle w:val="In-tableHeading"/>
              <w:jc w:val="center"/>
            </w:pPr>
            <w:r w:rsidRPr="00B41614">
              <w:t>Use</w:t>
            </w:r>
            <w:r w:rsidR="00E76C33">
              <w:t>d</w:t>
            </w:r>
            <w:r w:rsidRPr="00B41614">
              <w:t xml:space="preserve"> in modelled evaluation</w:t>
            </w:r>
          </w:p>
        </w:tc>
      </w:tr>
      <w:tr w:rsidR="00D24261" w:rsidRPr="00E2771E" w14:paraId="1DD325FF" w14:textId="77777777" w:rsidTr="00993EEC">
        <w:trPr>
          <w:cantSplit/>
        </w:trPr>
        <w:tc>
          <w:tcPr>
            <w:tcW w:w="5000" w:type="pct"/>
            <w:gridSpan w:val="7"/>
            <w:shd w:val="clear" w:color="auto" w:fill="auto"/>
            <w:vAlign w:val="center"/>
          </w:tcPr>
          <w:p w14:paraId="1E682EAB" w14:textId="77777777" w:rsidR="00D24261" w:rsidRPr="00020A69" w:rsidRDefault="00D24261" w:rsidP="00E730EF">
            <w:pPr>
              <w:pStyle w:val="In-tableHeading"/>
            </w:pPr>
            <w:r w:rsidRPr="00020A69">
              <w:t>RELA+NIVO versus nivolumab monotherapy</w:t>
            </w:r>
          </w:p>
        </w:tc>
      </w:tr>
      <w:tr w:rsidR="00D24261" w:rsidRPr="00E2771E" w14:paraId="684C49C8" w14:textId="77777777" w:rsidTr="00E76C33">
        <w:trPr>
          <w:cantSplit/>
        </w:trPr>
        <w:tc>
          <w:tcPr>
            <w:tcW w:w="547" w:type="pct"/>
            <w:shd w:val="clear" w:color="auto" w:fill="auto"/>
            <w:vAlign w:val="center"/>
          </w:tcPr>
          <w:p w14:paraId="4865733D" w14:textId="77777777" w:rsidR="00D24261" w:rsidRPr="00E2771E" w:rsidRDefault="00D24261" w:rsidP="00E730EF">
            <w:pPr>
              <w:pStyle w:val="TableText0"/>
              <w:rPr>
                <w:lang w:val="en-US"/>
              </w:rPr>
            </w:pPr>
            <w:r>
              <w:rPr>
                <w:lang w:val="en-US"/>
              </w:rPr>
              <w:t>CA224047</w:t>
            </w:r>
          </w:p>
        </w:tc>
        <w:tc>
          <w:tcPr>
            <w:tcW w:w="393" w:type="pct"/>
            <w:shd w:val="clear" w:color="auto" w:fill="auto"/>
            <w:vAlign w:val="center"/>
          </w:tcPr>
          <w:p w14:paraId="7702CF90" w14:textId="77777777" w:rsidR="00D24261" w:rsidRPr="00E2771E" w:rsidRDefault="00D24261" w:rsidP="00E730EF">
            <w:pPr>
              <w:pStyle w:val="TableText0"/>
              <w:jc w:val="center"/>
              <w:rPr>
                <w:lang w:val="en-US"/>
              </w:rPr>
            </w:pPr>
            <w:r>
              <w:rPr>
                <w:lang w:val="en-US"/>
              </w:rPr>
              <w:t>714</w:t>
            </w:r>
          </w:p>
        </w:tc>
        <w:tc>
          <w:tcPr>
            <w:tcW w:w="1101" w:type="pct"/>
            <w:shd w:val="clear" w:color="auto" w:fill="auto"/>
            <w:vAlign w:val="center"/>
          </w:tcPr>
          <w:p w14:paraId="41E1B070" w14:textId="77777777" w:rsidR="00D24261" w:rsidRDefault="00D24261" w:rsidP="00E730EF">
            <w:pPr>
              <w:pStyle w:val="TableText0"/>
              <w:jc w:val="center"/>
              <w:rPr>
                <w:lang w:val="en-US"/>
              </w:rPr>
            </w:pPr>
            <w:r>
              <w:rPr>
                <w:lang w:val="en-US"/>
              </w:rPr>
              <w:t>R, MC, MN, DB</w:t>
            </w:r>
          </w:p>
          <w:p w14:paraId="0A3A8C89" w14:textId="0D3ABD49" w:rsidR="00D24261" w:rsidRPr="00E2771E" w:rsidRDefault="00D24261" w:rsidP="00E730EF">
            <w:pPr>
              <w:pStyle w:val="TableText0"/>
              <w:jc w:val="center"/>
              <w:rPr>
                <w:lang w:val="en-US"/>
              </w:rPr>
            </w:pPr>
            <w:r>
              <w:rPr>
                <w:lang w:val="en-US"/>
              </w:rPr>
              <w:t xml:space="preserve">Median follow-up of </w:t>
            </w:r>
            <w:r w:rsidR="006D5F90">
              <w:rPr>
                <w:lang w:val="en-US"/>
              </w:rPr>
              <w:br/>
            </w:r>
            <w:r>
              <w:rPr>
                <w:lang w:val="en-US"/>
              </w:rPr>
              <w:t>19.27 months</w:t>
            </w:r>
            <w:r w:rsidR="00895F03" w:rsidRPr="00895F03">
              <w:rPr>
                <w:vertAlign w:val="superscript"/>
                <w:lang w:val="en-US"/>
              </w:rPr>
              <w:t>c</w:t>
            </w:r>
          </w:p>
        </w:tc>
        <w:tc>
          <w:tcPr>
            <w:tcW w:w="394" w:type="pct"/>
            <w:shd w:val="clear" w:color="auto" w:fill="auto"/>
            <w:vAlign w:val="center"/>
          </w:tcPr>
          <w:p w14:paraId="032E2111" w14:textId="77777777" w:rsidR="00D24261" w:rsidRPr="00EB580B" w:rsidRDefault="00D24261" w:rsidP="00E730EF">
            <w:pPr>
              <w:pStyle w:val="TableText0"/>
              <w:jc w:val="center"/>
              <w:rPr>
                <w:iCs/>
                <w:lang w:val="en-US"/>
              </w:rPr>
            </w:pPr>
            <w:r w:rsidRPr="00EB580B">
              <w:rPr>
                <w:iCs/>
                <w:lang w:val="en-US"/>
              </w:rPr>
              <w:t>Low</w:t>
            </w:r>
          </w:p>
        </w:tc>
        <w:tc>
          <w:tcPr>
            <w:tcW w:w="943" w:type="pct"/>
            <w:shd w:val="clear" w:color="auto" w:fill="auto"/>
            <w:vAlign w:val="center"/>
          </w:tcPr>
          <w:p w14:paraId="1BB72C9F" w14:textId="77777777" w:rsidR="00D24261" w:rsidRPr="00EB580B" w:rsidRDefault="00D24261" w:rsidP="00E730EF">
            <w:pPr>
              <w:pStyle w:val="TableText0"/>
              <w:jc w:val="center"/>
              <w:rPr>
                <w:lang w:val="en-US"/>
              </w:rPr>
            </w:pPr>
            <w:r>
              <w:rPr>
                <w:lang w:val="en-US"/>
              </w:rPr>
              <w:t>Previously u</w:t>
            </w:r>
            <w:r w:rsidRPr="00EB580B">
              <w:rPr>
                <w:lang w:val="en-US"/>
              </w:rPr>
              <w:t>ntreated</w:t>
            </w:r>
          </w:p>
          <w:p w14:paraId="5D378004" w14:textId="77777777" w:rsidR="00D24261" w:rsidRPr="00EB580B" w:rsidRDefault="00D24261" w:rsidP="00E730EF">
            <w:pPr>
              <w:pStyle w:val="TableText0"/>
              <w:jc w:val="center"/>
              <w:rPr>
                <w:lang w:val="en-US"/>
              </w:rPr>
            </w:pPr>
            <w:r w:rsidRPr="00EB580B">
              <w:rPr>
                <w:lang w:val="en-US"/>
              </w:rPr>
              <w:t>unresectable or</w:t>
            </w:r>
          </w:p>
          <w:p w14:paraId="35370966" w14:textId="77777777" w:rsidR="00D24261" w:rsidRPr="00E2771E" w:rsidRDefault="00D24261" w:rsidP="00E730EF">
            <w:pPr>
              <w:pStyle w:val="TableText0"/>
              <w:jc w:val="center"/>
              <w:rPr>
                <w:lang w:val="en-US"/>
              </w:rPr>
            </w:pPr>
            <w:r w:rsidRPr="00EB580B">
              <w:rPr>
                <w:lang w:val="en-US"/>
              </w:rPr>
              <w:t>metastatic melanoma</w:t>
            </w:r>
          </w:p>
        </w:tc>
        <w:tc>
          <w:tcPr>
            <w:tcW w:w="786" w:type="pct"/>
            <w:shd w:val="clear" w:color="auto" w:fill="auto"/>
            <w:vAlign w:val="center"/>
          </w:tcPr>
          <w:p w14:paraId="1B704FC5" w14:textId="77777777" w:rsidR="00D24261" w:rsidRPr="00E2771E" w:rsidRDefault="00D24261" w:rsidP="00E730EF">
            <w:pPr>
              <w:pStyle w:val="TableText0"/>
              <w:jc w:val="center"/>
              <w:rPr>
                <w:lang w:val="en-US"/>
              </w:rPr>
            </w:pPr>
            <w:r>
              <w:rPr>
                <w:lang w:val="en-US"/>
              </w:rPr>
              <w:t>PFS, OS, ORR, FACT-M, FACIT GP5, EQ-5D-3L and safety</w:t>
            </w:r>
          </w:p>
        </w:tc>
        <w:tc>
          <w:tcPr>
            <w:tcW w:w="837" w:type="pct"/>
            <w:shd w:val="clear" w:color="auto" w:fill="auto"/>
            <w:vAlign w:val="center"/>
          </w:tcPr>
          <w:p w14:paraId="3EB0F782" w14:textId="77777777" w:rsidR="00D24261" w:rsidRDefault="00D24261" w:rsidP="00E730EF">
            <w:pPr>
              <w:pStyle w:val="TableText0"/>
              <w:jc w:val="center"/>
              <w:rPr>
                <w:lang w:val="en-US"/>
              </w:rPr>
            </w:pPr>
            <w:r>
              <w:rPr>
                <w:lang w:val="en-US"/>
              </w:rPr>
              <w:t xml:space="preserve">PFS, OS, </w:t>
            </w:r>
          </w:p>
          <w:p w14:paraId="2613FFE2" w14:textId="77777777" w:rsidR="00D24261" w:rsidRPr="00E2771E" w:rsidRDefault="00D24261" w:rsidP="00E730EF">
            <w:pPr>
              <w:pStyle w:val="TableText0"/>
              <w:jc w:val="center"/>
              <w:rPr>
                <w:lang w:val="en-US"/>
              </w:rPr>
            </w:pPr>
            <w:r>
              <w:rPr>
                <w:lang w:val="en-US"/>
              </w:rPr>
              <w:t>EQ-5D-3L, and safety</w:t>
            </w:r>
          </w:p>
        </w:tc>
      </w:tr>
      <w:tr w:rsidR="00D24261" w:rsidRPr="00E2771E" w14:paraId="02BE2824" w14:textId="77777777" w:rsidTr="00993EEC">
        <w:trPr>
          <w:cantSplit/>
        </w:trPr>
        <w:tc>
          <w:tcPr>
            <w:tcW w:w="5000" w:type="pct"/>
            <w:gridSpan w:val="7"/>
            <w:shd w:val="clear" w:color="auto" w:fill="auto"/>
            <w:vAlign w:val="center"/>
          </w:tcPr>
          <w:p w14:paraId="51B75ED6" w14:textId="77777777" w:rsidR="00D24261" w:rsidRPr="00F857F0" w:rsidRDefault="00D24261" w:rsidP="00E730EF">
            <w:pPr>
              <w:pStyle w:val="TableText0"/>
              <w:rPr>
                <w:b/>
                <w:bCs w:val="0"/>
                <w:lang w:val="en-US"/>
              </w:rPr>
            </w:pPr>
            <w:r w:rsidRPr="00F857F0">
              <w:rPr>
                <w:b/>
                <w:bCs w:val="0"/>
                <w:lang w:val="en-US"/>
              </w:rPr>
              <w:t>NIVO+IPI versus nivolumab monotherapy</w:t>
            </w:r>
          </w:p>
        </w:tc>
      </w:tr>
      <w:tr w:rsidR="00D24261" w:rsidRPr="00E2771E" w14:paraId="7657861B" w14:textId="77777777" w:rsidTr="00E76C33">
        <w:trPr>
          <w:cantSplit/>
        </w:trPr>
        <w:tc>
          <w:tcPr>
            <w:tcW w:w="547" w:type="pct"/>
            <w:shd w:val="clear" w:color="auto" w:fill="auto"/>
            <w:vAlign w:val="center"/>
          </w:tcPr>
          <w:p w14:paraId="54168BDF" w14:textId="3526BD26" w:rsidR="00D24261" w:rsidRPr="00E2771E" w:rsidRDefault="00D24261" w:rsidP="00E730EF">
            <w:pPr>
              <w:pStyle w:val="TableText0"/>
              <w:rPr>
                <w:lang w:val="en-US"/>
              </w:rPr>
            </w:pPr>
            <w:r>
              <w:rPr>
                <w:lang w:val="en-US"/>
              </w:rPr>
              <w:t>CA209067</w:t>
            </w:r>
            <w:r w:rsidR="00895F03" w:rsidRPr="00895F03">
              <w:rPr>
                <w:vertAlign w:val="superscript"/>
                <w:lang w:val="en-US"/>
              </w:rPr>
              <w:t>a</w:t>
            </w:r>
          </w:p>
        </w:tc>
        <w:tc>
          <w:tcPr>
            <w:tcW w:w="393" w:type="pct"/>
            <w:shd w:val="clear" w:color="auto" w:fill="auto"/>
            <w:vAlign w:val="center"/>
          </w:tcPr>
          <w:p w14:paraId="0000DCF5" w14:textId="336E4009" w:rsidR="00D24261" w:rsidRPr="00E2771E" w:rsidRDefault="00D24261" w:rsidP="00E730EF">
            <w:pPr>
              <w:pStyle w:val="TableText0"/>
              <w:jc w:val="center"/>
              <w:rPr>
                <w:lang w:val="en-US"/>
              </w:rPr>
            </w:pPr>
            <w:r>
              <w:rPr>
                <w:lang w:val="en-US"/>
              </w:rPr>
              <w:t>630</w:t>
            </w:r>
            <w:r w:rsidR="00895F03" w:rsidRPr="00895F03">
              <w:rPr>
                <w:vertAlign w:val="superscript"/>
                <w:lang w:val="en-US"/>
              </w:rPr>
              <w:t>b</w:t>
            </w:r>
          </w:p>
        </w:tc>
        <w:tc>
          <w:tcPr>
            <w:tcW w:w="1101" w:type="pct"/>
            <w:shd w:val="clear" w:color="auto" w:fill="auto"/>
            <w:vAlign w:val="center"/>
          </w:tcPr>
          <w:p w14:paraId="3C295F8C" w14:textId="77777777" w:rsidR="00D24261" w:rsidRDefault="00D24261" w:rsidP="00E730EF">
            <w:pPr>
              <w:pStyle w:val="TableText0"/>
              <w:jc w:val="center"/>
              <w:rPr>
                <w:lang w:val="en-US"/>
              </w:rPr>
            </w:pPr>
            <w:r>
              <w:rPr>
                <w:lang w:val="en-US"/>
              </w:rPr>
              <w:t>R, MC, MN, DB</w:t>
            </w:r>
          </w:p>
          <w:p w14:paraId="20650D23" w14:textId="77777777" w:rsidR="006D5F90" w:rsidRDefault="00D24261" w:rsidP="00E730EF">
            <w:pPr>
              <w:pStyle w:val="TableText0"/>
              <w:jc w:val="center"/>
              <w:rPr>
                <w:lang w:val="en-US"/>
              </w:rPr>
            </w:pPr>
            <w:r>
              <w:rPr>
                <w:lang w:val="en-US"/>
              </w:rPr>
              <w:t xml:space="preserve">Median follow-up of </w:t>
            </w:r>
          </w:p>
          <w:p w14:paraId="1A434EB6" w14:textId="37F62C12" w:rsidR="00D24261" w:rsidRDefault="00D24261" w:rsidP="00E730EF">
            <w:pPr>
              <w:pStyle w:val="TableText0"/>
              <w:jc w:val="center"/>
              <w:rPr>
                <w:lang w:val="en-US"/>
              </w:rPr>
            </w:pPr>
            <w:r>
              <w:rPr>
                <w:lang w:val="en-US"/>
              </w:rPr>
              <w:t>12.2-12.5 months</w:t>
            </w:r>
            <w:r w:rsidR="00895F03" w:rsidRPr="00895F03">
              <w:rPr>
                <w:vertAlign w:val="superscript"/>
                <w:lang w:val="en-US"/>
              </w:rPr>
              <w:t>d</w:t>
            </w:r>
          </w:p>
          <w:p w14:paraId="232F5D02" w14:textId="194B945D" w:rsidR="00D24261" w:rsidRPr="00E2771E" w:rsidRDefault="00D24261" w:rsidP="00E730EF">
            <w:pPr>
              <w:pStyle w:val="TableText0"/>
              <w:jc w:val="center"/>
              <w:rPr>
                <w:lang w:val="en-US"/>
              </w:rPr>
            </w:pPr>
            <w:r>
              <w:rPr>
                <w:lang w:val="en-US"/>
              </w:rPr>
              <w:t xml:space="preserve"> </w:t>
            </w:r>
            <w:r>
              <w:t xml:space="preserve">Long-term analyses at </w:t>
            </w:r>
            <w:r w:rsidR="006D5F90">
              <w:br/>
            </w:r>
            <w:r>
              <w:t>3-, 4-, 5- and 6.5 years.</w:t>
            </w:r>
          </w:p>
        </w:tc>
        <w:tc>
          <w:tcPr>
            <w:tcW w:w="394" w:type="pct"/>
            <w:shd w:val="clear" w:color="auto" w:fill="auto"/>
            <w:vAlign w:val="center"/>
          </w:tcPr>
          <w:p w14:paraId="6B0FD4BD" w14:textId="77777777" w:rsidR="00D24261" w:rsidRPr="00EB580B" w:rsidRDefault="00D24261" w:rsidP="00E730EF">
            <w:pPr>
              <w:pStyle w:val="TableText0"/>
              <w:jc w:val="center"/>
              <w:rPr>
                <w:iCs/>
                <w:lang w:val="en-US"/>
              </w:rPr>
            </w:pPr>
            <w:r>
              <w:rPr>
                <w:iCs/>
                <w:lang w:val="en-US"/>
              </w:rPr>
              <w:t>Low</w:t>
            </w:r>
          </w:p>
        </w:tc>
        <w:tc>
          <w:tcPr>
            <w:tcW w:w="943" w:type="pct"/>
            <w:shd w:val="clear" w:color="auto" w:fill="auto"/>
            <w:vAlign w:val="center"/>
          </w:tcPr>
          <w:p w14:paraId="59614DA5" w14:textId="77777777" w:rsidR="00D24261" w:rsidRPr="00EB580B" w:rsidRDefault="00D24261" w:rsidP="00E730EF">
            <w:pPr>
              <w:pStyle w:val="TableText0"/>
              <w:jc w:val="center"/>
              <w:rPr>
                <w:lang w:val="en-US"/>
              </w:rPr>
            </w:pPr>
            <w:r>
              <w:rPr>
                <w:lang w:val="en-US"/>
              </w:rPr>
              <w:t>Previously u</w:t>
            </w:r>
            <w:r w:rsidRPr="00EB580B">
              <w:rPr>
                <w:lang w:val="en-US"/>
              </w:rPr>
              <w:t>ntreated</w:t>
            </w:r>
          </w:p>
          <w:p w14:paraId="04EC9DDE" w14:textId="77777777" w:rsidR="00D24261" w:rsidRPr="00EB580B" w:rsidRDefault="00D24261" w:rsidP="00E730EF">
            <w:pPr>
              <w:pStyle w:val="TableText0"/>
              <w:jc w:val="center"/>
              <w:rPr>
                <w:lang w:val="en-US"/>
              </w:rPr>
            </w:pPr>
            <w:r w:rsidRPr="00EB580B">
              <w:rPr>
                <w:lang w:val="en-US"/>
              </w:rPr>
              <w:t>unresectable or</w:t>
            </w:r>
          </w:p>
          <w:p w14:paraId="047108D9" w14:textId="77777777" w:rsidR="00D24261" w:rsidRPr="00E2771E" w:rsidRDefault="00D24261" w:rsidP="00E730EF">
            <w:pPr>
              <w:pStyle w:val="TableText0"/>
              <w:jc w:val="center"/>
              <w:rPr>
                <w:lang w:val="en-US"/>
              </w:rPr>
            </w:pPr>
            <w:r w:rsidRPr="00EB580B">
              <w:rPr>
                <w:lang w:val="en-US"/>
              </w:rPr>
              <w:t>metastatic melanoma</w:t>
            </w:r>
          </w:p>
        </w:tc>
        <w:tc>
          <w:tcPr>
            <w:tcW w:w="786" w:type="pct"/>
            <w:shd w:val="clear" w:color="auto" w:fill="auto"/>
            <w:vAlign w:val="center"/>
          </w:tcPr>
          <w:p w14:paraId="7F6D0CF9" w14:textId="77777777" w:rsidR="00D24261" w:rsidRPr="00E2771E" w:rsidRDefault="00D24261" w:rsidP="00E730EF">
            <w:pPr>
              <w:pStyle w:val="TableText0"/>
              <w:jc w:val="center"/>
              <w:rPr>
                <w:lang w:val="en-US"/>
              </w:rPr>
            </w:pPr>
            <w:r>
              <w:rPr>
                <w:lang w:val="en-US"/>
              </w:rPr>
              <w:t>PFS, OS, ORR, EORTC QLQ-C30, EQ-5D-3L and safety</w:t>
            </w:r>
          </w:p>
        </w:tc>
        <w:tc>
          <w:tcPr>
            <w:tcW w:w="837" w:type="pct"/>
            <w:shd w:val="clear" w:color="auto" w:fill="auto"/>
            <w:vAlign w:val="center"/>
          </w:tcPr>
          <w:p w14:paraId="1597A9BD" w14:textId="77777777" w:rsidR="00D24261" w:rsidRPr="00E2771E" w:rsidRDefault="00D24261" w:rsidP="00E730EF">
            <w:pPr>
              <w:pStyle w:val="TableText0"/>
              <w:jc w:val="center"/>
              <w:rPr>
                <w:lang w:val="en-US"/>
              </w:rPr>
            </w:pPr>
            <w:r>
              <w:rPr>
                <w:lang w:val="en-US"/>
              </w:rPr>
              <w:t>Not used</w:t>
            </w:r>
          </w:p>
        </w:tc>
      </w:tr>
    </w:tbl>
    <w:p w14:paraId="16C0C0D5" w14:textId="77777777" w:rsidR="00D24261" w:rsidRDefault="00D24261" w:rsidP="00D24261">
      <w:pPr>
        <w:pStyle w:val="TableFigureFooter"/>
      </w:pPr>
      <w:r>
        <w:t>Source: Table 15, p50 and Table 19, p68 of the submission.</w:t>
      </w:r>
    </w:p>
    <w:p w14:paraId="7BB26B24" w14:textId="7E5C3EA3" w:rsidR="00D24261" w:rsidRDefault="00D24261" w:rsidP="00D24261">
      <w:pPr>
        <w:pStyle w:val="TableFigureFooter"/>
      </w:pPr>
      <w:r w:rsidRPr="0072416F">
        <w:t>DB</w:t>
      </w:r>
      <w:r>
        <w:t xml:space="preserve"> </w:t>
      </w:r>
      <w:r w:rsidRPr="0072416F">
        <w:t>=</w:t>
      </w:r>
      <w:r>
        <w:t xml:space="preserve"> </w:t>
      </w:r>
      <w:r w:rsidRPr="0072416F">
        <w:t>double blind</w:t>
      </w:r>
      <w:r>
        <w:t>, EORTC</w:t>
      </w:r>
      <w:r w:rsidR="00EF74F8">
        <w:t>-QLQ</w:t>
      </w:r>
      <w:r>
        <w:t xml:space="preserve"> </w:t>
      </w:r>
      <w:r w:rsidR="00EF74F8">
        <w:t>C30</w:t>
      </w:r>
      <w:r>
        <w:t>= European Organisation for Research and Treatment of Cancer</w:t>
      </w:r>
      <w:r w:rsidR="00EF74F8">
        <w:t xml:space="preserve"> Quality of Life Questionnaire C30</w:t>
      </w:r>
      <w:r>
        <w:t>,</w:t>
      </w:r>
      <w:r w:rsidRPr="006A328C">
        <w:t xml:space="preserve"> </w:t>
      </w:r>
      <w:r>
        <w:t xml:space="preserve">EQ-5D-3L = 3-level version of the EQ-5D health status measure, FACT-M = Functional Assessment of Cancer Therapy – Melanoma, </w:t>
      </w:r>
      <w:r w:rsidR="00EF74F8">
        <w:t xml:space="preserve">FACIT GP5 = </w:t>
      </w:r>
      <w:r w:rsidR="00EF74F8" w:rsidRPr="005C6E38">
        <w:t>Functional Assessment of Chronic Illness Therapy</w:t>
      </w:r>
      <w:r w:rsidR="00EF74F8">
        <w:t xml:space="preserve"> - GP 5</w:t>
      </w:r>
      <w:r>
        <w:t xml:space="preserve">, </w:t>
      </w:r>
      <w:r w:rsidRPr="0072416F">
        <w:t>MC</w:t>
      </w:r>
      <w:r>
        <w:t xml:space="preserve"> </w:t>
      </w:r>
      <w:r w:rsidRPr="0072416F">
        <w:t>=</w:t>
      </w:r>
      <w:r>
        <w:t xml:space="preserve"> </w:t>
      </w:r>
      <w:r w:rsidRPr="0072416F">
        <w:t>multi-centr</w:t>
      </w:r>
      <w:r>
        <w:t>e,</w:t>
      </w:r>
      <w:r w:rsidR="00EF74F8">
        <w:t xml:space="preserve"> MN = multi-national,</w:t>
      </w:r>
      <w:r w:rsidRPr="0072416F">
        <w:t xml:space="preserve"> </w:t>
      </w:r>
      <w:r>
        <w:t xml:space="preserve">ORR = overall response rate, </w:t>
      </w:r>
      <w:r w:rsidRPr="0072416F">
        <w:t>OS</w:t>
      </w:r>
      <w:r>
        <w:t xml:space="preserve"> </w:t>
      </w:r>
      <w:r w:rsidRPr="0072416F">
        <w:t>=</w:t>
      </w:r>
      <w:r>
        <w:t xml:space="preserve"> </w:t>
      </w:r>
      <w:r w:rsidRPr="0072416F">
        <w:t>overall survival</w:t>
      </w:r>
      <w:r>
        <w:t>,</w:t>
      </w:r>
      <w:r w:rsidRPr="0072416F">
        <w:t xml:space="preserve"> PFS</w:t>
      </w:r>
      <w:r>
        <w:t xml:space="preserve"> </w:t>
      </w:r>
      <w:r w:rsidRPr="0072416F">
        <w:t>=</w:t>
      </w:r>
      <w:r>
        <w:t xml:space="preserve"> </w:t>
      </w:r>
      <w:r w:rsidRPr="0072416F">
        <w:t>progression-free survival R</w:t>
      </w:r>
      <w:r>
        <w:t xml:space="preserve"> </w:t>
      </w:r>
      <w:r w:rsidRPr="0072416F">
        <w:t>=</w:t>
      </w:r>
      <w:r>
        <w:t xml:space="preserve"> </w:t>
      </w:r>
      <w:r w:rsidRPr="0072416F">
        <w:t>randomised.</w:t>
      </w:r>
    </w:p>
    <w:p w14:paraId="0F7927F4" w14:textId="29409D46" w:rsidR="00895F03" w:rsidRPr="00895F03" w:rsidRDefault="00895F03" w:rsidP="00D24261">
      <w:pPr>
        <w:pStyle w:val="TableFigureFooter"/>
      </w:pPr>
      <w:r>
        <w:rPr>
          <w:vertAlign w:val="superscript"/>
        </w:rPr>
        <w:t>a</w:t>
      </w:r>
      <w:r>
        <w:t xml:space="preserve"> CA209067 also had a</w:t>
      </w:r>
      <w:r w:rsidR="00E20335">
        <w:t>n</w:t>
      </w:r>
      <w:r>
        <w:t xml:space="preserve"> ipilimumab monotherapy arm. Data from this arm were not considered by the submission</w:t>
      </w:r>
    </w:p>
    <w:p w14:paraId="06C53406" w14:textId="5AA3DC26" w:rsidR="00D24261" w:rsidRDefault="00895F03" w:rsidP="00D24261">
      <w:pPr>
        <w:pStyle w:val="TableFigureFooter"/>
      </w:pPr>
      <w:r>
        <w:rPr>
          <w:vertAlign w:val="superscript"/>
        </w:rPr>
        <w:t xml:space="preserve">b </w:t>
      </w:r>
      <w:r w:rsidR="00D24261">
        <w:t xml:space="preserve">The number of patients is </w:t>
      </w:r>
      <w:r>
        <w:t xml:space="preserve">the total in the </w:t>
      </w:r>
      <w:r w:rsidR="00D24261">
        <w:t>NIVO+IPI and nivolumab monotherapy arm</w:t>
      </w:r>
      <w:r>
        <w:t>s</w:t>
      </w:r>
      <w:r w:rsidR="00D24261">
        <w:t xml:space="preserve"> (314 and 316, respectively). </w:t>
      </w:r>
    </w:p>
    <w:p w14:paraId="56698C0A" w14:textId="49D10911" w:rsidR="00D24261" w:rsidRDefault="00895F03" w:rsidP="00D24261">
      <w:pPr>
        <w:pStyle w:val="TableFigureFooter"/>
      </w:pPr>
      <w:r>
        <w:rPr>
          <w:vertAlign w:val="superscript"/>
        </w:rPr>
        <w:t>c</w:t>
      </w:r>
      <w:r w:rsidR="00D24261">
        <w:t xml:space="preserve"> Data cut-off: October 2021</w:t>
      </w:r>
    </w:p>
    <w:p w14:paraId="2A2E4EE0" w14:textId="3B8567FC" w:rsidR="00D24261" w:rsidRPr="00E25F2D" w:rsidRDefault="00895F03" w:rsidP="00D24261">
      <w:pPr>
        <w:pStyle w:val="TableFigureFooter"/>
        <w:rPr>
          <w:sz w:val="20"/>
        </w:rPr>
      </w:pPr>
      <w:r>
        <w:rPr>
          <w:vertAlign w:val="superscript"/>
        </w:rPr>
        <w:t>d</w:t>
      </w:r>
      <w:r w:rsidR="00D24261">
        <w:t xml:space="preserve"> Data cut-off: February 2015</w:t>
      </w:r>
    </w:p>
    <w:p w14:paraId="4D94A8C9" w14:textId="77777777" w:rsidR="00D24261" w:rsidRDefault="00D24261" w:rsidP="00D24261">
      <w:pPr>
        <w:pStyle w:val="3-BodyText"/>
        <w:numPr>
          <w:ilvl w:val="1"/>
          <w:numId w:val="1"/>
        </w:numPr>
      </w:pPr>
      <w:r w:rsidRPr="00B61354">
        <w:t xml:space="preserve">For CA224047, </w:t>
      </w:r>
      <w:r>
        <w:t xml:space="preserve">the </w:t>
      </w:r>
      <w:r w:rsidRPr="00B61354">
        <w:t xml:space="preserve">results were based on </w:t>
      </w:r>
      <w:r>
        <w:t xml:space="preserve">the final </w:t>
      </w:r>
      <w:r w:rsidRPr="00B61354">
        <w:t xml:space="preserve">PFS analysis (median duration of follow-up of 13.21 months; data cut-off: March 2021) and an updated OS analysis (median duration of follow-up of 19.27 months; data cut-off: October 2021). For the CA209067 trial, results were based on an interim analysis (median duration of follow-up of 12.2-12.5 months; data cut-off: </w:t>
      </w:r>
      <w:r>
        <w:t xml:space="preserve">February </w:t>
      </w:r>
      <w:r w:rsidRPr="00B61354">
        <w:t xml:space="preserve">2015). Updated results were available for CA209067 at 3-, 4-, 5-, and 6.5 years of follow-up. </w:t>
      </w:r>
    </w:p>
    <w:p w14:paraId="5B1C16D0" w14:textId="704590A5" w:rsidR="00D24261" w:rsidRDefault="00D24261" w:rsidP="00D24261">
      <w:pPr>
        <w:pStyle w:val="3-BodyText"/>
        <w:numPr>
          <w:ilvl w:val="1"/>
          <w:numId w:val="1"/>
        </w:numPr>
      </w:pPr>
      <w:r>
        <w:t>T</w:t>
      </w:r>
      <w:r w:rsidRPr="00B61354">
        <w:t xml:space="preserve">he primary objective of CA209067 was to evaluate the safety and effectiveness of nivolumab monotherapy and NIVO+IPI in comparison with ipilimumab monotherapy. The </w:t>
      </w:r>
      <w:r>
        <w:t>OS</w:t>
      </w:r>
      <w:r w:rsidRPr="00B61354">
        <w:t xml:space="preserve">, PFS, and </w:t>
      </w:r>
      <w:r>
        <w:t>overall response rate (ORR)</w:t>
      </w:r>
      <w:r w:rsidRPr="00B61354">
        <w:t xml:space="preserve"> between the NIVO+IPI group and the nivolumab monotherapy group were secondary endpoints evaluated using descriptive analysis</w:t>
      </w:r>
      <w:r w:rsidR="00B7126C">
        <w:t xml:space="preserve"> (</w:t>
      </w:r>
      <w:r w:rsidR="00B7126C" w:rsidRPr="00D052BF">
        <w:t>i.e., no hypothesis testing)</w:t>
      </w:r>
      <w:r w:rsidRPr="00B61354">
        <w:t>.</w:t>
      </w:r>
    </w:p>
    <w:p w14:paraId="646582D7" w14:textId="4FEDD0FB" w:rsidR="003A2A32" w:rsidRPr="00AF1DAD" w:rsidRDefault="003A2A32" w:rsidP="00A3402E">
      <w:pPr>
        <w:pStyle w:val="3-BodyText"/>
        <w:numPr>
          <w:ilvl w:val="1"/>
          <w:numId w:val="1"/>
        </w:numPr>
        <w:snapToGrid w:val="0"/>
        <w:rPr>
          <w:color w:val="0066FF"/>
        </w:rPr>
      </w:pPr>
      <w:r w:rsidRPr="00AF1DAD">
        <w:t xml:space="preserve">The eligibility criteria were largely similar for </w:t>
      </w:r>
      <w:r w:rsidR="00673612" w:rsidRPr="00AF1DAD">
        <w:t xml:space="preserve">the </w:t>
      </w:r>
      <w:r w:rsidRPr="00AF1DAD">
        <w:t>CA224047 and CA209067</w:t>
      </w:r>
      <w:r w:rsidR="00673612" w:rsidRPr="00AF1DAD">
        <w:t xml:space="preserve"> trials</w:t>
      </w:r>
      <w:r w:rsidRPr="00AF1DAD">
        <w:t>. However, there were key differences across the trials that may affect transitivity</w:t>
      </w:r>
      <w:r w:rsidR="00673612" w:rsidRPr="00AF1DAD">
        <w:t>. These included</w:t>
      </w:r>
      <w:r w:rsidRPr="00AF1DAD">
        <w:t>:</w:t>
      </w:r>
    </w:p>
    <w:p w14:paraId="25594BF2" w14:textId="63FB24DD" w:rsidR="003A2A32" w:rsidRPr="00AF1DAD" w:rsidRDefault="00673612" w:rsidP="00A3402E">
      <w:pPr>
        <w:pStyle w:val="3-BodyText"/>
        <w:numPr>
          <w:ilvl w:val="0"/>
          <w:numId w:val="15"/>
        </w:numPr>
        <w:snapToGrid w:val="0"/>
        <w:ind w:left="1134"/>
      </w:pPr>
      <w:r w:rsidRPr="00AF1DAD">
        <w:t xml:space="preserve">A </w:t>
      </w:r>
      <w:r w:rsidR="003A2A32" w:rsidRPr="00AF1DAD">
        <w:t xml:space="preserve">higher proportion of patients in the CA224047 trial were aged 75 years or above </w:t>
      </w:r>
      <w:r w:rsidRPr="00AF1DAD">
        <w:t xml:space="preserve">compared with the CA209067 trial </w:t>
      </w:r>
      <w:r w:rsidR="003A2A32" w:rsidRPr="00AF1DAD">
        <w:t>(</w:t>
      </w:r>
      <w:r w:rsidR="00E14EF8" w:rsidRPr="00AF1DAD">
        <w:t>17.6%</w:t>
      </w:r>
      <w:r w:rsidR="008F35A9">
        <w:t xml:space="preserve"> </w:t>
      </w:r>
      <w:r w:rsidR="003A2A32" w:rsidRPr="00AF1DAD">
        <w:t xml:space="preserve">versus </w:t>
      </w:r>
      <w:r w:rsidR="00E14EF8" w:rsidRPr="00AF1DAD">
        <w:t>11.</w:t>
      </w:r>
      <w:r w:rsidR="008F35A9">
        <w:t>8</w:t>
      </w:r>
      <w:r w:rsidR="00E14EF8" w:rsidRPr="00AF1DAD">
        <w:t>%</w:t>
      </w:r>
      <w:r w:rsidR="003A2A32" w:rsidRPr="00AF1DAD">
        <w:t>). Age was not found to be a statistically significant treatment effect modifier based on subgroup analyses.</w:t>
      </w:r>
    </w:p>
    <w:p w14:paraId="6DC35495" w14:textId="44B7C45A" w:rsidR="003A2A32" w:rsidRPr="00AF1DAD" w:rsidRDefault="00673612" w:rsidP="00A3402E">
      <w:pPr>
        <w:pStyle w:val="3-BodyText"/>
        <w:numPr>
          <w:ilvl w:val="0"/>
          <w:numId w:val="15"/>
        </w:numPr>
        <w:snapToGrid w:val="0"/>
        <w:ind w:left="1134"/>
      </w:pPr>
      <w:r w:rsidRPr="00AF1DAD">
        <w:t>M</w:t>
      </w:r>
      <w:r w:rsidR="003A2A32" w:rsidRPr="00AF1DAD">
        <w:t xml:space="preserve">ore patients in the CA209067 trial were classified as being fully active, i.e., ECOG </w:t>
      </w:r>
      <w:r w:rsidR="004467FA" w:rsidRPr="00AF1DAD">
        <w:t xml:space="preserve">performance status </w:t>
      </w:r>
      <w:r w:rsidR="003A2A32" w:rsidRPr="00AF1DAD">
        <w:t xml:space="preserve">of 0 </w:t>
      </w:r>
      <w:r w:rsidRPr="00AF1DAD">
        <w:t xml:space="preserve">compared with the CA224047 trial </w:t>
      </w:r>
      <w:r w:rsidR="003A2A32" w:rsidRPr="00AF1DAD">
        <w:t>(</w:t>
      </w:r>
      <w:r w:rsidR="00E14EF8" w:rsidRPr="00AF1DAD">
        <w:t>74.</w:t>
      </w:r>
      <w:r w:rsidR="00895F03">
        <w:t>3</w:t>
      </w:r>
      <w:r w:rsidR="00E14EF8" w:rsidRPr="00AF1DAD">
        <w:t>%</w:t>
      </w:r>
      <w:r w:rsidR="008F35A9">
        <w:t xml:space="preserve"> </w:t>
      </w:r>
      <w:r w:rsidR="003A2A32" w:rsidRPr="00AF1DAD">
        <w:t xml:space="preserve">versus </w:t>
      </w:r>
      <w:r w:rsidR="00E14EF8" w:rsidRPr="00AF1DAD">
        <w:t>6</w:t>
      </w:r>
      <w:r w:rsidR="00895F03">
        <w:t>7.0</w:t>
      </w:r>
      <w:r w:rsidR="00E14EF8" w:rsidRPr="00AF1DAD">
        <w:t>%</w:t>
      </w:r>
      <w:r w:rsidR="003A2A32" w:rsidRPr="00AF1DAD">
        <w:t xml:space="preserve">), </w:t>
      </w:r>
    </w:p>
    <w:p w14:paraId="7990D7E1" w14:textId="724B13D1" w:rsidR="003A2A32" w:rsidRPr="00AF1DAD" w:rsidRDefault="00673612" w:rsidP="00A3402E">
      <w:pPr>
        <w:pStyle w:val="3-BodyText"/>
        <w:numPr>
          <w:ilvl w:val="0"/>
          <w:numId w:val="15"/>
        </w:numPr>
        <w:snapToGrid w:val="0"/>
        <w:ind w:left="1134"/>
      </w:pPr>
      <w:r w:rsidRPr="00AF1DAD">
        <w:t xml:space="preserve">A </w:t>
      </w:r>
      <w:r w:rsidR="003A2A32" w:rsidRPr="00AF1DAD">
        <w:t xml:space="preserve">higher proportion of patients in the CA224047 </w:t>
      </w:r>
      <w:r w:rsidRPr="00AF1DAD">
        <w:t xml:space="preserve">trial </w:t>
      </w:r>
      <w:r w:rsidR="003A2A32" w:rsidRPr="00AF1DAD">
        <w:t xml:space="preserve">had a PD-L1 positive status </w:t>
      </w:r>
      <w:r w:rsidRPr="00AF1DAD">
        <w:t xml:space="preserve">compared with the CA209067 trial </w:t>
      </w:r>
      <w:r w:rsidR="003A2A32" w:rsidRPr="00AF1DAD">
        <w:t>at 1% cut-off (</w:t>
      </w:r>
      <w:r w:rsidR="00E14EF8" w:rsidRPr="00AF1DAD">
        <w:t>41.0%</w:t>
      </w:r>
      <w:r w:rsidR="008F35A9">
        <w:t xml:space="preserve"> </w:t>
      </w:r>
      <w:r w:rsidR="003A2A32" w:rsidRPr="00AF1DAD">
        <w:t xml:space="preserve">versus </w:t>
      </w:r>
      <w:r w:rsidR="00E14EF8" w:rsidRPr="00AF1DAD">
        <w:t>23.5%</w:t>
      </w:r>
      <w:r w:rsidR="003A2A32" w:rsidRPr="00AF1DAD">
        <w:t xml:space="preserve">). Response </w:t>
      </w:r>
      <w:r w:rsidR="003A2A32" w:rsidRPr="00AF1DAD">
        <w:lastRenderedPageBreak/>
        <w:t xml:space="preserve">to </w:t>
      </w:r>
      <w:r w:rsidRPr="00AF1DAD">
        <w:t xml:space="preserve">the </w:t>
      </w:r>
      <w:r w:rsidR="003A2A32" w:rsidRPr="00AF1DAD">
        <w:t xml:space="preserve">nivolumab single agent appeared to be more favourable in patients with PD-L1 expression ≥1% compared with those with PD-L1 &lt;1%; however, the potential impact on </w:t>
      </w:r>
      <w:r w:rsidRPr="00AF1DAD">
        <w:t xml:space="preserve">the </w:t>
      </w:r>
      <w:r w:rsidR="003A2A32" w:rsidRPr="00AF1DAD">
        <w:t>trial comparison is not clear.</w:t>
      </w:r>
    </w:p>
    <w:p w14:paraId="44B6C767" w14:textId="45443143" w:rsidR="003A2A32" w:rsidRPr="00AF1DAD" w:rsidRDefault="00673612" w:rsidP="00A3402E">
      <w:pPr>
        <w:pStyle w:val="3-BodyText"/>
        <w:numPr>
          <w:ilvl w:val="0"/>
          <w:numId w:val="15"/>
        </w:numPr>
        <w:snapToGrid w:val="0"/>
        <w:ind w:left="1134"/>
      </w:pPr>
      <w:r w:rsidRPr="00AF1DAD">
        <w:t xml:space="preserve">A </w:t>
      </w:r>
      <w:r w:rsidR="003A2A32" w:rsidRPr="00AF1DAD">
        <w:t xml:space="preserve">higher proportion of patients in the CA224047 </w:t>
      </w:r>
      <w:r w:rsidRPr="00AF1DAD">
        <w:t xml:space="preserve">trial </w:t>
      </w:r>
      <w:r w:rsidR="003A2A32" w:rsidRPr="00AF1DAD">
        <w:t xml:space="preserve">had a BRAF positive status </w:t>
      </w:r>
      <w:r w:rsidRPr="00AF1DAD">
        <w:t xml:space="preserve">compared with the CA209067 trial </w:t>
      </w:r>
      <w:r w:rsidR="003A2A32" w:rsidRPr="00AF1DAD">
        <w:t>(</w:t>
      </w:r>
      <w:r w:rsidR="00E14EF8" w:rsidRPr="00AF1DAD">
        <w:t>38.5%</w:t>
      </w:r>
      <w:r w:rsidR="008F35A9">
        <w:t xml:space="preserve"> </w:t>
      </w:r>
      <w:r w:rsidR="003A2A32" w:rsidRPr="00AF1DAD">
        <w:t xml:space="preserve">versus </w:t>
      </w:r>
      <w:r w:rsidR="00E14EF8" w:rsidRPr="00AF1DAD">
        <w:t>31.9%</w:t>
      </w:r>
      <w:r w:rsidR="003A2A32" w:rsidRPr="00AF1DAD">
        <w:t xml:space="preserve">). </w:t>
      </w:r>
      <w:r w:rsidRPr="00AF1DAD">
        <w:t>As p</w:t>
      </w:r>
      <w:r w:rsidR="003A2A32" w:rsidRPr="00AF1DAD">
        <w:t xml:space="preserve">atients with </w:t>
      </w:r>
      <w:r w:rsidRPr="00AF1DAD">
        <w:t xml:space="preserve">a </w:t>
      </w:r>
      <w:r w:rsidR="003A2A32" w:rsidRPr="00AF1DAD">
        <w:t xml:space="preserve">BRAF positive status showed </w:t>
      </w:r>
      <w:r w:rsidRPr="00AF1DAD">
        <w:t xml:space="preserve">a </w:t>
      </w:r>
      <w:r w:rsidR="003A2A32" w:rsidRPr="00AF1DAD">
        <w:t xml:space="preserve">better response to treatment in </w:t>
      </w:r>
      <w:r w:rsidR="00DB151A" w:rsidRPr="00AF1DAD">
        <w:t xml:space="preserve">the </w:t>
      </w:r>
      <w:r w:rsidR="003A2A32" w:rsidRPr="00AF1DAD">
        <w:t xml:space="preserve">CA209067 </w:t>
      </w:r>
      <w:r w:rsidR="00DB151A" w:rsidRPr="00AF1DAD">
        <w:t xml:space="preserve">trial </w:t>
      </w:r>
      <w:r w:rsidR="003A2A32" w:rsidRPr="00AF1DAD">
        <w:t xml:space="preserve">but not in </w:t>
      </w:r>
      <w:r w:rsidR="00DB151A" w:rsidRPr="00AF1DAD">
        <w:t xml:space="preserve">the </w:t>
      </w:r>
      <w:r w:rsidR="003A2A32" w:rsidRPr="00AF1DAD">
        <w:t>CA224047</w:t>
      </w:r>
      <w:r w:rsidR="00DB151A" w:rsidRPr="00AF1DAD">
        <w:t xml:space="preserve"> trial</w:t>
      </w:r>
      <w:r w:rsidR="003A2A32" w:rsidRPr="00AF1DAD">
        <w:t>, the impact of this potential confounding factor is unclear.</w:t>
      </w:r>
    </w:p>
    <w:p w14:paraId="41AC2210" w14:textId="03A39CBA" w:rsidR="004C6F8B" w:rsidRPr="006421D0" w:rsidRDefault="004C6F8B" w:rsidP="00A3402E">
      <w:pPr>
        <w:pStyle w:val="3-BodyText"/>
        <w:numPr>
          <w:ilvl w:val="0"/>
          <w:numId w:val="15"/>
        </w:numPr>
        <w:snapToGrid w:val="0"/>
        <w:ind w:left="1134" w:hanging="357"/>
      </w:pPr>
      <w:r w:rsidRPr="00AF1DAD">
        <w:t xml:space="preserve">More patients in the CA209067 trial had AJCC M1c/d disease compared with CA224047 (59% versus 40%), suggesting that patients in the CA209067 trial </w:t>
      </w:r>
      <w:r w:rsidRPr="006421D0">
        <w:t>represent a sicker population.</w:t>
      </w:r>
    </w:p>
    <w:p w14:paraId="3CBC60EB" w14:textId="1724BED5" w:rsidR="004168FE" w:rsidRPr="006421D0" w:rsidRDefault="004168FE" w:rsidP="004467FA">
      <w:pPr>
        <w:pStyle w:val="3-BodyText"/>
        <w:numPr>
          <w:ilvl w:val="1"/>
          <w:numId w:val="1"/>
        </w:numPr>
      </w:pPr>
      <w:r w:rsidRPr="006421D0">
        <w:rPr>
          <w:rFonts w:ascii="Calibri" w:hAnsi="Calibri"/>
        </w:rPr>
        <w:t>The PSCR noted that a matching-adjusted indirect comparison (MAIC)</w:t>
      </w:r>
      <w:r w:rsidRPr="006421D0">
        <w:rPr>
          <w:rFonts w:cs="Calibri"/>
        </w:rPr>
        <w:t xml:space="preserve"> was presented to account for the known key differences between trials.</w:t>
      </w:r>
    </w:p>
    <w:p w14:paraId="5FA403B3" w14:textId="5F95657F" w:rsidR="00D24261" w:rsidRPr="00780A43" w:rsidRDefault="00D24261" w:rsidP="0074263A">
      <w:pPr>
        <w:pStyle w:val="4-SubsectionHeading"/>
        <w:rPr>
          <w:i/>
          <w:iCs/>
          <w:sz w:val="28"/>
          <w:szCs w:val="28"/>
        </w:rPr>
      </w:pPr>
      <w:bookmarkStart w:id="31" w:name="_Toc22897641"/>
      <w:bookmarkStart w:id="32" w:name="_Toc103768655"/>
      <w:r w:rsidRPr="00780A43">
        <w:rPr>
          <w:i/>
          <w:iCs/>
          <w:sz w:val="28"/>
          <w:szCs w:val="28"/>
        </w:rPr>
        <w:t>Comparative effectiveness</w:t>
      </w:r>
      <w:bookmarkEnd w:id="31"/>
      <w:bookmarkEnd w:id="32"/>
    </w:p>
    <w:p w14:paraId="322ED793" w14:textId="77777777" w:rsidR="00D24261" w:rsidRPr="003007F9" w:rsidRDefault="00D24261" w:rsidP="00D24261">
      <w:pPr>
        <w:pStyle w:val="3-BodyText"/>
        <w:ind w:left="720" w:hanging="720"/>
        <w:rPr>
          <w:u w:val="single"/>
        </w:rPr>
      </w:pPr>
      <w:r w:rsidRPr="007B77D5">
        <w:rPr>
          <w:u w:val="single"/>
        </w:rPr>
        <w:t>Overall Survival</w:t>
      </w:r>
    </w:p>
    <w:p w14:paraId="4A10EB4F" w14:textId="4406F5A9" w:rsidR="00D24261" w:rsidRPr="003007F9" w:rsidRDefault="00D24261" w:rsidP="00D24261">
      <w:pPr>
        <w:pStyle w:val="3-BodyText"/>
        <w:numPr>
          <w:ilvl w:val="1"/>
          <w:numId w:val="1"/>
        </w:numPr>
        <w:rPr>
          <w:snapToGrid/>
          <w:lang w:val="en-US"/>
        </w:rPr>
      </w:pPr>
      <w:r w:rsidRPr="007B77D5">
        <w:rPr>
          <w:snapToGrid/>
          <w:lang w:val="en-US"/>
        </w:rPr>
        <w:t xml:space="preserve">A summary of the OS results across </w:t>
      </w:r>
      <w:r w:rsidR="0076760C">
        <w:rPr>
          <w:snapToGrid/>
          <w:lang w:val="en-US"/>
        </w:rPr>
        <w:t xml:space="preserve">the </w:t>
      </w:r>
      <w:r>
        <w:rPr>
          <w:snapToGrid/>
          <w:lang w:val="en-US"/>
        </w:rPr>
        <w:t>CA224047</w:t>
      </w:r>
      <w:r w:rsidRPr="007B77D5">
        <w:rPr>
          <w:snapToGrid/>
          <w:lang w:val="en-US"/>
        </w:rPr>
        <w:t xml:space="preserve"> and </w:t>
      </w:r>
      <w:r>
        <w:rPr>
          <w:snapToGrid/>
          <w:lang w:val="en-US"/>
        </w:rPr>
        <w:t>CA209067</w:t>
      </w:r>
      <w:r w:rsidRPr="007B77D5">
        <w:rPr>
          <w:snapToGrid/>
          <w:lang w:val="en-US"/>
        </w:rPr>
        <w:t xml:space="preserve"> </w:t>
      </w:r>
      <w:r w:rsidR="0076760C">
        <w:rPr>
          <w:snapToGrid/>
          <w:lang w:val="en-US"/>
        </w:rPr>
        <w:t xml:space="preserve">trials </w:t>
      </w:r>
      <w:r w:rsidRPr="007B77D5">
        <w:rPr>
          <w:snapToGrid/>
          <w:lang w:val="en-US"/>
        </w:rPr>
        <w:t>is provided in</w:t>
      </w:r>
      <w:r>
        <w:rPr>
          <w:snapToGrid/>
          <w:lang w:val="en-US"/>
        </w:rPr>
        <w:t xml:space="preserve"> </w:t>
      </w:r>
      <w:r>
        <w:rPr>
          <w:snapToGrid/>
          <w:lang w:val="en-US"/>
        </w:rPr>
        <w:fldChar w:fldCharType="begin"/>
      </w:r>
      <w:r>
        <w:rPr>
          <w:snapToGrid/>
          <w:lang w:val="en-US"/>
        </w:rPr>
        <w:instrText xml:space="preserve"> REF _Ref100926096 \h  \* MERGEFORMAT </w:instrText>
      </w:r>
      <w:r>
        <w:rPr>
          <w:snapToGrid/>
          <w:lang w:val="en-US"/>
        </w:rPr>
      </w:r>
      <w:r>
        <w:rPr>
          <w:snapToGrid/>
          <w:lang w:val="en-US"/>
        </w:rPr>
        <w:fldChar w:fldCharType="separate"/>
      </w:r>
      <w:r w:rsidR="00633460" w:rsidRPr="00633460">
        <w:rPr>
          <w:snapToGrid/>
          <w:lang w:val="en-US"/>
        </w:rPr>
        <w:t>Table 4</w:t>
      </w:r>
      <w:r>
        <w:rPr>
          <w:snapToGrid/>
          <w:lang w:val="en-US"/>
        </w:rPr>
        <w:fldChar w:fldCharType="end"/>
      </w:r>
      <w:r>
        <w:rPr>
          <w:snapToGrid/>
          <w:lang w:val="en-US"/>
        </w:rPr>
        <w:t>.</w:t>
      </w:r>
    </w:p>
    <w:p w14:paraId="0620056D" w14:textId="0AAD1DC1" w:rsidR="00D24261" w:rsidRPr="003007F9" w:rsidRDefault="00D24261" w:rsidP="00D24261">
      <w:pPr>
        <w:pStyle w:val="Caption"/>
        <w:keepNext/>
        <w:spacing w:after="0"/>
        <w:rPr>
          <w:rStyle w:val="CommentReference"/>
          <w:b/>
          <w:bCs w:val="0"/>
          <w:color w:val="000000" w:themeColor="text1"/>
        </w:rPr>
      </w:pPr>
      <w:bookmarkStart w:id="33" w:name="_Ref100926096"/>
      <w:r w:rsidRPr="003007F9">
        <w:rPr>
          <w:rStyle w:val="CommentReference"/>
          <w:b/>
          <w:bCs w:val="0"/>
          <w:color w:val="000000" w:themeColor="text1"/>
        </w:rPr>
        <w:t>Table</w:t>
      </w:r>
      <w:r>
        <w:rPr>
          <w:rStyle w:val="CommentReference"/>
          <w:b/>
          <w:bCs w:val="0"/>
          <w:color w:val="000000" w:themeColor="text1"/>
        </w:rPr>
        <w:t xml:space="preserv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4</w:t>
      </w:r>
      <w:r>
        <w:rPr>
          <w:rStyle w:val="CommentReference"/>
          <w:b/>
          <w:bCs w:val="0"/>
          <w:color w:val="000000" w:themeColor="text1"/>
        </w:rPr>
        <w:fldChar w:fldCharType="end"/>
      </w:r>
      <w:bookmarkEnd w:id="33"/>
      <w:r w:rsidRPr="003007F9">
        <w:rPr>
          <w:rStyle w:val="CommentReference"/>
          <w:b/>
          <w:bCs w:val="0"/>
          <w:color w:val="000000" w:themeColor="text1"/>
        </w:rPr>
        <w:t xml:space="preserve">: Results of OS across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Results of OS across trials "/>
      </w:tblPr>
      <w:tblGrid>
        <w:gridCol w:w="2244"/>
        <w:gridCol w:w="1862"/>
        <w:gridCol w:w="1841"/>
        <w:gridCol w:w="1636"/>
        <w:gridCol w:w="1434"/>
      </w:tblGrid>
      <w:tr w:rsidR="00D24261" w:rsidRPr="00B84117" w14:paraId="629BC1C2" w14:textId="77777777" w:rsidTr="004168FE">
        <w:trPr>
          <w:cantSplit/>
          <w:tblHeader/>
        </w:trPr>
        <w:tc>
          <w:tcPr>
            <w:tcW w:w="1244" w:type="pct"/>
            <w:tcMar>
              <w:left w:w="28" w:type="dxa"/>
              <w:right w:w="28" w:type="dxa"/>
            </w:tcMar>
            <w:vAlign w:val="center"/>
          </w:tcPr>
          <w:p w14:paraId="157CE444" w14:textId="77777777" w:rsidR="00D24261" w:rsidRPr="00B84117" w:rsidRDefault="00D24261" w:rsidP="00E730EF">
            <w:pPr>
              <w:pStyle w:val="In-tableHeading"/>
            </w:pPr>
            <w:bookmarkStart w:id="34" w:name="_Hlk103182143"/>
            <w:r w:rsidRPr="005A3BFC">
              <w:t>CA224047</w:t>
            </w:r>
            <w:r>
              <w:t xml:space="preserve"> </w:t>
            </w:r>
            <w:r w:rsidRPr="00760610">
              <w:rPr>
                <w:vertAlign w:val="superscript"/>
              </w:rPr>
              <w:t>a</w:t>
            </w:r>
          </w:p>
        </w:tc>
        <w:tc>
          <w:tcPr>
            <w:tcW w:w="1032" w:type="pct"/>
            <w:tcMar>
              <w:left w:w="28" w:type="dxa"/>
              <w:right w:w="28" w:type="dxa"/>
            </w:tcMar>
            <w:vAlign w:val="center"/>
          </w:tcPr>
          <w:p w14:paraId="734DCAFC" w14:textId="0035577E" w:rsidR="00D24261" w:rsidRPr="00B84117" w:rsidRDefault="00D24261" w:rsidP="00E730EF">
            <w:pPr>
              <w:pStyle w:val="In-tableHeading"/>
              <w:jc w:val="center"/>
            </w:pPr>
            <w:r w:rsidRPr="005A3BFC">
              <w:t>RELA+NIVO</w:t>
            </w:r>
          </w:p>
        </w:tc>
        <w:tc>
          <w:tcPr>
            <w:tcW w:w="1021" w:type="pct"/>
            <w:tcMar>
              <w:left w:w="28" w:type="dxa"/>
              <w:right w:w="28" w:type="dxa"/>
            </w:tcMar>
            <w:vAlign w:val="center"/>
          </w:tcPr>
          <w:p w14:paraId="0A710DED" w14:textId="3C4E1A37" w:rsidR="00D24261" w:rsidRPr="00B84117" w:rsidRDefault="00D24261" w:rsidP="00E730EF">
            <w:pPr>
              <w:pStyle w:val="In-tableHeading"/>
              <w:jc w:val="center"/>
            </w:pPr>
            <w:r w:rsidRPr="007B77D5">
              <w:t>Nivolumab</w:t>
            </w:r>
          </w:p>
        </w:tc>
        <w:tc>
          <w:tcPr>
            <w:tcW w:w="907" w:type="pct"/>
            <w:tcMar>
              <w:left w:w="28" w:type="dxa"/>
              <w:right w:w="28" w:type="dxa"/>
            </w:tcMar>
            <w:vAlign w:val="center"/>
          </w:tcPr>
          <w:p w14:paraId="2E2FF1A0" w14:textId="77777777" w:rsidR="00D24261" w:rsidRPr="00B84117" w:rsidRDefault="00D24261" w:rsidP="00E730EF">
            <w:pPr>
              <w:pStyle w:val="In-tableHeading"/>
              <w:jc w:val="center"/>
            </w:pPr>
            <w:r w:rsidRPr="005A3BFC">
              <w:t>Absolute difference</w:t>
            </w:r>
          </w:p>
        </w:tc>
        <w:tc>
          <w:tcPr>
            <w:tcW w:w="795" w:type="pct"/>
            <w:tcMar>
              <w:left w:w="28" w:type="dxa"/>
              <w:right w:w="28" w:type="dxa"/>
            </w:tcMar>
            <w:vAlign w:val="center"/>
          </w:tcPr>
          <w:p w14:paraId="00554745" w14:textId="3F81488D" w:rsidR="00D24261" w:rsidRPr="00B84117" w:rsidRDefault="00D24261" w:rsidP="00E730EF">
            <w:pPr>
              <w:pStyle w:val="In-tableHeading"/>
              <w:jc w:val="center"/>
            </w:pPr>
            <w:r w:rsidRPr="005A3BFC">
              <w:t>HR</w:t>
            </w:r>
            <w:r w:rsidR="004200FD">
              <w:t xml:space="preserve"> (95% CI)</w:t>
            </w:r>
          </w:p>
        </w:tc>
      </w:tr>
      <w:tr w:rsidR="00D24261" w:rsidRPr="00B1011F" w14:paraId="2AFE30E4" w14:textId="77777777" w:rsidTr="004168FE">
        <w:trPr>
          <w:cantSplit/>
        </w:trPr>
        <w:tc>
          <w:tcPr>
            <w:tcW w:w="1244" w:type="pct"/>
            <w:tcMar>
              <w:left w:w="28" w:type="dxa"/>
              <w:right w:w="28" w:type="dxa"/>
            </w:tcMar>
            <w:vAlign w:val="center"/>
          </w:tcPr>
          <w:p w14:paraId="0C652951" w14:textId="1F37A16C" w:rsidR="00D24261" w:rsidRPr="00B1011F" w:rsidRDefault="00D24261" w:rsidP="00E730EF">
            <w:pPr>
              <w:pStyle w:val="TableText0"/>
            </w:pPr>
            <w:r w:rsidRPr="005A3BFC">
              <w:rPr>
                <w:rFonts w:cs="Times New Roman"/>
              </w:rPr>
              <w:t>Patients with event</w:t>
            </w:r>
            <w:r w:rsidR="004168FE">
              <w:rPr>
                <w:rFonts w:cs="Times New Roman"/>
              </w:rPr>
              <w:t>, n (%)</w:t>
            </w:r>
          </w:p>
        </w:tc>
        <w:tc>
          <w:tcPr>
            <w:tcW w:w="1032" w:type="pct"/>
            <w:tcMar>
              <w:left w:w="28" w:type="dxa"/>
              <w:right w:w="28" w:type="dxa"/>
            </w:tcMar>
            <w:vAlign w:val="center"/>
          </w:tcPr>
          <w:p w14:paraId="1FEEB144" w14:textId="77777777" w:rsidR="00D24261" w:rsidRPr="00B1011F" w:rsidRDefault="00D24261" w:rsidP="00E730EF">
            <w:pPr>
              <w:pStyle w:val="TableText0"/>
              <w:jc w:val="center"/>
            </w:pPr>
            <w:r w:rsidRPr="005A3BFC">
              <w:rPr>
                <w:rFonts w:cs="Times New Roman"/>
              </w:rPr>
              <w:t>137/355 (38.6%)</w:t>
            </w:r>
          </w:p>
        </w:tc>
        <w:tc>
          <w:tcPr>
            <w:tcW w:w="1021" w:type="pct"/>
            <w:tcMar>
              <w:left w:w="28" w:type="dxa"/>
              <w:right w:w="28" w:type="dxa"/>
            </w:tcMar>
            <w:vAlign w:val="center"/>
          </w:tcPr>
          <w:p w14:paraId="231330F5" w14:textId="77777777" w:rsidR="00D24261" w:rsidRPr="00B1011F" w:rsidRDefault="00D24261" w:rsidP="00E730EF">
            <w:pPr>
              <w:pStyle w:val="TableText0"/>
              <w:jc w:val="center"/>
            </w:pPr>
            <w:r w:rsidRPr="005A3BFC">
              <w:rPr>
                <w:rFonts w:cs="Times New Roman"/>
              </w:rPr>
              <w:t>160/359 (44.6%)</w:t>
            </w:r>
          </w:p>
        </w:tc>
        <w:tc>
          <w:tcPr>
            <w:tcW w:w="907" w:type="pct"/>
            <w:tcMar>
              <w:left w:w="28" w:type="dxa"/>
              <w:right w:w="28" w:type="dxa"/>
            </w:tcMar>
            <w:vAlign w:val="center"/>
          </w:tcPr>
          <w:p w14:paraId="3249E3C6" w14:textId="77777777" w:rsidR="00D24261" w:rsidRPr="00B1011F" w:rsidRDefault="00D24261" w:rsidP="00E730EF">
            <w:pPr>
              <w:pStyle w:val="TableText0"/>
              <w:jc w:val="center"/>
            </w:pPr>
            <w:r w:rsidRPr="005A3BFC">
              <w:rPr>
                <w:rFonts w:cs="Times New Roman"/>
              </w:rPr>
              <w:t>-</w:t>
            </w:r>
          </w:p>
        </w:tc>
        <w:tc>
          <w:tcPr>
            <w:tcW w:w="795" w:type="pct"/>
            <w:tcMar>
              <w:left w:w="28" w:type="dxa"/>
              <w:right w:w="28" w:type="dxa"/>
            </w:tcMar>
            <w:vAlign w:val="center"/>
          </w:tcPr>
          <w:p w14:paraId="57B3E251" w14:textId="77777777" w:rsidR="00D24261" w:rsidRPr="00B1011F" w:rsidRDefault="00D24261" w:rsidP="00E730EF">
            <w:pPr>
              <w:pStyle w:val="TableText0"/>
              <w:jc w:val="center"/>
            </w:pPr>
            <w:r w:rsidRPr="005A3BFC">
              <w:rPr>
                <w:rFonts w:cs="Times New Roman"/>
              </w:rPr>
              <w:t>-</w:t>
            </w:r>
          </w:p>
        </w:tc>
      </w:tr>
      <w:tr w:rsidR="00D24261" w:rsidRPr="00B1011F" w14:paraId="08E952A9" w14:textId="77777777" w:rsidTr="004168FE">
        <w:trPr>
          <w:cantSplit/>
        </w:trPr>
        <w:tc>
          <w:tcPr>
            <w:tcW w:w="1244" w:type="pct"/>
            <w:tcMar>
              <w:left w:w="28" w:type="dxa"/>
              <w:right w:w="28" w:type="dxa"/>
            </w:tcMar>
            <w:vAlign w:val="center"/>
          </w:tcPr>
          <w:p w14:paraId="74A67125" w14:textId="55C77473" w:rsidR="00D24261" w:rsidRPr="00B1011F" w:rsidRDefault="00D24261" w:rsidP="00E730EF">
            <w:pPr>
              <w:pStyle w:val="TableText0"/>
            </w:pPr>
            <w:r w:rsidRPr="005A3BFC">
              <w:rPr>
                <w:rFonts w:cs="Times New Roman"/>
              </w:rPr>
              <w:t>Median</w:t>
            </w:r>
            <w:r w:rsidR="00673659">
              <w:rPr>
                <w:rFonts w:cs="Times New Roman"/>
              </w:rPr>
              <w:t xml:space="preserve"> OS,</w:t>
            </w:r>
            <w:r w:rsidRPr="005A3BFC">
              <w:rPr>
                <w:rFonts w:cs="Times New Roman"/>
              </w:rPr>
              <w:t xml:space="preserve"> months (95% CI)</w:t>
            </w:r>
          </w:p>
        </w:tc>
        <w:tc>
          <w:tcPr>
            <w:tcW w:w="1032" w:type="pct"/>
            <w:tcMar>
              <w:left w:w="28" w:type="dxa"/>
              <w:right w:w="28" w:type="dxa"/>
            </w:tcMar>
            <w:vAlign w:val="center"/>
          </w:tcPr>
          <w:p w14:paraId="304F7BDF" w14:textId="77777777" w:rsidR="00D24261" w:rsidRPr="00B1011F" w:rsidRDefault="00D24261" w:rsidP="00E730EF">
            <w:pPr>
              <w:pStyle w:val="TableText0"/>
              <w:jc w:val="center"/>
            </w:pPr>
            <w:r w:rsidRPr="005A3BFC">
              <w:rPr>
                <w:rFonts w:cs="Times New Roman"/>
              </w:rPr>
              <w:t>NA (32.2, NR)</w:t>
            </w:r>
          </w:p>
        </w:tc>
        <w:tc>
          <w:tcPr>
            <w:tcW w:w="1021" w:type="pct"/>
            <w:tcMar>
              <w:left w:w="28" w:type="dxa"/>
              <w:right w:w="28" w:type="dxa"/>
            </w:tcMar>
            <w:vAlign w:val="center"/>
          </w:tcPr>
          <w:p w14:paraId="744FF559" w14:textId="77777777" w:rsidR="00D24261" w:rsidRPr="00B1011F" w:rsidRDefault="00D24261" w:rsidP="00E730EF">
            <w:pPr>
              <w:pStyle w:val="TableText0"/>
              <w:jc w:val="center"/>
            </w:pPr>
            <w:r w:rsidRPr="005A3BFC">
              <w:rPr>
                <w:rFonts w:cs="Times New Roman"/>
              </w:rPr>
              <w:t>34.1 (25.23, NR)</w:t>
            </w:r>
          </w:p>
        </w:tc>
        <w:tc>
          <w:tcPr>
            <w:tcW w:w="907" w:type="pct"/>
            <w:tcMar>
              <w:left w:w="28" w:type="dxa"/>
              <w:right w:w="28" w:type="dxa"/>
            </w:tcMar>
            <w:vAlign w:val="center"/>
          </w:tcPr>
          <w:p w14:paraId="3A844148" w14:textId="52BC144E" w:rsidR="00D24261" w:rsidRPr="00B1011F" w:rsidRDefault="006B35E3" w:rsidP="00E730EF">
            <w:pPr>
              <w:pStyle w:val="TableText0"/>
              <w:jc w:val="center"/>
            </w:pPr>
            <w:r>
              <w:rPr>
                <w:rFonts w:cs="Times New Roman"/>
              </w:rPr>
              <w:t>NE</w:t>
            </w:r>
          </w:p>
        </w:tc>
        <w:tc>
          <w:tcPr>
            <w:tcW w:w="795" w:type="pct"/>
            <w:tcMar>
              <w:left w:w="28" w:type="dxa"/>
              <w:right w:w="28" w:type="dxa"/>
            </w:tcMar>
            <w:vAlign w:val="center"/>
          </w:tcPr>
          <w:p w14:paraId="7EC93AFF" w14:textId="45719E8D" w:rsidR="00D24261" w:rsidRPr="00B1011F" w:rsidRDefault="00D24261" w:rsidP="00E730EF">
            <w:pPr>
              <w:pStyle w:val="TableText0"/>
              <w:jc w:val="center"/>
            </w:pPr>
            <w:r w:rsidRPr="005A3BFC">
              <w:rPr>
                <w:rFonts w:cs="Times New Roman"/>
              </w:rPr>
              <w:t>0.8</w:t>
            </w:r>
            <w:r w:rsidR="00EF16FD">
              <w:rPr>
                <w:rFonts w:cs="Times New Roman"/>
              </w:rPr>
              <w:t>0</w:t>
            </w:r>
            <w:r w:rsidRPr="005A3BFC">
              <w:rPr>
                <w:rFonts w:cs="Times New Roman"/>
              </w:rPr>
              <w:t xml:space="preserve"> (0.64, 1.01)</w:t>
            </w:r>
          </w:p>
        </w:tc>
      </w:tr>
      <w:tr w:rsidR="00D24261" w:rsidRPr="00B1011F" w14:paraId="54860F6F" w14:textId="77777777" w:rsidTr="004168FE">
        <w:trPr>
          <w:cantSplit/>
        </w:trPr>
        <w:tc>
          <w:tcPr>
            <w:tcW w:w="1244" w:type="pct"/>
            <w:tcMar>
              <w:left w:w="28" w:type="dxa"/>
              <w:right w:w="28" w:type="dxa"/>
            </w:tcMar>
            <w:vAlign w:val="center"/>
          </w:tcPr>
          <w:p w14:paraId="7A14C0FB" w14:textId="77777777" w:rsidR="00D24261" w:rsidRPr="00B1011F" w:rsidRDefault="00D24261" w:rsidP="00E730EF">
            <w:pPr>
              <w:pStyle w:val="TableText0"/>
            </w:pPr>
            <w:r w:rsidRPr="005A3BFC">
              <w:rPr>
                <w:rFonts w:cs="Times New Roman"/>
                <w:b/>
              </w:rPr>
              <w:t>CA209067</w:t>
            </w:r>
            <w:r>
              <w:rPr>
                <w:rFonts w:cs="Times New Roman"/>
                <w:b/>
              </w:rPr>
              <w:t xml:space="preserve"> </w:t>
            </w:r>
            <w:r w:rsidRPr="00760610">
              <w:rPr>
                <w:rFonts w:cs="Times New Roman"/>
                <w:b/>
                <w:vertAlign w:val="superscript"/>
              </w:rPr>
              <w:t>b</w:t>
            </w:r>
          </w:p>
        </w:tc>
        <w:tc>
          <w:tcPr>
            <w:tcW w:w="1032" w:type="pct"/>
            <w:tcMar>
              <w:left w:w="28" w:type="dxa"/>
              <w:right w:w="28" w:type="dxa"/>
            </w:tcMar>
            <w:vAlign w:val="center"/>
          </w:tcPr>
          <w:p w14:paraId="093C681B" w14:textId="0F4F6227" w:rsidR="00D24261" w:rsidRPr="00B1011F" w:rsidRDefault="00D24261" w:rsidP="00E730EF">
            <w:pPr>
              <w:pStyle w:val="TableText0"/>
              <w:jc w:val="center"/>
            </w:pPr>
            <w:r w:rsidRPr="005A3BFC">
              <w:rPr>
                <w:rFonts w:cs="Times New Roman"/>
                <w:b/>
              </w:rPr>
              <w:t>NIVO+IPI</w:t>
            </w:r>
          </w:p>
        </w:tc>
        <w:tc>
          <w:tcPr>
            <w:tcW w:w="1021" w:type="pct"/>
            <w:tcMar>
              <w:left w:w="28" w:type="dxa"/>
              <w:right w:w="28" w:type="dxa"/>
            </w:tcMar>
            <w:vAlign w:val="center"/>
          </w:tcPr>
          <w:p w14:paraId="6D727E4A" w14:textId="4E5F29E1" w:rsidR="00D24261" w:rsidRPr="00B1011F" w:rsidRDefault="00D24261" w:rsidP="00E730EF">
            <w:pPr>
              <w:pStyle w:val="TableText0"/>
              <w:jc w:val="center"/>
            </w:pPr>
            <w:r>
              <w:rPr>
                <w:rFonts w:cs="Times New Roman"/>
                <w:b/>
              </w:rPr>
              <w:t>Nivolumab</w:t>
            </w:r>
          </w:p>
        </w:tc>
        <w:tc>
          <w:tcPr>
            <w:tcW w:w="907" w:type="pct"/>
            <w:tcMar>
              <w:left w:w="28" w:type="dxa"/>
              <w:right w:w="28" w:type="dxa"/>
            </w:tcMar>
            <w:vAlign w:val="center"/>
          </w:tcPr>
          <w:p w14:paraId="5C63DCB6" w14:textId="77777777" w:rsidR="00D24261" w:rsidRPr="00B1011F" w:rsidRDefault="00D24261" w:rsidP="00E730EF">
            <w:pPr>
              <w:pStyle w:val="TableText0"/>
              <w:jc w:val="center"/>
            </w:pPr>
            <w:r w:rsidRPr="005A3BFC">
              <w:rPr>
                <w:rFonts w:cs="Times New Roman"/>
                <w:b/>
              </w:rPr>
              <w:t>Absolute</w:t>
            </w:r>
            <w:r w:rsidRPr="005A3BFC">
              <w:rPr>
                <w:rFonts w:cs="Times New Roman"/>
                <w:b/>
                <w:i/>
                <w:iCs/>
              </w:rPr>
              <w:t xml:space="preserve"> </w:t>
            </w:r>
            <w:r w:rsidRPr="005A3BFC">
              <w:rPr>
                <w:rFonts w:cs="Times New Roman"/>
                <w:b/>
              </w:rPr>
              <w:t>difference</w:t>
            </w:r>
          </w:p>
        </w:tc>
        <w:tc>
          <w:tcPr>
            <w:tcW w:w="795" w:type="pct"/>
            <w:tcMar>
              <w:left w:w="28" w:type="dxa"/>
              <w:right w:w="28" w:type="dxa"/>
            </w:tcMar>
            <w:vAlign w:val="center"/>
          </w:tcPr>
          <w:p w14:paraId="7E170775" w14:textId="113C6B5E" w:rsidR="00D24261" w:rsidRPr="00B1011F" w:rsidRDefault="00D24261" w:rsidP="00E730EF">
            <w:pPr>
              <w:pStyle w:val="TableText0"/>
              <w:jc w:val="center"/>
            </w:pPr>
            <w:r w:rsidRPr="005A3BFC">
              <w:rPr>
                <w:rFonts w:cs="Times New Roman"/>
                <w:b/>
              </w:rPr>
              <w:t>HR</w:t>
            </w:r>
            <w:r w:rsidR="004200FD">
              <w:rPr>
                <w:rFonts w:cs="Times New Roman"/>
                <w:b/>
              </w:rPr>
              <w:t xml:space="preserve"> (95% CI)</w:t>
            </w:r>
          </w:p>
        </w:tc>
      </w:tr>
      <w:tr w:rsidR="00D24261" w:rsidRPr="00B1011F" w14:paraId="7F24C1ED" w14:textId="77777777" w:rsidTr="004168FE">
        <w:trPr>
          <w:cantSplit/>
        </w:trPr>
        <w:tc>
          <w:tcPr>
            <w:tcW w:w="1244" w:type="pct"/>
            <w:tcMar>
              <w:left w:w="28" w:type="dxa"/>
              <w:right w:w="28" w:type="dxa"/>
            </w:tcMar>
            <w:vAlign w:val="center"/>
          </w:tcPr>
          <w:p w14:paraId="360AFFF3" w14:textId="00CDC836" w:rsidR="00D24261" w:rsidRPr="00B1011F" w:rsidRDefault="00D24261" w:rsidP="00E730EF">
            <w:pPr>
              <w:pStyle w:val="TableText0"/>
            </w:pPr>
            <w:r w:rsidRPr="005A3BFC">
              <w:rPr>
                <w:rFonts w:cs="Times New Roman"/>
              </w:rPr>
              <w:t>Patients with event</w:t>
            </w:r>
            <w:r w:rsidR="004168FE">
              <w:rPr>
                <w:rFonts w:cs="Times New Roman"/>
              </w:rPr>
              <w:t>, n (%)</w:t>
            </w:r>
          </w:p>
        </w:tc>
        <w:tc>
          <w:tcPr>
            <w:tcW w:w="1032" w:type="pct"/>
            <w:tcMar>
              <w:left w:w="28" w:type="dxa"/>
              <w:right w:w="28" w:type="dxa"/>
            </w:tcMar>
            <w:vAlign w:val="center"/>
          </w:tcPr>
          <w:p w14:paraId="5F09D2F6" w14:textId="77777777" w:rsidR="00D24261" w:rsidRPr="00B1011F" w:rsidRDefault="00D24261" w:rsidP="00E730EF">
            <w:pPr>
              <w:pStyle w:val="TableText0"/>
              <w:jc w:val="center"/>
            </w:pPr>
            <w:r w:rsidRPr="005A3BFC">
              <w:rPr>
                <w:rFonts w:cs="Times New Roman"/>
              </w:rPr>
              <w:t>182/314 (58%)</w:t>
            </w:r>
          </w:p>
        </w:tc>
        <w:tc>
          <w:tcPr>
            <w:tcW w:w="1021" w:type="pct"/>
            <w:tcMar>
              <w:left w:w="28" w:type="dxa"/>
              <w:right w:w="28" w:type="dxa"/>
            </w:tcMar>
            <w:vAlign w:val="center"/>
          </w:tcPr>
          <w:p w14:paraId="16EEFE5D" w14:textId="77777777" w:rsidR="00D24261" w:rsidRPr="00B1011F" w:rsidRDefault="00D24261" w:rsidP="00E730EF">
            <w:pPr>
              <w:pStyle w:val="TableText0"/>
              <w:jc w:val="center"/>
            </w:pPr>
            <w:r w:rsidRPr="005A3BFC">
              <w:rPr>
                <w:rFonts w:cs="Times New Roman"/>
              </w:rPr>
              <w:t xml:space="preserve">164/316 (52%) </w:t>
            </w:r>
          </w:p>
        </w:tc>
        <w:tc>
          <w:tcPr>
            <w:tcW w:w="907" w:type="pct"/>
            <w:tcMar>
              <w:left w:w="28" w:type="dxa"/>
              <w:right w:w="28" w:type="dxa"/>
            </w:tcMar>
            <w:vAlign w:val="center"/>
          </w:tcPr>
          <w:p w14:paraId="69A0E4D7" w14:textId="77777777" w:rsidR="00D24261" w:rsidRPr="00B1011F" w:rsidRDefault="00D24261" w:rsidP="00E730EF">
            <w:pPr>
              <w:pStyle w:val="TableText0"/>
              <w:jc w:val="center"/>
            </w:pPr>
            <w:r w:rsidRPr="005A3BFC">
              <w:rPr>
                <w:rFonts w:cs="Times New Roman"/>
              </w:rPr>
              <w:t>-</w:t>
            </w:r>
          </w:p>
        </w:tc>
        <w:tc>
          <w:tcPr>
            <w:tcW w:w="795" w:type="pct"/>
            <w:tcMar>
              <w:left w:w="28" w:type="dxa"/>
              <w:right w:w="28" w:type="dxa"/>
            </w:tcMar>
            <w:vAlign w:val="center"/>
          </w:tcPr>
          <w:p w14:paraId="5C77E8A4" w14:textId="77777777" w:rsidR="00D24261" w:rsidRPr="00B1011F" w:rsidRDefault="00D24261" w:rsidP="00E730EF">
            <w:pPr>
              <w:pStyle w:val="TableText0"/>
              <w:jc w:val="center"/>
            </w:pPr>
            <w:r w:rsidRPr="005A3BFC">
              <w:rPr>
                <w:rFonts w:cs="Times New Roman"/>
              </w:rPr>
              <w:t>-</w:t>
            </w:r>
          </w:p>
        </w:tc>
      </w:tr>
      <w:tr w:rsidR="00D24261" w:rsidRPr="00B1011F" w14:paraId="3F90E0DC" w14:textId="77777777" w:rsidTr="004168FE">
        <w:trPr>
          <w:cantSplit/>
        </w:trPr>
        <w:tc>
          <w:tcPr>
            <w:tcW w:w="1244" w:type="pct"/>
            <w:tcMar>
              <w:left w:w="28" w:type="dxa"/>
              <w:right w:w="28" w:type="dxa"/>
            </w:tcMar>
            <w:vAlign w:val="center"/>
          </w:tcPr>
          <w:p w14:paraId="4030A5F2" w14:textId="45ECB64B" w:rsidR="00D24261" w:rsidRPr="00B1011F" w:rsidRDefault="00D24261" w:rsidP="00E730EF">
            <w:pPr>
              <w:pStyle w:val="TableText0"/>
            </w:pPr>
            <w:r w:rsidRPr="005A3BFC">
              <w:rPr>
                <w:rFonts w:cs="Times New Roman"/>
              </w:rPr>
              <w:t xml:space="preserve">Median </w:t>
            </w:r>
            <w:r w:rsidR="00673659">
              <w:rPr>
                <w:rFonts w:cs="Times New Roman"/>
              </w:rPr>
              <w:t xml:space="preserve">OS, </w:t>
            </w:r>
            <w:r w:rsidRPr="005A3BFC">
              <w:rPr>
                <w:rFonts w:cs="Times New Roman"/>
              </w:rPr>
              <w:t>months (95% CI)</w:t>
            </w:r>
          </w:p>
        </w:tc>
        <w:tc>
          <w:tcPr>
            <w:tcW w:w="1032" w:type="pct"/>
            <w:tcMar>
              <w:left w:w="28" w:type="dxa"/>
              <w:right w:w="28" w:type="dxa"/>
            </w:tcMar>
            <w:vAlign w:val="center"/>
          </w:tcPr>
          <w:p w14:paraId="255B10B4" w14:textId="6B44661C" w:rsidR="00D24261" w:rsidRPr="00B1011F" w:rsidRDefault="00D24261" w:rsidP="00E730EF">
            <w:pPr>
              <w:pStyle w:val="TableText0"/>
              <w:jc w:val="center"/>
            </w:pPr>
            <w:r w:rsidRPr="005A3BFC">
              <w:rPr>
                <w:rFonts w:cs="Times New Roman"/>
              </w:rPr>
              <w:t>NR</w:t>
            </w:r>
            <w:r w:rsidR="004168FE">
              <w:rPr>
                <w:rFonts w:cs="Times New Roman"/>
              </w:rPr>
              <w:t xml:space="preserve"> (NR, NR)</w:t>
            </w:r>
          </w:p>
        </w:tc>
        <w:tc>
          <w:tcPr>
            <w:tcW w:w="1021" w:type="pct"/>
            <w:tcMar>
              <w:left w:w="28" w:type="dxa"/>
              <w:right w:w="28" w:type="dxa"/>
            </w:tcMar>
            <w:vAlign w:val="center"/>
          </w:tcPr>
          <w:p w14:paraId="319C906D" w14:textId="77777777" w:rsidR="00D24261" w:rsidRPr="00B1011F" w:rsidRDefault="00D24261" w:rsidP="00E730EF">
            <w:pPr>
              <w:pStyle w:val="TableText0"/>
              <w:jc w:val="center"/>
            </w:pPr>
            <w:r w:rsidRPr="005A3BFC">
              <w:rPr>
                <w:rFonts w:cs="Times New Roman"/>
              </w:rPr>
              <w:t>37.6 (29.1, NR)</w:t>
            </w:r>
          </w:p>
        </w:tc>
        <w:tc>
          <w:tcPr>
            <w:tcW w:w="907" w:type="pct"/>
            <w:tcMar>
              <w:left w:w="28" w:type="dxa"/>
              <w:right w:w="28" w:type="dxa"/>
            </w:tcMar>
            <w:vAlign w:val="center"/>
          </w:tcPr>
          <w:p w14:paraId="5E5D6091" w14:textId="1463E675" w:rsidR="00D24261" w:rsidRPr="00B1011F" w:rsidRDefault="006B35E3" w:rsidP="00E730EF">
            <w:pPr>
              <w:pStyle w:val="TableText0"/>
              <w:jc w:val="center"/>
            </w:pPr>
            <w:r>
              <w:rPr>
                <w:rFonts w:cs="Times New Roman"/>
              </w:rPr>
              <w:t>NE</w:t>
            </w:r>
          </w:p>
        </w:tc>
        <w:tc>
          <w:tcPr>
            <w:tcW w:w="795" w:type="pct"/>
            <w:tcMar>
              <w:left w:w="28" w:type="dxa"/>
              <w:right w:w="28" w:type="dxa"/>
            </w:tcMar>
            <w:vAlign w:val="center"/>
          </w:tcPr>
          <w:p w14:paraId="3F4E72A4" w14:textId="77777777" w:rsidR="00D24261" w:rsidRPr="00B1011F" w:rsidRDefault="00D24261" w:rsidP="00E730EF">
            <w:pPr>
              <w:pStyle w:val="TableText0"/>
              <w:jc w:val="center"/>
            </w:pPr>
            <w:r w:rsidRPr="005A3BFC">
              <w:rPr>
                <w:rFonts w:cs="Times New Roman"/>
              </w:rPr>
              <w:t>0.85 (0.68, 1.07)</w:t>
            </w:r>
          </w:p>
        </w:tc>
      </w:tr>
    </w:tbl>
    <w:p w14:paraId="340F2540" w14:textId="77777777" w:rsidR="00D24261" w:rsidRDefault="00D24261" w:rsidP="00D24261">
      <w:pPr>
        <w:spacing w:after="120"/>
        <w:contextualSpacing/>
        <w:rPr>
          <w:rFonts w:ascii="Arial Narrow" w:hAnsi="Arial Narrow"/>
          <w:snapToGrid w:val="0"/>
          <w:sz w:val="18"/>
        </w:rPr>
      </w:pPr>
      <w:bookmarkStart w:id="35" w:name="_Hlk100926027"/>
      <w:r w:rsidRPr="005A3BFC">
        <w:rPr>
          <w:rFonts w:ascii="Arial Narrow" w:hAnsi="Arial Narrow"/>
          <w:snapToGrid w:val="0"/>
          <w:sz w:val="18"/>
        </w:rPr>
        <w:t xml:space="preserve">Source: Table 26, p90 and Table 29, p101 of the submission. </w:t>
      </w:r>
    </w:p>
    <w:p w14:paraId="4414CD1C" w14:textId="535D28F6" w:rsidR="00D24261" w:rsidRPr="005A3BFC" w:rsidRDefault="00D24261" w:rsidP="00D24261">
      <w:pPr>
        <w:spacing w:after="120"/>
        <w:contextualSpacing/>
        <w:rPr>
          <w:rFonts w:ascii="Arial Narrow" w:eastAsia="Calibri" w:hAnsi="Arial Narrow"/>
          <w:snapToGrid w:val="0"/>
          <w:sz w:val="18"/>
        </w:rPr>
      </w:pPr>
      <w:r w:rsidRPr="005A3BFC">
        <w:rPr>
          <w:rFonts w:ascii="Arial Narrow" w:eastAsia="Calibri" w:hAnsi="Arial Narrow"/>
          <w:snapToGrid w:val="0"/>
          <w:sz w:val="18"/>
        </w:rPr>
        <w:t>CI</w:t>
      </w:r>
      <w:r>
        <w:rPr>
          <w:rFonts w:ascii="Arial Narrow" w:eastAsia="Calibri" w:hAnsi="Arial Narrow"/>
          <w:snapToGrid w:val="0"/>
          <w:sz w:val="18"/>
        </w:rPr>
        <w:t xml:space="preserve"> </w:t>
      </w:r>
      <w:r w:rsidRPr="005A3BFC">
        <w:rPr>
          <w:rFonts w:ascii="Arial Narrow" w:eastAsia="Calibri" w:hAnsi="Arial Narrow"/>
          <w:snapToGrid w:val="0"/>
          <w:sz w:val="18"/>
        </w:rPr>
        <w:t>= confidence interval, HR</w:t>
      </w:r>
      <w:r>
        <w:rPr>
          <w:rFonts w:ascii="Arial Narrow" w:eastAsia="Calibri" w:hAnsi="Arial Narrow"/>
          <w:snapToGrid w:val="0"/>
          <w:sz w:val="18"/>
        </w:rPr>
        <w:t xml:space="preserve"> </w:t>
      </w:r>
      <w:r w:rsidRPr="005A3BFC">
        <w:rPr>
          <w:rFonts w:ascii="Arial Narrow" w:eastAsia="Calibri" w:hAnsi="Arial Narrow"/>
          <w:snapToGrid w:val="0"/>
          <w:sz w:val="18"/>
        </w:rPr>
        <w:t xml:space="preserve">= hazard ratio, </w:t>
      </w:r>
      <w:r w:rsidR="00EF16FD">
        <w:rPr>
          <w:rFonts w:ascii="Arial Narrow" w:eastAsia="Calibri" w:hAnsi="Arial Narrow"/>
          <w:snapToGrid w:val="0"/>
          <w:sz w:val="18"/>
        </w:rPr>
        <w:t xml:space="preserve">IPI = ipilimumab, </w:t>
      </w:r>
      <w:r w:rsidRPr="005A3BFC">
        <w:rPr>
          <w:rFonts w:ascii="Arial Narrow" w:eastAsia="Calibri" w:hAnsi="Arial Narrow"/>
          <w:snapToGrid w:val="0"/>
          <w:sz w:val="18"/>
        </w:rPr>
        <w:t>n</w:t>
      </w:r>
      <w:r>
        <w:rPr>
          <w:rFonts w:ascii="Arial Narrow" w:eastAsia="Calibri" w:hAnsi="Arial Narrow"/>
          <w:snapToGrid w:val="0"/>
          <w:sz w:val="18"/>
        </w:rPr>
        <w:t xml:space="preserve"> </w:t>
      </w:r>
      <w:r w:rsidRPr="005A3BFC">
        <w:rPr>
          <w:rFonts w:ascii="Arial Narrow" w:eastAsia="Calibri" w:hAnsi="Arial Narrow"/>
          <w:snapToGrid w:val="0"/>
          <w:sz w:val="18"/>
        </w:rPr>
        <w:t>= number of participants reporting data, N</w:t>
      </w:r>
      <w:r>
        <w:rPr>
          <w:rFonts w:ascii="Arial Narrow" w:eastAsia="Calibri" w:hAnsi="Arial Narrow"/>
          <w:snapToGrid w:val="0"/>
          <w:sz w:val="18"/>
        </w:rPr>
        <w:t xml:space="preserve"> </w:t>
      </w:r>
      <w:r w:rsidRPr="005A3BFC">
        <w:rPr>
          <w:rFonts w:ascii="Arial Narrow" w:eastAsia="Calibri" w:hAnsi="Arial Narrow"/>
          <w:snapToGrid w:val="0"/>
          <w:sz w:val="18"/>
        </w:rPr>
        <w:t>= total participants in group,</w:t>
      </w:r>
      <w:r w:rsidR="00EF16FD">
        <w:rPr>
          <w:rFonts w:ascii="Arial Narrow" w:eastAsia="Calibri" w:hAnsi="Arial Narrow"/>
          <w:snapToGrid w:val="0"/>
          <w:sz w:val="18"/>
        </w:rPr>
        <w:t xml:space="preserve"> NA </w:t>
      </w:r>
      <w:r w:rsidR="005F2C12">
        <w:rPr>
          <w:rFonts w:ascii="Arial Narrow" w:eastAsia="Calibri" w:hAnsi="Arial Narrow"/>
          <w:snapToGrid w:val="0"/>
          <w:sz w:val="18"/>
        </w:rPr>
        <w:t>= not</w:t>
      </w:r>
      <w:r w:rsidR="00EF16FD">
        <w:rPr>
          <w:rFonts w:ascii="Arial Narrow" w:eastAsia="Calibri" w:hAnsi="Arial Narrow"/>
          <w:snapToGrid w:val="0"/>
          <w:sz w:val="18"/>
        </w:rPr>
        <w:t xml:space="preserve"> applicable, NE = not estimable,</w:t>
      </w:r>
      <w:r w:rsidRPr="005A3BFC">
        <w:rPr>
          <w:rFonts w:ascii="Arial Narrow" w:eastAsia="Calibri" w:hAnsi="Arial Narrow"/>
          <w:snapToGrid w:val="0"/>
          <w:sz w:val="18"/>
        </w:rPr>
        <w:t xml:space="preserve"> NIVO</w:t>
      </w:r>
      <w:r>
        <w:rPr>
          <w:rFonts w:ascii="Arial Narrow" w:eastAsia="Calibri" w:hAnsi="Arial Narrow"/>
          <w:snapToGrid w:val="0"/>
          <w:sz w:val="18"/>
        </w:rPr>
        <w:t xml:space="preserve"> </w:t>
      </w:r>
      <w:r w:rsidRPr="005A3BFC">
        <w:rPr>
          <w:rFonts w:ascii="Arial Narrow" w:eastAsia="Calibri" w:hAnsi="Arial Narrow"/>
          <w:snapToGrid w:val="0"/>
          <w:sz w:val="18"/>
        </w:rPr>
        <w:t xml:space="preserve">= nivolumab, </w:t>
      </w:r>
      <w:r>
        <w:rPr>
          <w:rFonts w:ascii="Arial Narrow" w:eastAsia="Calibri" w:hAnsi="Arial Narrow"/>
          <w:snapToGrid w:val="0"/>
          <w:sz w:val="18"/>
        </w:rPr>
        <w:t xml:space="preserve">NR = not reported, </w:t>
      </w:r>
      <w:r w:rsidRPr="005A3BFC">
        <w:rPr>
          <w:rFonts w:ascii="Arial Narrow" w:eastAsia="Calibri" w:hAnsi="Arial Narrow"/>
          <w:snapToGrid w:val="0"/>
          <w:sz w:val="18"/>
        </w:rPr>
        <w:t>OS</w:t>
      </w:r>
      <w:r>
        <w:rPr>
          <w:rFonts w:ascii="Arial Narrow" w:eastAsia="Calibri" w:hAnsi="Arial Narrow"/>
          <w:snapToGrid w:val="0"/>
          <w:sz w:val="18"/>
        </w:rPr>
        <w:t xml:space="preserve"> </w:t>
      </w:r>
      <w:r w:rsidRPr="005A3BFC">
        <w:rPr>
          <w:rFonts w:ascii="Arial Narrow" w:eastAsia="Calibri" w:hAnsi="Arial Narrow"/>
          <w:snapToGrid w:val="0"/>
          <w:sz w:val="18"/>
        </w:rPr>
        <w:t>= overall survival, RELA</w:t>
      </w:r>
      <w:r>
        <w:rPr>
          <w:rFonts w:ascii="Arial Narrow" w:eastAsia="Calibri" w:hAnsi="Arial Narrow"/>
          <w:snapToGrid w:val="0"/>
          <w:sz w:val="18"/>
        </w:rPr>
        <w:t xml:space="preserve"> </w:t>
      </w:r>
      <w:r w:rsidRPr="005A3BFC">
        <w:rPr>
          <w:rFonts w:ascii="Arial Narrow" w:eastAsia="Calibri" w:hAnsi="Arial Narrow"/>
          <w:snapToGrid w:val="0"/>
          <w:sz w:val="18"/>
        </w:rPr>
        <w:t>= relatlimab.</w:t>
      </w:r>
    </w:p>
    <w:p w14:paraId="6D0D823C" w14:textId="77777777" w:rsidR="00D24261" w:rsidRPr="005A3BFC" w:rsidRDefault="00D24261" w:rsidP="00D24261">
      <w:pPr>
        <w:spacing w:after="120"/>
        <w:contextualSpacing/>
        <w:rPr>
          <w:rFonts w:ascii="Arial Narrow" w:eastAsia="Calibri" w:hAnsi="Arial Narrow"/>
          <w:snapToGrid w:val="0"/>
          <w:sz w:val="18"/>
        </w:rPr>
      </w:pPr>
      <w:r w:rsidRPr="005A3BFC">
        <w:rPr>
          <w:rFonts w:ascii="Arial Narrow" w:eastAsia="Calibri" w:hAnsi="Arial Narrow"/>
          <w:snapToGrid w:val="0"/>
          <w:sz w:val="18"/>
          <w:vertAlign w:val="superscript"/>
        </w:rPr>
        <w:t>a</w:t>
      </w:r>
      <w:r w:rsidRPr="005A3BFC">
        <w:rPr>
          <w:rFonts w:ascii="Arial Narrow" w:eastAsia="Calibri" w:hAnsi="Arial Narrow"/>
          <w:snapToGrid w:val="0"/>
          <w:sz w:val="18"/>
        </w:rPr>
        <w:t xml:space="preserve"> Data cut-off: October 2021</w:t>
      </w:r>
    </w:p>
    <w:p w14:paraId="3A4A3A8C" w14:textId="77777777" w:rsidR="00D24261" w:rsidRPr="007B77D5" w:rsidRDefault="00D24261" w:rsidP="00D24261">
      <w:pPr>
        <w:spacing w:after="120"/>
        <w:contextualSpacing/>
        <w:rPr>
          <w:rFonts w:ascii="Arial Narrow" w:eastAsia="Calibri" w:hAnsi="Arial Narrow"/>
          <w:snapToGrid w:val="0"/>
          <w:sz w:val="18"/>
        </w:rPr>
      </w:pPr>
      <w:r w:rsidRPr="005A3BFC">
        <w:rPr>
          <w:rFonts w:ascii="Arial Narrow" w:eastAsia="Calibri" w:hAnsi="Arial Narrow"/>
          <w:bCs/>
          <w:snapToGrid w:val="0"/>
          <w:sz w:val="18"/>
          <w:vertAlign w:val="superscript"/>
        </w:rPr>
        <w:t xml:space="preserve">b </w:t>
      </w:r>
      <w:r w:rsidRPr="005A3BFC">
        <w:rPr>
          <w:rFonts w:ascii="Arial Narrow" w:eastAsia="Calibri" w:hAnsi="Arial Narrow"/>
          <w:bCs/>
          <w:snapToGrid w:val="0"/>
          <w:sz w:val="18"/>
        </w:rPr>
        <w:t xml:space="preserve">Data </w:t>
      </w:r>
      <w:r w:rsidRPr="007B77D5">
        <w:rPr>
          <w:rFonts w:ascii="Arial Narrow" w:eastAsia="Calibri" w:hAnsi="Arial Narrow"/>
          <w:snapToGrid w:val="0"/>
          <w:sz w:val="18"/>
        </w:rPr>
        <w:t>cut-off: May 2017 (3-years follow-up)</w:t>
      </w:r>
    </w:p>
    <w:bookmarkEnd w:id="34"/>
    <w:bookmarkEnd w:id="35"/>
    <w:p w14:paraId="5ACB7EAE" w14:textId="141C177D" w:rsidR="00C92BD6" w:rsidRPr="006421D0" w:rsidRDefault="00F46AD4" w:rsidP="003C7AD1">
      <w:pPr>
        <w:pStyle w:val="3-BodyText"/>
        <w:numPr>
          <w:ilvl w:val="1"/>
          <w:numId w:val="1"/>
        </w:numPr>
        <w:rPr>
          <w:rFonts w:cstheme="minorHAnsi"/>
        </w:rPr>
      </w:pPr>
      <w:r w:rsidRPr="006421D0">
        <w:rPr>
          <w:snapToGrid/>
          <w:lang w:val="en-US"/>
        </w:rPr>
        <w:t>At</w:t>
      </w:r>
      <w:r w:rsidR="00FC5F5E" w:rsidRPr="006421D0">
        <w:rPr>
          <w:snapToGrid/>
          <w:lang w:val="en-US"/>
        </w:rPr>
        <w:t xml:space="preserve"> a median follow up of 19.27 months, </w:t>
      </w:r>
      <w:r w:rsidRPr="006421D0">
        <w:rPr>
          <w:snapToGrid/>
          <w:lang w:val="en-US"/>
        </w:rPr>
        <w:t>the</w:t>
      </w:r>
      <w:r w:rsidR="00FC5F5E" w:rsidRPr="006421D0">
        <w:rPr>
          <w:snapToGrid/>
          <w:lang w:val="en-US"/>
        </w:rPr>
        <w:t xml:space="preserve"> median OS</w:t>
      </w:r>
      <w:r w:rsidRPr="006421D0">
        <w:rPr>
          <w:snapToGrid/>
          <w:lang w:val="en-US"/>
        </w:rPr>
        <w:t xml:space="preserve"> for the</w:t>
      </w:r>
      <w:r w:rsidR="00FC5F5E" w:rsidRPr="006421D0">
        <w:rPr>
          <w:snapToGrid/>
          <w:lang w:val="en-US"/>
        </w:rPr>
        <w:t xml:space="preserve"> </w:t>
      </w:r>
      <w:r w:rsidRPr="006421D0">
        <w:rPr>
          <w:snapToGrid/>
          <w:lang w:val="en-US"/>
        </w:rPr>
        <w:t xml:space="preserve">RELA+NIVO arm was </w:t>
      </w:r>
      <w:r w:rsidR="00FC5F5E" w:rsidRPr="006421D0">
        <w:rPr>
          <w:snapToGrid/>
          <w:lang w:val="en-US"/>
        </w:rPr>
        <w:t xml:space="preserve">not reached. Median OS in the </w:t>
      </w:r>
      <w:r w:rsidR="00E76C33">
        <w:rPr>
          <w:snapToGrid/>
          <w:lang w:val="en-US"/>
        </w:rPr>
        <w:t>nivolumab</w:t>
      </w:r>
      <w:r w:rsidR="00E76C33" w:rsidRPr="006421D0">
        <w:rPr>
          <w:snapToGrid/>
          <w:lang w:val="en-US"/>
        </w:rPr>
        <w:t xml:space="preserve"> </w:t>
      </w:r>
      <w:r w:rsidR="00FC5F5E" w:rsidRPr="006421D0">
        <w:rPr>
          <w:snapToGrid/>
          <w:lang w:val="en-US"/>
        </w:rPr>
        <w:t>monotherapy arm was 34.1 months. Overall, the change in OS was not statistically significant (HR</w:t>
      </w:r>
      <w:r w:rsidR="004168FE" w:rsidRPr="006421D0">
        <w:rPr>
          <w:snapToGrid/>
          <w:lang w:val="en-US"/>
        </w:rPr>
        <w:t xml:space="preserve"> =</w:t>
      </w:r>
      <w:r w:rsidR="00FC5F5E" w:rsidRPr="006421D0">
        <w:rPr>
          <w:snapToGrid/>
          <w:lang w:val="en-US"/>
        </w:rPr>
        <w:t xml:space="preserve"> 0.80; 95% CI: 0.64, 1.01). Given the immaturity of the data, the survival benefit of RELA+NIVO compared with nivolumab monotherapy was uncertain.</w:t>
      </w:r>
      <w:r w:rsidR="00C92BD6" w:rsidRPr="006421D0">
        <w:rPr>
          <w:snapToGrid/>
          <w:lang w:val="en-US"/>
        </w:rPr>
        <w:t xml:space="preserve"> </w:t>
      </w:r>
      <w:r w:rsidR="00BB7A1A" w:rsidRPr="006421D0">
        <w:rPr>
          <w:snapToGrid/>
          <w:lang w:val="en-US"/>
        </w:rPr>
        <w:t xml:space="preserve">The </w:t>
      </w:r>
      <w:r w:rsidR="00195442" w:rsidRPr="006421D0">
        <w:t>PSCR</w:t>
      </w:r>
      <w:r w:rsidR="00BB7A1A" w:rsidRPr="006421D0">
        <w:t xml:space="preserve"> </w:t>
      </w:r>
      <w:r w:rsidR="00195442" w:rsidRPr="006421D0">
        <w:t xml:space="preserve">(p2) </w:t>
      </w:r>
      <w:r w:rsidR="004168FE" w:rsidRPr="006421D0">
        <w:t>noted that</w:t>
      </w:r>
      <w:r w:rsidR="00BB7A1A" w:rsidRPr="006421D0">
        <w:t xml:space="preserve"> </w:t>
      </w:r>
      <w:r w:rsidR="00195442" w:rsidRPr="006421D0">
        <w:t xml:space="preserve">OS was included as secondary endpoint in </w:t>
      </w:r>
      <w:r w:rsidR="00BB7A1A" w:rsidRPr="006421D0">
        <w:t xml:space="preserve">the main trial </w:t>
      </w:r>
      <w:r w:rsidR="00195442" w:rsidRPr="006421D0">
        <w:t>CA2244047</w:t>
      </w:r>
      <w:r w:rsidR="00BB7A1A" w:rsidRPr="006421D0">
        <w:t xml:space="preserve">. </w:t>
      </w:r>
      <w:r w:rsidR="00C92BD6" w:rsidRPr="006421D0">
        <w:rPr>
          <w:rFonts w:cstheme="minorHAnsi"/>
        </w:rPr>
        <w:t>The PSCR disagreed that the OS benefit was uncertain</w:t>
      </w:r>
      <w:r w:rsidR="002D7025" w:rsidRPr="006421D0">
        <w:rPr>
          <w:rFonts w:cstheme="minorHAnsi"/>
        </w:rPr>
        <w:t>, arguing</w:t>
      </w:r>
      <w:r w:rsidR="00C92BD6" w:rsidRPr="006421D0">
        <w:rPr>
          <w:rFonts w:cstheme="minorHAnsi"/>
        </w:rPr>
        <w:t xml:space="preserve"> that the OS benefit favouring RELA+NIVO approached statistical significance (p=0.0593)</w:t>
      </w:r>
      <w:r w:rsidR="002D7025" w:rsidRPr="006421D0">
        <w:rPr>
          <w:rFonts w:cstheme="minorHAnsi"/>
        </w:rPr>
        <w:t xml:space="preserve">, </w:t>
      </w:r>
      <w:r w:rsidR="00C92BD6" w:rsidRPr="006421D0">
        <w:rPr>
          <w:rFonts w:cstheme="minorHAnsi"/>
        </w:rPr>
        <w:t>that the magnitude of the OS benefit (5%) was durable and clinically meaningful</w:t>
      </w:r>
      <w:r w:rsidR="002D7025" w:rsidRPr="006421D0">
        <w:rPr>
          <w:rFonts w:cstheme="minorHAnsi"/>
        </w:rPr>
        <w:t xml:space="preserve">, and that the OS result was </w:t>
      </w:r>
      <w:r w:rsidR="00B23F1C" w:rsidRPr="006421D0">
        <w:t xml:space="preserve">supported by the primary outcome of </w:t>
      </w:r>
      <w:r w:rsidR="002D7025" w:rsidRPr="006421D0">
        <w:t xml:space="preserve">a </w:t>
      </w:r>
      <w:r w:rsidR="00B23F1C" w:rsidRPr="006421D0">
        <w:t xml:space="preserve">statistically significant </w:t>
      </w:r>
      <w:r w:rsidR="002D7025" w:rsidRPr="006421D0">
        <w:t xml:space="preserve">improvement in </w:t>
      </w:r>
      <w:r w:rsidR="00B23F1C" w:rsidRPr="006421D0">
        <w:t>PFS for RELA+NIVO (HR</w:t>
      </w:r>
      <w:r w:rsidR="004168FE" w:rsidRPr="006421D0">
        <w:t xml:space="preserve"> </w:t>
      </w:r>
      <w:r w:rsidR="00B23F1C" w:rsidRPr="006421D0">
        <w:t>=</w:t>
      </w:r>
      <w:r w:rsidR="004168FE" w:rsidRPr="006421D0">
        <w:t xml:space="preserve"> </w:t>
      </w:r>
      <w:r w:rsidR="00B23F1C" w:rsidRPr="006421D0">
        <w:t>0.75</w:t>
      </w:r>
      <w:r w:rsidR="004168FE" w:rsidRPr="006421D0">
        <w:t xml:space="preserve">; 95% CI: </w:t>
      </w:r>
      <w:r w:rsidR="00B23F1C" w:rsidRPr="006421D0">
        <w:t>0.62,</w:t>
      </w:r>
      <w:r w:rsidR="004168FE" w:rsidRPr="006421D0">
        <w:t xml:space="preserve"> </w:t>
      </w:r>
      <w:r w:rsidR="00B23F1C" w:rsidRPr="006421D0">
        <w:t>0.92</w:t>
      </w:r>
      <w:r w:rsidR="004168FE" w:rsidRPr="006421D0">
        <w:t xml:space="preserve">; </w:t>
      </w:r>
      <w:r w:rsidR="00B23F1C" w:rsidRPr="006421D0">
        <w:t>p=0.0055)</w:t>
      </w:r>
      <w:r w:rsidR="002D7025" w:rsidRPr="006421D0">
        <w:t xml:space="preserve">. </w:t>
      </w:r>
      <w:r w:rsidR="00C92BD6" w:rsidRPr="006421D0">
        <w:rPr>
          <w:rFonts w:cstheme="minorHAnsi"/>
        </w:rPr>
        <w:t>The ESC noted th</w:t>
      </w:r>
      <w:r w:rsidR="005C1E26" w:rsidRPr="006421D0">
        <w:rPr>
          <w:rFonts w:cstheme="minorHAnsi"/>
        </w:rPr>
        <w:t xml:space="preserve">e </w:t>
      </w:r>
      <w:r w:rsidR="00C92BD6" w:rsidRPr="006421D0">
        <w:rPr>
          <w:rFonts w:cstheme="minorHAnsi"/>
        </w:rPr>
        <w:t xml:space="preserve">relatively short </w:t>
      </w:r>
      <w:r w:rsidR="002D7025" w:rsidRPr="006421D0">
        <w:rPr>
          <w:rFonts w:cstheme="minorHAnsi"/>
        </w:rPr>
        <w:t xml:space="preserve">duration of </w:t>
      </w:r>
      <w:r w:rsidR="00C92BD6" w:rsidRPr="006421D0">
        <w:rPr>
          <w:rFonts w:cstheme="minorHAnsi"/>
        </w:rPr>
        <w:t xml:space="preserve">follow-up duration (up to 36 months) and </w:t>
      </w:r>
      <w:r w:rsidR="00C92BD6" w:rsidRPr="006421D0">
        <w:rPr>
          <w:rStyle w:val="CommentReference"/>
          <w:rFonts w:asciiTheme="minorHAnsi" w:hAnsiTheme="minorHAnsi"/>
          <w:b w:val="0"/>
          <w:snapToGrid/>
          <w:sz w:val="24"/>
          <w:szCs w:val="24"/>
          <w:lang w:val="en-US"/>
        </w:rPr>
        <w:t>the difficult</w:t>
      </w:r>
      <w:r w:rsidR="00744D3B" w:rsidRPr="006421D0">
        <w:rPr>
          <w:rStyle w:val="CommentReference"/>
          <w:rFonts w:asciiTheme="minorHAnsi" w:hAnsiTheme="minorHAnsi"/>
          <w:b w:val="0"/>
          <w:snapToGrid/>
          <w:sz w:val="24"/>
          <w:szCs w:val="24"/>
          <w:lang w:val="en-US"/>
        </w:rPr>
        <w:t xml:space="preserve">ies associated with </w:t>
      </w:r>
      <w:r w:rsidR="00C92BD6" w:rsidRPr="006421D0">
        <w:rPr>
          <w:rStyle w:val="CommentReference"/>
          <w:rFonts w:asciiTheme="minorHAnsi" w:hAnsiTheme="minorHAnsi"/>
          <w:b w:val="0"/>
          <w:snapToGrid/>
          <w:sz w:val="24"/>
          <w:szCs w:val="24"/>
          <w:lang w:val="en-US"/>
        </w:rPr>
        <w:lastRenderedPageBreak/>
        <w:t>interpreting immature data</w:t>
      </w:r>
      <w:r w:rsidR="002D7025" w:rsidRPr="006421D0">
        <w:rPr>
          <w:rStyle w:val="CommentReference"/>
          <w:rFonts w:asciiTheme="minorHAnsi" w:hAnsiTheme="minorHAnsi"/>
          <w:b w:val="0"/>
          <w:snapToGrid/>
          <w:sz w:val="24"/>
          <w:szCs w:val="24"/>
          <w:lang w:val="en-US"/>
        </w:rPr>
        <w:t xml:space="preserve">. The ESC </w:t>
      </w:r>
      <w:r w:rsidR="00C92BD6" w:rsidRPr="006421D0">
        <w:rPr>
          <w:rStyle w:val="CommentReference"/>
          <w:rFonts w:asciiTheme="minorHAnsi" w:hAnsiTheme="minorHAnsi"/>
          <w:b w:val="0"/>
          <w:snapToGrid/>
          <w:sz w:val="24"/>
          <w:szCs w:val="24"/>
          <w:lang w:val="en-US"/>
        </w:rPr>
        <w:t xml:space="preserve">considered </w:t>
      </w:r>
      <w:r w:rsidR="002D7025" w:rsidRPr="006421D0">
        <w:rPr>
          <w:rStyle w:val="CommentReference"/>
          <w:rFonts w:asciiTheme="minorHAnsi" w:hAnsiTheme="minorHAnsi"/>
          <w:b w:val="0"/>
          <w:snapToGrid/>
          <w:sz w:val="24"/>
          <w:szCs w:val="24"/>
          <w:lang w:val="en-US"/>
        </w:rPr>
        <w:t xml:space="preserve">that </w:t>
      </w:r>
      <w:r w:rsidR="00895F03" w:rsidRPr="006421D0">
        <w:rPr>
          <w:rStyle w:val="CommentReference"/>
          <w:rFonts w:asciiTheme="minorHAnsi" w:hAnsiTheme="minorHAnsi"/>
          <w:b w:val="0"/>
          <w:snapToGrid/>
          <w:sz w:val="24"/>
          <w:szCs w:val="24"/>
          <w:lang w:val="en-US"/>
        </w:rPr>
        <w:t xml:space="preserve">more mature data would be informative for better estimating the magnitude and durability of the OS gain. </w:t>
      </w:r>
      <w:r w:rsidR="001C049E" w:rsidRPr="00697D3E">
        <w:rPr>
          <w:rFonts w:cstheme="minorHAnsi"/>
        </w:rPr>
        <w:t xml:space="preserve">The </w:t>
      </w:r>
      <w:r w:rsidR="00697D3E" w:rsidRPr="00697D3E">
        <w:rPr>
          <w:rFonts w:cstheme="minorHAnsi"/>
        </w:rPr>
        <w:t xml:space="preserve">pre-PBAC response </w:t>
      </w:r>
      <w:r w:rsidR="00E76C33">
        <w:rPr>
          <w:rFonts w:cstheme="minorHAnsi"/>
        </w:rPr>
        <w:t xml:space="preserve">(p2) </w:t>
      </w:r>
      <w:r w:rsidR="00697D3E" w:rsidRPr="00697D3E">
        <w:rPr>
          <w:rFonts w:cstheme="minorHAnsi"/>
        </w:rPr>
        <w:t xml:space="preserve">claimed the </w:t>
      </w:r>
      <w:r w:rsidR="001C049E" w:rsidRPr="00697D3E">
        <w:rPr>
          <w:rFonts w:cstheme="minorHAnsi"/>
        </w:rPr>
        <w:t xml:space="preserve">magnitude of benefit </w:t>
      </w:r>
      <w:r w:rsidR="00E76C33">
        <w:rPr>
          <w:rFonts w:cstheme="minorHAnsi"/>
        </w:rPr>
        <w:t>wa</w:t>
      </w:r>
      <w:r w:rsidR="001C049E" w:rsidRPr="00697D3E">
        <w:rPr>
          <w:rFonts w:cstheme="minorHAnsi"/>
        </w:rPr>
        <w:t xml:space="preserve">s considered clinically meaningful, given that the Kaplan Meier OS estimates at 12, 24 and 36 months for RELA+NIVO were more than 5% higher than for </w:t>
      </w:r>
      <w:r w:rsidR="00E76C33">
        <w:rPr>
          <w:rFonts w:cstheme="minorHAnsi"/>
        </w:rPr>
        <w:t>nivolumab monotherapy</w:t>
      </w:r>
      <w:r w:rsidR="001C049E" w:rsidRPr="00697D3E">
        <w:rPr>
          <w:rFonts w:cstheme="minorHAnsi"/>
        </w:rPr>
        <w:t xml:space="preserve">. </w:t>
      </w:r>
    </w:p>
    <w:p w14:paraId="52CF7507" w14:textId="3281D7D3" w:rsidR="00D24261" w:rsidRDefault="0076760C" w:rsidP="00D24261">
      <w:pPr>
        <w:pStyle w:val="3-BodyText"/>
        <w:numPr>
          <w:ilvl w:val="1"/>
          <w:numId w:val="1"/>
        </w:numPr>
        <w:rPr>
          <w:snapToGrid/>
          <w:lang w:val="en-US"/>
        </w:rPr>
      </w:pPr>
      <w:r w:rsidRPr="00AF1DAD">
        <w:rPr>
          <w:snapToGrid/>
          <w:lang w:val="en-US"/>
        </w:rPr>
        <w:t>In the CA209067 trial, t</w:t>
      </w:r>
      <w:r w:rsidR="00D24261" w:rsidRPr="00AF1DAD">
        <w:rPr>
          <w:snapToGrid/>
          <w:lang w:val="en-US"/>
        </w:rPr>
        <w:t>he median OS at a minimum follow-up of 3 years, was not reached in the NIVO+IPI arm and was 37.6 months for the nivolumab</w:t>
      </w:r>
      <w:r w:rsidR="00D24261" w:rsidRPr="00E86214">
        <w:rPr>
          <w:snapToGrid/>
          <w:lang w:val="en-US"/>
        </w:rPr>
        <w:t xml:space="preserve"> arm. </w:t>
      </w:r>
      <w:r w:rsidR="00D24261">
        <w:rPr>
          <w:snapToGrid/>
          <w:lang w:val="en-US"/>
        </w:rPr>
        <w:t xml:space="preserve">Updated data from an extended 6.5-year follow-up </w:t>
      </w:r>
      <w:r w:rsidR="00D24261" w:rsidRPr="00E86214">
        <w:rPr>
          <w:snapToGrid/>
          <w:lang w:val="en-US"/>
        </w:rPr>
        <w:t xml:space="preserve">for </w:t>
      </w:r>
      <w:r>
        <w:rPr>
          <w:snapToGrid/>
          <w:lang w:val="en-US"/>
        </w:rPr>
        <w:t xml:space="preserve">this trial </w:t>
      </w:r>
      <w:r w:rsidR="00D24261">
        <w:rPr>
          <w:snapToGrid/>
          <w:lang w:val="en-US"/>
        </w:rPr>
        <w:t xml:space="preserve">demonstrated that </w:t>
      </w:r>
      <w:r w:rsidR="00D24261" w:rsidRPr="00E86214">
        <w:rPr>
          <w:snapToGrid/>
          <w:lang w:val="en-US"/>
        </w:rPr>
        <w:t>NIVO+IPI was associated with a</w:t>
      </w:r>
      <w:r w:rsidR="0097358B">
        <w:rPr>
          <w:snapToGrid/>
          <w:lang w:val="en-US"/>
        </w:rPr>
        <w:t xml:space="preserve"> </w:t>
      </w:r>
      <w:r w:rsidR="00FC5F5E" w:rsidRPr="00E86214">
        <w:rPr>
          <w:snapToGrid/>
          <w:lang w:val="en-US"/>
        </w:rPr>
        <w:t>n</w:t>
      </w:r>
      <w:r w:rsidR="00FC5F5E">
        <w:rPr>
          <w:snapToGrid/>
          <w:lang w:val="en-US"/>
        </w:rPr>
        <w:t>on-statistically</w:t>
      </w:r>
      <w:r w:rsidR="0097358B">
        <w:rPr>
          <w:snapToGrid/>
          <w:lang w:val="en-US"/>
        </w:rPr>
        <w:t xml:space="preserve"> significant</w:t>
      </w:r>
      <w:r w:rsidR="00D24261" w:rsidRPr="00E86214">
        <w:rPr>
          <w:snapToGrid/>
          <w:lang w:val="en-US"/>
        </w:rPr>
        <w:t xml:space="preserve"> improvement in OS compared with nivolumab monotherapy </w:t>
      </w:r>
      <w:r w:rsidR="00D24261">
        <w:rPr>
          <w:snapToGrid/>
          <w:lang w:val="en-US"/>
        </w:rPr>
        <w:t>(</w:t>
      </w:r>
      <w:r w:rsidR="00D24261" w:rsidRPr="00E86214">
        <w:rPr>
          <w:snapToGrid/>
          <w:lang w:val="en-US"/>
        </w:rPr>
        <w:t>HR</w:t>
      </w:r>
      <w:r w:rsidR="00D24261">
        <w:rPr>
          <w:snapToGrid/>
          <w:lang w:val="en-US"/>
        </w:rPr>
        <w:t xml:space="preserve">: </w:t>
      </w:r>
      <w:r w:rsidR="00D24261" w:rsidRPr="00E86214">
        <w:rPr>
          <w:snapToGrid/>
          <w:lang w:val="en-US"/>
        </w:rPr>
        <w:t>0.84</w:t>
      </w:r>
      <w:r w:rsidR="00D24261">
        <w:rPr>
          <w:snapToGrid/>
          <w:lang w:val="en-US"/>
        </w:rPr>
        <w:t xml:space="preserve">; </w:t>
      </w:r>
      <w:r w:rsidR="00D24261" w:rsidRPr="00E86214">
        <w:rPr>
          <w:snapToGrid/>
          <w:lang w:val="en-US"/>
        </w:rPr>
        <w:t>95% CI: 0.67, 1.04</w:t>
      </w:r>
      <w:r w:rsidR="004D1CCC">
        <w:rPr>
          <w:snapToGrid/>
          <w:lang w:val="en-US"/>
        </w:rPr>
        <w:t>)</w:t>
      </w:r>
      <w:r w:rsidR="00D24261" w:rsidRPr="00E86214">
        <w:rPr>
          <w:snapToGrid/>
          <w:lang w:val="en-US"/>
        </w:rPr>
        <w:t xml:space="preserve">. </w:t>
      </w:r>
    </w:p>
    <w:p w14:paraId="7BC96462" w14:textId="1E541CE5" w:rsidR="00D24261" w:rsidRPr="000B56E0" w:rsidRDefault="00D24261" w:rsidP="00D24261">
      <w:pPr>
        <w:pStyle w:val="3-BodyText"/>
        <w:numPr>
          <w:ilvl w:val="1"/>
          <w:numId w:val="1"/>
        </w:numPr>
        <w:rPr>
          <w:rStyle w:val="CommentReference"/>
          <w:rFonts w:asciiTheme="minorHAnsi" w:hAnsiTheme="minorHAnsi"/>
          <w:b w:val="0"/>
          <w:i/>
          <w:iCs/>
          <w:snapToGrid/>
          <w:sz w:val="24"/>
          <w:szCs w:val="24"/>
          <w:lang w:val="en-US"/>
        </w:rPr>
      </w:pPr>
      <w:r w:rsidRPr="00EC52FF">
        <w:rPr>
          <w:rStyle w:val="CommentReference"/>
          <w:rFonts w:asciiTheme="minorHAnsi" w:hAnsiTheme="minorHAnsi"/>
          <w:b w:val="0"/>
          <w:snapToGrid/>
          <w:sz w:val="24"/>
          <w:szCs w:val="24"/>
          <w:lang w:val="en-US"/>
        </w:rPr>
        <w:t xml:space="preserve">The Kaplan Meier OS plots for the CA224047 (data cut-off: October 2021) and CA209067 (data cut-off: </w:t>
      </w:r>
      <w:r>
        <w:rPr>
          <w:rStyle w:val="CommentReference"/>
          <w:rFonts w:asciiTheme="minorHAnsi" w:hAnsiTheme="minorHAnsi"/>
          <w:b w:val="0"/>
          <w:snapToGrid/>
          <w:sz w:val="24"/>
          <w:szCs w:val="24"/>
          <w:lang w:val="en-US"/>
        </w:rPr>
        <w:t>October 2020</w:t>
      </w:r>
      <w:r w:rsidRPr="00EC52FF">
        <w:rPr>
          <w:rStyle w:val="CommentReference"/>
          <w:rFonts w:asciiTheme="minorHAnsi" w:hAnsiTheme="minorHAnsi"/>
          <w:b w:val="0"/>
          <w:snapToGrid/>
          <w:sz w:val="24"/>
          <w:szCs w:val="24"/>
          <w:lang w:val="en-US"/>
        </w:rPr>
        <w:t xml:space="preserve">) trials are presented in </w:t>
      </w:r>
      <w:r>
        <w:rPr>
          <w:rStyle w:val="CommentReference"/>
          <w:rFonts w:asciiTheme="minorHAnsi" w:hAnsiTheme="minorHAnsi"/>
          <w:b w:val="0"/>
          <w:snapToGrid/>
          <w:sz w:val="24"/>
          <w:szCs w:val="24"/>
          <w:lang w:val="en-US"/>
        </w:rPr>
        <w:fldChar w:fldCharType="begin"/>
      </w:r>
      <w:r>
        <w:rPr>
          <w:rStyle w:val="CommentReference"/>
          <w:rFonts w:asciiTheme="minorHAnsi" w:hAnsiTheme="minorHAnsi"/>
          <w:b w:val="0"/>
          <w:snapToGrid/>
          <w:sz w:val="24"/>
          <w:szCs w:val="24"/>
          <w:lang w:val="en-US"/>
        </w:rPr>
        <w:instrText xml:space="preserve"> REF _Ref100790128 \h </w:instrText>
      </w:r>
      <w:r>
        <w:rPr>
          <w:rStyle w:val="CommentReference"/>
          <w:rFonts w:asciiTheme="minorHAnsi" w:hAnsiTheme="minorHAnsi"/>
          <w:b w:val="0"/>
          <w:snapToGrid/>
          <w:sz w:val="24"/>
          <w:szCs w:val="24"/>
          <w:lang w:val="en-US"/>
        </w:rPr>
      </w:r>
      <w:r>
        <w:rPr>
          <w:rStyle w:val="CommentReference"/>
          <w:rFonts w:asciiTheme="minorHAnsi" w:hAnsiTheme="minorHAnsi"/>
          <w:b w:val="0"/>
          <w:snapToGrid/>
          <w:sz w:val="24"/>
          <w:szCs w:val="24"/>
          <w:lang w:val="en-US"/>
        </w:rPr>
        <w:fldChar w:fldCharType="separate"/>
      </w:r>
      <w:r w:rsidR="00633460">
        <w:t xml:space="preserve">Figure </w:t>
      </w:r>
      <w:r w:rsidR="00633460">
        <w:rPr>
          <w:noProof/>
        </w:rPr>
        <w:t>2</w:t>
      </w:r>
      <w:r>
        <w:rPr>
          <w:rStyle w:val="CommentReference"/>
          <w:rFonts w:asciiTheme="minorHAnsi" w:hAnsiTheme="minorHAnsi"/>
          <w:b w:val="0"/>
          <w:snapToGrid/>
          <w:sz w:val="24"/>
          <w:szCs w:val="24"/>
          <w:lang w:val="en-US"/>
        </w:rPr>
        <w:fldChar w:fldCharType="end"/>
      </w:r>
      <w:r>
        <w:rPr>
          <w:rStyle w:val="CommentReference"/>
          <w:rFonts w:asciiTheme="minorHAnsi" w:hAnsiTheme="minorHAnsi"/>
          <w:b w:val="0"/>
          <w:snapToGrid/>
          <w:sz w:val="24"/>
          <w:szCs w:val="24"/>
          <w:lang w:val="en-US"/>
        </w:rPr>
        <w:t xml:space="preserve"> </w:t>
      </w:r>
      <w:r w:rsidRPr="00EC52FF">
        <w:rPr>
          <w:rStyle w:val="CommentReference"/>
          <w:rFonts w:asciiTheme="minorHAnsi" w:hAnsiTheme="minorHAnsi"/>
          <w:b w:val="0"/>
          <w:snapToGrid/>
          <w:sz w:val="24"/>
          <w:szCs w:val="24"/>
          <w:lang w:val="en-US"/>
        </w:rPr>
        <w:t>and</w:t>
      </w:r>
      <w:r>
        <w:rPr>
          <w:rStyle w:val="CommentReference"/>
          <w:rFonts w:asciiTheme="minorHAnsi" w:hAnsiTheme="minorHAnsi"/>
          <w:b w:val="0"/>
          <w:snapToGrid/>
          <w:sz w:val="24"/>
          <w:szCs w:val="24"/>
          <w:lang w:val="en-US"/>
        </w:rPr>
        <w:t xml:space="preserve"> </w:t>
      </w:r>
      <w:r>
        <w:rPr>
          <w:rStyle w:val="CommentReference"/>
          <w:rFonts w:asciiTheme="minorHAnsi" w:hAnsiTheme="minorHAnsi"/>
          <w:b w:val="0"/>
          <w:snapToGrid/>
          <w:sz w:val="24"/>
          <w:szCs w:val="24"/>
          <w:lang w:val="en-US"/>
        </w:rPr>
        <w:fldChar w:fldCharType="begin"/>
      </w:r>
      <w:r>
        <w:rPr>
          <w:rStyle w:val="CommentReference"/>
          <w:rFonts w:asciiTheme="minorHAnsi" w:hAnsiTheme="minorHAnsi"/>
          <w:b w:val="0"/>
          <w:snapToGrid/>
          <w:sz w:val="24"/>
          <w:szCs w:val="24"/>
          <w:lang w:val="en-US"/>
        </w:rPr>
        <w:instrText xml:space="preserve"> REF _Ref100790240 \h </w:instrText>
      </w:r>
      <w:r>
        <w:rPr>
          <w:rStyle w:val="CommentReference"/>
          <w:rFonts w:asciiTheme="minorHAnsi" w:hAnsiTheme="minorHAnsi"/>
          <w:b w:val="0"/>
          <w:snapToGrid/>
          <w:sz w:val="24"/>
          <w:szCs w:val="24"/>
          <w:lang w:val="en-US"/>
        </w:rPr>
      </w:r>
      <w:r>
        <w:rPr>
          <w:rStyle w:val="CommentReference"/>
          <w:rFonts w:asciiTheme="minorHAnsi" w:hAnsiTheme="minorHAnsi"/>
          <w:b w:val="0"/>
          <w:snapToGrid/>
          <w:sz w:val="24"/>
          <w:szCs w:val="24"/>
          <w:lang w:val="en-US"/>
        </w:rPr>
        <w:fldChar w:fldCharType="separate"/>
      </w:r>
      <w:r w:rsidR="00633460">
        <w:t xml:space="preserve">Figure </w:t>
      </w:r>
      <w:r w:rsidR="00633460">
        <w:rPr>
          <w:noProof/>
        </w:rPr>
        <w:t>3</w:t>
      </w:r>
      <w:r>
        <w:rPr>
          <w:rStyle w:val="CommentReference"/>
          <w:rFonts w:asciiTheme="minorHAnsi" w:hAnsiTheme="minorHAnsi"/>
          <w:b w:val="0"/>
          <w:snapToGrid/>
          <w:sz w:val="24"/>
          <w:szCs w:val="24"/>
          <w:lang w:val="en-US"/>
        </w:rPr>
        <w:fldChar w:fldCharType="end"/>
      </w:r>
      <w:r w:rsidRPr="00EC52FF">
        <w:rPr>
          <w:rStyle w:val="CommentReference"/>
          <w:rFonts w:asciiTheme="minorHAnsi" w:hAnsiTheme="minorHAnsi"/>
          <w:b w:val="0"/>
          <w:snapToGrid/>
          <w:sz w:val="24"/>
          <w:szCs w:val="24"/>
          <w:lang w:val="en-US"/>
        </w:rPr>
        <w:t>, respectively.</w:t>
      </w:r>
      <w:r w:rsidR="00D9167E">
        <w:rPr>
          <w:rStyle w:val="CommentReference"/>
          <w:rFonts w:asciiTheme="minorHAnsi" w:hAnsiTheme="minorHAnsi"/>
          <w:b w:val="0"/>
          <w:snapToGrid/>
          <w:sz w:val="24"/>
          <w:szCs w:val="24"/>
          <w:lang w:val="en-US"/>
        </w:rPr>
        <w:t xml:space="preserve"> </w:t>
      </w:r>
    </w:p>
    <w:p w14:paraId="781CF171" w14:textId="29168BC8" w:rsidR="00D24261" w:rsidRDefault="00D24261" w:rsidP="00D24261">
      <w:pPr>
        <w:pStyle w:val="TableFigureHeading"/>
      </w:pPr>
      <w:bookmarkStart w:id="36" w:name="_Ref100790128"/>
      <w:r>
        <w:t xml:space="preserve">Figure </w:t>
      </w:r>
      <w:fldSimple w:instr=" SEQ Figure \* ARABIC ">
        <w:r w:rsidR="00633460">
          <w:rPr>
            <w:noProof/>
          </w:rPr>
          <w:t>2</w:t>
        </w:r>
      </w:fldSimple>
      <w:bookmarkEnd w:id="36"/>
      <w:r>
        <w:t>: KM analysis of OS in the CA224047 trial (Data cut-off: October 2021)</w:t>
      </w:r>
    </w:p>
    <w:p w14:paraId="09678759" w14:textId="77777777" w:rsidR="00D24261" w:rsidRDefault="00D24261" w:rsidP="00D24261">
      <w:pPr>
        <w:pStyle w:val="3-BodyText"/>
        <w:spacing w:after="0"/>
        <w:rPr>
          <w:rStyle w:val="CommentReference"/>
          <w:rFonts w:asciiTheme="minorHAnsi" w:hAnsiTheme="minorHAnsi"/>
          <w:b w:val="0"/>
          <w:snapToGrid/>
          <w:sz w:val="24"/>
          <w:szCs w:val="24"/>
          <w:lang w:val="en-US"/>
        </w:rPr>
      </w:pPr>
      <w:r>
        <w:rPr>
          <w:noProof/>
        </w:rPr>
        <w:drawing>
          <wp:inline distT="0" distB="0" distL="0" distR="0" wp14:anchorId="1172E802" wp14:editId="7776885B">
            <wp:extent cx="4846320" cy="3350362"/>
            <wp:effectExtent l="0" t="0" r="0" b="0"/>
            <wp:docPr id="78" name="Picture 78" descr="The RELA + NIVO and NIVO monotherapy OS curves appear to separate  at 1.5 months. The separation appears to increase at around 12 months and to be maintained at 36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The RELA + NIVO and NIVO monotherapy OS curves appear to separate  at 1.5 months. The separation appears to increase at around 12 months and to be maintained at 36 months."/>
                    <pic:cNvPicPr/>
                  </pic:nvPicPr>
                  <pic:blipFill>
                    <a:blip r:embed="rId8"/>
                    <a:stretch>
                      <a:fillRect/>
                    </a:stretch>
                  </pic:blipFill>
                  <pic:spPr>
                    <a:xfrm>
                      <a:off x="0" y="0"/>
                      <a:ext cx="4846320" cy="3350362"/>
                    </a:xfrm>
                    <a:prstGeom prst="rect">
                      <a:avLst/>
                    </a:prstGeom>
                  </pic:spPr>
                </pic:pic>
              </a:graphicData>
            </a:graphic>
          </wp:inline>
        </w:drawing>
      </w:r>
    </w:p>
    <w:p w14:paraId="63C00838" w14:textId="77777777" w:rsidR="00D24261" w:rsidRDefault="00D24261" w:rsidP="00D24261">
      <w:pPr>
        <w:contextualSpacing/>
        <w:rPr>
          <w:rFonts w:ascii="Arial Narrow" w:hAnsi="Arial Narrow"/>
          <w:snapToGrid w:val="0"/>
          <w:sz w:val="18"/>
        </w:rPr>
      </w:pPr>
      <w:r w:rsidRPr="00F815BD">
        <w:rPr>
          <w:rFonts w:ascii="Arial Narrow" w:hAnsi="Arial Narrow"/>
          <w:snapToGrid w:val="0"/>
          <w:sz w:val="18"/>
        </w:rPr>
        <w:t xml:space="preserve">Source: </w:t>
      </w:r>
      <w:r>
        <w:rPr>
          <w:rFonts w:ascii="Arial Narrow" w:hAnsi="Arial Narrow"/>
          <w:snapToGrid w:val="0"/>
          <w:sz w:val="18"/>
        </w:rPr>
        <w:t>Figure 14, p90</w:t>
      </w:r>
      <w:r w:rsidRPr="00F815BD">
        <w:rPr>
          <w:rFonts w:ascii="Arial Narrow" w:hAnsi="Arial Narrow"/>
          <w:snapToGrid w:val="0"/>
          <w:sz w:val="18"/>
        </w:rPr>
        <w:t xml:space="preserve"> of the submission. </w:t>
      </w:r>
    </w:p>
    <w:p w14:paraId="59083099" w14:textId="77777777" w:rsidR="00D24261" w:rsidRPr="00481546" w:rsidRDefault="00D24261" w:rsidP="00D24261">
      <w:pPr>
        <w:contextualSpacing/>
        <w:rPr>
          <w:rStyle w:val="CommentReference"/>
          <w:b w:val="0"/>
          <w:snapToGrid w:val="0"/>
          <w:sz w:val="18"/>
          <w:szCs w:val="24"/>
        </w:rPr>
      </w:pPr>
    </w:p>
    <w:p w14:paraId="09B7B995" w14:textId="0A2BECFF" w:rsidR="00D24261" w:rsidRDefault="00D24261" w:rsidP="00D24261">
      <w:pPr>
        <w:pStyle w:val="TableFigureHeading"/>
      </w:pPr>
      <w:bookmarkStart w:id="37" w:name="_Ref100790240"/>
      <w:r>
        <w:lastRenderedPageBreak/>
        <w:t xml:space="preserve">Figure </w:t>
      </w:r>
      <w:fldSimple w:instr=" SEQ Figure \* ARABIC ">
        <w:r w:rsidR="00633460">
          <w:rPr>
            <w:noProof/>
          </w:rPr>
          <w:t>3</w:t>
        </w:r>
      </w:fldSimple>
      <w:bookmarkEnd w:id="37"/>
      <w:r>
        <w:t xml:space="preserve">: </w:t>
      </w:r>
      <w:r w:rsidRPr="00481546">
        <w:t xml:space="preserve">KM analysis of OS in the CA209067 trial (Data cut-off: </w:t>
      </w:r>
      <w:r>
        <w:t>October 2020</w:t>
      </w:r>
      <w:r w:rsidRPr="00481546">
        <w:t>)</w:t>
      </w:r>
    </w:p>
    <w:p w14:paraId="68573EB3" w14:textId="77777777" w:rsidR="00D24261" w:rsidRDefault="00D24261" w:rsidP="00D24261">
      <w:pPr>
        <w:pStyle w:val="3-BodyText"/>
        <w:spacing w:after="0"/>
        <w:rPr>
          <w:snapToGrid/>
          <w:lang w:val="en-US"/>
        </w:rPr>
      </w:pPr>
      <w:r w:rsidRPr="00E51D4A">
        <w:rPr>
          <w:noProof/>
        </w:rPr>
        <w:drawing>
          <wp:inline distT="0" distB="0" distL="0" distR="0" wp14:anchorId="7B90389B" wp14:editId="2D1860BE">
            <wp:extent cx="4923154" cy="2959100"/>
            <wp:effectExtent l="0" t="0" r="0" b="0"/>
            <wp:docPr id="79" name="Picture 79" descr="The IPI monotherapy OS curve separates from the NIVO+IPI and  NIVO monotherapy curves at approximately 6 months. The NIVO + IPI and NIVO arms separate at 15 months and the separation for all 3 curves appears to be maintained at 60 months and 7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he IPI monotherapy OS curve separates from the NIVO+IPI and  NIVO monotherapy curves at approximately 6 months. The NIVO + IPI and NIVO arms separate at 15 months and the separation for all 3 curves appears to be maintained at 60 months and 72 months."/>
                    <pic:cNvPicPr/>
                  </pic:nvPicPr>
                  <pic:blipFill>
                    <a:blip r:embed="rId9"/>
                    <a:stretch>
                      <a:fillRect/>
                    </a:stretch>
                  </pic:blipFill>
                  <pic:spPr>
                    <a:xfrm>
                      <a:off x="0" y="0"/>
                      <a:ext cx="4923154" cy="2959100"/>
                    </a:xfrm>
                    <a:prstGeom prst="rect">
                      <a:avLst/>
                    </a:prstGeom>
                  </pic:spPr>
                </pic:pic>
              </a:graphicData>
            </a:graphic>
          </wp:inline>
        </w:drawing>
      </w:r>
    </w:p>
    <w:p w14:paraId="760D545B" w14:textId="77777777" w:rsidR="00D24261" w:rsidRDefault="00D24261" w:rsidP="00D24261">
      <w:pPr>
        <w:contextualSpacing/>
        <w:rPr>
          <w:rFonts w:ascii="Arial Narrow" w:hAnsi="Arial Narrow"/>
          <w:snapToGrid w:val="0"/>
          <w:sz w:val="18"/>
        </w:rPr>
      </w:pPr>
      <w:r w:rsidRPr="00F815BD">
        <w:rPr>
          <w:rFonts w:ascii="Arial Narrow" w:hAnsi="Arial Narrow"/>
          <w:snapToGrid w:val="0"/>
          <w:sz w:val="18"/>
        </w:rPr>
        <w:t xml:space="preserve">Source: </w:t>
      </w:r>
      <w:r>
        <w:rPr>
          <w:rFonts w:ascii="Arial Narrow" w:hAnsi="Arial Narrow"/>
          <w:snapToGrid w:val="0"/>
          <w:sz w:val="18"/>
        </w:rPr>
        <w:t>Figure 25, p101</w:t>
      </w:r>
      <w:r w:rsidRPr="00F815BD">
        <w:rPr>
          <w:rFonts w:ascii="Arial Narrow" w:hAnsi="Arial Narrow"/>
          <w:snapToGrid w:val="0"/>
          <w:sz w:val="18"/>
        </w:rPr>
        <w:t xml:space="preserve"> of the submission. </w:t>
      </w:r>
    </w:p>
    <w:p w14:paraId="786A2682" w14:textId="77777777" w:rsidR="00D24261" w:rsidRPr="00EC52FF" w:rsidRDefault="00D24261" w:rsidP="00D24261">
      <w:pPr>
        <w:contextualSpacing/>
        <w:rPr>
          <w:rStyle w:val="CommentReference"/>
          <w:b w:val="0"/>
          <w:snapToGrid w:val="0"/>
          <w:sz w:val="18"/>
          <w:szCs w:val="24"/>
        </w:rPr>
      </w:pPr>
    </w:p>
    <w:p w14:paraId="1B544862" w14:textId="592E960E" w:rsidR="00D24261" w:rsidRPr="00D41F8D" w:rsidRDefault="00D24261" w:rsidP="00D24261">
      <w:pPr>
        <w:pStyle w:val="3-BodyText"/>
        <w:numPr>
          <w:ilvl w:val="1"/>
          <w:numId w:val="1"/>
        </w:numPr>
        <w:rPr>
          <w:rStyle w:val="CommentReference"/>
          <w:rFonts w:asciiTheme="minorHAnsi" w:hAnsiTheme="minorHAnsi"/>
          <w:b w:val="0"/>
          <w:i/>
          <w:iCs/>
          <w:snapToGrid/>
          <w:sz w:val="24"/>
          <w:szCs w:val="24"/>
          <w:lang w:val="en-US"/>
        </w:rPr>
      </w:pPr>
      <w:r>
        <w:rPr>
          <w:rStyle w:val="CommentReference"/>
          <w:rFonts w:asciiTheme="minorHAnsi" w:hAnsiTheme="minorHAnsi"/>
          <w:b w:val="0"/>
          <w:snapToGrid/>
          <w:sz w:val="24"/>
          <w:szCs w:val="24"/>
          <w:lang w:val="en-US"/>
        </w:rPr>
        <w:t>At 6.5 years</w:t>
      </w:r>
      <w:r w:rsidR="00E871F3">
        <w:rPr>
          <w:rStyle w:val="CommentReference"/>
          <w:rFonts w:asciiTheme="minorHAnsi" w:hAnsiTheme="minorHAnsi"/>
          <w:b w:val="0"/>
          <w:snapToGrid/>
          <w:sz w:val="24"/>
          <w:szCs w:val="24"/>
          <w:lang w:val="en-US"/>
        </w:rPr>
        <w:t xml:space="preserve"> (78 months)</w:t>
      </w:r>
      <w:r>
        <w:rPr>
          <w:rStyle w:val="CommentReference"/>
          <w:rFonts w:asciiTheme="minorHAnsi" w:hAnsiTheme="minorHAnsi"/>
          <w:b w:val="0"/>
          <w:snapToGrid/>
          <w:sz w:val="24"/>
          <w:szCs w:val="24"/>
          <w:lang w:val="en-US"/>
        </w:rPr>
        <w:t>, t</w:t>
      </w:r>
      <w:r w:rsidRPr="00D41F8D">
        <w:rPr>
          <w:rStyle w:val="CommentReference"/>
          <w:rFonts w:asciiTheme="minorHAnsi" w:hAnsiTheme="minorHAnsi"/>
          <w:b w:val="0"/>
          <w:snapToGrid/>
          <w:sz w:val="24"/>
          <w:szCs w:val="24"/>
          <w:lang w:val="en-US"/>
        </w:rPr>
        <w:t xml:space="preserve">he OS rate was 49% </w:t>
      </w:r>
      <w:r w:rsidR="007A75DF">
        <w:rPr>
          <w:rStyle w:val="CommentReference"/>
          <w:rFonts w:asciiTheme="minorHAnsi" w:hAnsiTheme="minorHAnsi"/>
          <w:b w:val="0"/>
          <w:snapToGrid/>
          <w:sz w:val="24"/>
          <w:szCs w:val="24"/>
          <w:lang w:val="en-US"/>
        </w:rPr>
        <w:t xml:space="preserve">in the </w:t>
      </w:r>
      <w:r w:rsidRPr="00D41F8D">
        <w:rPr>
          <w:rStyle w:val="CommentReference"/>
          <w:rFonts w:asciiTheme="minorHAnsi" w:hAnsiTheme="minorHAnsi"/>
          <w:b w:val="0"/>
          <w:snapToGrid/>
          <w:sz w:val="24"/>
          <w:szCs w:val="24"/>
          <w:lang w:val="en-US"/>
        </w:rPr>
        <w:t xml:space="preserve">NIVO+IPI </w:t>
      </w:r>
      <w:r w:rsidR="007A75DF">
        <w:rPr>
          <w:rStyle w:val="CommentReference"/>
          <w:rFonts w:asciiTheme="minorHAnsi" w:hAnsiTheme="minorHAnsi"/>
          <w:b w:val="0"/>
          <w:snapToGrid/>
          <w:sz w:val="24"/>
          <w:szCs w:val="24"/>
          <w:lang w:val="en-US"/>
        </w:rPr>
        <w:t xml:space="preserve">arm </w:t>
      </w:r>
      <w:r w:rsidRPr="00D41F8D">
        <w:rPr>
          <w:rStyle w:val="CommentReference"/>
          <w:rFonts w:asciiTheme="minorHAnsi" w:hAnsiTheme="minorHAnsi"/>
          <w:b w:val="0"/>
          <w:snapToGrid/>
          <w:sz w:val="24"/>
          <w:szCs w:val="24"/>
          <w:lang w:val="en-US"/>
        </w:rPr>
        <w:t xml:space="preserve">and 42% </w:t>
      </w:r>
      <w:r w:rsidR="007A75DF">
        <w:rPr>
          <w:rStyle w:val="CommentReference"/>
          <w:rFonts w:asciiTheme="minorHAnsi" w:hAnsiTheme="minorHAnsi"/>
          <w:b w:val="0"/>
          <w:snapToGrid/>
          <w:sz w:val="24"/>
          <w:szCs w:val="24"/>
          <w:lang w:val="en-US"/>
        </w:rPr>
        <w:t>in the</w:t>
      </w:r>
      <w:r w:rsidR="007A75DF" w:rsidRPr="00D41F8D">
        <w:rPr>
          <w:rStyle w:val="CommentReference"/>
          <w:rFonts w:asciiTheme="minorHAnsi" w:hAnsiTheme="minorHAnsi"/>
          <w:b w:val="0"/>
          <w:snapToGrid/>
          <w:sz w:val="24"/>
          <w:szCs w:val="24"/>
          <w:lang w:val="en-US"/>
        </w:rPr>
        <w:t xml:space="preserve"> </w:t>
      </w:r>
      <w:r w:rsidRPr="00D41F8D">
        <w:rPr>
          <w:rStyle w:val="CommentReference"/>
          <w:rFonts w:asciiTheme="minorHAnsi" w:hAnsiTheme="minorHAnsi"/>
          <w:b w:val="0"/>
          <w:snapToGrid/>
          <w:sz w:val="24"/>
          <w:szCs w:val="24"/>
          <w:lang w:val="en-US"/>
        </w:rPr>
        <w:t>nivolumab monotherapy</w:t>
      </w:r>
      <w:r w:rsidR="007A75DF">
        <w:rPr>
          <w:rStyle w:val="CommentReference"/>
          <w:rFonts w:asciiTheme="minorHAnsi" w:hAnsiTheme="minorHAnsi"/>
          <w:b w:val="0"/>
          <w:snapToGrid/>
          <w:sz w:val="24"/>
          <w:szCs w:val="24"/>
          <w:lang w:val="en-US"/>
        </w:rPr>
        <w:t xml:space="preserve"> arm</w:t>
      </w:r>
      <w:r>
        <w:rPr>
          <w:rStyle w:val="CommentReference"/>
          <w:rFonts w:asciiTheme="minorHAnsi" w:hAnsiTheme="minorHAnsi"/>
          <w:b w:val="0"/>
          <w:snapToGrid/>
          <w:sz w:val="24"/>
          <w:szCs w:val="24"/>
          <w:lang w:val="en-US"/>
        </w:rPr>
        <w:t xml:space="preserve">. </w:t>
      </w:r>
      <w:r w:rsidRPr="00AF1DAD">
        <w:rPr>
          <w:rStyle w:val="CommentReference"/>
          <w:rFonts w:asciiTheme="minorHAnsi" w:hAnsiTheme="minorHAnsi"/>
          <w:b w:val="0"/>
          <w:snapToGrid/>
          <w:sz w:val="24"/>
          <w:szCs w:val="24"/>
          <w:lang w:val="en-US"/>
        </w:rPr>
        <w:t xml:space="preserve">The results from the extended follow-up of </w:t>
      </w:r>
      <w:r w:rsidR="0076760C" w:rsidRPr="00AF1DAD">
        <w:rPr>
          <w:rStyle w:val="CommentReference"/>
          <w:rFonts w:asciiTheme="minorHAnsi" w:hAnsiTheme="minorHAnsi"/>
          <w:b w:val="0"/>
          <w:snapToGrid/>
          <w:sz w:val="24"/>
          <w:szCs w:val="24"/>
          <w:lang w:val="en-US"/>
        </w:rPr>
        <w:t xml:space="preserve">the </w:t>
      </w:r>
      <w:r w:rsidRPr="00AF1DAD">
        <w:rPr>
          <w:rStyle w:val="CommentReference"/>
          <w:rFonts w:asciiTheme="minorHAnsi" w:hAnsiTheme="minorHAnsi"/>
          <w:b w:val="0"/>
          <w:snapToGrid/>
          <w:sz w:val="24"/>
          <w:szCs w:val="24"/>
          <w:lang w:val="en-US"/>
        </w:rPr>
        <w:t xml:space="preserve">CA209067 </w:t>
      </w:r>
      <w:r w:rsidR="0076760C" w:rsidRPr="00AF1DAD">
        <w:rPr>
          <w:rStyle w:val="CommentReference"/>
          <w:rFonts w:asciiTheme="minorHAnsi" w:hAnsiTheme="minorHAnsi"/>
          <w:b w:val="0"/>
          <w:snapToGrid/>
          <w:sz w:val="24"/>
          <w:szCs w:val="24"/>
          <w:lang w:val="en-US"/>
        </w:rPr>
        <w:t xml:space="preserve">trial </w:t>
      </w:r>
      <w:r w:rsidRPr="00AF1DAD">
        <w:rPr>
          <w:rStyle w:val="CommentReference"/>
          <w:rFonts w:asciiTheme="minorHAnsi" w:hAnsiTheme="minorHAnsi"/>
          <w:b w:val="0"/>
          <w:snapToGrid/>
          <w:sz w:val="24"/>
          <w:szCs w:val="24"/>
          <w:lang w:val="en-US"/>
        </w:rPr>
        <w:t>demonstrate plateaued OS curves.</w:t>
      </w:r>
      <w:r w:rsidRPr="00D41F8D">
        <w:rPr>
          <w:rStyle w:val="CommentReference"/>
          <w:rFonts w:asciiTheme="minorHAnsi" w:hAnsiTheme="minorHAnsi"/>
          <w:b w:val="0"/>
          <w:i/>
          <w:iCs/>
          <w:snapToGrid/>
          <w:sz w:val="24"/>
          <w:szCs w:val="24"/>
          <w:lang w:val="en-US"/>
        </w:rPr>
        <w:t xml:space="preserve"> </w:t>
      </w:r>
    </w:p>
    <w:p w14:paraId="0B699486" w14:textId="77777777" w:rsidR="00D24261" w:rsidRPr="001F6E92" w:rsidRDefault="00D24261" w:rsidP="00D24261">
      <w:pPr>
        <w:pStyle w:val="3-BodyText"/>
        <w:rPr>
          <w:snapToGrid/>
          <w:u w:val="single"/>
          <w:lang w:val="en-US"/>
        </w:rPr>
      </w:pPr>
      <w:r w:rsidRPr="001F6E92">
        <w:rPr>
          <w:snapToGrid/>
          <w:u w:val="single"/>
          <w:lang w:val="en-US"/>
        </w:rPr>
        <w:t>Progression-Free Survival</w:t>
      </w:r>
    </w:p>
    <w:p w14:paraId="6C737FA4" w14:textId="024728EF" w:rsidR="00D24261" w:rsidRPr="004B327A" w:rsidRDefault="00D24261" w:rsidP="00D24261">
      <w:pPr>
        <w:pStyle w:val="3-BodyText"/>
        <w:numPr>
          <w:ilvl w:val="1"/>
          <w:numId w:val="1"/>
        </w:numPr>
        <w:rPr>
          <w:snapToGrid/>
          <w:lang w:val="en-US"/>
        </w:rPr>
      </w:pPr>
      <w:r w:rsidRPr="007B77D5">
        <w:rPr>
          <w:snapToGrid/>
          <w:lang w:val="en-US"/>
        </w:rPr>
        <w:t xml:space="preserve">A summary of the </w:t>
      </w:r>
      <w:r>
        <w:rPr>
          <w:snapToGrid/>
          <w:lang w:val="en-US"/>
        </w:rPr>
        <w:t>PFS</w:t>
      </w:r>
      <w:r w:rsidRPr="007B77D5">
        <w:rPr>
          <w:snapToGrid/>
          <w:lang w:val="en-US"/>
        </w:rPr>
        <w:t xml:space="preserve"> results across </w:t>
      </w:r>
      <w:r w:rsidR="00630CED">
        <w:rPr>
          <w:snapToGrid/>
          <w:lang w:val="en-US"/>
        </w:rPr>
        <w:t xml:space="preserve">the </w:t>
      </w:r>
      <w:r>
        <w:rPr>
          <w:snapToGrid/>
          <w:lang w:val="en-US"/>
        </w:rPr>
        <w:t>CA224047</w:t>
      </w:r>
      <w:r w:rsidRPr="007B77D5">
        <w:rPr>
          <w:snapToGrid/>
          <w:lang w:val="en-US"/>
        </w:rPr>
        <w:t xml:space="preserve"> and </w:t>
      </w:r>
      <w:r>
        <w:rPr>
          <w:snapToGrid/>
          <w:lang w:val="en-US"/>
        </w:rPr>
        <w:t>CA209067</w:t>
      </w:r>
      <w:r w:rsidRPr="007B77D5">
        <w:rPr>
          <w:snapToGrid/>
          <w:lang w:val="en-US"/>
        </w:rPr>
        <w:t xml:space="preserve"> </w:t>
      </w:r>
      <w:r w:rsidR="00630CED">
        <w:rPr>
          <w:snapToGrid/>
          <w:lang w:val="en-US"/>
        </w:rPr>
        <w:t xml:space="preserve">trials </w:t>
      </w:r>
      <w:r w:rsidRPr="007B77D5">
        <w:rPr>
          <w:snapToGrid/>
          <w:lang w:val="en-US"/>
        </w:rPr>
        <w:t>is provided in</w:t>
      </w:r>
      <w:r>
        <w:rPr>
          <w:snapToGrid/>
          <w:lang w:val="en-US"/>
        </w:rPr>
        <w:t xml:space="preserve"> </w:t>
      </w:r>
      <w:r w:rsidRPr="004B327A">
        <w:rPr>
          <w:snapToGrid/>
          <w:lang w:val="en-US"/>
        </w:rPr>
        <w:fldChar w:fldCharType="begin"/>
      </w:r>
      <w:r w:rsidRPr="004B327A">
        <w:rPr>
          <w:snapToGrid/>
          <w:lang w:val="en-US"/>
        </w:rPr>
        <w:instrText xml:space="preserve"> REF _Ref101102039 \h  \* MERGEFORMAT </w:instrText>
      </w:r>
      <w:r w:rsidRPr="004B327A">
        <w:rPr>
          <w:snapToGrid/>
          <w:lang w:val="en-US"/>
        </w:rPr>
      </w:r>
      <w:r w:rsidRPr="004B327A">
        <w:rPr>
          <w:snapToGrid/>
          <w:lang w:val="en-US"/>
        </w:rPr>
        <w:fldChar w:fldCharType="separate"/>
      </w:r>
      <w:r w:rsidR="00633460" w:rsidRPr="00633460">
        <w:rPr>
          <w:snapToGrid/>
          <w:lang w:val="en-US"/>
        </w:rPr>
        <w:t>Table 5</w:t>
      </w:r>
      <w:r w:rsidRPr="004B327A">
        <w:rPr>
          <w:snapToGrid/>
          <w:lang w:val="en-US"/>
        </w:rPr>
        <w:fldChar w:fldCharType="end"/>
      </w:r>
      <w:r w:rsidRPr="004B327A">
        <w:rPr>
          <w:snapToGrid/>
          <w:lang w:val="en-US"/>
        </w:rPr>
        <w:t>.</w:t>
      </w:r>
    </w:p>
    <w:p w14:paraId="25F4A1CD" w14:textId="7FE356AC" w:rsidR="00D24261" w:rsidRPr="001F6E92" w:rsidRDefault="00D24261" w:rsidP="00D24261">
      <w:pPr>
        <w:pStyle w:val="Caption"/>
        <w:keepNext/>
        <w:spacing w:after="0"/>
        <w:rPr>
          <w:rStyle w:val="CommentReference"/>
          <w:b/>
          <w:bCs w:val="0"/>
          <w:color w:val="000000" w:themeColor="text1"/>
        </w:rPr>
      </w:pPr>
      <w:bookmarkStart w:id="38" w:name="_Ref101102039"/>
      <w:r w:rsidRPr="001F6E92">
        <w:rPr>
          <w:rStyle w:val="CommentReference"/>
          <w:b/>
          <w:bCs w:val="0"/>
          <w:color w:val="000000" w:themeColor="text1"/>
        </w:rPr>
        <w:t xml:space="preserve">Table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5</w:t>
      </w:r>
      <w:r>
        <w:rPr>
          <w:rStyle w:val="CommentReference"/>
          <w:b/>
          <w:bCs w:val="0"/>
          <w:color w:val="000000" w:themeColor="text1"/>
        </w:rPr>
        <w:fldChar w:fldCharType="end"/>
      </w:r>
      <w:bookmarkEnd w:id="38"/>
      <w:r w:rsidRPr="001F6E92">
        <w:rPr>
          <w:rStyle w:val="CommentReference"/>
          <w:b/>
          <w:bCs w:val="0"/>
          <w:color w:val="000000" w:themeColor="text1"/>
        </w:rPr>
        <w:t>: Results of PFS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of PFS across the trials"/>
      </w:tblPr>
      <w:tblGrid>
        <w:gridCol w:w="2405"/>
        <w:gridCol w:w="1843"/>
        <w:gridCol w:w="1701"/>
        <w:gridCol w:w="1701"/>
        <w:gridCol w:w="1367"/>
      </w:tblGrid>
      <w:tr w:rsidR="00D24261" w:rsidRPr="00F815BD" w14:paraId="231DE354" w14:textId="77777777" w:rsidTr="002D7025">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F00C9E" w14:textId="77777777" w:rsidR="00D24261" w:rsidRPr="00F815BD" w:rsidRDefault="00D24261" w:rsidP="00673659">
            <w:pPr>
              <w:keepNext/>
              <w:jc w:val="left"/>
              <w:rPr>
                <w:rFonts w:ascii="Arial Narrow" w:hAnsi="Arial Narrow" w:cs="Times New Roman"/>
                <w:b/>
                <w:sz w:val="20"/>
                <w:lang w:val="en-US"/>
              </w:rPr>
            </w:pPr>
            <w:bookmarkStart w:id="39" w:name="_Hlk103182483"/>
            <w:r w:rsidRPr="00F815BD">
              <w:rPr>
                <w:rFonts w:ascii="Arial Narrow" w:hAnsi="Arial Narrow" w:cs="Times New Roman"/>
                <w:b/>
                <w:sz w:val="20"/>
                <w:lang w:val="en-US"/>
              </w:rPr>
              <w:t>CA224047</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20C663" w14:textId="3B7482C1" w:rsidR="00D24261" w:rsidRPr="00F815BD" w:rsidRDefault="00D24261" w:rsidP="00E730EF">
            <w:pPr>
              <w:keepNext/>
              <w:jc w:val="center"/>
              <w:rPr>
                <w:rFonts w:ascii="Arial Narrow" w:hAnsi="Arial Narrow" w:cs="Times New Roman"/>
                <w:b/>
                <w:sz w:val="20"/>
                <w:lang w:val="en-US"/>
              </w:rPr>
            </w:pPr>
            <w:r w:rsidRPr="00F815BD">
              <w:rPr>
                <w:rFonts w:ascii="Arial Narrow" w:hAnsi="Arial Narrow" w:cs="Times New Roman"/>
                <w:b/>
                <w:sz w:val="20"/>
                <w:lang w:val="en-US"/>
              </w:rPr>
              <w:t>RELA+NIVO</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67BEA0" w14:textId="7FC8F9BB" w:rsidR="00D24261" w:rsidRPr="00F815BD"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Nivolumab</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08C0F0" w14:textId="77777777" w:rsidR="00D24261" w:rsidRPr="00F815BD" w:rsidRDefault="00D24261" w:rsidP="00E730EF">
            <w:pPr>
              <w:keepNext/>
              <w:jc w:val="center"/>
              <w:rPr>
                <w:rFonts w:ascii="Arial Narrow" w:hAnsi="Arial Narrow" w:cs="Times New Roman"/>
                <w:b/>
                <w:sz w:val="20"/>
                <w:lang w:val="en-US"/>
              </w:rPr>
            </w:pPr>
            <w:r w:rsidRPr="00F815BD">
              <w:rPr>
                <w:rFonts w:ascii="Arial Narrow" w:hAnsi="Arial Narrow" w:cs="Times New Roman"/>
                <w:b/>
                <w:sz w:val="20"/>
                <w:lang w:val="en-US"/>
              </w:rPr>
              <w:t>Absolute difference</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DE959A" w14:textId="237FEBDB" w:rsidR="00D24261" w:rsidRPr="00F815BD" w:rsidRDefault="00D24261" w:rsidP="00E730EF">
            <w:pPr>
              <w:keepNext/>
              <w:jc w:val="center"/>
              <w:rPr>
                <w:rFonts w:ascii="Arial Narrow" w:hAnsi="Arial Narrow" w:cs="Times New Roman"/>
                <w:b/>
                <w:sz w:val="20"/>
                <w:lang w:val="en-US"/>
              </w:rPr>
            </w:pPr>
            <w:r w:rsidRPr="00F815BD">
              <w:rPr>
                <w:rFonts w:ascii="Arial Narrow" w:hAnsi="Arial Narrow" w:cs="Times New Roman"/>
                <w:b/>
                <w:sz w:val="20"/>
                <w:lang w:val="en-US"/>
              </w:rPr>
              <w:t>HR</w:t>
            </w:r>
            <w:r w:rsidR="00B623CF">
              <w:rPr>
                <w:rFonts w:ascii="Arial Narrow" w:hAnsi="Arial Narrow" w:cs="Times New Roman"/>
                <w:b/>
                <w:sz w:val="20"/>
                <w:lang w:val="en-US"/>
              </w:rPr>
              <w:t xml:space="preserve"> (95% CI)</w:t>
            </w:r>
            <w:r w:rsidRPr="00F815BD">
              <w:rPr>
                <w:rFonts w:ascii="Arial Narrow" w:hAnsi="Arial Narrow" w:cs="Times New Roman"/>
                <w:b/>
                <w:sz w:val="20"/>
                <w:lang w:val="en-US"/>
              </w:rPr>
              <w:t xml:space="preserve"> </w:t>
            </w:r>
          </w:p>
        </w:tc>
      </w:tr>
      <w:tr w:rsidR="007A75DF" w:rsidRPr="00F815BD" w14:paraId="7847F4DF" w14:textId="77777777" w:rsidTr="002D7025">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9C67D3" w14:textId="074D6B64" w:rsidR="007A75DF" w:rsidRPr="00F815BD" w:rsidRDefault="007A75DF" w:rsidP="00673659">
            <w:pPr>
              <w:keepNext/>
              <w:jc w:val="left"/>
              <w:rPr>
                <w:rFonts w:ascii="Arial Narrow" w:hAnsi="Arial Narrow" w:cs="Times New Roman"/>
                <w:b/>
                <w:sz w:val="20"/>
                <w:lang w:val="en-US"/>
              </w:rPr>
            </w:pPr>
            <w:r>
              <w:rPr>
                <w:rFonts w:ascii="Arial Narrow" w:hAnsi="Arial Narrow" w:cs="Times New Roman"/>
                <w:b/>
                <w:sz w:val="20"/>
                <w:lang w:val="en-US"/>
              </w:rPr>
              <w:t>Data cut-off = March 2021 (median follow up = 13.21 months)</w:t>
            </w:r>
          </w:p>
        </w:tc>
      </w:tr>
      <w:tr w:rsidR="00D24261" w:rsidRPr="00F815BD" w14:paraId="052F7071" w14:textId="77777777" w:rsidTr="002D7025">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6D1B3" w14:textId="77777777" w:rsidR="00D24261" w:rsidRPr="00F815BD" w:rsidRDefault="00D24261" w:rsidP="00673659">
            <w:pPr>
              <w:keepNext/>
              <w:jc w:val="left"/>
              <w:rPr>
                <w:rFonts w:ascii="Arial Narrow" w:hAnsi="Arial Narrow" w:cs="Times New Roman"/>
                <w:bCs/>
                <w:sz w:val="20"/>
              </w:rPr>
            </w:pPr>
            <w:r w:rsidRPr="00F815BD">
              <w:rPr>
                <w:rFonts w:ascii="Arial Narrow" w:hAnsi="Arial Narrow" w:cs="Times New Roman"/>
                <w:bCs/>
                <w:sz w:val="20"/>
              </w:rPr>
              <w:t>PFS event, n/N (%)</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tcPr>
          <w:p w14:paraId="36C7A51B"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180/355 (50.7%)</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tcPr>
          <w:p w14:paraId="2415D7EC"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211/359 (58.8%)</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094DC6"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9AB5B" w14:textId="77777777" w:rsidR="00D24261" w:rsidRPr="00F815BD" w:rsidRDefault="00D24261" w:rsidP="00E730EF">
            <w:pPr>
              <w:keepNext/>
              <w:jc w:val="center"/>
              <w:rPr>
                <w:rFonts w:ascii="Arial Narrow" w:hAnsi="Arial Narrow" w:cs="Times New Roman"/>
                <w:b/>
                <w:sz w:val="20"/>
              </w:rPr>
            </w:pPr>
            <w:r w:rsidRPr="00F815BD">
              <w:rPr>
                <w:rFonts w:ascii="Arial Narrow" w:hAnsi="Arial Narrow" w:cs="Times New Roman"/>
                <w:bCs/>
                <w:sz w:val="20"/>
              </w:rPr>
              <w:t>-</w:t>
            </w:r>
          </w:p>
        </w:tc>
      </w:tr>
      <w:tr w:rsidR="00D24261" w:rsidRPr="00F815BD" w14:paraId="78DE3AA6" w14:textId="77777777" w:rsidTr="002D7025">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F9633E" w14:textId="42052578" w:rsidR="00D24261" w:rsidRPr="00F815BD" w:rsidRDefault="00D24261" w:rsidP="00673659">
            <w:pPr>
              <w:keepNext/>
              <w:jc w:val="left"/>
              <w:rPr>
                <w:rFonts w:ascii="Arial Narrow" w:hAnsi="Arial Narrow" w:cs="Times New Roman"/>
                <w:bCs/>
                <w:sz w:val="20"/>
              </w:rPr>
            </w:pPr>
            <w:r w:rsidRPr="00F815BD">
              <w:rPr>
                <w:rFonts w:ascii="Arial Narrow" w:hAnsi="Arial Narrow" w:cs="Times New Roman"/>
                <w:bCs/>
                <w:sz w:val="20"/>
              </w:rPr>
              <w:t>Median PFS</w:t>
            </w:r>
            <w:r w:rsidR="00673659">
              <w:rPr>
                <w:rFonts w:ascii="Arial Narrow" w:hAnsi="Arial Narrow" w:cs="Times New Roman"/>
                <w:bCs/>
                <w:sz w:val="20"/>
              </w:rPr>
              <w:t xml:space="preserve">, </w:t>
            </w:r>
            <w:r w:rsidRPr="00F815BD">
              <w:rPr>
                <w:rFonts w:ascii="Arial Narrow" w:hAnsi="Arial Narrow" w:cs="Times New Roman"/>
                <w:bCs/>
                <w:sz w:val="20"/>
              </w:rPr>
              <w:t>months (95% CI)</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0E560"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10.12 (6.37, 15.74)</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4C4FA5"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4.63 (3.38, 5.62)</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8730C"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5.49 months</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825406" w14:textId="77777777" w:rsidR="00D24261" w:rsidRPr="00F815BD" w:rsidRDefault="00D24261" w:rsidP="00E730EF">
            <w:pPr>
              <w:keepNext/>
              <w:jc w:val="center"/>
              <w:rPr>
                <w:rFonts w:ascii="Arial Narrow" w:hAnsi="Arial Narrow" w:cs="Times New Roman"/>
                <w:b/>
                <w:sz w:val="20"/>
              </w:rPr>
            </w:pPr>
            <w:r w:rsidRPr="00F815BD">
              <w:rPr>
                <w:rFonts w:ascii="Arial Narrow" w:hAnsi="Arial Narrow" w:cs="Times New Roman"/>
                <w:b/>
                <w:sz w:val="20"/>
              </w:rPr>
              <w:t>0.75 (0.62, 0.92)</w:t>
            </w:r>
          </w:p>
        </w:tc>
      </w:tr>
      <w:tr w:rsidR="007A75DF" w:rsidRPr="00F815BD" w14:paraId="41B3C0B7" w14:textId="77777777" w:rsidTr="002D7025">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B415C4" w14:textId="26658DA1" w:rsidR="007A75DF" w:rsidRPr="00F815BD" w:rsidRDefault="007A75DF" w:rsidP="00673659">
            <w:pPr>
              <w:keepNext/>
              <w:jc w:val="left"/>
              <w:rPr>
                <w:rFonts w:ascii="Arial Narrow" w:hAnsi="Arial Narrow" w:cs="Times New Roman"/>
                <w:b/>
                <w:sz w:val="20"/>
              </w:rPr>
            </w:pPr>
            <w:r>
              <w:rPr>
                <w:rFonts w:ascii="Arial Narrow" w:hAnsi="Arial Narrow" w:cs="Times New Roman"/>
                <w:b/>
                <w:sz w:val="20"/>
                <w:lang w:val="en-US"/>
              </w:rPr>
              <w:t>Data cut-off = October 2021 (median follow up = 19.27 months)</w:t>
            </w:r>
          </w:p>
        </w:tc>
      </w:tr>
      <w:tr w:rsidR="00D24261" w:rsidRPr="00F815BD" w14:paraId="38F90A11" w14:textId="77777777" w:rsidTr="002D7025">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7CF5A8" w14:textId="77777777" w:rsidR="00D24261" w:rsidRPr="00F815BD" w:rsidRDefault="00D24261" w:rsidP="00673659">
            <w:pPr>
              <w:keepNext/>
              <w:jc w:val="left"/>
              <w:rPr>
                <w:rFonts w:ascii="Arial Narrow" w:hAnsi="Arial Narrow" w:cs="Times New Roman"/>
                <w:bCs/>
                <w:sz w:val="20"/>
              </w:rPr>
            </w:pPr>
            <w:r w:rsidRPr="00F815BD">
              <w:rPr>
                <w:rFonts w:ascii="Arial Narrow" w:hAnsi="Arial Narrow" w:cs="Times New Roman"/>
                <w:bCs/>
                <w:sz w:val="20"/>
              </w:rPr>
              <w:t>PFS event, n/N (%)</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tcPr>
          <w:p w14:paraId="54E8F18A"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204/355 (57.5%)</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tcPr>
          <w:p w14:paraId="07872E3A"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233/359 (64.9%)</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052602" w14:textId="77777777" w:rsidR="00D24261" w:rsidRPr="00F815BD" w:rsidRDefault="00D24261" w:rsidP="00E730EF">
            <w:pPr>
              <w:keepNext/>
              <w:jc w:val="center"/>
              <w:rPr>
                <w:rFonts w:ascii="Arial Narrow" w:hAnsi="Arial Narrow" w:cs="Times New Roman"/>
                <w:bCs/>
                <w:sz w:val="20"/>
              </w:rPr>
            </w:pPr>
            <w:r>
              <w:rPr>
                <w:rFonts w:ascii="Arial Narrow" w:hAnsi="Arial Narrow" w:cs="Times New Roman"/>
                <w:bCs/>
                <w:sz w:val="20"/>
              </w:rPr>
              <w:t>-</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900ABF" w14:textId="77777777" w:rsidR="00D24261" w:rsidRPr="00C9728E" w:rsidRDefault="00D24261" w:rsidP="00E730EF">
            <w:pPr>
              <w:keepNext/>
              <w:jc w:val="center"/>
              <w:rPr>
                <w:rFonts w:ascii="Arial Narrow" w:hAnsi="Arial Narrow" w:cs="Times New Roman"/>
                <w:bCs/>
                <w:sz w:val="20"/>
              </w:rPr>
            </w:pPr>
            <w:r w:rsidRPr="00C9728E">
              <w:rPr>
                <w:rFonts w:ascii="Arial Narrow" w:hAnsi="Arial Narrow" w:cs="Times New Roman"/>
                <w:bCs/>
                <w:sz w:val="20"/>
              </w:rPr>
              <w:t>-</w:t>
            </w:r>
          </w:p>
        </w:tc>
      </w:tr>
      <w:tr w:rsidR="00D24261" w:rsidRPr="00F815BD" w14:paraId="65D7ED89" w14:textId="77777777" w:rsidTr="002D7025">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040F5C" w14:textId="3FB7D20E" w:rsidR="00D24261" w:rsidRPr="00F815BD" w:rsidRDefault="00D24261" w:rsidP="00673659">
            <w:pPr>
              <w:keepNext/>
              <w:jc w:val="left"/>
              <w:rPr>
                <w:rFonts w:ascii="Arial Narrow" w:hAnsi="Arial Narrow" w:cs="Times New Roman"/>
                <w:bCs/>
                <w:sz w:val="20"/>
              </w:rPr>
            </w:pPr>
            <w:r w:rsidRPr="00F815BD">
              <w:rPr>
                <w:rFonts w:ascii="Arial Narrow" w:hAnsi="Arial Narrow" w:cs="Times New Roman"/>
                <w:bCs/>
                <w:sz w:val="20"/>
              </w:rPr>
              <w:t>Median PFS</w:t>
            </w:r>
            <w:r w:rsidR="00673659">
              <w:rPr>
                <w:rFonts w:ascii="Arial Narrow" w:hAnsi="Arial Narrow" w:cs="Times New Roman"/>
                <w:bCs/>
                <w:sz w:val="20"/>
              </w:rPr>
              <w:t xml:space="preserve">, </w:t>
            </w:r>
            <w:r w:rsidRPr="00F815BD">
              <w:rPr>
                <w:rFonts w:ascii="Arial Narrow" w:hAnsi="Arial Narrow" w:cs="Times New Roman"/>
                <w:bCs/>
                <w:sz w:val="20"/>
              </w:rPr>
              <w:t>months (95% CI)</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CE0673"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10.22 (6.51, 14.75)</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A554D"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4.63 (3.48, 6.44)</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07378C"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5.59 months</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EAE821" w14:textId="77777777" w:rsidR="00D24261" w:rsidRPr="00F815BD" w:rsidRDefault="00D24261" w:rsidP="00E730EF">
            <w:pPr>
              <w:keepNext/>
              <w:jc w:val="center"/>
              <w:rPr>
                <w:rFonts w:ascii="Arial Narrow" w:hAnsi="Arial Narrow" w:cs="Times New Roman"/>
                <w:b/>
                <w:sz w:val="20"/>
              </w:rPr>
            </w:pPr>
            <w:r w:rsidRPr="00F815BD">
              <w:rPr>
                <w:rFonts w:ascii="Arial Narrow" w:hAnsi="Arial Narrow" w:cs="Times New Roman"/>
                <w:b/>
                <w:sz w:val="20"/>
              </w:rPr>
              <w:t>0.78 (0.64, 0.94)</w:t>
            </w:r>
          </w:p>
        </w:tc>
      </w:tr>
      <w:tr w:rsidR="00D24261" w:rsidRPr="00F815BD" w14:paraId="3CC1A906" w14:textId="77777777" w:rsidTr="002D7025">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C09FC6" w14:textId="2F39AD7D" w:rsidR="00D24261" w:rsidRPr="00F815BD" w:rsidRDefault="00D24261" w:rsidP="00673659">
            <w:pPr>
              <w:keepNext/>
              <w:jc w:val="left"/>
              <w:rPr>
                <w:rFonts w:ascii="Arial Narrow" w:hAnsi="Arial Narrow" w:cs="Times New Roman"/>
                <w:b/>
                <w:sz w:val="20"/>
                <w:lang w:val="en-US"/>
              </w:rPr>
            </w:pPr>
            <w:r w:rsidRPr="00F815BD">
              <w:rPr>
                <w:rFonts w:ascii="Arial Narrow" w:hAnsi="Arial Narrow" w:cs="Times New Roman"/>
                <w:b/>
                <w:sz w:val="20"/>
              </w:rPr>
              <w:t xml:space="preserve">CA209067 </w:t>
            </w:r>
            <w:r w:rsidR="00FC5F5E">
              <w:rPr>
                <w:rFonts w:ascii="Arial Narrow" w:hAnsi="Arial Narrow" w:cs="Times New Roman"/>
                <w:b/>
                <w:sz w:val="20"/>
                <w:vertAlign w:val="superscript"/>
              </w:rPr>
              <w:t>a</w:t>
            </w:r>
          </w:p>
        </w:tc>
        <w:tc>
          <w:tcPr>
            <w:tcW w:w="10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BE4433" w14:textId="09D4529B" w:rsidR="00D24261" w:rsidRPr="00F815BD" w:rsidRDefault="00D24261" w:rsidP="002D7025">
            <w:pPr>
              <w:keepNext/>
              <w:jc w:val="center"/>
              <w:rPr>
                <w:rFonts w:ascii="Arial Narrow" w:hAnsi="Arial Narrow" w:cs="Times New Roman"/>
                <w:b/>
                <w:sz w:val="20"/>
                <w:lang w:val="en-US"/>
              </w:rPr>
            </w:pPr>
            <w:r w:rsidRPr="00F815BD">
              <w:rPr>
                <w:rFonts w:ascii="Arial Narrow" w:hAnsi="Arial Narrow" w:cs="Times New Roman"/>
                <w:b/>
                <w:sz w:val="20"/>
              </w:rPr>
              <w:t>NIVO+IPI</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4B2720" w14:textId="3171BA68" w:rsidR="00D24261" w:rsidRPr="00F815BD" w:rsidRDefault="00D24261" w:rsidP="002D7025">
            <w:pPr>
              <w:keepNext/>
              <w:jc w:val="center"/>
              <w:rPr>
                <w:rFonts w:ascii="Arial Narrow" w:hAnsi="Arial Narrow" w:cs="Times New Roman"/>
                <w:b/>
                <w:sz w:val="20"/>
                <w:lang w:val="en-US"/>
              </w:rPr>
            </w:pPr>
            <w:r>
              <w:rPr>
                <w:rFonts w:ascii="Arial Narrow" w:hAnsi="Arial Narrow" w:cs="Times New Roman"/>
                <w:b/>
                <w:sz w:val="20"/>
              </w:rPr>
              <w:t>Nivolumab</w:t>
            </w:r>
          </w:p>
        </w:tc>
        <w:tc>
          <w:tcPr>
            <w:tcW w:w="94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28E538" w14:textId="77777777" w:rsidR="00D24261" w:rsidRPr="00F815BD" w:rsidRDefault="00D24261" w:rsidP="002D7025">
            <w:pPr>
              <w:keepNext/>
              <w:jc w:val="center"/>
              <w:rPr>
                <w:rFonts w:ascii="Arial Narrow" w:hAnsi="Arial Narrow" w:cs="Times New Roman"/>
                <w:b/>
                <w:sz w:val="20"/>
                <w:lang w:val="en-US"/>
              </w:rPr>
            </w:pPr>
            <w:r w:rsidRPr="00F815BD">
              <w:rPr>
                <w:rFonts w:ascii="Arial Narrow" w:hAnsi="Arial Narrow" w:cs="Times New Roman"/>
                <w:b/>
                <w:sz w:val="20"/>
              </w:rPr>
              <w:t>Absolute</w:t>
            </w:r>
            <w:r w:rsidRPr="00F815BD">
              <w:rPr>
                <w:rFonts w:ascii="Arial Narrow" w:hAnsi="Arial Narrow" w:cs="Times New Roman"/>
                <w:b/>
                <w:i/>
                <w:iCs/>
                <w:sz w:val="20"/>
              </w:rPr>
              <w:t xml:space="preserve"> </w:t>
            </w:r>
            <w:r w:rsidRPr="00F815BD">
              <w:rPr>
                <w:rFonts w:ascii="Arial Narrow" w:hAnsi="Arial Narrow" w:cs="Times New Roman"/>
                <w:b/>
                <w:sz w:val="20"/>
              </w:rPr>
              <w:t>difference</w:t>
            </w:r>
          </w:p>
        </w:tc>
        <w:tc>
          <w:tcPr>
            <w:tcW w:w="7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EE7315" w14:textId="215C8C60" w:rsidR="00D24261" w:rsidRPr="00F815BD" w:rsidRDefault="00D24261" w:rsidP="00E730EF">
            <w:pPr>
              <w:keepNext/>
              <w:jc w:val="center"/>
              <w:rPr>
                <w:rFonts w:ascii="Arial Narrow" w:hAnsi="Arial Narrow" w:cs="Times New Roman"/>
                <w:b/>
                <w:sz w:val="20"/>
                <w:lang w:val="en-US"/>
              </w:rPr>
            </w:pPr>
            <w:r w:rsidRPr="00F815BD">
              <w:rPr>
                <w:rFonts w:ascii="Arial Narrow" w:hAnsi="Arial Narrow" w:cs="Times New Roman"/>
                <w:b/>
                <w:sz w:val="20"/>
              </w:rPr>
              <w:t>HR</w:t>
            </w:r>
            <w:r w:rsidR="00B623CF">
              <w:rPr>
                <w:rFonts w:ascii="Arial Narrow" w:hAnsi="Arial Narrow" w:cs="Times New Roman"/>
                <w:b/>
                <w:sz w:val="20"/>
              </w:rPr>
              <w:t xml:space="preserve"> (95% CI)</w:t>
            </w:r>
          </w:p>
        </w:tc>
      </w:tr>
      <w:tr w:rsidR="007A75DF" w:rsidRPr="00F815BD" w14:paraId="5811948A" w14:textId="77777777" w:rsidTr="002D7025">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74F617" w14:textId="45DDEE1D" w:rsidR="007A75DF" w:rsidRPr="00F815BD" w:rsidRDefault="007A75DF" w:rsidP="00673659">
            <w:pPr>
              <w:keepNext/>
              <w:jc w:val="left"/>
              <w:rPr>
                <w:rFonts w:ascii="Arial Narrow" w:hAnsi="Arial Narrow" w:cs="Times New Roman"/>
                <w:b/>
                <w:sz w:val="20"/>
              </w:rPr>
            </w:pPr>
            <w:r>
              <w:rPr>
                <w:rFonts w:ascii="Arial Narrow" w:hAnsi="Arial Narrow" w:cs="Times New Roman"/>
                <w:b/>
                <w:sz w:val="20"/>
                <w:lang w:val="en-US"/>
              </w:rPr>
              <w:t>Data cut-off = May 2015 (minimum follow up = 9 months)</w:t>
            </w:r>
          </w:p>
        </w:tc>
      </w:tr>
      <w:tr w:rsidR="00D24261" w:rsidRPr="00F815BD" w14:paraId="557DED43" w14:textId="77777777" w:rsidTr="002D7025">
        <w:tc>
          <w:tcPr>
            <w:tcW w:w="13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7E0E17" w14:textId="77777777" w:rsidR="00D24261" w:rsidRPr="00F815BD" w:rsidRDefault="00D24261" w:rsidP="00673659">
            <w:pPr>
              <w:keepNext/>
              <w:jc w:val="left"/>
              <w:rPr>
                <w:rFonts w:ascii="Arial Narrow" w:hAnsi="Arial Narrow" w:cs="Times New Roman"/>
                <w:bCs/>
                <w:sz w:val="20"/>
              </w:rPr>
            </w:pPr>
            <w:r w:rsidRPr="00F815BD">
              <w:rPr>
                <w:rFonts w:ascii="Arial Narrow" w:hAnsi="Arial Narrow" w:cs="Times New Roman"/>
                <w:bCs/>
                <w:sz w:val="20"/>
              </w:rPr>
              <w:t>Patients with event</w:t>
            </w:r>
          </w:p>
        </w:tc>
        <w:tc>
          <w:tcPr>
            <w:tcW w:w="10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F6A10"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151/314 (48.1%)</w:t>
            </w:r>
          </w:p>
        </w:tc>
        <w:tc>
          <w:tcPr>
            <w:tcW w:w="94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4BC43" w14:textId="77777777" w:rsidR="00D24261" w:rsidRPr="00F815BD" w:rsidRDefault="00D24261" w:rsidP="00E730EF">
            <w:pPr>
              <w:autoSpaceDE w:val="0"/>
              <w:autoSpaceDN w:val="0"/>
              <w:adjustRightInd w:val="0"/>
              <w:jc w:val="center"/>
              <w:rPr>
                <w:rFonts w:ascii="Arial Narrow" w:hAnsi="Arial Narrow" w:cs="Times New Roman"/>
                <w:bCs/>
                <w:sz w:val="20"/>
              </w:rPr>
            </w:pPr>
            <w:r w:rsidRPr="00F815BD">
              <w:rPr>
                <w:rFonts w:ascii="Arial Narrow" w:hAnsi="Arial Narrow" w:cs="Times New Roman"/>
                <w:bCs/>
                <w:sz w:val="20"/>
              </w:rPr>
              <w:t>174/316 (55.1%)</w:t>
            </w:r>
          </w:p>
        </w:tc>
        <w:tc>
          <w:tcPr>
            <w:tcW w:w="94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76FEA7" w14:textId="77777777" w:rsidR="00D24261" w:rsidRPr="00F815BD" w:rsidRDefault="00D24261" w:rsidP="00E730EF">
            <w:pPr>
              <w:keepNext/>
              <w:jc w:val="center"/>
              <w:rPr>
                <w:rFonts w:ascii="Arial Narrow" w:hAnsi="Arial Narrow" w:cs="Times New Roman"/>
                <w:bCs/>
                <w:sz w:val="20"/>
              </w:rPr>
            </w:pPr>
            <w:r>
              <w:rPr>
                <w:rFonts w:ascii="Arial Narrow" w:hAnsi="Arial Narrow" w:cs="Times New Roman"/>
                <w:bCs/>
                <w:sz w:val="20"/>
              </w:rPr>
              <w:t>-</w:t>
            </w:r>
          </w:p>
        </w:tc>
        <w:tc>
          <w:tcPr>
            <w:tcW w:w="7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141BDF" w14:textId="77777777" w:rsidR="00D24261" w:rsidRPr="00C9728E" w:rsidRDefault="00D24261" w:rsidP="00E730EF">
            <w:pPr>
              <w:keepNext/>
              <w:jc w:val="center"/>
              <w:rPr>
                <w:rFonts w:ascii="Arial Narrow" w:hAnsi="Arial Narrow" w:cs="Times New Roman"/>
                <w:bCs/>
                <w:sz w:val="20"/>
              </w:rPr>
            </w:pPr>
            <w:r w:rsidRPr="00C9728E">
              <w:rPr>
                <w:rFonts w:ascii="Arial Narrow" w:hAnsi="Arial Narrow" w:cs="Times New Roman"/>
                <w:bCs/>
                <w:sz w:val="20"/>
              </w:rPr>
              <w:t>-</w:t>
            </w:r>
          </w:p>
        </w:tc>
      </w:tr>
      <w:tr w:rsidR="00D24261" w:rsidRPr="00F815BD" w14:paraId="1BDF34E5" w14:textId="77777777" w:rsidTr="002D7025">
        <w:tc>
          <w:tcPr>
            <w:tcW w:w="13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790F59" w14:textId="533671E4" w:rsidR="00D24261" w:rsidRPr="00F815BD" w:rsidRDefault="00D24261" w:rsidP="00673659">
            <w:pPr>
              <w:keepNext/>
              <w:jc w:val="left"/>
              <w:rPr>
                <w:rFonts w:ascii="Arial Narrow" w:hAnsi="Arial Narrow" w:cs="Times New Roman"/>
                <w:bCs/>
                <w:sz w:val="20"/>
              </w:rPr>
            </w:pPr>
            <w:r w:rsidRPr="00F815BD">
              <w:rPr>
                <w:rFonts w:ascii="Arial Narrow" w:hAnsi="Arial Narrow" w:cs="Times New Roman"/>
                <w:bCs/>
                <w:sz w:val="20"/>
              </w:rPr>
              <w:t>Median PFS</w:t>
            </w:r>
            <w:r w:rsidR="00673659">
              <w:rPr>
                <w:rFonts w:ascii="Arial Narrow" w:hAnsi="Arial Narrow" w:cs="Times New Roman"/>
                <w:bCs/>
                <w:sz w:val="20"/>
              </w:rPr>
              <w:t xml:space="preserve">, </w:t>
            </w:r>
            <w:r w:rsidRPr="00F815BD">
              <w:rPr>
                <w:rFonts w:ascii="Arial Narrow" w:hAnsi="Arial Narrow" w:cs="Times New Roman"/>
                <w:bCs/>
                <w:sz w:val="20"/>
              </w:rPr>
              <w:t>months (95% CI)</w:t>
            </w:r>
          </w:p>
        </w:tc>
        <w:tc>
          <w:tcPr>
            <w:tcW w:w="102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4E966E"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11.5 (8.9, 16.72)</w:t>
            </w:r>
          </w:p>
        </w:tc>
        <w:tc>
          <w:tcPr>
            <w:tcW w:w="94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EDF6A5" w14:textId="77777777" w:rsidR="00D24261" w:rsidRPr="00F815BD" w:rsidRDefault="00D24261" w:rsidP="00E730EF">
            <w:pPr>
              <w:autoSpaceDE w:val="0"/>
              <w:autoSpaceDN w:val="0"/>
              <w:adjustRightInd w:val="0"/>
              <w:jc w:val="center"/>
              <w:rPr>
                <w:rFonts w:ascii="Arial Narrow" w:hAnsi="Arial Narrow" w:cs="Times New Roman"/>
                <w:bCs/>
                <w:sz w:val="20"/>
              </w:rPr>
            </w:pPr>
            <w:r w:rsidRPr="00F815BD">
              <w:rPr>
                <w:rFonts w:ascii="Arial Narrow" w:hAnsi="Arial Narrow" w:cs="Times New Roman"/>
                <w:bCs/>
                <w:sz w:val="20"/>
              </w:rPr>
              <w:t xml:space="preserve">6.87 (4.34, 9.46) </w:t>
            </w:r>
          </w:p>
        </w:tc>
        <w:tc>
          <w:tcPr>
            <w:tcW w:w="94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1BD502" w14:textId="77777777" w:rsidR="00D24261" w:rsidRPr="00F815BD" w:rsidRDefault="00D24261" w:rsidP="00E730EF">
            <w:pPr>
              <w:keepNext/>
              <w:jc w:val="center"/>
              <w:rPr>
                <w:rFonts w:ascii="Arial Narrow" w:hAnsi="Arial Narrow" w:cs="Times New Roman"/>
                <w:bCs/>
                <w:sz w:val="20"/>
              </w:rPr>
            </w:pPr>
            <w:r w:rsidRPr="00F815BD">
              <w:rPr>
                <w:rFonts w:ascii="Arial Narrow" w:hAnsi="Arial Narrow" w:cs="Times New Roman"/>
                <w:bCs/>
                <w:sz w:val="20"/>
              </w:rPr>
              <w:t>4.63 months</w:t>
            </w:r>
          </w:p>
        </w:tc>
        <w:tc>
          <w:tcPr>
            <w:tcW w:w="75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788FD" w14:textId="77777777" w:rsidR="00D24261" w:rsidRPr="00F815BD" w:rsidRDefault="00D24261" w:rsidP="00E730EF">
            <w:pPr>
              <w:keepNext/>
              <w:jc w:val="center"/>
              <w:rPr>
                <w:rFonts w:ascii="Arial Narrow" w:hAnsi="Arial Narrow" w:cs="Times New Roman"/>
                <w:b/>
                <w:sz w:val="20"/>
              </w:rPr>
            </w:pPr>
            <w:r w:rsidRPr="00F815BD">
              <w:rPr>
                <w:rFonts w:ascii="Arial Narrow" w:hAnsi="Arial Narrow" w:cs="Times New Roman"/>
                <w:b/>
                <w:sz w:val="20"/>
              </w:rPr>
              <w:t>0.74 (0.60, 0.92)</w:t>
            </w:r>
          </w:p>
        </w:tc>
      </w:tr>
    </w:tbl>
    <w:p w14:paraId="5CFCE6A5" w14:textId="77777777" w:rsidR="00D24261" w:rsidRDefault="00D24261" w:rsidP="00D24261">
      <w:pPr>
        <w:pStyle w:val="TableFigureFooter"/>
        <w:rPr>
          <w:rFonts w:eastAsia="Calibri"/>
        </w:rPr>
      </w:pPr>
      <w:r w:rsidRPr="00F815BD">
        <w:t>Source:</w:t>
      </w:r>
      <w:bookmarkStart w:id="40" w:name="_Hlk100677855"/>
      <w:r w:rsidRPr="00F815BD">
        <w:t xml:space="preserve"> Table 2</w:t>
      </w:r>
      <w:r>
        <w:t>5</w:t>
      </w:r>
      <w:r w:rsidRPr="00F815BD">
        <w:t>, p</w:t>
      </w:r>
      <w:r>
        <w:t>87</w:t>
      </w:r>
      <w:r w:rsidRPr="00F815BD">
        <w:t xml:space="preserve"> </w:t>
      </w:r>
      <w:bookmarkEnd w:id="40"/>
      <w:r w:rsidRPr="00F815BD">
        <w:t>and Table 2</w:t>
      </w:r>
      <w:r>
        <w:t>8</w:t>
      </w:r>
      <w:r w:rsidRPr="00F815BD">
        <w:t>, p</w:t>
      </w:r>
      <w:r>
        <w:t>99</w:t>
      </w:r>
      <w:r w:rsidRPr="00F815BD">
        <w:t xml:space="preserve"> of the submission</w:t>
      </w:r>
      <w:r w:rsidRPr="00F815BD">
        <w:rPr>
          <w:rFonts w:eastAsia="Calibri"/>
        </w:rPr>
        <w:t xml:space="preserve"> </w:t>
      </w:r>
    </w:p>
    <w:p w14:paraId="6D291D48" w14:textId="4A8DEFF6" w:rsidR="00D24261" w:rsidRPr="00F815BD" w:rsidRDefault="00D24261" w:rsidP="00D24261">
      <w:pPr>
        <w:pStyle w:val="TableFigureFooter"/>
        <w:rPr>
          <w:rFonts w:eastAsia="Calibri"/>
        </w:rPr>
      </w:pPr>
      <w:r w:rsidRPr="00F815BD">
        <w:rPr>
          <w:rFonts w:eastAsia="Calibri"/>
        </w:rPr>
        <w:t>CI</w:t>
      </w:r>
      <w:r>
        <w:rPr>
          <w:rFonts w:eastAsia="Calibri"/>
        </w:rPr>
        <w:t xml:space="preserve"> </w:t>
      </w:r>
      <w:r w:rsidRPr="00F815BD">
        <w:rPr>
          <w:rFonts w:eastAsia="Calibri"/>
        </w:rPr>
        <w:t>= confidence interval, HR</w:t>
      </w:r>
      <w:r>
        <w:rPr>
          <w:rFonts w:eastAsia="Calibri"/>
        </w:rPr>
        <w:t xml:space="preserve"> </w:t>
      </w:r>
      <w:r w:rsidRPr="00F815BD">
        <w:rPr>
          <w:rFonts w:eastAsia="Calibri"/>
        </w:rPr>
        <w:t xml:space="preserve">= hazard ratio, </w:t>
      </w:r>
      <w:r w:rsidR="00FC5F5E">
        <w:rPr>
          <w:rFonts w:eastAsia="Calibri"/>
        </w:rPr>
        <w:t xml:space="preserve">IPI = ipilimumab, </w:t>
      </w:r>
      <w:r w:rsidRPr="00F815BD">
        <w:rPr>
          <w:rFonts w:eastAsia="Calibri"/>
        </w:rPr>
        <w:t>n</w:t>
      </w:r>
      <w:r>
        <w:rPr>
          <w:rFonts w:eastAsia="Calibri"/>
        </w:rPr>
        <w:t xml:space="preserve"> </w:t>
      </w:r>
      <w:r w:rsidRPr="00F815BD">
        <w:rPr>
          <w:rFonts w:eastAsia="Calibri"/>
        </w:rPr>
        <w:t>= number of participants reporting data, N</w:t>
      </w:r>
      <w:r>
        <w:rPr>
          <w:rFonts w:eastAsia="Calibri"/>
        </w:rPr>
        <w:t xml:space="preserve"> </w:t>
      </w:r>
      <w:r w:rsidRPr="00F815BD">
        <w:rPr>
          <w:rFonts w:eastAsia="Calibri"/>
        </w:rPr>
        <w:t>= total participants in group, NIVO</w:t>
      </w:r>
      <w:r>
        <w:rPr>
          <w:rFonts w:eastAsia="Calibri"/>
        </w:rPr>
        <w:t xml:space="preserve"> </w:t>
      </w:r>
      <w:r w:rsidRPr="00F815BD">
        <w:rPr>
          <w:rFonts w:eastAsia="Calibri"/>
        </w:rPr>
        <w:t xml:space="preserve">= nivolumab, </w:t>
      </w:r>
      <w:r>
        <w:rPr>
          <w:rFonts w:eastAsia="Calibri"/>
        </w:rPr>
        <w:t xml:space="preserve">PFS </w:t>
      </w:r>
      <w:r w:rsidRPr="00F815BD">
        <w:rPr>
          <w:rFonts w:eastAsia="Calibri"/>
        </w:rPr>
        <w:t xml:space="preserve">= </w:t>
      </w:r>
      <w:r>
        <w:rPr>
          <w:rFonts w:eastAsia="Calibri"/>
        </w:rPr>
        <w:t>progression-free</w:t>
      </w:r>
      <w:r w:rsidRPr="00F815BD">
        <w:rPr>
          <w:rFonts w:eastAsia="Calibri"/>
        </w:rPr>
        <w:t xml:space="preserve"> survival, RELA</w:t>
      </w:r>
      <w:r>
        <w:rPr>
          <w:rFonts w:eastAsia="Calibri"/>
        </w:rPr>
        <w:t xml:space="preserve"> </w:t>
      </w:r>
      <w:r w:rsidRPr="00F815BD">
        <w:rPr>
          <w:rFonts w:eastAsia="Calibri"/>
        </w:rPr>
        <w:t>= relatlimab.</w:t>
      </w:r>
    </w:p>
    <w:p w14:paraId="2CC7E99E" w14:textId="0EE11AFA" w:rsidR="00D24261" w:rsidRPr="00F815BD" w:rsidRDefault="00FC5F5E" w:rsidP="00D24261">
      <w:pPr>
        <w:pStyle w:val="TableFigureFooter"/>
        <w:rPr>
          <w:rFonts w:eastAsia="Calibri"/>
        </w:rPr>
      </w:pPr>
      <w:r>
        <w:rPr>
          <w:rFonts w:eastAsia="Calibri"/>
          <w:vertAlign w:val="superscript"/>
        </w:rPr>
        <w:t>a</w:t>
      </w:r>
      <w:r>
        <w:rPr>
          <w:rFonts w:eastAsia="Calibri"/>
        </w:rPr>
        <w:t xml:space="preserve"> </w:t>
      </w:r>
      <w:r w:rsidR="00D24261" w:rsidRPr="00F815BD">
        <w:rPr>
          <w:rFonts w:eastAsia="Calibri"/>
        </w:rPr>
        <w:t>PFS per BICR were descriptively updated at the Oct</w:t>
      </w:r>
      <w:r w:rsidR="007F56C4">
        <w:rPr>
          <w:rFonts w:eastAsia="Calibri"/>
        </w:rPr>
        <w:t>ober</w:t>
      </w:r>
      <w:r w:rsidR="00D24261" w:rsidRPr="00F815BD">
        <w:rPr>
          <w:rFonts w:eastAsia="Calibri"/>
        </w:rPr>
        <w:t xml:space="preserve"> 2021-cut-off.</w:t>
      </w:r>
    </w:p>
    <w:p w14:paraId="775AB49E" w14:textId="77777777" w:rsidR="00D24261" w:rsidRDefault="00D24261" w:rsidP="00D24261">
      <w:pPr>
        <w:pStyle w:val="TableFigureFooter"/>
        <w:rPr>
          <w:rFonts w:eastAsia="Calibri"/>
        </w:rPr>
      </w:pPr>
      <w:r w:rsidRPr="00F815BD">
        <w:rPr>
          <w:rFonts w:eastAsia="Calibri"/>
          <w:b/>
        </w:rPr>
        <w:t>Bold</w:t>
      </w:r>
      <w:r w:rsidRPr="00F815BD">
        <w:rPr>
          <w:rFonts w:eastAsia="Calibri"/>
        </w:rPr>
        <w:t xml:space="preserve"> indicates statistically significant results.</w:t>
      </w:r>
    </w:p>
    <w:bookmarkEnd w:id="39"/>
    <w:p w14:paraId="6DD00D2D" w14:textId="77777777" w:rsidR="00D24261" w:rsidRPr="00077250" w:rsidRDefault="00D24261" w:rsidP="00D24261">
      <w:pPr>
        <w:pStyle w:val="TableFigureFooter"/>
        <w:rPr>
          <w:rFonts w:eastAsia="Calibri"/>
          <w:szCs w:val="24"/>
        </w:rPr>
      </w:pPr>
    </w:p>
    <w:p w14:paraId="61967A3F" w14:textId="6B3F82D5" w:rsidR="00D24261" w:rsidRDefault="002111A6" w:rsidP="00D24261">
      <w:pPr>
        <w:pStyle w:val="3-BodyText"/>
        <w:numPr>
          <w:ilvl w:val="1"/>
          <w:numId w:val="1"/>
        </w:numPr>
        <w:rPr>
          <w:rStyle w:val="CommentReference"/>
          <w:rFonts w:asciiTheme="minorHAnsi" w:hAnsiTheme="minorHAnsi"/>
          <w:b w:val="0"/>
          <w:snapToGrid/>
          <w:sz w:val="24"/>
          <w:szCs w:val="24"/>
          <w:lang w:val="en-US"/>
        </w:rPr>
      </w:pPr>
      <w:r>
        <w:rPr>
          <w:rStyle w:val="CommentReference"/>
          <w:rFonts w:asciiTheme="minorHAnsi" w:hAnsiTheme="minorHAnsi"/>
          <w:b w:val="0"/>
          <w:snapToGrid/>
          <w:sz w:val="24"/>
          <w:szCs w:val="24"/>
          <w:lang w:val="en-US"/>
        </w:rPr>
        <w:t>In the CA224047 trial, a</w:t>
      </w:r>
      <w:r w:rsidR="00D24261" w:rsidRPr="00314DB3">
        <w:rPr>
          <w:rStyle w:val="CommentReference"/>
          <w:rFonts w:asciiTheme="minorHAnsi" w:hAnsiTheme="minorHAnsi"/>
          <w:b w:val="0"/>
          <w:snapToGrid/>
          <w:sz w:val="24"/>
          <w:szCs w:val="24"/>
          <w:lang w:val="en-US"/>
        </w:rPr>
        <w:t xml:space="preserve">t a median duration of follow-up of 13.21 months (data cut-off: March 2021), RELA+NIVO was associated with a statistically significant </w:t>
      </w:r>
      <w:r w:rsidR="00D24261" w:rsidRPr="00314DB3">
        <w:rPr>
          <w:rStyle w:val="CommentReference"/>
          <w:rFonts w:asciiTheme="minorHAnsi" w:hAnsiTheme="minorHAnsi"/>
          <w:b w:val="0"/>
          <w:snapToGrid/>
          <w:sz w:val="24"/>
          <w:szCs w:val="24"/>
          <w:lang w:val="en-US"/>
        </w:rPr>
        <w:lastRenderedPageBreak/>
        <w:t xml:space="preserve">improvement in PFS compared with nivolumab </w:t>
      </w:r>
      <w:r w:rsidR="00D24261" w:rsidRPr="000C7D22">
        <w:rPr>
          <w:rStyle w:val="CommentReference"/>
          <w:rFonts w:asciiTheme="minorHAnsi" w:hAnsiTheme="minorHAnsi"/>
          <w:b w:val="0"/>
          <w:snapToGrid/>
          <w:sz w:val="24"/>
          <w:szCs w:val="24"/>
          <w:lang w:val="en-US"/>
        </w:rPr>
        <w:t>monotherapy</w:t>
      </w:r>
      <w:r w:rsidR="007A75DF" w:rsidRPr="000C7D22">
        <w:rPr>
          <w:rStyle w:val="CommentReference"/>
          <w:rFonts w:asciiTheme="minorHAnsi" w:hAnsiTheme="minorHAnsi"/>
          <w:b w:val="0"/>
          <w:snapToGrid/>
          <w:sz w:val="24"/>
          <w:szCs w:val="24"/>
          <w:lang w:val="en-US"/>
        </w:rPr>
        <w:t xml:space="preserve"> </w:t>
      </w:r>
      <w:bookmarkStart w:id="41" w:name="_Hlk103182568"/>
      <w:r w:rsidR="007A75DF" w:rsidRPr="000C7D22">
        <w:rPr>
          <w:rStyle w:val="CommentReference"/>
          <w:rFonts w:asciiTheme="minorHAnsi" w:hAnsiTheme="minorHAnsi"/>
          <w:b w:val="0"/>
          <w:snapToGrid/>
          <w:sz w:val="24"/>
          <w:szCs w:val="24"/>
          <w:lang w:val="en-US"/>
        </w:rPr>
        <w:t xml:space="preserve">(HR = </w:t>
      </w:r>
      <w:r w:rsidR="00FC5F5E" w:rsidRPr="000C7D22">
        <w:rPr>
          <w:rStyle w:val="CommentReference"/>
          <w:rFonts w:asciiTheme="minorHAnsi" w:hAnsiTheme="minorHAnsi"/>
          <w:b w:val="0"/>
          <w:snapToGrid/>
          <w:sz w:val="24"/>
          <w:szCs w:val="24"/>
          <w:lang w:val="en-US"/>
        </w:rPr>
        <w:t>0.75; 9</w:t>
      </w:r>
      <w:r w:rsidR="00FC5F5E">
        <w:rPr>
          <w:rStyle w:val="CommentReference"/>
          <w:rFonts w:asciiTheme="minorHAnsi" w:hAnsiTheme="minorHAnsi"/>
          <w:b w:val="0"/>
          <w:snapToGrid/>
          <w:sz w:val="24"/>
          <w:szCs w:val="24"/>
          <w:lang w:val="en-US"/>
        </w:rPr>
        <w:t>5% CI: 0.62</w:t>
      </w:r>
      <w:r w:rsidR="002D7025">
        <w:rPr>
          <w:rStyle w:val="CommentReference"/>
          <w:rFonts w:asciiTheme="minorHAnsi" w:hAnsiTheme="minorHAnsi"/>
          <w:b w:val="0"/>
          <w:snapToGrid/>
          <w:sz w:val="24"/>
          <w:szCs w:val="24"/>
          <w:lang w:val="en-US"/>
        </w:rPr>
        <w:t xml:space="preserve">, </w:t>
      </w:r>
      <w:r w:rsidR="00FC5F5E">
        <w:rPr>
          <w:rStyle w:val="CommentReference"/>
          <w:rFonts w:asciiTheme="minorHAnsi" w:hAnsiTheme="minorHAnsi"/>
          <w:b w:val="0"/>
          <w:snapToGrid/>
          <w:sz w:val="24"/>
          <w:szCs w:val="24"/>
          <w:lang w:val="en-US"/>
        </w:rPr>
        <w:t>0.92)</w:t>
      </w:r>
      <w:r w:rsidR="00D24261" w:rsidRPr="00314DB3">
        <w:rPr>
          <w:rStyle w:val="CommentReference"/>
          <w:rFonts w:asciiTheme="minorHAnsi" w:hAnsiTheme="minorHAnsi"/>
          <w:b w:val="0"/>
          <w:snapToGrid/>
          <w:sz w:val="24"/>
          <w:szCs w:val="24"/>
          <w:lang w:val="en-US"/>
        </w:rPr>
        <w:t xml:space="preserve">, </w:t>
      </w:r>
      <w:bookmarkEnd w:id="41"/>
      <w:r w:rsidR="00D24261" w:rsidRPr="00314DB3">
        <w:rPr>
          <w:rStyle w:val="CommentReference"/>
          <w:rFonts w:asciiTheme="minorHAnsi" w:hAnsiTheme="minorHAnsi"/>
          <w:b w:val="0"/>
          <w:snapToGrid/>
          <w:sz w:val="24"/>
          <w:szCs w:val="24"/>
          <w:lang w:val="en-US"/>
        </w:rPr>
        <w:t xml:space="preserve">with an absolute difference of 5.49 months. The improvement in PFS associated with RELA+NIVO from the updated analysis (median duration of follow-up of 19.27 months; data cut-off: October 2021) was similar to the original analysis, with an HR of </w:t>
      </w:r>
      <w:r w:rsidR="00FC5F5E">
        <w:t>0.78 (95% CI: 0.64, 0.94).</w:t>
      </w:r>
    </w:p>
    <w:p w14:paraId="64DCA950" w14:textId="673A4DE3" w:rsidR="00D24261" w:rsidRDefault="00D24261" w:rsidP="00D24261">
      <w:pPr>
        <w:pStyle w:val="3-BodyText"/>
        <w:numPr>
          <w:ilvl w:val="1"/>
          <w:numId w:val="1"/>
        </w:numPr>
        <w:rPr>
          <w:rStyle w:val="CommentReference"/>
          <w:rFonts w:asciiTheme="minorHAnsi" w:hAnsiTheme="minorHAnsi"/>
          <w:b w:val="0"/>
          <w:snapToGrid/>
          <w:sz w:val="24"/>
          <w:szCs w:val="24"/>
          <w:lang w:val="en-US"/>
        </w:rPr>
      </w:pPr>
      <w:r w:rsidRPr="000C6AF0">
        <w:rPr>
          <w:rStyle w:val="CommentReference"/>
          <w:rFonts w:asciiTheme="minorHAnsi" w:hAnsiTheme="minorHAnsi"/>
          <w:b w:val="0"/>
          <w:snapToGrid/>
          <w:sz w:val="24"/>
          <w:szCs w:val="24"/>
          <w:lang w:val="en-US"/>
        </w:rPr>
        <w:t xml:space="preserve">In </w:t>
      </w:r>
      <w:r w:rsidR="002F45B1">
        <w:rPr>
          <w:rStyle w:val="CommentReference"/>
          <w:rFonts w:asciiTheme="minorHAnsi" w:hAnsiTheme="minorHAnsi"/>
          <w:b w:val="0"/>
          <w:snapToGrid/>
          <w:sz w:val="24"/>
          <w:szCs w:val="24"/>
          <w:lang w:val="en-US"/>
        </w:rPr>
        <w:t xml:space="preserve">the </w:t>
      </w:r>
      <w:r w:rsidRPr="000C6AF0">
        <w:rPr>
          <w:rStyle w:val="CommentReference"/>
          <w:rFonts w:asciiTheme="minorHAnsi" w:hAnsiTheme="minorHAnsi"/>
          <w:b w:val="0"/>
          <w:snapToGrid/>
          <w:sz w:val="24"/>
          <w:szCs w:val="24"/>
          <w:lang w:val="en-US"/>
        </w:rPr>
        <w:t>CA209067</w:t>
      </w:r>
      <w:r w:rsidR="002F45B1">
        <w:rPr>
          <w:rStyle w:val="CommentReference"/>
          <w:rFonts w:asciiTheme="minorHAnsi" w:hAnsiTheme="minorHAnsi"/>
          <w:b w:val="0"/>
          <w:snapToGrid/>
          <w:sz w:val="24"/>
          <w:szCs w:val="24"/>
          <w:lang w:val="en-US"/>
        </w:rPr>
        <w:t xml:space="preserve"> trial</w:t>
      </w:r>
      <w:r w:rsidRPr="000C6AF0">
        <w:rPr>
          <w:rStyle w:val="CommentReference"/>
          <w:rFonts w:asciiTheme="minorHAnsi" w:hAnsiTheme="minorHAnsi"/>
          <w:b w:val="0"/>
          <w:snapToGrid/>
          <w:sz w:val="24"/>
          <w:szCs w:val="24"/>
          <w:lang w:val="en-US"/>
        </w:rPr>
        <w:t xml:space="preserve">, based on a minimum follow-up of 9 months (data cut-off: </w:t>
      </w:r>
      <w:r>
        <w:rPr>
          <w:rStyle w:val="CommentReference"/>
          <w:rFonts w:asciiTheme="minorHAnsi" w:hAnsiTheme="minorHAnsi"/>
          <w:b w:val="0"/>
          <w:snapToGrid/>
          <w:sz w:val="24"/>
          <w:szCs w:val="24"/>
          <w:lang w:val="en-US"/>
        </w:rPr>
        <w:t xml:space="preserve">February </w:t>
      </w:r>
      <w:r w:rsidRPr="000C6AF0">
        <w:rPr>
          <w:rStyle w:val="CommentReference"/>
          <w:rFonts w:asciiTheme="minorHAnsi" w:hAnsiTheme="minorHAnsi"/>
          <w:b w:val="0"/>
          <w:snapToGrid/>
          <w:sz w:val="24"/>
          <w:szCs w:val="24"/>
          <w:lang w:val="en-US"/>
        </w:rPr>
        <w:t xml:space="preserve">2015), NIVO+IPI was associated with a </w:t>
      </w:r>
      <w:r w:rsidRPr="000C7D22">
        <w:rPr>
          <w:rStyle w:val="CommentReference"/>
          <w:rFonts w:asciiTheme="minorHAnsi" w:hAnsiTheme="minorHAnsi"/>
          <w:b w:val="0"/>
          <w:snapToGrid/>
          <w:sz w:val="24"/>
          <w:szCs w:val="24"/>
          <w:lang w:val="en-US"/>
        </w:rPr>
        <w:t>statistically significant improvement in median PFS of 4.6 months over nivolumab monotherapy</w:t>
      </w:r>
      <w:r w:rsidR="007A75DF" w:rsidRPr="000C7D22">
        <w:rPr>
          <w:rStyle w:val="CommentReference"/>
          <w:rFonts w:asciiTheme="minorHAnsi" w:hAnsiTheme="minorHAnsi"/>
          <w:b w:val="0"/>
          <w:snapToGrid/>
          <w:sz w:val="24"/>
          <w:szCs w:val="24"/>
          <w:lang w:val="en-US"/>
        </w:rPr>
        <w:t xml:space="preserve"> </w:t>
      </w:r>
      <w:bookmarkStart w:id="42" w:name="_Hlk103182638"/>
      <w:r w:rsidR="007A75DF" w:rsidRPr="000C7D22">
        <w:rPr>
          <w:rStyle w:val="CommentReference"/>
          <w:rFonts w:asciiTheme="minorHAnsi" w:hAnsiTheme="minorHAnsi"/>
          <w:b w:val="0"/>
          <w:snapToGrid/>
          <w:sz w:val="24"/>
          <w:szCs w:val="24"/>
          <w:lang w:val="en-US"/>
        </w:rPr>
        <w:t>(HR =</w:t>
      </w:r>
      <w:r w:rsidR="000C7D22">
        <w:rPr>
          <w:rStyle w:val="CommentReference"/>
          <w:rFonts w:asciiTheme="minorHAnsi" w:hAnsiTheme="minorHAnsi"/>
          <w:b w:val="0"/>
          <w:snapToGrid/>
          <w:sz w:val="24"/>
          <w:szCs w:val="24"/>
          <w:lang w:val="en-US"/>
        </w:rPr>
        <w:t xml:space="preserve"> 0.74; 95% CI: 0.60, 0.92</w:t>
      </w:r>
      <w:r w:rsidR="007A75DF" w:rsidRPr="000C7D22">
        <w:rPr>
          <w:rStyle w:val="CommentReference"/>
          <w:rFonts w:asciiTheme="minorHAnsi" w:hAnsiTheme="minorHAnsi"/>
          <w:b w:val="0"/>
          <w:snapToGrid/>
          <w:sz w:val="24"/>
          <w:szCs w:val="24"/>
          <w:lang w:val="en-US"/>
        </w:rPr>
        <w:t>)</w:t>
      </w:r>
      <w:bookmarkEnd w:id="42"/>
      <w:r w:rsidRPr="000C7D22">
        <w:rPr>
          <w:rStyle w:val="CommentReference"/>
          <w:rFonts w:asciiTheme="minorHAnsi" w:hAnsiTheme="minorHAnsi"/>
          <w:b w:val="0"/>
          <w:snapToGrid/>
          <w:sz w:val="24"/>
          <w:szCs w:val="24"/>
          <w:lang w:val="en-US"/>
        </w:rPr>
        <w:t>. U</w:t>
      </w:r>
      <w:r w:rsidRPr="000C6AF0">
        <w:rPr>
          <w:rStyle w:val="CommentReference"/>
          <w:rFonts w:asciiTheme="minorHAnsi" w:hAnsiTheme="minorHAnsi"/>
          <w:b w:val="0"/>
          <w:snapToGrid/>
          <w:sz w:val="24"/>
          <w:szCs w:val="24"/>
          <w:lang w:val="en-US"/>
        </w:rPr>
        <w:t>pdated data from extended 3-, 4-, 5- and 6.5</w:t>
      </w:r>
      <w:r>
        <w:rPr>
          <w:rStyle w:val="CommentReference"/>
          <w:rFonts w:asciiTheme="minorHAnsi" w:hAnsiTheme="minorHAnsi"/>
          <w:b w:val="0"/>
          <w:snapToGrid/>
          <w:sz w:val="24"/>
          <w:szCs w:val="24"/>
          <w:lang w:val="en-US"/>
        </w:rPr>
        <w:t>-</w:t>
      </w:r>
      <w:r w:rsidRPr="000C6AF0">
        <w:rPr>
          <w:rStyle w:val="CommentReference"/>
          <w:rFonts w:asciiTheme="minorHAnsi" w:hAnsiTheme="minorHAnsi"/>
          <w:b w:val="0"/>
          <w:snapToGrid/>
          <w:sz w:val="24"/>
          <w:szCs w:val="24"/>
          <w:lang w:val="en-US"/>
        </w:rPr>
        <w:t>years follow-up continued to demonstrate significant improvement in PFS for NIVO+IPI compared to nivolumab monotherapy, with an HR of 0.79 (95% CI: 0.65, 0.97) in the most recent data cut-off (</w:t>
      </w:r>
      <w:r>
        <w:rPr>
          <w:rStyle w:val="CommentReference"/>
          <w:rFonts w:asciiTheme="minorHAnsi" w:hAnsiTheme="minorHAnsi"/>
          <w:b w:val="0"/>
          <w:snapToGrid/>
          <w:sz w:val="24"/>
          <w:szCs w:val="24"/>
          <w:lang w:val="en-US"/>
        </w:rPr>
        <w:t xml:space="preserve">October </w:t>
      </w:r>
      <w:r w:rsidRPr="000C6AF0">
        <w:rPr>
          <w:rStyle w:val="CommentReference"/>
          <w:rFonts w:asciiTheme="minorHAnsi" w:hAnsiTheme="minorHAnsi"/>
          <w:b w:val="0"/>
          <w:snapToGrid/>
          <w:sz w:val="24"/>
          <w:szCs w:val="24"/>
          <w:lang w:val="en-US"/>
        </w:rPr>
        <w:t>202</w:t>
      </w:r>
      <w:r>
        <w:rPr>
          <w:rStyle w:val="CommentReference"/>
          <w:rFonts w:asciiTheme="minorHAnsi" w:hAnsiTheme="minorHAnsi"/>
          <w:b w:val="0"/>
          <w:snapToGrid/>
          <w:sz w:val="24"/>
          <w:szCs w:val="24"/>
          <w:lang w:val="en-US"/>
        </w:rPr>
        <w:t>0</w:t>
      </w:r>
      <w:r w:rsidRPr="000C6AF0">
        <w:rPr>
          <w:rStyle w:val="CommentReference"/>
          <w:rFonts w:asciiTheme="minorHAnsi" w:hAnsiTheme="minorHAnsi"/>
          <w:b w:val="0"/>
          <w:snapToGrid/>
          <w:sz w:val="24"/>
          <w:szCs w:val="24"/>
          <w:lang w:val="en-US"/>
        </w:rPr>
        <w:t>; 6.5-year follow-up</w:t>
      </w:r>
      <w:r w:rsidR="0012670A">
        <w:rPr>
          <w:rStyle w:val="CommentReference"/>
          <w:rFonts w:asciiTheme="minorHAnsi" w:hAnsiTheme="minorHAnsi"/>
          <w:b w:val="0"/>
          <w:snapToGrid/>
          <w:sz w:val="24"/>
          <w:szCs w:val="24"/>
          <w:lang w:val="en-US"/>
        </w:rPr>
        <w:t xml:space="preserve">; see </w:t>
      </w:r>
      <w:r w:rsidR="000C7D22">
        <w:rPr>
          <w:rStyle w:val="CommentReference"/>
          <w:rFonts w:asciiTheme="minorHAnsi" w:hAnsiTheme="minorHAnsi"/>
          <w:b w:val="0"/>
          <w:snapToGrid/>
          <w:sz w:val="24"/>
          <w:szCs w:val="24"/>
          <w:lang w:val="en-US"/>
        </w:rPr>
        <w:fldChar w:fldCharType="begin"/>
      </w:r>
      <w:r w:rsidR="000C7D22">
        <w:rPr>
          <w:rStyle w:val="CommentReference"/>
          <w:rFonts w:asciiTheme="minorHAnsi" w:hAnsiTheme="minorHAnsi"/>
          <w:b w:val="0"/>
          <w:snapToGrid/>
          <w:sz w:val="24"/>
          <w:szCs w:val="24"/>
          <w:lang w:val="en-US"/>
        </w:rPr>
        <w:instrText xml:space="preserve"> REF _Ref100790913 \h </w:instrText>
      </w:r>
      <w:r w:rsidR="000C7D22">
        <w:rPr>
          <w:rStyle w:val="CommentReference"/>
          <w:rFonts w:asciiTheme="minorHAnsi" w:hAnsiTheme="minorHAnsi"/>
          <w:b w:val="0"/>
          <w:snapToGrid/>
          <w:sz w:val="24"/>
          <w:szCs w:val="24"/>
          <w:lang w:val="en-US"/>
        </w:rPr>
      </w:r>
      <w:r w:rsidR="000C7D22">
        <w:rPr>
          <w:rStyle w:val="CommentReference"/>
          <w:rFonts w:asciiTheme="minorHAnsi" w:hAnsiTheme="minorHAnsi"/>
          <w:b w:val="0"/>
          <w:snapToGrid/>
          <w:sz w:val="24"/>
          <w:szCs w:val="24"/>
          <w:lang w:val="en-US"/>
        </w:rPr>
        <w:fldChar w:fldCharType="separate"/>
      </w:r>
      <w:r w:rsidR="00633460">
        <w:t xml:space="preserve">Figure </w:t>
      </w:r>
      <w:r w:rsidR="00633460">
        <w:rPr>
          <w:noProof/>
        </w:rPr>
        <w:t>5</w:t>
      </w:r>
      <w:r w:rsidR="000C7D22">
        <w:rPr>
          <w:rStyle w:val="CommentReference"/>
          <w:rFonts w:asciiTheme="minorHAnsi" w:hAnsiTheme="minorHAnsi"/>
          <w:b w:val="0"/>
          <w:snapToGrid/>
          <w:sz w:val="24"/>
          <w:szCs w:val="24"/>
          <w:lang w:val="en-US"/>
        </w:rPr>
        <w:fldChar w:fldCharType="end"/>
      </w:r>
      <w:r w:rsidR="000C7D22">
        <w:rPr>
          <w:rStyle w:val="CommentReference"/>
          <w:rFonts w:asciiTheme="minorHAnsi" w:hAnsiTheme="minorHAnsi"/>
          <w:b w:val="0"/>
          <w:snapToGrid/>
          <w:sz w:val="24"/>
          <w:szCs w:val="24"/>
          <w:lang w:val="en-US"/>
        </w:rPr>
        <w:t xml:space="preserve"> </w:t>
      </w:r>
      <w:r w:rsidR="0012670A">
        <w:rPr>
          <w:rStyle w:val="CommentReference"/>
          <w:rFonts w:asciiTheme="minorHAnsi" w:hAnsiTheme="minorHAnsi"/>
          <w:b w:val="0"/>
          <w:snapToGrid/>
          <w:sz w:val="24"/>
          <w:szCs w:val="24"/>
          <w:lang w:val="en-US"/>
        </w:rPr>
        <w:t>below</w:t>
      </w:r>
      <w:r w:rsidRPr="000C6AF0">
        <w:rPr>
          <w:rStyle w:val="CommentReference"/>
          <w:rFonts w:asciiTheme="minorHAnsi" w:hAnsiTheme="minorHAnsi"/>
          <w:b w:val="0"/>
          <w:snapToGrid/>
          <w:sz w:val="24"/>
          <w:szCs w:val="24"/>
          <w:lang w:val="en-US"/>
        </w:rPr>
        <w:t>).</w:t>
      </w:r>
    </w:p>
    <w:p w14:paraId="00584785" w14:textId="2CD49EAB" w:rsidR="00D24261" w:rsidRDefault="00D24261" w:rsidP="00D24261">
      <w:pPr>
        <w:pStyle w:val="3-BodyText"/>
        <w:numPr>
          <w:ilvl w:val="1"/>
          <w:numId w:val="1"/>
        </w:numPr>
        <w:rPr>
          <w:rStyle w:val="CommentReference"/>
          <w:rFonts w:asciiTheme="minorHAnsi" w:hAnsiTheme="minorHAnsi"/>
          <w:b w:val="0"/>
          <w:snapToGrid/>
          <w:sz w:val="24"/>
          <w:szCs w:val="24"/>
          <w:lang w:val="en-US"/>
        </w:rPr>
      </w:pPr>
      <w:r w:rsidRPr="000C6AF0">
        <w:rPr>
          <w:rStyle w:val="CommentReference"/>
          <w:rFonts w:asciiTheme="minorHAnsi" w:hAnsiTheme="minorHAnsi"/>
          <w:b w:val="0"/>
          <w:snapToGrid/>
          <w:sz w:val="24"/>
          <w:szCs w:val="24"/>
          <w:lang w:val="en-US"/>
        </w:rPr>
        <w:t xml:space="preserve">The Kaplan Meier PFS plots for the CA224047 (data cut-off: March 2021) and CA209067 (data cut-off: </w:t>
      </w:r>
      <w:r>
        <w:rPr>
          <w:rStyle w:val="CommentReference"/>
          <w:rFonts w:asciiTheme="minorHAnsi" w:hAnsiTheme="minorHAnsi"/>
          <w:b w:val="0"/>
          <w:snapToGrid/>
          <w:sz w:val="24"/>
          <w:szCs w:val="24"/>
          <w:lang w:val="en-US"/>
        </w:rPr>
        <w:t xml:space="preserve">October </w:t>
      </w:r>
      <w:r w:rsidRPr="000C6AF0">
        <w:rPr>
          <w:rStyle w:val="CommentReference"/>
          <w:rFonts w:asciiTheme="minorHAnsi" w:hAnsiTheme="minorHAnsi"/>
          <w:b w:val="0"/>
          <w:snapToGrid/>
          <w:sz w:val="24"/>
          <w:szCs w:val="24"/>
          <w:lang w:val="en-US"/>
        </w:rPr>
        <w:t>202</w:t>
      </w:r>
      <w:r>
        <w:rPr>
          <w:rStyle w:val="CommentReference"/>
          <w:rFonts w:asciiTheme="minorHAnsi" w:hAnsiTheme="minorHAnsi"/>
          <w:b w:val="0"/>
          <w:snapToGrid/>
          <w:sz w:val="24"/>
          <w:szCs w:val="24"/>
          <w:lang w:val="en-US"/>
        </w:rPr>
        <w:t xml:space="preserve">0; </w:t>
      </w:r>
      <w:r w:rsidRPr="000C6AF0">
        <w:rPr>
          <w:rStyle w:val="CommentReference"/>
          <w:rFonts w:asciiTheme="minorHAnsi" w:hAnsiTheme="minorHAnsi"/>
          <w:b w:val="0"/>
          <w:snapToGrid/>
          <w:sz w:val="24"/>
          <w:szCs w:val="24"/>
          <w:lang w:val="en-US"/>
        </w:rPr>
        <w:t>6.5-year follow-up) trials are presented in</w:t>
      </w:r>
      <w:r>
        <w:rPr>
          <w:rStyle w:val="CommentReference"/>
          <w:rFonts w:asciiTheme="minorHAnsi" w:hAnsiTheme="minorHAnsi"/>
          <w:b w:val="0"/>
          <w:snapToGrid/>
          <w:sz w:val="24"/>
          <w:szCs w:val="24"/>
          <w:lang w:val="en-US"/>
        </w:rPr>
        <w:t xml:space="preserve"> </w:t>
      </w:r>
      <w:r>
        <w:rPr>
          <w:rStyle w:val="CommentReference"/>
          <w:rFonts w:asciiTheme="minorHAnsi" w:hAnsiTheme="minorHAnsi"/>
          <w:b w:val="0"/>
          <w:snapToGrid/>
          <w:sz w:val="24"/>
          <w:szCs w:val="24"/>
          <w:lang w:val="en-US"/>
        </w:rPr>
        <w:fldChar w:fldCharType="begin"/>
      </w:r>
      <w:r>
        <w:rPr>
          <w:rStyle w:val="CommentReference"/>
          <w:rFonts w:asciiTheme="minorHAnsi" w:hAnsiTheme="minorHAnsi"/>
          <w:b w:val="0"/>
          <w:snapToGrid/>
          <w:sz w:val="24"/>
          <w:szCs w:val="24"/>
          <w:lang w:val="en-US"/>
        </w:rPr>
        <w:instrText xml:space="preserve"> REF _Ref100790794 \h </w:instrText>
      </w:r>
      <w:r>
        <w:rPr>
          <w:rStyle w:val="CommentReference"/>
          <w:rFonts w:asciiTheme="minorHAnsi" w:hAnsiTheme="minorHAnsi"/>
          <w:b w:val="0"/>
          <w:snapToGrid/>
          <w:sz w:val="24"/>
          <w:szCs w:val="24"/>
          <w:lang w:val="en-US"/>
        </w:rPr>
      </w:r>
      <w:r>
        <w:rPr>
          <w:rStyle w:val="CommentReference"/>
          <w:rFonts w:asciiTheme="minorHAnsi" w:hAnsiTheme="minorHAnsi"/>
          <w:b w:val="0"/>
          <w:snapToGrid/>
          <w:sz w:val="24"/>
          <w:szCs w:val="24"/>
          <w:lang w:val="en-US"/>
        </w:rPr>
        <w:fldChar w:fldCharType="separate"/>
      </w:r>
      <w:r w:rsidR="00633460">
        <w:t xml:space="preserve">Figure </w:t>
      </w:r>
      <w:r w:rsidR="00633460">
        <w:rPr>
          <w:noProof/>
        </w:rPr>
        <w:t>4</w:t>
      </w:r>
      <w:r>
        <w:rPr>
          <w:rStyle w:val="CommentReference"/>
          <w:rFonts w:asciiTheme="minorHAnsi" w:hAnsiTheme="minorHAnsi"/>
          <w:b w:val="0"/>
          <w:snapToGrid/>
          <w:sz w:val="24"/>
          <w:szCs w:val="24"/>
          <w:lang w:val="en-US"/>
        </w:rPr>
        <w:fldChar w:fldCharType="end"/>
      </w:r>
      <w:r>
        <w:rPr>
          <w:rStyle w:val="CommentReference"/>
          <w:rFonts w:asciiTheme="minorHAnsi" w:hAnsiTheme="minorHAnsi"/>
          <w:b w:val="0"/>
          <w:snapToGrid/>
          <w:sz w:val="24"/>
          <w:szCs w:val="24"/>
          <w:lang w:val="en-US"/>
        </w:rPr>
        <w:t xml:space="preserve"> </w:t>
      </w:r>
      <w:r w:rsidRPr="000C6AF0">
        <w:rPr>
          <w:rStyle w:val="CommentReference"/>
          <w:rFonts w:asciiTheme="minorHAnsi" w:hAnsiTheme="minorHAnsi"/>
          <w:b w:val="0"/>
          <w:snapToGrid/>
          <w:sz w:val="24"/>
          <w:szCs w:val="24"/>
          <w:lang w:val="en-US"/>
        </w:rPr>
        <w:t>and</w:t>
      </w:r>
      <w:r>
        <w:rPr>
          <w:rStyle w:val="CommentReference"/>
          <w:rFonts w:asciiTheme="minorHAnsi" w:hAnsiTheme="minorHAnsi"/>
          <w:b w:val="0"/>
          <w:snapToGrid/>
          <w:sz w:val="24"/>
          <w:szCs w:val="24"/>
          <w:lang w:val="en-US"/>
        </w:rPr>
        <w:t xml:space="preserve"> </w:t>
      </w:r>
      <w:r>
        <w:rPr>
          <w:rStyle w:val="CommentReference"/>
          <w:rFonts w:asciiTheme="minorHAnsi" w:hAnsiTheme="minorHAnsi"/>
          <w:b w:val="0"/>
          <w:snapToGrid/>
          <w:sz w:val="24"/>
          <w:szCs w:val="24"/>
          <w:lang w:val="en-US"/>
        </w:rPr>
        <w:fldChar w:fldCharType="begin"/>
      </w:r>
      <w:r>
        <w:rPr>
          <w:rStyle w:val="CommentReference"/>
          <w:rFonts w:asciiTheme="minorHAnsi" w:hAnsiTheme="minorHAnsi"/>
          <w:b w:val="0"/>
          <w:snapToGrid/>
          <w:sz w:val="24"/>
          <w:szCs w:val="24"/>
          <w:lang w:val="en-US"/>
        </w:rPr>
        <w:instrText xml:space="preserve"> REF _Ref100790913 \h </w:instrText>
      </w:r>
      <w:r>
        <w:rPr>
          <w:rStyle w:val="CommentReference"/>
          <w:rFonts w:asciiTheme="minorHAnsi" w:hAnsiTheme="minorHAnsi"/>
          <w:b w:val="0"/>
          <w:snapToGrid/>
          <w:sz w:val="24"/>
          <w:szCs w:val="24"/>
          <w:lang w:val="en-US"/>
        </w:rPr>
      </w:r>
      <w:r>
        <w:rPr>
          <w:rStyle w:val="CommentReference"/>
          <w:rFonts w:asciiTheme="minorHAnsi" w:hAnsiTheme="minorHAnsi"/>
          <w:b w:val="0"/>
          <w:snapToGrid/>
          <w:sz w:val="24"/>
          <w:szCs w:val="24"/>
          <w:lang w:val="en-US"/>
        </w:rPr>
        <w:fldChar w:fldCharType="separate"/>
      </w:r>
      <w:r w:rsidR="00633460">
        <w:t xml:space="preserve">Figure </w:t>
      </w:r>
      <w:r w:rsidR="00633460">
        <w:rPr>
          <w:noProof/>
        </w:rPr>
        <w:t>5</w:t>
      </w:r>
      <w:r>
        <w:rPr>
          <w:rStyle w:val="CommentReference"/>
          <w:rFonts w:asciiTheme="minorHAnsi" w:hAnsiTheme="minorHAnsi"/>
          <w:b w:val="0"/>
          <w:snapToGrid/>
          <w:sz w:val="24"/>
          <w:szCs w:val="24"/>
          <w:lang w:val="en-US"/>
        </w:rPr>
        <w:fldChar w:fldCharType="end"/>
      </w:r>
      <w:r w:rsidRPr="000C6AF0">
        <w:rPr>
          <w:rStyle w:val="CommentReference"/>
          <w:rFonts w:asciiTheme="minorHAnsi" w:hAnsiTheme="minorHAnsi"/>
          <w:b w:val="0"/>
          <w:snapToGrid/>
          <w:sz w:val="24"/>
          <w:szCs w:val="24"/>
          <w:lang w:val="en-US"/>
        </w:rPr>
        <w:t>, respectively.</w:t>
      </w:r>
    </w:p>
    <w:p w14:paraId="55BC6A8B" w14:textId="4748A054" w:rsidR="00D24261" w:rsidRDefault="00D24261" w:rsidP="00D24261">
      <w:pPr>
        <w:pStyle w:val="TableFigureHeading"/>
      </w:pPr>
      <w:bookmarkStart w:id="43" w:name="_Ref100790794"/>
      <w:bookmarkStart w:id="44" w:name="_Ref100790737"/>
      <w:r>
        <w:t xml:space="preserve">Figure </w:t>
      </w:r>
      <w:fldSimple w:instr=" SEQ Figure \* ARABIC ">
        <w:r w:rsidR="00633460">
          <w:rPr>
            <w:noProof/>
          </w:rPr>
          <w:t>4</w:t>
        </w:r>
      </w:fldSimple>
      <w:bookmarkEnd w:id="43"/>
      <w:r>
        <w:t xml:space="preserve">: </w:t>
      </w:r>
      <w:r w:rsidRPr="007C2427">
        <w:t>KM analysis of PFS in CA224047 trial (Data cut-off: March 2021)</w:t>
      </w:r>
      <w:bookmarkEnd w:id="44"/>
    </w:p>
    <w:p w14:paraId="38503D4D" w14:textId="77777777" w:rsidR="00D24261" w:rsidRDefault="00D24261" w:rsidP="00D24261">
      <w:pPr>
        <w:pStyle w:val="3-BodyText"/>
        <w:spacing w:after="0"/>
        <w:rPr>
          <w:rFonts w:ascii="Arial Narrow" w:hAnsi="Arial Narrow"/>
          <w:sz w:val="18"/>
        </w:rPr>
      </w:pPr>
      <w:r w:rsidRPr="00E712FD">
        <w:rPr>
          <w:noProof/>
        </w:rPr>
        <w:drawing>
          <wp:inline distT="0" distB="0" distL="0" distR="0" wp14:anchorId="1B65C393" wp14:editId="789E35CF">
            <wp:extent cx="4752975" cy="2924175"/>
            <wp:effectExtent l="0" t="0" r="9525" b="9525"/>
            <wp:docPr id="2" name="Picture 2" descr="The progression free survival curves separate at 3 months with the  separation appearing to be sustained to 24 months then decreasing slightly to 27 month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progression free survival curves separate at 3 months with the  separation appearing to be sustained to 24 months then decreasing slightly to 27 months.&#10;&#10;"/>
                    <pic:cNvPicPr/>
                  </pic:nvPicPr>
                  <pic:blipFill>
                    <a:blip r:embed="rId10"/>
                    <a:stretch>
                      <a:fillRect/>
                    </a:stretch>
                  </pic:blipFill>
                  <pic:spPr>
                    <a:xfrm>
                      <a:off x="0" y="0"/>
                      <a:ext cx="4764909" cy="2931517"/>
                    </a:xfrm>
                    <a:prstGeom prst="rect">
                      <a:avLst/>
                    </a:prstGeom>
                  </pic:spPr>
                </pic:pic>
              </a:graphicData>
            </a:graphic>
          </wp:inline>
        </w:drawing>
      </w:r>
    </w:p>
    <w:p w14:paraId="794C7CEC" w14:textId="77777777" w:rsidR="00D24261" w:rsidRDefault="00D24261" w:rsidP="00D24261">
      <w:pPr>
        <w:pStyle w:val="3-BodyText"/>
        <w:spacing w:after="0"/>
        <w:rPr>
          <w:rFonts w:ascii="Arial Narrow" w:hAnsi="Arial Narrow"/>
          <w:sz w:val="18"/>
        </w:rPr>
      </w:pPr>
      <w:r w:rsidRPr="00F815BD">
        <w:rPr>
          <w:rFonts w:ascii="Arial Narrow" w:hAnsi="Arial Narrow"/>
          <w:sz w:val="18"/>
        </w:rPr>
        <w:t xml:space="preserve">Source: </w:t>
      </w:r>
      <w:r>
        <w:rPr>
          <w:rFonts w:ascii="Arial Narrow" w:hAnsi="Arial Narrow"/>
          <w:sz w:val="18"/>
        </w:rPr>
        <w:t>Figure 12, p87</w:t>
      </w:r>
      <w:r w:rsidRPr="00F815BD">
        <w:rPr>
          <w:rFonts w:ascii="Arial Narrow" w:hAnsi="Arial Narrow"/>
          <w:sz w:val="18"/>
        </w:rPr>
        <w:t xml:space="preserve"> of the submission. </w:t>
      </w:r>
    </w:p>
    <w:p w14:paraId="63C4FB84" w14:textId="4503A01B" w:rsidR="00D24261" w:rsidRDefault="00D24261" w:rsidP="000C7D22">
      <w:pPr>
        <w:pStyle w:val="3-BodyText"/>
        <w:rPr>
          <w:rStyle w:val="CommentReference"/>
          <w:rFonts w:asciiTheme="minorHAnsi" w:hAnsiTheme="minorHAnsi"/>
          <w:b w:val="0"/>
          <w:snapToGrid/>
          <w:sz w:val="24"/>
          <w:szCs w:val="24"/>
          <w:lang w:val="en-US"/>
        </w:rPr>
      </w:pPr>
    </w:p>
    <w:p w14:paraId="16F1D06C" w14:textId="341D3FEA" w:rsidR="00D24261" w:rsidRDefault="00D24261" w:rsidP="00D24261">
      <w:pPr>
        <w:pStyle w:val="TableFigureHeading"/>
      </w:pPr>
      <w:bookmarkStart w:id="45" w:name="_Ref100790913"/>
      <w:r>
        <w:lastRenderedPageBreak/>
        <w:t xml:space="preserve">Figure </w:t>
      </w:r>
      <w:fldSimple w:instr=" SEQ Figure \* ARABIC ">
        <w:r w:rsidR="00633460">
          <w:rPr>
            <w:noProof/>
          </w:rPr>
          <w:t>5</w:t>
        </w:r>
      </w:fldSimple>
      <w:bookmarkEnd w:id="45"/>
      <w:r>
        <w:t xml:space="preserve">: </w:t>
      </w:r>
      <w:r w:rsidRPr="00D44C5E">
        <w:t>KM analysis of PFS in CA209067 trial (</w:t>
      </w:r>
      <w:r w:rsidRPr="00481546">
        <w:t xml:space="preserve">Data cut-off: </w:t>
      </w:r>
      <w:r>
        <w:t>October 2020</w:t>
      </w:r>
      <w:r w:rsidRPr="00D44C5E">
        <w:t>)</w:t>
      </w:r>
    </w:p>
    <w:p w14:paraId="55D56E10" w14:textId="77777777" w:rsidR="00D24261" w:rsidRDefault="00D24261" w:rsidP="00D24261">
      <w:pPr>
        <w:pStyle w:val="3-BodyText"/>
        <w:spacing w:after="0"/>
        <w:rPr>
          <w:snapToGrid/>
          <w:lang w:val="en-US"/>
        </w:rPr>
      </w:pPr>
      <w:r w:rsidRPr="00C1418A">
        <w:rPr>
          <w:noProof/>
        </w:rPr>
        <w:drawing>
          <wp:inline distT="0" distB="0" distL="0" distR="0" wp14:anchorId="4380E5A8" wp14:editId="201DDD06">
            <wp:extent cx="5147945" cy="3209925"/>
            <wp:effectExtent l="0" t="0" r="0" b="9525"/>
            <wp:docPr id="83" name="Picture 83" descr="Figure 5 shows the 3 progression free survival curves separating at 3 months and all 3 curves plateauing around 12 months with the  separation appearing to be sustained to 78 months&#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Figure 5 shows the 3 progression free survival curves separating at 3 months and all 3 curves plateauing around 12 months with the  separation appearing to be sustained to 78 months&#10;&#10;&#10;"/>
                    <pic:cNvPicPr/>
                  </pic:nvPicPr>
                  <pic:blipFill>
                    <a:blip r:embed="rId11"/>
                    <a:stretch>
                      <a:fillRect/>
                    </a:stretch>
                  </pic:blipFill>
                  <pic:spPr>
                    <a:xfrm>
                      <a:off x="0" y="0"/>
                      <a:ext cx="5188020" cy="3234913"/>
                    </a:xfrm>
                    <a:prstGeom prst="rect">
                      <a:avLst/>
                    </a:prstGeom>
                  </pic:spPr>
                </pic:pic>
              </a:graphicData>
            </a:graphic>
          </wp:inline>
        </w:drawing>
      </w:r>
    </w:p>
    <w:p w14:paraId="77EC49CE" w14:textId="77777777" w:rsidR="00D24261" w:rsidRDefault="00D24261" w:rsidP="00D24261">
      <w:pPr>
        <w:pStyle w:val="3-BodyText"/>
        <w:spacing w:after="0"/>
        <w:rPr>
          <w:rFonts w:ascii="Arial Narrow" w:hAnsi="Arial Narrow"/>
          <w:sz w:val="18"/>
        </w:rPr>
      </w:pPr>
      <w:r w:rsidRPr="00F815BD">
        <w:rPr>
          <w:rFonts w:ascii="Arial Narrow" w:hAnsi="Arial Narrow"/>
          <w:sz w:val="18"/>
        </w:rPr>
        <w:t xml:space="preserve">Source: </w:t>
      </w:r>
      <w:r>
        <w:rPr>
          <w:rFonts w:ascii="Arial Narrow" w:hAnsi="Arial Narrow"/>
          <w:sz w:val="18"/>
        </w:rPr>
        <w:t>Figure 24, p100</w:t>
      </w:r>
      <w:r w:rsidRPr="00F815BD">
        <w:rPr>
          <w:rFonts w:ascii="Arial Narrow" w:hAnsi="Arial Narrow"/>
          <w:sz w:val="18"/>
        </w:rPr>
        <w:t xml:space="preserve"> of the submission. </w:t>
      </w:r>
    </w:p>
    <w:p w14:paraId="0C7D3CA9" w14:textId="6C4305F9" w:rsidR="00D24261" w:rsidRPr="00DA0E1D" w:rsidRDefault="0012670A" w:rsidP="00FF7C74">
      <w:pPr>
        <w:pStyle w:val="3-BodyText"/>
        <w:numPr>
          <w:ilvl w:val="1"/>
          <w:numId w:val="1"/>
        </w:numPr>
        <w:spacing w:before="120"/>
        <w:rPr>
          <w:snapToGrid/>
          <w:lang w:val="en-US"/>
        </w:rPr>
      </w:pPr>
      <w:bookmarkStart w:id="46" w:name="_Hlk103182863"/>
      <w:r w:rsidRPr="000C6AF0">
        <w:rPr>
          <w:rStyle w:val="CommentReference"/>
          <w:rFonts w:asciiTheme="minorHAnsi" w:hAnsiTheme="minorHAnsi"/>
          <w:b w:val="0"/>
          <w:snapToGrid/>
          <w:sz w:val="24"/>
          <w:szCs w:val="24"/>
          <w:lang w:val="en-US"/>
        </w:rPr>
        <w:t xml:space="preserve">The separation of the PFS curves occurred at approximately 3 months </w:t>
      </w:r>
      <w:r>
        <w:rPr>
          <w:rStyle w:val="CommentReference"/>
          <w:rFonts w:asciiTheme="minorHAnsi" w:hAnsiTheme="minorHAnsi"/>
          <w:b w:val="0"/>
          <w:snapToGrid/>
          <w:sz w:val="24"/>
          <w:szCs w:val="24"/>
          <w:lang w:val="en-US"/>
        </w:rPr>
        <w:t xml:space="preserve">in both trials </w:t>
      </w:r>
      <w:r w:rsidRPr="000C6AF0">
        <w:rPr>
          <w:rStyle w:val="CommentReference"/>
          <w:rFonts w:asciiTheme="minorHAnsi" w:hAnsiTheme="minorHAnsi"/>
          <w:b w:val="0"/>
          <w:snapToGrid/>
          <w:sz w:val="24"/>
          <w:szCs w:val="24"/>
          <w:lang w:val="en-US"/>
        </w:rPr>
        <w:t xml:space="preserve">and </w:t>
      </w:r>
      <w:r>
        <w:rPr>
          <w:rStyle w:val="CommentReference"/>
          <w:rFonts w:asciiTheme="minorHAnsi" w:hAnsiTheme="minorHAnsi"/>
          <w:b w:val="0"/>
          <w:snapToGrid/>
          <w:sz w:val="24"/>
          <w:szCs w:val="24"/>
          <w:lang w:val="en-US"/>
        </w:rPr>
        <w:t xml:space="preserve">appeared to be </w:t>
      </w:r>
      <w:r w:rsidRPr="000C6AF0">
        <w:rPr>
          <w:rStyle w:val="CommentReference"/>
          <w:rFonts w:asciiTheme="minorHAnsi" w:hAnsiTheme="minorHAnsi"/>
          <w:b w:val="0"/>
          <w:snapToGrid/>
          <w:sz w:val="24"/>
          <w:szCs w:val="24"/>
          <w:lang w:val="en-US"/>
        </w:rPr>
        <w:t>sustained</w:t>
      </w:r>
      <w:r w:rsidR="000C7D22">
        <w:rPr>
          <w:rStyle w:val="CommentReference"/>
          <w:rFonts w:asciiTheme="minorHAnsi" w:hAnsiTheme="minorHAnsi"/>
          <w:b w:val="0"/>
          <w:snapToGrid/>
          <w:sz w:val="24"/>
          <w:szCs w:val="24"/>
          <w:lang w:val="en-US"/>
        </w:rPr>
        <w:t>.</w:t>
      </w:r>
    </w:p>
    <w:bookmarkEnd w:id="46"/>
    <w:p w14:paraId="3B8CE647" w14:textId="77777777" w:rsidR="00D24261" w:rsidRPr="00DA0E1D" w:rsidRDefault="00D24261" w:rsidP="00D24261">
      <w:pPr>
        <w:pStyle w:val="3-BodyText"/>
        <w:rPr>
          <w:rStyle w:val="CommentReference"/>
          <w:rFonts w:asciiTheme="minorHAnsi" w:hAnsiTheme="minorHAnsi"/>
          <w:b w:val="0"/>
          <w:snapToGrid/>
          <w:sz w:val="24"/>
          <w:szCs w:val="24"/>
          <w:u w:val="single"/>
          <w:lang w:val="en-US"/>
        </w:rPr>
      </w:pPr>
      <w:r w:rsidRPr="00DA0E1D">
        <w:rPr>
          <w:rStyle w:val="CommentReference"/>
          <w:rFonts w:asciiTheme="minorHAnsi" w:hAnsiTheme="minorHAnsi"/>
          <w:b w:val="0"/>
          <w:snapToGrid/>
          <w:sz w:val="24"/>
          <w:szCs w:val="24"/>
          <w:u w:val="single"/>
          <w:lang w:val="en-US"/>
        </w:rPr>
        <w:t>Overall Response Rate</w:t>
      </w:r>
    </w:p>
    <w:p w14:paraId="276B0531" w14:textId="491AB909" w:rsidR="00D24261" w:rsidRPr="001F6E92" w:rsidRDefault="00D24261" w:rsidP="00D24261">
      <w:pPr>
        <w:pStyle w:val="3-BodyText"/>
        <w:numPr>
          <w:ilvl w:val="1"/>
          <w:numId w:val="1"/>
        </w:numPr>
        <w:rPr>
          <w:snapToGrid/>
        </w:rPr>
      </w:pPr>
      <w:r w:rsidRPr="00DA0E1D">
        <w:rPr>
          <w:snapToGrid/>
        </w:rPr>
        <w:t xml:space="preserve">A summary of the ORR results across </w:t>
      </w:r>
      <w:r w:rsidR="00DC242E">
        <w:rPr>
          <w:snapToGrid/>
        </w:rPr>
        <w:t xml:space="preserve">the </w:t>
      </w:r>
      <w:r w:rsidRPr="00DA0E1D">
        <w:rPr>
          <w:snapToGrid/>
        </w:rPr>
        <w:t xml:space="preserve">CA224047 and CA209067 </w:t>
      </w:r>
      <w:r w:rsidR="00DC242E">
        <w:rPr>
          <w:snapToGrid/>
        </w:rPr>
        <w:t xml:space="preserve">trials </w:t>
      </w:r>
      <w:r w:rsidRPr="00DA0E1D">
        <w:rPr>
          <w:snapToGrid/>
        </w:rPr>
        <w:t>is provided</w:t>
      </w:r>
      <w:r>
        <w:rPr>
          <w:snapToGrid/>
        </w:rPr>
        <w:t xml:space="preserve"> in </w:t>
      </w:r>
      <w:r>
        <w:rPr>
          <w:snapToGrid/>
        </w:rPr>
        <w:fldChar w:fldCharType="begin"/>
      </w:r>
      <w:r>
        <w:rPr>
          <w:snapToGrid/>
        </w:rPr>
        <w:instrText xml:space="preserve"> REF _Ref100927013 \h  \* MERGEFORMAT </w:instrText>
      </w:r>
      <w:r>
        <w:rPr>
          <w:snapToGrid/>
        </w:rPr>
      </w:r>
      <w:r>
        <w:rPr>
          <w:snapToGrid/>
        </w:rPr>
        <w:fldChar w:fldCharType="separate"/>
      </w:r>
      <w:r w:rsidR="00633460" w:rsidRPr="00633460">
        <w:rPr>
          <w:snapToGrid/>
        </w:rPr>
        <w:t>Table 6</w:t>
      </w:r>
      <w:r>
        <w:rPr>
          <w:snapToGrid/>
        </w:rPr>
        <w:fldChar w:fldCharType="end"/>
      </w:r>
      <w:r>
        <w:rPr>
          <w:snapToGrid/>
        </w:rPr>
        <w:t>.</w:t>
      </w:r>
    </w:p>
    <w:p w14:paraId="4FB2E2A5" w14:textId="3536BA1A" w:rsidR="00D24261" w:rsidRPr="001F6E92" w:rsidRDefault="00D24261" w:rsidP="00D24261">
      <w:pPr>
        <w:pStyle w:val="Caption"/>
        <w:keepNext/>
        <w:spacing w:after="0"/>
        <w:rPr>
          <w:rStyle w:val="CommentReference"/>
          <w:b/>
          <w:bCs w:val="0"/>
          <w:color w:val="000000" w:themeColor="text1"/>
        </w:rPr>
      </w:pPr>
      <w:bookmarkStart w:id="47" w:name="_Ref100927013"/>
      <w:r w:rsidRPr="001F6E92">
        <w:rPr>
          <w:rStyle w:val="CommentReference"/>
          <w:b/>
          <w:bCs w:val="0"/>
          <w:color w:val="000000" w:themeColor="text1"/>
        </w:rPr>
        <w:t xml:space="preserve">Table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6</w:t>
      </w:r>
      <w:r>
        <w:rPr>
          <w:rStyle w:val="CommentReference"/>
          <w:b/>
          <w:bCs w:val="0"/>
          <w:color w:val="000000" w:themeColor="text1"/>
        </w:rPr>
        <w:fldChar w:fldCharType="end"/>
      </w:r>
      <w:bookmarkEnd w:id="47"/>
      <w:r w:rsidRPr="001F6E92">
        <w:rPr>
          <w:rStyle w:val="CommentReference"/>
          <w:b/>
          <w:bCs w:val="0"/>
          <w:color w:val="000000" w:themeColor="text1"/>
        </w:rPr>
        <w:t>: Results of ORR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ults of ORR across the trials"/>
      </w:tblPr>
      <w:tblGrid>
        <w:gridCol w:w="3399"/>
        <w:gridCol w:w="1419"/>
        <w:gridCol w:w="1417"/>
        <w:gridCol w:w="1417"/>
        <w:gridCol w:w="1365"/>
      </w:tblGrid>
      <w:tr w:rsidR="00D24261" w14:paraId="2FC23807" w14:textId="77777777" w:rsidTr="002D7025">
        <w:tc>
          <w:tcPr>
            <w:tcW w:w="1884" w:type="pct"/>
            <w:vMerge w:val="restart"/>
            <w:tcBorders>
              <w:top w:val="single" w:sz="4" w:space="0" w:color="auto"/>
              <w:left w:val="single" w:sz="4" w:space="0" w:color="auto"/>
              <w:bottom w:val="single" w:sz="4" w:space="0" w:color="auto"/>
              <w:right w:val="single" w:sz="4" w:space="0" w:color="auto"/>
            </w:tcBorders>
            <w:vAlign w:val="center"/>
          </w:tcPr>
          <w:p w14:paraId="1CADB679" w14:textId="77777777" w:rsidR="00D24261" w:rsidRDefault="00D24261" w:rsidP="00E730EF">
            <w:pPr>
              <w:keepNext/>
              <w:jc w:val="left"/>
              <w:rPr>
                <w:rFonts w:ascii="Arial Narrow" w:hAnsi="Arial Narrow" w:cs="Times New Roman"/>
                <w:b/>
                <w:sz w:val="20"/>
                <w:lang w:val="en-US"/>
              </w:rPr>
            </w:pPr>
          </w:p>
        </w:tc>
        <w:tc>
          <w:tcPr>
            <w:tcW w:w="1573" w:type="pct"/>
            <w:gridSpan w:val="2"/>
            <w:tcBorders>
              <w:top w:val="single" w:sz="4" w:space="0" w:color="auto"/>
              <w:left w:val="single" w:sz="4" w:space="0" w:color="auto"/>
              <w:bottom w:val="single" w:sz="4" w:space="0" w:color="auto"/>
              <w:right w:val="single" w:sz="4" w:space="0" w:color="auto"/>
            </w:tcBorders>
            <w:vAlign w:val="center"/>
            <w:hideMark/>
          </w:tcPr>
          <w:p w14:paraId="4F3E1453"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CA224047</w:t>
            </w:r>
          </w:p>
        </w:tc>
        <w:tc>
          <w:tcPr>
            <w:tcW w:w="1544" w:type="pct"/>
            <w:gridSpan w:val="2"/>
            <w:tcBorders>
              <w:top w:val="single" w:sz="4" w:space="0" w:color="auto"/>
              <w:left w:val="single" w:sz="4" w:space="0" w:color="auto"/>
              <w:bottom w:val="single" w:sz="4" w:space="0" w:color="auto"/>
              <w:right w:val="single" w:sz="4" w:space="0" w:color="auto"/>
            </w:tcBorders>
            <w:vAlign w:val="center"/>
            <w:hideMark/>
          </w:tcPr>
          <w:p w14:paraId="1B9EA239"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CA209067</w:t>
            </w:r>
          </w:p>
        </w:tc>
      </w:tr>
      <w:tr w:rsidR="00D24261" w14:paraId="395A96BA" w14:textId="77777777" w:rsidTr="002D7025">
        <w:tc>
          <w:tcPr>
            <w:tcW w:w="1884" w:type="pct"/>
            <w:vMerge/>
            <w:tcBorders>
              <w:top w:val="single" w:sz="4" w:space="0" w:color="auto"/>
              <w:left w:val="single" w:sz="4" w:space="0" w:color="auto"/>
              <w:bottom w:val="single" w:sz="4" w:space="0" w:color="auto"/>
              <w:right w:val="single" w:sz="4" w:space="0" w:color="auto"/>
            </w:tcBorders>
            <w:vAlign w:val="center"/>
            <w:hideMark/>
          </w:tcPr>
          <w:p w14:paraId="48EC3DC8" w14:textId="77777777" w:rsidR="00D24261" w:rsidRDefault="00D24261" w:rsidP="00E730EF">
            <w:pPr>
              <w:jc w:val="left"/>
              <w:rPr>
                <w:rFonts w:ascii="Arial Narrow" w:hAnsi="Arial Narrow" w:cs="Times New Roman"/>
                <w:b/>
                <w:sz w:val="20"/>
                <w:lang w:val="en-US"/>
              </w:rPr>
            </w:pPr>
          </w:p>
        </w:tc>
        <w:tc>
          <w:tcPr>
            <w:tcW w:w="787" w:type="pct"/>
            <w:tcBorders>
              <w:top w:val="single" w:sz="4" w:space="0" w:color="auto"/>
              <w:left w:val="single" w:sz="4" w:space="0" w:color="auto"/>
              <w:bottom w:val="single" w:sz="4" w:space="0" w:color="auto"/>
              <w:right w:val="single" w:sz="4" w:space="0" w:color="auto"/>
            </w:tcBorders>
            <w:vAlign w:val="center"/>
            <w:hideMark/>
          </w:tcPr>
          <w:p w14:paraId="2A0B084F"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RELA+NIVO</w:t>
            </w:r>
          </w:p>
          <w:p w14:paraId="044A92B3"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n (%)</w:t>
            </w:r>
          </w:p>
        </w:tc>
        <w:tc>
          <w:tcPr>
            <w:tcW w:w="786" w:type="pct"/>
            <w:tcBorders>
              <w:top w:val="single" w:sz="4" w:space="0" w:color="auto"/>
              <w:left w:val="single" w:sz="4" w:space="0" w:color="auto"/>
              <w:bottom w:val="single" w:sz="4" w:space="0" w:color="auto"/>
              <w:right w:val="single" w:sz="4" w:space="0" w:color="auto"/>
            </w:tcBorders>
            <w:vAlign w:val="center"/>
            <w:hideMark/>
          </w:tcPr>
          <w:p w14:paraId="3BEA81E5"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Nivolumab</w:t>
            </w:r>
          </w:p>
          <w:p w14:paraId="2E85EFC1"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n (%)</w:t>
            </w:r>
          </w:p>
        </w:tc>
        <w:tc>
          <w:tcPr>
            <w:tcW w:w="786" w:type="pct"/>
            <w:tcBorders>
              <w:top w:val="single" w:sz="4" w:space="0" w:color="auto"/>
              <w:left w:val="single" w:sz="4" w:space="0" w:color="auto"/>
              <w:bottom w:val="single" w:sz="4" w:space="0" w:color="auto"/>
              <w:right w:val="single" w:sz="4" w:space="0" w:color="auto"/>
            </w:tcBorders>
            <w:vAlign w:val="center"/>
            <w:hideMark/>
          </w:tcPr>
          <w:p w14:paraId="634B967A"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NIVO+IPI</w:t>
            </w:r>
          </w:p>
          <w:p w14:paraId="65D8BE94"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n (%)</w:t>
            </w:r>
          </w:p>
        </w:tc>
        <w:tc>
          <w:tcPr>
            <w:tcW w:w="758" w:type="pct"/>
            <w:tcBorders>
              <w:top w:val="single" w:sz="4" w:space="0" w:color="auto"/>
              <w:left w:val="single" w:sz="4" w:space="0" w:color="auto"/>
              <w:bottom w:val="single" w:sz="4" w:space="0" w:color="auto"/>
              <w:right w:val="single" w:sz="4" w:space="0" w:color="auto"/>
            </w:tcBorders>
            <w:vAlign w:val="center"/>
            <w:hideMark/>
          </w:tcPr>
          <w:p w14:paraId="4714220F"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Nivolumab</w:t>
            </w:r>
          </w:p>
          <w:p w14:paraId="6A6B81AC" w14:textId="77777777" w:rsidR="00D24261" w:rsidRDefault="00D24261" w:rsidP="00E730EF">
            <w:pPr>
              <w:keepNext/>
              <w:jc w:val="center"/>
              <w:rPr>
                <w:rFonts w:ascii="Arial Narrow" w:hAnsi="Arial Narrow" w:cs="Times New Roman"/>
                <w:b/>
                <w:sz w:val="20"/>
                <w:lang w:val="en-US"/>
              </w:rPr>
            </w:pPr>
            <w:r>
              <w:rPr>
                <w:rFonts w:ascii="Arial Narrow" w:hAnsi="Arial Narrow" w:cs="Times New Roman"/>
                <w:b/>
                <w:sz w:val="20"/>
                <w:lang w:val="en-US"/>
              </w:rPr>
              <w:t>n (%)</w:t>
            </w:r>
          </w:p>
        </w:tc>
      </w:tr>
      <w:tr w:rsidR="00D24261" w14:paraId="081629B7" w14:textId="77777777" w:rsidTr="002D7025">
        <w:tc>
          <w:tcPr>
            <w:tcW w:w="1884" w:type="pct"/>
            <w:tcBorders>
              <w:top w:val="single" w:sz="4" w:space="0" w:color="auto"/>
              <w:left w:val="single" w:sz="4" w:space="0" w:color="auto"/>
              <w:bottom w:val="single" w:sz="4" w:space="0" w:color="auto"/>
              <w:right w:val="single" w:sz="4" w:space="0" w:color="auto"/>
            </w:tcBorders>
          </w:tcPr>
          <w:p w14:paraId="63551EFB" w14:textId="77777777" w:rsidR="00D24261" w:rsidRPr="00C9728E" w:rsidRDefault="00D24261" w:rsidP="00E730EF">
            <w:pPr>
              <w:keepNext/>
              <w:jc w:val="left"/>
              <w:rPr>
                <w:rFonts w:ascii="Arial Narrow" w:hAnsi="Arial Narrow" w:cs="Times New Roman"/>
                <w:bCs/>
                <w:sz w:val="20"/>
                <w:lang w:val="en-US"/>
              </w:rPr>
            </w:pPr>
            <w:r w:rsidRPr="00C9728E">
              <w:rPr>
                <w:rFonts w:ascii="Arial Narrow" w:hAnsi="Arial Narrow" w:cs="Times New Roman"/>
                <w:bCs/>
                <w:sz w:val="20"/>
                <w:lang w:val="en-US"/>
              </w:rPr>
              <w:t>Complete response</w:t>
            </w:r>
          </w:p>
        </w:tc>
        <w:tc>
          <w:tcPr>
            <w:tcW w:w="787" w:type="pct"/>
            <w:tcBorders>
              <w:top w:val="single" w:sz="4" w:space="0" w:color="auto"/>
              <w:left w:val="single" w:sz="4" w:space="0" w:color="auto"/>
              <w:bottom w:val="single" w:sz="4" w:space="0" w:color="auto"/>
              <w:right w:val="single" w:sz="4" w:space="0" w:color="auto"/>
            </w:tcBorders>
          </w:tcPr>
          <w:p w14:paraId="539272FA"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58 (16.3%)</w:t>
            </w:r>
          </w:p>
        </w:tc>
        <w:tc>
          <w:tcPr>
            <w:tcW w:w="786" w:type="pct"/>
            <w:tcBorders>
              <w:top w:val="single" w:sz="4" w:space="0" w:color="auto"/>
              <w:left w:val="single" w:sz="4" w:space="0" w:color="auto"/>
              <w:bottom w:val="single" w:sz="4" w:space="0" w:color="auto"/>
              <w:right w:val="single" w:sz="4" w:space="0" w:color="auto"/>
            </w:tcBorders>
          </w:tcPr>
          <w:p w14:paraId="3451BAF6"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51 (14.2%)</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E7E368D"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36 (11.5%)</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AFF8822"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28 (8.9%)</w:t>
            </w:r>
          </w:p>
        </w:tc>
      </w:tr>
      <w:tr w:rsidR="00D24261" w14:paraId="754D032B" w14:textId="77777777" w:rsidTr="002D7025">
        <w:tc>
          <w:tcPr>
            <w:tcW w:w="1884" w:type="pct"/>
            <w:tcBorders>
              <w:top w:val="single" w:sz="4" w:space="0" w:color="auto"/>
              <w:left w:val="single" w:sz="4" w:space="0" w:color="auto"/>
              <w:bottom w:val="single" w:sz="4" w:space="0" w:color="auto"/>
              <w:right w:val="single" w:sz="4" w:space="0" w:color="auto"/>
            </w:tcBorders>
          </w:tcPr>
          <w:p w14:paraId="554B0F25" w14:textId="77777777" w:rsidR="00D24261" w:rsidRPr="00C9728E" w:rsidRDefault="00D24261" w:rsidP="00E730EF">
            <w:pPr>
              <w:keepNext/>
              <w:jc w:val="left"/>
              <w:rPr>
                <w:rFonts w:ascii="Arial Narrow" w:hAnsi="Arial Narrow" w:cs="Times New Roman"/>
                <w:bCs/>
                <w:sz w:val="20"/>
                <w:lang w:val="en-US"/>
              </w:rPr>
            </w:pPr>
            <w:r w:rsidRPr="00C9728E">
              <w:rPr>
                <w:rFonts w:ascii="Arial Narrow" w:hAnsi="Arial Narrow" w:cs="Times New Roman"/>
                <w:bCs/>
                <w:sz w:val="20"/>
                <w:lang w:val="en-US"/>
              </w:rPr>
              <w:t>Partial response</w:t>
            </w:r>
          </w:p>
        </w:tc>
        <w:tc>
          <w:tcPr>
            <w:tcW w:w="787" w:type="pct"/>
            <w:tcBorders>
              <w:top w:val="single" w:sz="4" w:space="0" w:color="auto"/>
              <w:left w:val="single" w:sz="4" w:space="0" w:color="auto"/>
              <w:bottom w:val="single" w:sz="4" w:space="0" w:color="auto"/>
              <w:right w:val="single" w:sz="4" w:space="0" w:color="auto"/>
            </w:tcBorders>
          </w:tcPr>
          <w:p w14:paraId="3B90EB17"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95 (26.8%)</w:t>
            </w:r>
          </w:p>
        </w:tc>
        <w:tc>
          <w:tcPr>
            <w:tcW w:w="786" w:type="pct"/>
            <w:tcBorders>
              <w:top w:val="single" w:sz="4" w:space="0" w:color="auto"/>
              <w:left w:val="single" w:sz="4" w:space="0" w:color="auto"/>
              <w:bottom w:val="single" w:sz="4" w:space="0" w:color="auto"/>
              <w:right w:val="single" w:sz="4" w:space="0" w:color="auto"/>
            </w:tcBorders>
          </w:tcPr>
          <w:p w14:paraId="4197935E"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66 (18.4%)</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6EFD57F6"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145 (46.2%)</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082457E8"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110 (34.8%)</w:t>
            </w:r>
          </w:p>
        </w:tc>
      </w:tr>
      <w:tr w:rsidR="00D24261" w14:paraId="22C70BCE" w14:textId="77777777" w:rsidTr="002D7025">
        <w:tc>
          <w:tcPr>
            <w:tcW w:w="1884" w:type="pct"/>
            <w:tcBorders>
              <w:top w:val="single" w:sz="4" w:space="0" w:color="auto"/>
              <w:left w:val="single" w:sz="4" w:space="0" w:color="auto"/>
              <w:bottom w:val="single" w:sz="4" w:space="0" w:color="auto"/>
              <w:right w:val="single" w:sz="4" w:space="0" w:color="auto"/>
            </w:tcBorders>
          </w:tcPr>
          <w:p w14:paraId="267F890D" w14:textId="77777777" w:rsidR="00D24261" w:rsidRPr="00C9728E" w:rsidRDefault="00D24261" w:rsidP="00E730EF">
            <w:pPr>
              <w:keepNext/>
              <w:jc w:val="left"/>
              <w:rPr>
                <w:rFonts w:ascii="Arial Narrow" w:hAnsi="Arial Narrow" w:cs="Times New Roman"/>
                <w:bCs/>
                <w:sz w:val="20"/>
                <w:lang w:val="en-US"/>
              </w:rPr>
            </w:pPr>
            <w:r w:rsidRPr="00C9728E">
              <w:rPr>
                <w:rFonts w:ascii="Arial Narrow" w:hAnsi="Arial Narrow" w:cs="Times New Roman"/>
                <w:bCs/>
                <w:sz w:val="20"/>
                <w:lang w:val="en-US"/>
              </w:rPr>
              <w:t>Stable disease</w:t>
            </w:r>
          </w:p>
        </w:tc>
        <w:tc>
          <w:tcPr>
            <w:tcW w:w="787" w:type="pct"/>
            <w:tcBorders>
              <w:top w:val="single" w:sz="4" w:space="0" w:color="auto"/>
              <w:left w:val="single" w:sz="4" w:space="0" w:color="auto"/>
              <w:bottom w:val="single" w:sz="4" w:space="0" w:color="auto"/>
              <w:right w:val="single" w:sz="4" w:space="0" w:color="auto"/>
            </w:tcBorders>
          </w:tcPr>
          <w:p w14:paraId="05B97817"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61 (17.2%)</w:t>
            </w:r>
          </w:p>
        </w:tc>
        <w:tc>
          <w:tcPr>
            <w:tcW w:w="786" w:type="pct"/>
            <w:tcBorders>
              <w:top w:val="single" w:sz="4" w:space="0" w:color="auto"/>
              <w:left w:val="single" w:sz="4" w:space="0" w:color="auto"/>
              <w:bottom w:val="single" w:sz="4" w:space="0" w:color="auto"/>
              <w:right w:val="single" w:sz="4" w:space="0" w:color="auto"/>
            </w:tcBorders>
          </w:tcPr>
          <w:p w14:paraId="3740BEF5"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59 (16.4%)</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49EA841C"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41 (13.1%)</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44DB0E79"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34 (10.8%)</w:t>
            </w:r>
          </w:p>
        </w:tc>
      </w:tr>
      <w:tr w:rsidR="00D24261" w14:paraId="283978D0" w14:textId="77777777" w:rsidTr="002D7025">
        <w:tc>
          <w:tcPr>
            <w:tcW w:w="1884" w:type="pct"/>
            <w:tcBorders>
              <w:top w:val="single" w:sz="4" w:space="0" w:color="auto"/>
              <w:left w:val="single" w:sz="4" w:space="0" w:color="auto"/>
              <w:bottom w:val="single" w:sz="4" w:space="0" w:color="auto"/>
              <w:right w:val="single" w:sz="4" w:space="0" w:color="auto"/>
            </w:tcBorders>
          </w:tcPr>
          <w:p w14:paraId="491C9B21" w14:textId="77777777" w:rsidR="00D24261" w:rsidRPr="00C9728E" w:rsidRDefault="00D24261" w:rsidP="00E730EF">
            <w:pPr>
              <w:keepNext/>
              <w:jc w:val="left"/>
              <w:rPr>
                <w:rFonts w:ascii="Arial Narrow" w:hAnsi="Arial Narrow" w:cs="Times New Roman"/>
                <w:bCs/>
                <w:sz w:val="20"/>
                <w:lang w:val="en-US"/>
              </w:rPr>
            </w:pPr>
            <w:r w:rsidRPr="00C9728E">
              <w:rPr>
                <w:rFonts w:ascii="Arial Narrow" w:hAnsi="Arial Narrow" w:cs="Times New Roman"/>
                <w:bCs/>
                <w:sz w:val="20"/>
                <w:lang w:val="en-US"/>
              </w:rPr>
              <w:t>Non-complete response or non-progressive disease</w:t>
            </w:r>
          </w:p>
        </w:tc>
        <w:tc>
          <w:tcPr>
            <w:tcW w:w="787" w:type="pct"/>
            <w:tcBorders>
              <w:top w:val="single" w:sz="4" w:space="0" w:color="auto"/>
              <w:left w:val="single" w:sz="4" w:space="0" w:color="auto"/>
              <w:bottom w:val="single" w:sz="4" w:space="0" w:color="auto"/>
              <w:right w:val="single" w:sz="4" w:space="0" w:color="auto"/>
            </w:tcBorders>
            <w:vAlign w:val="center"/>
          </w:tcPr>
          <w:p w14:paraId="69780ACA"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9 (2.5%)</w:t>
            </w:r>
          </w:p>
        </w:tc>
        <w:tc>
          <w:tcPr>
            <w:tcW w:w="786" w:type="pct"/>
            <w:tcBorders>
              <w:top w:val="single" w:sz="4" w:space="0" w:color="auto"/>
              <w:left w:val="single" w:sz="4" w:space="0" w:color="auto"/>
              <w:bottom w:val="single" w:sz="4" w:space="0" w:color="auto"/>
              <w:right w:val="single" w:sz="4" w:space="0" w:color="auto"/>
            </w:tcBorders>
            <w:vAlign w:val="center"/>
          </w:tcPr>
          <w:p w14:paraId="3D42E45D"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6 (1.7%)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A3F9CBA" w14:textId="77777777" w:rsidR="00D24261" w:rsidRDefault="00D24261" w:rsidP="00E730EF">
            <w:pPr>
              <w:keepNext/>
              <w:jc w:val="center"/>
              <w:rPr>
                <w:rFonts w:ascii="Arial Narrow" w:hAnsi="Arial Narrow" w:cs="Times New Roman"/>
                <w:bCs/>
                <w:sz w:val="20"/>
              </w:rPr>
            </w:pPr>
            <w:r>
              <w:rPr>
                <w:rFonts w:ascii="Arial Narrow" w:hAnsi="Arial Narrow" w:cs="Times New Roman"/>
                <w:bCs/>
                <w:sz w:val="20"/>
              </w:rPr>
              <w:t>NR</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056C565A" w14:textId="77777777" w:rsidR="00D24261" w:rsidRDefault="00D24261" w:rsidP="00E730EF">
            <w:pPr>
              <w:keepNext/>
              <w:jc w:val="center"/>
              <w:rPr>
                <w:rFonts w:ascii="Arial Narrow" w:hAnsi="Arial Narrow" w:cs="Times New Roman"/>
                <w:bCs/>
                <w:sz w:val="20"/>
              </w:rPr>
            </w:pPr>
            <w:r>
              <w:rPr>
                <w:rFonts w:ascii="Arial Narrow" w:hAnsi="Arial Narrow" w:cs="Times New Roman"/>
                <w:bCs/>
                <w:sz w:val="20"/>
              </w:rPr>
              <w:t>NR</w:t>
            </w:r>
          </w:p>
        </w:tc>
      </w:tr>
      <w:tr w:rsidR="00D24261" w14:paraId="55512079" w14:textId="77777777" w:rsidTr="002D7025">
        <w:tc>
          <w:tcPr>
            <w:tcW w:w="1884" w:type="pct"/>
            <w:tcBorders>
              <w:top w:val="single" w:sz="4" w:space="0" w:color="auto"/>
              <w:left w:val="single" w:sz="4" w:space="0" w:color="auto"/>
              <w:bottom w:val="single" w:sz="4" w:space="0" w:color="auto"/>
              <w:right w:val="single" w:sz="4" w:space="0" w:color="auto"/>
            </w:tcBorders>
          </w:tcPr>
          <w:p w14:paraId="3FDC8D4B" w14:textId="77777777" w:rsidR="00D24261" w:rsidRPr="00C9728E" w:rsidRDefault="00D24261" w:rsidP="00E730EF">
            <w:pPr>
              <w:keepNext/>
              <w:jc w:val="left"/>
              <w:rPr>
                <w:rFonts w:ascii="Arial Narrow" w:hAnsi="Arial Narrow" w:cs="Times New Roman"/>
                <w:bCs/>
                <w:sz w:val="20"/>
                <w:lang w:val="en-US"/>
              </w:rPr>
            </w:pPr>
            <w:r w:rsidRPr="00C9728E">
              <w:rPr>
                <w:rFonts w:ascii="Arial Narrow" w:hAnsi="Arial Narrow" w:cs="Times New Roman"/>
                <w:bCs/>
                <w:sz w:val="20"/>
                <w:lang w:val="en-US"/>
              </w:rPr>
              <w:t>Progressive disease</w:t>
            </w:r>
          </w:p>
        </w:tc>
        <w:tc>
          <w:tcPr>
            <w:tcW w:w="787" w:type="pct"/>
            <w:tcBorders>
              <w:top w:val="single" w:sz="4" w:space="0" w:color="auto"/>
              <w:left w:val="single" w:sz="4" w:space="0" w:color="auto"/>
              <w:bottom w:val="single" w:sz="4" w:space="0" w:color="auto"/>
              <w:right w:val="single" w:sz="4" w:space="0" w:color="auto"/>
            </w:tcBorders>
          </w:tcPr>
          <w:p w14:paraId="0B2545E6"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105 (29.6%)</w:t>
            </w:r>
          </w:p>
        </w:tc>
        <w:tc>
          <w:tcPr>
            <w:tcW w:w="786" w:type="pct"/>
            <w:tcBorders>
              <w:top w:val="single" w:sz="4" w:space="0" w:color="auto"/>
              <w:left w:val="single" w:sz="4" w:space="0" w:color="auto"/>
              <w:bottom w:val="single" w:sz="4" w:space="0" w:color="auto"/>
              <w:right w:val="single" w:sz="4" w:space="0" w:color="auto"/>
            </w:tcBorders>
          </w:tcPr>
          <w:p w14:paraId="2FF73F41"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149 (41.5%)</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3B426B05"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71 (22.6%)</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7E106073"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119 (37.7%)</w:t>
            </w:r>
          </w:p>
        </w:tc>
      </w:tr>
      <w:tr w:rsidR="00D24261" w14:paraId="16250002" w14:textId="77777777" w:rsidTr="002D7025">
        <w:tc>
          <w:tcPr>
            <w:tcW w:w="1884" w:type="pct"/>
            <w:tcBorders>
              <w:top w:val="single" w:sz="4" w:space="0" w:color="auto"/>
              <w:left w:val="single" w:sz="4" w:space="0" w:color="auto"/>
              <w:bottom w:val="single" w:sz="4" w:space="0" w:color="auto"/>
              <w:right w:val="single" w:sz="4" w:space="0" w:color="auto"/>
            </w:tcBorders>
          </w:tcPr>
          <w:p w14:paraId="2457B62C" w14:textId="77777777" w:rsidR="00D24261" w:rsidRPr="00C9728E" w:rsidRDefault="00D24261" w:rsidP="00E730EF">
            <w:pPr>
              <w:keepNext/>
              <w:jc w:val="left"/>
              <w:rPr>
                <w:rFonts w:ascii="Arial Narrow" w:hAnsi="Arial Narrow" w:cs="Times New Roman"/>
                <w:bCs/>
                <w:sz w:val="20"/>
                <w:lang w:val="en-US"/>
              </w:rPr>
            </w:pPr>
            <w:r w:rsidRPr="00C9728E">
              <w:rPr>
                <w:rFonts w:ascii="Arial Narrow" w:hAnsi="Arial Narrow" w:cs="Times New Roman"/>
                <w:bCs/>
                <w:sz w:val="20"/>
                <w:lang w:val="en-US"/>
              </w:rPr>
              <w:t>Unable to determine</w:t>
            </w:r>
          </w:p>
        </w:tc>
        <w:tc>
          <w:tcPr>
            <w:tcW w:w="787" w:type="pct"/>
            <w:tcBorders>
              <w:top w:val="single" w:sz="4" w:space="0" w:color="auto"/>
              <w:left w:val="single" w:sz="4" w:space="0" w:color="auto"/>
              <w:bottom w:val="single" w:sz="4" w:space="0" w:color="auto"/>
              <w:right w:val="single" w:sz="4" w:space="0" w:color="auto"/>
            </w:tcBorders>
          </w:tcPr>
          <w:p w14:paraId="53F48542"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27 (7.6%)</w:t>
            </w:r>
          </w:p>
        </w:tc>
        <w:tc>
          <w:tcPr>
            <w:tcW w:w="786" w:type="pct"/>
            <w:tcBorders>
              <w:top w:val="single" w:sz="4" w:space="0" w:color="auto"/>
              <w:left w:val="single" w:sz="4" w:space="0" w:color="auto"/>
              <w:bottom w:val="single" w:sz="4" w:space="0" w:color="auto"/>
              <w:right w:val="single" w:sz="4" w:space="0" w:color="auto"/>
            </w:tcBorders>
          </w:tcPr>
          <w:p w14:paraId="66A9158F"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28 (7.8%)</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7FACEDF4"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21 (6.7%)</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831B622"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25 (7.9%)</w:t>
            </w:r>
          </w:p>
        </w:tc>
      </w:tr>
      <w:tr w:rsidR="00D24261" w14:paraId="3446A8D0" w14:textId="77777777" w:rsidTr="002D7025">
        <w:tc>
          <w:tcPr>
            <w:tcW w:w="1884" w:type="pct"/>
            <w:tcBorders>
              <w:top w:val="single" w:sz="4" w:space="0" w:color="auto"/>
              <w:left w:val="single" w:sz="4" w:space="0" w:color="auto"/>
              <w:bottom w:val="single" w:sz="4" w:space="0" w:color="auto"/>
              <w:right w:val="single" w:sz="4" w:space="0" w:color="auto"/>
            </w:tcBorders>
            <w:vAlign w:val="center"/>
          </w:tcPr>
          <w:p w14:paraId="247E1569" w14:textId="18E9E3F8" w:rsidR="00D24261" w:rsidRPr="00C9728E" w:rsidRDefault="00D24261" w:rsidP="002D7025">
            <w:pPr>
              <w:keepNext/>
              <w:jc w:val="left"/>
              <w:rPr>
                <w:rFonts w:ascii="Arial Narrow" w:hAnsi="Arial Narrow" w:cs="Times New Roman"/>
                <w:bCs/>
                <w:sz w:val="20"/>
                <w:lang w:val="en-US"/>
              </w:rPr>
            </w:pPr>
            <w:r w:rsidRPr="00C9728E">
              <w:rPr>
                <w:rFonts w:ascii="Arial Narrow" w:hAnsi="Arial Narrow" w:cs="Times New Roman"/>
                <w:bCs/>
                <w:sz w:val="20"/>
                <w:lang w:val="en-US"/>
              </w:rPr>
              <w:t>ORR</w:t>
            </w:r>
            <w:r w:rsidR="00C027ED">
              <w:rPr>
                <w:rFonts w:ascii="Arial Narrow" w:hAnsi="Arial Narrow" w:cs="Times New Roman"/>
                <w:bCs/>
                <w:sz w:val="20"/>
                <w:lang w:val="en-US"/>
              </w:rPr>
              <w:t xml:space="preserve"> </w:t>
            </w:r>
            <w:r w:rsidR="00C027ED" w:rsidRPr="00C027ED">
              <w:rPr>
                <w:rFonts w:ascii="Arial Narrow" w:hAnsi="Arial Narrow" w:cs="Times New Roman"/>
                <w:bCs/>
                <w:sz w:val="20"/>
                <w:vertAlign w:val="superscript"/>
                <w:lang w:val="en-US"/>
              </w:rPr>
              <w:t>a</w:t>
            </w:r>
            <w:r w:rsidRPr="00C9728E">
              <w:rPr>
                <w:rFonts w:ascii="Arial Narrow" w:hAnsi="Arial Narrow" w:cs="Times New Roman"/>
                <w:bCs/>
                <w:sz w:val="20"/>
                <w:lang w:val="en-US"/>
              </w:rPr>
              <w:t xml:space="preserve">, n (%) </w:t>
            </w:r>
            <w:r>
              <w:rPr>
                <w:rFonts w:ascii="Arial Narrow" w:hAnsi="Arial Narrow" w:cs="Times New Roman"/>
                <w:bCs/>
                <w:sz w:val="20"/>
                <w:lang w:val="en-US"/>
              </w:rPr>
              <w:t>(</w:t>
            </w:r>
            <w:r w:rsidRPr="00C9728E">
              <w:rPr>
                <w:rFonts w:ascii="Arial Narrow" w:hAnsi="Arial Narrow" w:cs="Times New Roman"/>
                <w:bCs/>
                <w:sz w:val="20"/>
                <w:lang w:val="en-US"/>
              </w:rPr>
              <w:t>95% CI</w:t>
            </w:r>
            <w:r>
              <w:rPr>
                <w:rFonts w:ascii="Arial Narrow" w:hAnsi="Arial Narrow" w:cs="Times New Roman"/>
                <w:bCs/>
                <w:sz w:val="20"/>
                <w:lang w:val="en-US"/>
              </w:rPr>
              <w:t>)</w:t>
            </w:r>
          </w:p>
        </w:tc>
        <w:tc>
          <w:tcPr>
            <w:tcW w:w="787" w:type="pct"/>
            <w:tcBorders>
              <w:top w:val="single" w:sz="4" w:space="0" w:color="auto"/>
              <w:left w:val="single" w:sz="4" w:space="0" w:color="auto"/>
              <w:bottom w:val="single" w:sz="4" w:space="0" w:color="auto"/>
              <w:right w:val="single" w:sz="4" w:space="0" w:color="auto"/>
            </w:tcBorders>
          </w:tcPr>
          <w:p w14:paraId="140817F7" w14:textId="77777777" w:rsidR="00D24261"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 xml:space="preserve">153 (43.1%) </w:t>
            </w:r>
          </w:p>
          <w:p w14:paraId="158C28C3" w14:textId="77777777" w:rsidR="00D24261" w:rsidRPr="00C9728E" w:rsidRDefault="00D24261" w:rsidP="00E730EF">
            <w:pPr>
              <w:keepNext/>
              <w:jc w:val="center"/>
              <w:rPr>
                <w:rFonts w:ascii="Arial Narrow" w:hAnsi="Arial Narrow" w:cs="Times New Roman"/>
                <w:bCs/>
                <w:sz w:val="20"/>
                <w:lang w:val="en-US"/>
              </w:rPr>
            </w:pPr>
            <w:r>
              <w:rPr>
                <w:rFonts w:ascii="Arial Narrow" w:hAnsi="Arial Narrow" w:cs="Times New Roman"/>
                <w:bCs/>
                <w:sz w:val="20"/>
                <w:lang w:val="en-US"/>
              </w:rPr>
              <w:t>(</w:t>
            </w:r>
            <w:r w:rsidRPr="00C9728E">
              <w:rPr>
                <w:rFonts w:ascii="Arial Narrow" w:hAnsi="Arial Narrow" w:cs="Times New Roman"/>
                <w:bCs/>
                <w:sz w:val="20"/>
                <w:lang w:val="en-US"/>
              </w:rPr>
              <w:t>37.9, 48.4</w:t>
            </w:r>
            <w:r>
              <w:rPr>
                <w:rFonts w:ascii="Arial Narrow" w:hAnsi="Arial Narrow" w:cs="Times New Roman"/>
                <w:bCs/>
                <w:sz w:val="20"/>
                <w:lang w:val="en-US"/>
              </w:rPr>
              <w:t>)</w:t>
            </w:r>
          </w:p>
        </w:tc>
        <w:tc>
          <w:tcPr>
            <w:tcW w:w="786" w:type="pct"/>
            <w:tcBorders>
              <w:top w:val="single" w:sz="4" w:space="0" w:color="auto"/>
              <w:left w:val="single" w:sz="4" w:space="0" w:color="auto"/>
              <w:bottom w:val="single" w:sz="4" w:space="0" w:color="auto"/>
              <w:right w:val="single" w:sz="4" w:space="0" w:color="auto"/>
            </w:tcBorders>
          </w:tcPr>
          <w:p w14:paraId="3D048600" w14:textId="77777777" w:rsidR="00D24261"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 xml:space="preserve">117 (32.6%) </w:t>
            </w:r>
          </w:p>
          <w:p w14:paraId="71957A93" w14:textId="77777777" w:rsidR="00D24261" w:rsidRPr="00C9728E" w:rsidRDefault="00D24261" w:rsidP="00E730EF">
            <w:pPr>
              <w:keepNext/>
              <w:jc w:val="center"/>
              <w:rPr>
                <w:rFonts w:ascii="Arial Narrow" w:hAnsi="Arial Narrow" w:cs="Times New Roman"/>
                <w:bCs/>
                <w:sz w:val="20"/>
                <w:lang w:val="en-US"/>
              </w:rPr>
            </w:pPr>
            <w:r>
              <w:rPr>
                <w:rFonts w:ascii="Arial Narrow" w:hAnsi="Arial Narrow" w:cs="Times New Roman"/>
                <w:bCs/>
                <w:sz w:val="20"/>
                <w:lang w:val="en-US"/>
              </w:rPr>
              <w:t>(</w:t>
            </w:r>
            <w:r w:rsidRPr="00C9728E">
              <w:rPr>
                <w:rFonts w:ascii="Arial Narrow" w:hAnsi="Arial Narrow" w:cs="Times New Roman"/>
                <w:bCs/>
                <w:sz w:val="20"/>
                <w:lang w:val="en-US"/>
              </w:rPr>
              <w:t>27.8, 37.7</w:t>
            </w:r>
            <w:r>
              <w:rPr>
                <w:rFonts w:ascii="Arial Narrow" w:hAnsi="Arial Narrow" w:cs="Times New Roman"/>
                <w:bCs/>
                <w:sz w:val="20"/>
                <w:lang w:val="en-US"/>
              </w:rPr>
              <w:t>)</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0E8C4BAC" w14:textId="77777777" w:rsidR="00D24261"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 xml:space="preserve">181 (57.6%) </w:t>
            </w:r>
          </w:p>
          <w:p w14:paraId="373FB91C"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(52, 63.2)</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2AD46C8" w14:textId="77777777" w:rsidR="00D24261"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 xml:space="preserve">138 (43.7%) </w:t>
            </w:r>
          </w:p>
          <w:p w14:paraId="6C8137CD"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(38.1, 49.3)</w:t>
            </w:r>
          </w:p>
        </w:tc>
      </w:tr>
      <w:tr w:rsidR="00D24261" w14:paraId="09F63DD7" w14:textId="77777777" w:rsidTr="002D7025">
        <w:tc>
          <w:tcPr>
            <w:tcW w:w="1884" w:type="pct"/>
            <w:tcBorders>
              <w:top w:val="single" w:sz="4" w:space="0" w:color="auto"/>
              <w:left w:val="single" w:sz="4" w:space="0" w:color="auto"/>
              <w:bottom w:val="single" w:sz="4" w:space="0" w:color="auto"/>
              <w:right w:val="single" w:sz="4" w:space="0" w:color="auto"/>
            </w:tcBorders>
          </w:tcPr>
          <w:p w14:paraId="15C6F86D" w14:textId="77777777" w:rsidR="00D24261" w:rsidRPr="00C9728E" w:rsidRDefault="00D24261" w:rsidP="00E730EF">
            <w:pPr>
              <w:keepNext/>
              <w:jc w:val="left"/>
              <w:rPr>
                <w:rFonts w:ascii="Arial Narrow" w:hAnsi="Arial Narrow" w:cs="Times New Roman"/>
                <w:bCs/>
                <w:sz w:val="20"/>
                <w:lang w:val="en-US"/>
              </w:rPr>
            </w:pPr>
            <w:r w:rsidRPr="00C9728E">
              <w:rPr>
                <w:rFonts w:ascii="Arial Narrow" w:hAnsi="Arial Narrow" w:cs="Times New Roman"/>
                <w:bCs/>
                <w:sz w:val="20"/>
                <w:lang w:val="en-US"/>
              </w:rPr>
              <w:t xml:space="preserve">Difference of ORR </w:t>
            </w:r>
            <w:r>
              <w:rPr>
                <w:rFonts w:ascii="Arial Narrow" w:hAnsi="Arial Narrow" w:cs="Times New Roman"/>
                <w:bCs/>
                <w:sz w:val="20"/>
                <w:lang w:val="en-US"/>
              </w:rPr>
              <w:t>(</w:t>
            </w:r>
            <w:r w:rsidRPr="00C9728E">
              <w:rPr>
                <w:rFonts w:ascii="Arial Narrow" w:hAnsi="Arial Narrow" w:cs="Times New Roman"/>
                <w:bCs/>
                <w:sz w:val="20"/>
                <w:lang w:val="en-US"/>
              </w:rPr>
              <w:t>95% CI</w:t>
            </w:r>
            <w:r>
              <w:rPr>
                <w:rFonts w:ascii="Arial Narrow" w:hAnsi="Arial Narrow" w:cs="Times New Roman"/>
                <w:bCs/>
                <w:sz w:val="20"/>
                <w:lang w:val="en-US"/>
              </w:rPr>
              <w:t>)</w:t>
            </w:r>
          </w:p>
        </w:tc>
        <w:tc>
          <w:tcPr>
            <w:tcW w:w="1573" w:type="pct"/>
            <w:gridSpan w:val="2"/>
            <w:tcBorders>
              <w:top w:val="single" w:sz="4" w:space="0" w:color="auto"/>
              <w:left w:val="single" w:sz="4" w:space="0" w:color="auto"/>
              <w:bottom w:val="single" w:sz="4" w:space="0" w:color="auto"/>
              <w:right w:val="single" w:sz="4" w:space="0" w:color="auto"/>
            </w:tcBorders>
          </w:tcPr>
          <w:p w14:paraId="0D351E4E" w14:textId="77777777" w:rsidR="00D24261" w:rsidRPr="00C9728E" w:rsidRDefault="00D24261" w:rsidP="00E730EF">
            <w:pPr>
              <w:keepNext/>
              <w:jc w:val="center"/>
              <w:rPr>
                <w:rFonts w:ascii="Arial Narrow" w:hAnsi="Arial Narrow" w:cs="Times New Roman"/>
                <w:bCs/>
                <w:sz w:val="20"/>
                <w:lang w:val="en-US"/>
              </w:rPr>
            </w:pPr>
            <w:r w:rsidRPr="00C9728E">
              <w:rPr>
                <w:rFonts w:ascii="Arial Narrow" w:hAnsi="Arial Narrow" w:cs="Times New Roman"/>
                <w:bCs/>
                <w:sz w:val="20"/>
                <w:lang w:val="en-US"/>
              </w:rPr>
              <w:t xml:space="preserve">10.3% </w:t>
            </w:r>
            <w:r>
              <w:rPr>
                <w:rFonts w:ascii="Arial Narrow" w:hAnsi="Arial Narrow" w:cs="Times New Roman"/>
                <w:bCs/>
                <w:sz w:val="20"/>
                <w:lang w:val="en-US"/>
              </w:rPr>
              <w:t>(</w:t>
            </w:r>
            <w:r w:rsidRPr="00C9728E">
              <w:rPr>
                <w:rFonts w:ascii="Arial Narrow" w:hAnsi="Arial Narrow" w:cs="Times New Roman"/>
                <w:bCs/>
                <w:sz w:val="20"/>
                <w:lang w:val="en-US"/>
              </w:rPr>
              <w:t>3.4, 17.3</w:t>
            </w:r>
            <w:r>
              <w:rPr>
                <w:rFonts w:ascii="Arial Narrow" w:hAnsi="Arial Narrow" w:cs="Times New Roman"/>
                <w:bCs/>
                <w:sz w:val="20"/>
                <w:lang w:val="en-US"/>
              </w:rPr>
              <w:t>)</w:t>
            </w:r>
          </w:p>
        </w:tc>
        <w:tc>
          <w:tcPr>
            <w:tcW w:w="1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84C5C" w14:textId="77777777" w:rsidR="00D24261" w:rsidRPr="004317CA" w:rsidRDefault="00D24261" w:rsidP="00E730EF">
            <w:pPr>
              <w:keepNext/>
              <w:jc w:val="center"/>
              <w:rPr>
                <w:rFonts w:ascii="Arial Narrow" w:hAnsi="Arial Narrow" w:cs="Times New Roman"/>
                <w:bCs/>
                <w:sz w:val="20"/>
                <w:lang w:val="en-US"/>
              </w:rPr>
            </w:pPr>
            <w:r w:rsidRPr="004317CA">
              <w:rPr>
                <w:rFonts w:ascii="Arial Narrow" w:hAnsi="Arial Narrow" w:cs="Times New Roman"/>
                <w:bCs/>
                <w:sz w:val="20"/>
                <w:lang w:val="en-US"/>
              </w:rPr>
              <w:t>13.8% (6.3, 21.3)</w:t>
            </w:r>
          </w:p>
        </w:tc>
      </w:tr>
      <w:tr w:rsidR="00D24261" w14:paraId="29C1ED63" w14:textId="77777777" w:rsidTr="002D7025">
        <w:tc>
          <w:tcPr>
            <w:tcW w:w="1884" w:type="pct"/>
            <w:tcBorders>
              <w:top w:val="single" w:sz="4" w:space="0" w:color="auto"/>
              <w:left w:val="single" w:sz="4" w:space="0" w:color="auto"/>
              <w:bottom w:val="single" w:sz="4" w:space="0" w:color="auto"/>
              <w:right w:val="single" w:sz="4" w:space="0" w:color="auto"/>
            </w:tcBorders>
          </w:tcPr>
          <w:p w14:paraId="46AF2178" w14:textId="77777777" w:rsidR="00D24261" w:rsidRPr="00C9728E" w:rsidRDefault="00D24261" w:rsidP="00E730EF">
            <w:pPr>
              <w:keepNext/>
              <w:jc w:val="left"/>
              <w:rPr>
                <w:rFonts w:ascii="Arial Narrow" w:hAnsi="Arial Narrow" w:cs="Times New Roman"/>
                <w:bCs/>
                <w:sz w:val="20"/>
                <w:lang w:val="en-US"/>
              </w:rPr>
            </w:pPr>
            <w:r w:rsidRPr="00C9728E">
              <w:rPr>
                <w:rFonts w:ascii="Arial Narrow" w:hAnsi="Arial Narrow" w:cs="Times New Roman"/>
                <w:bCs/>
                <w:sz w:val="20"/>
                <w:lang w:val="en-US"/>
              </w:rPr>
              <w:t xml:space="preserve">Odds ratio </w:t>
            </w:r>
            <w:r>
              <w:rPr>
                <w:rFonts w:ascii="Arial Narrow" w:hAnsi="Arial Narrow" w:cs="Times New Roman"/>
                <w:bCs/>
                <w:sz w:val="20"/>
                <w:lang w:val="en-US"/>
              </w:rPr>
              <w:t>(9</w:t>
            </w:r>
            <w:r w:rsidRPr="00C9728E">
              <w:rPr>
                <w:rFonts w:ascii="Arial Narrow" w:hAnsi="Arial Narrow" w:cs="Times New Roman"/>
                <w:bCs/>
                <w:sz w:val="20"/>
                <w:lang w:val="en-US"/>
              </w:rPr>
              <w:t>5% CI</w:t>
            </w:r>
            <w:r>
              <w:rPr>
                <w:rFonts w:ascii="Arial Narrow" w:hAnsi="Arial Narrow" w:cs="Times New Roman"/>
                <w:bCs/>
                <w:sz w:val="20"/>
                <w:lang w:val="en-US"/>
              </w:rPr>
              <w:t>)</w:t>
            </w:r>
          </w:p>
        </w:tc>
        <w:tc>
          <w:tcPr>
            <w:tcW w:w="1573" w:type="pct"/>
            <w:gridSpan w:val="2"/>
            <w:tcBorders>
              <w:top w:val="single" w:sz="4" w:space="0" w:color="auto"/>
              <w:left w:val="single" w:sz="4" w:space="0" w:color="auto"/>
              <w:bottom w:val="single" w:sz="4" w:space="0" w:color="auto"/>
              <w:right w:val="single" w:sz="4" w:space="0" w:color="auto"/>
            </w:tcBorders>
          </w:tcPr>
          <w:p w14:paraId="47A3D38E" w14:textId="77777777" w:rsidR="00D24261" w:rsidRPr="00A321ED" w:rsidRDefault="00D24261" w:rsidP="00E730EF">
            <w:pPr>
              <w:keepNext/>
              <w:jc w:val="center"/>
              <w:rPr>
                <w:rFonts w:ascii="Arial Narrow" w:hAnsi="Arial Narrow" w:cs="Times New Roman"/>
                <w:b/>
                <w:sz w:val="20"/>
                <w:lang w:val="en-US"/>
              </w:rPr>
            </w:pPr>
            <w:r w:rsidRPr="00A321ED">
              <w:rPr>
                <w:rFonts w:ascii="Arial Narrow" w:hAnsi="Arial Narrow" w:cs="Times New Roman"/>
                <w:b/>
                <w:sz w:val="20"/>
                <w:lang w:val="en-US"/>
              </w:rPr>
              <w:t>1.58 (1.16, 2.15)</w:t>
            </w:r>
          </w:p>
        </w:tc>
        <w:tc>
          <w:tcPr>
            <w:tcW w:w="15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7DC0E" w14:textId="77777777" w:rsidR="00D24261" w:rsidRPr="00A321ED" w:rsidRDefault="00D24261" w:rsidP="00E730EF">
            <w:pPr>
              <w:keepNext/>
              <w:jc w:val="center"/>
              <w:rPr>
                <w:rFonts w:ascii="Arial Narrow" w:hAnsi="Arial Narrow" w:cs="Times New Roman"/>
                <w:b/>
                <w:sz w:val="20"/>
                <w:lang w:val="en-US"/>
              </w:rPr>
            </w:pPr>
            <w:r w:rsidRPr="00A321ED">
              <w:rPr>
                <w:rFonts w:ascii="Arial Narrow" w:hAnsi="Arial Narrow" w:cs="Times New Roman"/>
                <w:b/>
                <w:sz w:val="20"/>
                <w:lang w:val="en-US"/>
              </w:rPr>
              <w:t>1.8 (1.3, 2.49)</w:t>
            </w:r>
          </w:p>
        </w:tc>
      </w:tr>
    </w:tbl>
    <w:p w14:paraId="0FBCC2D0" w14:textId="77777777" w:rsidR="00D24261" w:rsidRDefault="00D24261" w:rsidP="00D24261">
      <w:pPr>
        <w:pStyle w:val="TableFigureFooter"/>
      </w:pPr>
      <w:r>
        <w:t>Source: Table 27, p91 and Table 30, p102 of the submission.</w:t>
      </w:r>
    </w:p>
    <w:p w14:paraId="578A62DA" w14:textId="7A16D104" w:rsidR="00D24261" w:rsidRDefault="00D24261" w:rsidP="00D24261">
      <w:pPr>
        <w:pStyle w:val="TableFigureFooter"/>
        <w:rPr>
          <w:rFonts w:eastAsia="Calibri"/>
        </w:rPr>
      </w:pPr>
      <w:r w:rsidRPr="00B40358">
        <w:rPr>
          <w:rFonts w:eastAsia="Calibri"/>
        </w:rPr>
        <w:t>CI</w:t>
      </w:r>
      <w:r>
        <w:rPr>
          <w:rFonts w:eastAsia="Calibri"/>
        </w:rPr>
        <w:t xml:space="preserve"> </w:t>
      </w:r>
      <w:r w:rsidRPr="00B40358">
        <w:rPr>
          <w:rFonts w:eastAsia="Calibri"/>
        </w:rPr>
        <w:t>= confidence interval</w:t>
      </w:r>
      <w:r>
        <w:rPr>
          <w:rFonts w:eastAsia="Calibri"/>
        </w:rPr>
        <w:t xml:space="preserve">, IPI = ipilimumab, n </w:t>
      </w:r>
      <w:r w:rsidRPr="00B40358">
        <w:rPr>
          <w:rFonts w:eastAsia="Calibri"/>
        </w:rPr>
        <w:t>= number of participants reporting data</w:t>
      </w:r>
      <w:r>
        <w:rPr>
          <w:rFonts w:eastAsia="Calibri"/>
        </w:rPr>
        <w:t>,</w:t>
      </w:r>
      <w:r w:rsidRPr="00B40358">
        <w:rPr>
          <w:rFonts w:eastAsia="Calibri"/>
        </w:rPr>
        <w:t xml:space="preserve"> </w:t>
      </w:r>
      <w:r>
        <w:rPr>
          <w:rFonts w:eastAsia="Calibri"/>
        </w:rPr>
        <w:t>NIVO = nivolumab,</w:t>
      </w:r>
      <w:r w:rsidRPr="006A4808">
        <w:rPr>
          <w:rFonts w:eastAsia="Calibri"/>
        </w:rPr>
        <w:t xml:space="preserve"> </w:t>
      </w:r>
      <w:r w:rsidR="00C027ED">
        <w:rPr>
          <w:rFonts w:eastAsia="Calibri"/>
        </w:rPr>
        <w:t xml:space="preserve">NR = not reported, </w:t>
      </w:r>
      <w:r>
        <w:rPr>
          <w:rFonts w:eastAsia="Calibri"/>
        </w:rPr>
        <w:t>ORR = overall response rate, RELA= relatlimab.</w:t>
      </w:r>
    </w:p>
    <w:p w14:paraId="585D8010" w14:textId="0ADF1D97" w:rsidR="00C027ED" w:rsidRDefault="00C027ED" w:rsidP="00D24261">
      <w:pPr>
        <w:pStyle w:val="TableFigureFooter"/>
        <w:rPr>
          <w:rFonts w:eastAsia="Calibri"/>
        </w:rPr>
      </w:pPr>
      <w:bookmarkStart w:id="48" w:name="_Hlk103153348"/>
      <w:bookmarkStart w:id="49" w:name="_Hlk103182791"/>
      <w:r w:rsidRPr="00F43ADE">
        <w:rPr>
          <w:rFonts w:eastAsia="Calibri"/>
          <w:vertAlign w:val="superscript"/>
        </w:rPr>
        <w:t xml:space="preserve">a </w:t>
      </w:r>
      <w:r>
        <w:rPr>
          <w:rFonts w:eastAsia="Calibri"/>
        </w:rPr>
        <w:t>ORR = Complete response (CR) + Partial response (PR)</w:t>
      </w:r>
      <w:bookmarkEnd w:id="48"/>
    </w:p>
    <w:p w14:paraId="72FF355C" w14:textId="77777777" w:rsidR="00D24261" w:rsidRPr="00314DB3" w:rsidRDefault="00D24261" w:rsidP="00D24261">
      <w:pPr>
        <w:pStyle w:val="TableFigureFooter"/>
        <w:rPr>
          <w:rStyle w:val="CommentReference"/>
          <w:rFonts w:eastAsia="Calibri"/>
          <w:b w:val="0"/>
          <w:sz w:val="18"/>
          <w:szCs w:val="24"/>
        </w:rPr>
      </w:pPr>
      <w:bookmarkStart w:id="50" w:name="_Hlk103182797"/>
      <w:bookmarkEnd w:id="49"/>
      <w:r w:rsidRPr="00F815BD">
        <w:rPr>
          <w:rFonts w:eastAsia="Calibri"/>
          <w:b/>
        </w:rPr>
        <w:t>Bold</w:t>
      </w:r>
      <w:r w:rsidRPr="00F815BD">
        <w:rPr>
          <w:rFonts w:eastAsia="Calibri"/>
        </w:rPr>
        <w:t xml:space="preserve"> indicates statistically significant results.</w:t>
      </w:r>
    </w:p>
    <w:bookmarkEnd w:id="50"/>
    <w:p w14:paraId="43AF0767" w14:textId="77777777" w:rsidR="00D24261" w:rsidRDefault="00D24261" w:rsidP="00D24261">
      <w:pPr>
        <w:pStyle w:val="3-BodyText"/>
        <w:numPr>
          <w:ilvl w:val="1"/>
          <w:numId w:val="1"/>
        </w:numPr>
        <w:rPr>
          <w:rStyle w:val="CommentReference"/>
          <w:rFonts w:asciiTheme="minorHAnsi" w:hAnsiTheme="minorHAnsi"/>
          <w:b w:val="0"/>
          <w:snapToGrid/>
          <w:sz w:val="24"/>
          <w:szCs w:val="24"/>
          <w:lang w:val="en-US"/>
        </w:rPr>
      </w:pPr>
      <w:r w:rsidRPr="000C6AF0">
        <w:rPr>
          <w:rStyle w:val="CommentReference"/>
          <w:rFonts w:asciiTheme="minorHAnsi" w:hAnsiTheme="minorHAnsi"/>
          <w:b w:val="0"/>
          <w:snapToGrid/>
          <w:sz w:val="24"/>
          <w:szCs w:val="24"/>
          <w:lang w:val="en-US"/>
        </w:rPr>
        <w:lastRenderedPageBreak/>
        <w:t>In CA224047, treatment with RELA+NIVO was associated with statistically significant increase in objective response compared with nivolumab monotherapy, with an odds ratio of 1.58 (95% CI: 1.16, 2.15). In CA209067, treatment with NIVO+IPI was also associated with statistically significant increase in objective response compared with nivolumab monotherapy, with an odds ratio of 1.8 (95% CI: 1.3, 2.49).</w:t>
      </w:r>
    </w:p>
    <w:p w14:paraId="2CBBD35C" w14:textId="77777777" w:rsidR="00D24261" w:rsidRPr="00CE63E5" w:rsidRDefault="00D24261" w:rsidP="00D24261">
      <w:pPr>
        <w:pStyle w:val="3-BodyText"/>
        <w:rPr>
          <w:rStyle w:val="CommentReference"/>
          <w:rFonts w:asciiTheme="minorHAnsi" w:hAnsiTheme="minorHAnsi"/>
          <w:b w:val="0"/>
          <w:snapToGrid/>
          <w:sz w:val="24"/>
          <w:szCs w:val="24"/>
          <w:u w:val="single"/>
          <w:lang w:val="en-US"/>
        </w:rPr>
      </w:pPr>
      <w:r w:rsidRPr="00CE63E5">
        <w:rPr>
          <w:rStyle w:val="CommentReference"/>
          <w:rFonts w:asciiTheme="minorHAnsi" w:hAnsiTheme="minorHAnsi"/>
          <w:b w:val="0"/>
          <w:snapToGrid/>
          <w:sz w:val="24"/>
          <w:szCs w:val="24"/>
          <w:u w:val="single"/>
          <w:lang w:val="en-US"/>
        </w:rPr>
        <w:t>Patient Reported Outcomes</w:t>
      </w:r>
    </w:p>
    <w:p w14:paraId="3CA83B33" w14:textId="08831E81" w:rsidR="00D24261" w:rsidRPr="0060135C" w:rsidRDefault="00D24261" w:rsidP="00D24261">
      <w:pPr>
        <w:pStyle w:val="3-BodyText"/>
        <w:numPr>
          <w:ilvl w:val="1"/>
          <w:numId w:val="1"/>
        </w:numPr>
      </w:pPr>
      <w:r w:rsidRPr="00CE63E5">
        <w:rPr>
          <w:rStyle w:val="CommentReference"/>
          <w:rFonts w:asciiTheme="minorHAnsi" w:hAnsiTheme="minorHAnsi"/>
          <w:b w:val="0"/>
          <w:snapToGrid/>
          <w:sz w:val="24"/>
          <w:szCs w:val="24"/>
          <w:lang w:val="en-US"/>
        </w:rPr>
        <w:t xml:space="preserve">Health-related quality of life (HRQoL) was measured using EQ-5D-3L in both the trials. Additionally, the submission presented </w:t>
      </w:r>
      <w:bookmarkStart w:id="51" w:name="_Hlk100673382"/>
      <w:r w:rsidRPr="00264025">
        <w:t>Functional Assessment of Cancer Therapy</w:t>
      </w:r>
      <w:r>
        <w:t xml:space="preserve"> -</w:t>
      </w:r>
      <w:r w:rsidRPr="00264025">
        <w:t xml:space="preserve"> Melanoma (</w:t>
      </w:r>
      <w:r w:rsidRPr="009C259E">
        <w:t>FACT-M</w:t>
      </w:r>
      <w:r w:rsidRPr="00264025">
        <w:t>) and Functional Assessment of Cancer Therapy</w:t>
      </w:r>
      <w:r>
        <w:t xml:space="preserve"> - </w:t>
      </w:r>
      <w:r w:rsidRPr="00264025">
        <w:t xml:space="preserve">General (FACT-GP5) </w:t>
      </w:r>
      <w:bookmarkEnd w:id="51"/>
      <w:r w:rsidRPr="00CE63E5">
        <w:rPr>
          <w:rStyle w:val="CommentReference"/>
          <w:rFonts w:asciiTheme="minorHAnsi" w:hAnsiTheme="minorHAnsi"/>
          <w:b w:val="0"/>
          <w:snapToGrid/>
          <w:sz w:val="24"/>
          <w:szCs w:val="24"/>
          <w:lang w:val="en-US"/>
        </w:rPr>
        <w:t>results for the CA224047 trial and EORTC QLQ-C30 results for the CA209067 tria</w:t>
      </w:r>
      <w:r>
        <w:rPr>
          <w:rStyle w:val="CommentReference"/>
          <w:rFonts w:asciiTheme="minorHAnsi" w:hAnsiTheme="minorHAnsi"/>
          <w:b w:val="0"/>
          <w:snapToGrid/>
          <w:sz w:val="24"/>
          <w:szCs w:val="24"/>
          <w:lang w:val="en-US"/>
        </w:rPr>
        <w:t xml:space="preserve">l. </w:t>
      </w:r>
      <w:r>
        <w:t xml:space="preserve">Clinically meaningful changes from baseline were determined using pre-specified minimally important differences (MIDs) of </w:t>
      </w:r>
      <w:r w:rsidRPr="000A2A77">
        <w:t xml:space="preserve">5 for </w:t>
      </w:r>
      <w:r w:rsidR="00572437">
        <w:t xml:space="preserve">the </w:t>
      </w:r>
      <w:r w:rsidRPr="000A2A77">
        <w:t>FACT-G Total and FACT-M Total scores</w:t>
      </w:r>
      <w:r>
        <w:t xml:space="preserve"> based on Askew 2009</w:t>
      </w:r>
      <w:r w:rsidR="00572437">
        <w:t>,</w:t>
      </w:r>
      <w:r>
        <w:t xml:space="preserve"> </w:t>
      </w:r>
      <w:r w:rsidRPr="0060135C">
        <w:t xml:space="preserve">0.08 for </w:t>
      </w:r>
      <w:r w:rsidR="00572437">
        <w:t xml:space="preserve">the </w:t>
      </w:r>
      <w:r w:rsidRPr="0060135C">
        <w:t xml:space="preserve">health utility index and 7 for </w:t>
      </w:r>
      <w:r w:rsidR="00572437">
        <w:t xml:space="preserve">the </w:t>
      </w:r>
      <w:r w:rsidR="009F1958">
        <w:t>visual analogue scale (</w:t>
      </w:r>
      <w:r w:rsidRPr="0060135C">
        <w:t>VAS</w:t>
      </w:r>
      <w:r w:rsidR="009F1958">
        <w:t>)</w:t>
      </w:r>
      <w:r w:rsidRPr="0060135C">
        <w:t xml:space="preserve"> based on Pickard 2007.</w:t>
      </w:r>
    </w:p>
    <w:p w14:paraId="1CF3F802" w14:textId="4FB2BF2A" w:rsidR="00D24261" w:rsidRDefault="00D24261" w:rsidP="00D24261">
      <w:pPr>
        <w:pStyle w:val="3-BodyText"/>
        <w:numPr>
          <w:ilvl w:val="1"/>
          <w:numId w:val="1"/>
        </w:numPr>
        <w:rPr>
          <w:rStyle w:val="CommentReference"/>
          <w:rFonts w:asciiTheme="minorHAnsi" w:hAnsiTheme="minorHAnsi"/>
          <w:b w:val="0"/>
          <w:snapToGrid/>
          <w:sz w:val="24"/>
          <w:szCs w:val="24"/>
          <w:lang w:val="en-US"/>
        </w:rPr>
      </w:pPr>
      <w:r>
        <w:rPr>
          <w:rStyle w:val="CommentReference"/>
          <w:rFonts w:asciiTheme="minorHAnsi" w:hAnsiTheme="minorHAnsi"/>
          <w:b w:val="0"/>
          <w:snapToGrid/>
          <w:sz w:val="24"/>
          <w:szCs w:val="24"/>
          <w:lang w:val="en-US"/>
        </w:rPr>
        <w:t xml:space="preserve">In CA224047, </w:t>
      </w:r>
      <w:r w:rsidRPr="002F3EC8">
        <w:rPr>
          <w:rStyle w:val="CommentReference"/>
          <w:rFonts w:asciiTheme="minorHAnsi" w:hAnsiTheme="minorHAnsi"/>
          <w:b w:val="0"/>
          <w:snapToGrid/>
          <w:sz w:val="24"/>
          <w:szCs w:val="24"/>
          <w:lang w:val="en-US"/>
        </w:rPr>
        <w:t>least-squares mean changes from baseline over time in the FACT-M total score and the EQ-5D-3L utility index remained stable</w:t>
      </w:r>
      <w:r>
        <w:rPr>
          <w:rStyle w:val="CommentReference"/>
          <w:rFonts w:asciiTheme="minorHAnsi" w:hAnsiTheme="minorHAnsi"/>
          <w:b w:val="0"/>
          <w:snapToGrid/>
          <w:sz w:val="24"/>
          <w:szCs w:val="24"/>
          <w:lang w:val="en-US"/>
        </w:rPr>
        <w:t xml:space="preserve"> </w:t>
      </w:r>
      <w:r w:rsidRPr="002F3EC8">
        <w:rPr>
          <w:rStyle w:val="CommentReference"/>
          <w:rFonts w:asciiTheme="minorHAnsi" w:hAnsiTheme="minorHAnsi"/>
          <w:b w:val="0"/>
          <w:snapToGrid/>
          <w:sz w:val="24"/>
          <w:szCs w:val="24"/>
          <w:lang w:val="en-US"/>
        </w:rPr>
        <w:t>and did not exceed the minimal clinically important differences</w:t>
      </w:r>
      <w:r>
        <w:rPr>
          <w:rStyle w:val="CommentReference"/>
          <w:rFonts w:asciiTheme="minorHAnsi" w:hAnsiTheme="minorHAnsi"/>
          <w:b w:val="0"/>
          <w:snapToGrid/>
          <w:sz w:val="24"/>
          <w:szCs w:val="24"/>
          <w:lang w:val="en-US"/>
        </w:rPr>
        <w:t xml:space="preserve"> within each treatment arm</w:t>
      </w:r>
      <w:r w:rsidRPr="002F3EC8">
        <w:rPr>
          <w:rStyle w:val="CommentReference"/>
          <w:rFonts w:asciiTheme="minorHAnsi" w:hAnsiTheme="minorHAnsi"/>
          <w:b w:val="0"/>
          <w:snapToGrid/>
          <w:sz w:val="24"/>
          <w:szCs w:val="24"/>
          <w:lang w:val="en-US"/>
        </w:rPr>
        <w:t>.</w:t>
      </w:r>
      <w:r>
        <w:rPr>
          <w:rStyle w:val="CommentReference"/>
          <w:rFonts w:asciiTheme="minorHAnsi" w:hAnsiTheme="minorHAnsi"/>
          <w:b w:val="0"/>
          <w:snapToGrid/>
          <w:sz w:val="24"/>
          <w:szCs w:val="24"/>
          <w:lang w:val="en-US"/>
        </w:rPr>
        <w:t xml:space="preserve"> </w:t>
      </w:r>
      <w:r w:rsidRPr="00EB060C">
        <w:rPr>
          <w:rStyle w:val="CommentReference"/>
          <w:rFonts w:asciiTheme="minorHAnsi" w:hAnsiTheme="minorHAnsi"/>
          <w:b w:val="0"/>
          <w:snapToGrid/>
          <w:sz w:val="24"/>
          <w:szCs w:val="24"/>
          <w:lang w:val="en-US"/>
        </w:rPr>
        <w:t xml:space="preserve">No clinically meaningful difference was observed for </w:t>
      </w:r>
      <w:r w:rsidR="00572437">
        <w:rPr>
          <w:rStyle w:val="CommentReference"/>
          <w:rFonts w:asciiTheme="minorHAnsi" w:hAnsiTheme="minorHAnsi"/>
          <w:b w:val="0"/>
          <w:snapToGrid/>
          <w:sz w:val="24"/>
          <w:szCs w:val="24"/>
          <w:lang w:val="en-US"/>
        </w:rPr>
        <w:t xml:space="preserve">the </w:t>
      </w:r>
      <w:r w:rsidRPr="00EB060C">
        <w:rPr>
          <w:rStyle w:val="CommentReference"/>
          <w:rFonts w:asciiTheme="minorHAnsi" w:hAnsiTheme="minorHAnsi"/>
          <w:b w:val="0"/>
          <w:snapToGrid/>
          <w:sz w:val="24"/>
          <w:szCs w:val="24"/>
          <w:lang w:val="en-US"/>
        </w:rPr>
        <w:t xml:space="preserve">VAS or </w:t>
      </w:r>
      <w:r w:rsidR="00572437">
        <w:rPr>
          <w:rStyle w:val="CommentReference"/>
          <w:rFonts w:asciiTheme="minorHAnsi" w:hAnsiTheme="minorHAnsi"/>
          <w:b w:val="0"/>
          <w:snapToGrid/>
          <w:sz w:val="24"/>
          <w:szCs w:val="24"/>
          <w:lang w:val="en-US"/>
        </w:rPr>
        <w:t xml:space="preserve">the </w:t>
      </w:r>
      <w:r w:rsidRPr="00EB060C">
        <w:rPr>
          <w:rStyle w:val="CommentReference"/>
          <w:rFonts w:asciiTheme="minorHAnsi" w:hAnsiTheme="minorHAnsi"/>
          <w:b w:val="0"/>
          <w:snapToGrid/>
          <w:sz w:val="24"/>
          <w:szCs w:val="24"/>
          <w:lang w:val="en-US"/>
        </w:rPr>
        <w:t xml:space="preserve">utility index score between RELA+NIVO and nivolumab. </w:t>
      </w:r>
    </w:p>
    <w:p w14:paraId="65251889" w14:textId="77777777" w:rsidR="00C027ED" w:rsidRDefault="00D24261" w:rsidP="00C027ED">
      <w:pPr>
        <w:pStyle w:val="3-BodyText"/>
        <w:numPr>
          <w:ilvl w:val="1"/>
          <w:numId w:val="1"/>
        </w:numPr>
        <w:rPr>
          <w:snapToGrid/>
          <w:lang w:val="en-US"/>
        </w:rPr>
      </w:pPr>
      <w:r>
        <w:t xml:space="preserve">In CA209067, least-squares mean changes from baseline for EORTC QLQ-30 were slightly higher in the NIVO+IPI arm when compared to nivolumab; however, it </w:t>
      </w:r>
      <w:r w:rsidRPr="00DD7D9E">
        <w:t>did not reach clinically meaningful thresholds.</w:t>
      </w:r>
      <w:r>
        <w:t xml:space="preserve"> </w:t>
      </w:r>
      <w:r w:rsidRPr="00F73CA9">
        <w:t xml:space="preserve">No clinically meaningful difference was observed for </w:t>
      </w:r>
      <w:r w:rsidR="00572437">
        <w:t xml:space="preserve">the </w:t>
      </w:r>
      <w:r w:rsidRPr="00F73CA9">
        <w:t xml:space="preserve">VAS or </w:t>
      </w:r>
      <w:r w:rsidR="00572437">
        <w:t xml:space="preserve">the </w:t>
      </w:r>
      <w:r w:rsidRPr="00F73CA9">
        <w:t xml:space="preserve">utility index score between </w:t>
      </w:r>
      <w:r>
        <w:t>NIVO+IPI and nivolumab.</w:t>
      </w:r>
    </w:p>
    <w:p w14:paraId="5C62ED82" w14:textId="49387E14" w:rsidR="00C027ED" w:rsidRPr="00C027ED" w:rsidRDefault="00C027ED" w:rsidP="00C027ED">
      <w:pPr>
        <w:pStyle w:val="3-BodyText"/>
        <w:rPr>
          <w:snapToGrid/>
          <w:u w:val="single"/>
          <w:lang w:val="en-US"/>
        </w:rPr>
      </w:pPr>
      <w:r w:rsidRPr="00C027ED">
        <w:rPr>
          <w:snapToGrid/>
          <w:u w:val="single"/>
          <w:lang w:val="en-US"/>
        </w:rPr>
        <w:t>Subgroup Analyses</w:t>
      </w:r>
    </w:p>
    <w:p w14:paraId="41C90E27" w14:textId="67AF18FD" w:rsidR="00D24261" w:rsidRPr="00C027ED" w:rsidRDefault="00D24261" w:rsidP="00C027ED">
      <w:pPr>
        <w:pStyle w:val="3-BodyText"/>
        <w:numPr>
          <w:ilvl w:val="1"/>
          <w:numId w:val="1"/>
        </w:numPr>
        <w:rPr>
          <w:snapToGrid/>
          <w:lang w:val="en-US"/>
        </w:rPr>
      </w:pPr>
      <w:r w:rsidRPr="00C027ED">
        <w:rPr>
          <w:snapToGrid/>
          <w:lang w:val="en-US"/>
        </w:rPr>
        <w:t xml:space="preserve">The submission also conducted subgroup analysis to inform the exchangeability of the CA224047 and CA209067 trials included in the indirect comparison of RELA+NIVO and NIVO+IPI. </w:t>
      </w:r>
      <w:r w:rsidRPr="002C7A98">
        <w:t xml:space="preserve"> </w:t>
      </w:r>
    </w:p>
    <w:p w14:paraId="5930CB3A" w14:textId="18A38165" w:rsidR="00D24261" w:rsidRPr="00AF1DAD" w:rsidRDefault="00D24261" w:rsidP="00D24261">
      <w:pPr>
        <w:pStyle w:val="3-BodyText"/>
        <w:numPr>
          <w:ilvl w:val="1"/>
          <w:numId w:val="1"/>
        </w:numPr>
        <w:rPr>
          <w:snapToGrid/>
          <w:lang w:val="en-US"/>
        </w:rPr>
      </w:pPr>
      <w:r w:rsidRPr="000E37C4">
        <w:rPr>
          <w:snapToGrid/>
          <w:lang w:val="en-US"/>
        </w:rPr>
        <w:t>In the CA224047 trial, median PFS was longer with RELA+NIVO compared with nivolumab monotherapy among patients with PD-L1 &lt;1% (6.4 months compared with 2.9 months)</w:t>
      </w:r>
      <w:r>
        <w:rPr>
          <w:snapToGrid/>
          <w:lang w:val="en-US"/>
        </w:rPr>
        <w:t>, with a HR of 0.66 (95% CI: 0.51, 0.84</w:t>
      </w:r>
      <w:r w:rsidRPr="00AF1DAD">
        <w:rPr>
          <w:snapToGrid/>
          <w:lang w:val="en-US"/>
        </w:rPr>
        <w:t xml:space="preserve">). </w:t>
      </w:r>
      <w:r w:rsidR="0012670A" w:rsidRPr="00AF1DAD">
        <w:rPr>
          <w:snapToGrid/>
          <w:lang w:val="en-US"/>
        </w:rPr>
        <w:t>T</w:t>
      </w:r>
      <w:r w:rsidRPr="00AF1DAD">
        <w:rPr>
          <w:snapToGrid/>
          <w:lang w:val="en-US"/>
        </w:rPr>
        <w:t xml:space="preserve">his difference in PFS was not observed among patients with PD-L1 ≥1%, </w:t>
      </w:r>
      <w:r w:rsidR="0012670A" w:rsidRPr="00AF1DAD">
        <w:rPr>
          <w:snapToGrid/>
          <w:lang w:val="en-US"/>
        </w:rPr>
        <w:t xml:space="preserve">with a </w:t>
      </w:r>
      <w:r w:rsidRPr="00AF1DAD">
        <w:rPr>
          <w:snapToGrid/>
          <w:lang w:val="en-US"/>
        </w:rPr>
        <w:t xml:space="preserve">median PFS in </w:t>
      </w:r>
      <w:r w:rsidR="0012670A" w:rsidRPr="00AF1DAD">
        <w:rPr>
          <w:snapToGrid/>
          <w:lang w:val="en-US"/>
        </w:rPr>
        <w:t xml:space="preserve">the </w:t>
      </w:r>
      <w:r w:rsidRPr="00AF1DAD">
        <w:rPr>
          <w:snapToGrid/>
          <w:lang w:val="en-US"/>
        </w:rPr>
        <w:t xml:space="preserve">RELA+NIVO arm </w:t>
      </w:r>
      <w:r w:rsidR="0012670A" w:rsidRPr="00AF1DAD">
        <w:rPr>
          <w:snapToGrid/>
          <w:lang w:val="en-US"/>
        </w:rPr>
        <w:t xml:space="preserve">of </w:t>
      </w:r>
      <w:r w:rsidRPr="00AF1DAD">
        <w:rPr>
          <w:snapToGrid/>
          <w:lang w:val="en-US"/>
        </w:rPr>
        <w:t>15.7 months compared to 14.7 months in the nivolumab monotherapy arm</w:t>
      </w:r>
      <w:r w:rsidR="0012670A" w:rsidRPr="00AF1DAD">
        <w:rPr>
          <w:snapToGrid/>
          <w:lang w:val="en-US"/>
        </w:rPr>
        <w:t xml:space="preserve"> </w:t>
      </w:r>
      <w:r w:rsidR="00C027ED" w:rsidRPr="00AF1DAD">
        <w:rPr>
          <w:snapToGrid/>
          <w:lang w:val="en-US"/>
        </w:rPr>
        <w:t>(HR = 0.95; 95% CI: 0.68, 1.33).</w:t>
      </w:r>
      <w:r w:rsidR="00C302EE">
        <w:rPr>
          <w:snapToGrid/>
          <w:lang w:val="en-US"/>
        </w:rPr>
        <w:t xml:space="preserve"> The submission stated that although the results for the 1% PD-L1 status cut-off may be suggestive of PD-L1 expression status as a potential treatment modifier, with a negative expression of PD-L1 being associated with a better PFS outcome for RELA+NIVO compared to nivolumab monotherapy, the results should be viewed with caution. The submission noted that the relative effect of higher PD-L1 expression (5% and 10%) was not directionally consistent and that there was </w:t>
      </w:r>
      <w:r w:rsidR="00C302EE">
        <w:rPr>
          <w:snapToGrid/>
          <w:lang w:val="en-US"/>
        </w:rPr>
        <w:lastRenderedPageBreak/>
        <w:t>substantial overlap between each of the complementary subgroupings in terms of the 95% confidence intervals.</w:t>
      </w:r>
    </w:p>
    <w:p w14:paraId="3FF160D6" w14:textId="1B98BC98" w:rsidR="00D24261" w:rsidRDefault="00D24261" w:rsidP="00D24261">
      <w:pPr>
        <w:pStyle w:val="3-BodyText"/>
        <w:numPr>
          <w:ilvl w:val="1"/>
          <w:numId w:val="1"/>
        </w:numPr>
        <w:rPr>
          <w:snapToGrid/>
          <w:lang w:val="en-US"/>
        </w:rPr>
      </w:pPr>
      <w:r w:rsidRPr="000E37C4">
        <w:rPr>
          <w:snapToGrid/>
          <w:lang w:val="en-US"/>
        </w:rPr>
        <w:t>In the subgroup of patients with LAG-3 ≥1% expression, the median PFS was 12.58 months in the RELA+NIVO arm and 4.76 months in nivolumab arm (HR</w:t>
      </w:r>
      <w:r w:rsidR="002145D6">
        <w:rPr>
          <w:snapToGrid/>
          <w:lang w:val="en-US"/>
        </w:rPr>
        <w:t xml:space="preserve"> =</w:t>
      </w:r>
      <w:r w:rsidRPr="000E37C4">
        <w:rPr>
          <w:snapToGrid/>
          <w:lang w:val="en-US"/>
        </w:rPr>
        <w:t xml:space="preserve"> 0.75; 95% CI: 0.59</w:t>
      </w:r>
      <w:r w:rsidR="0012670A">
        <w:rPr>
          <w:snapToGrid/>
          <w:lang w:val="en-US"/>
        </w:rPr>
        <w:t xml:space="preserve">, </w:t>
      </w:r>
      <w:r w:rsidRPr="000E37C4">
        <w:rPr>
          <w:snapToGrid/>
          <w:lang w:val="en-US"/>
        </w:rPr>
        <w:t>0.95); in the subgroup of patients with LAG-3 &lt;1%, the median PFS was 4.83 months in the RELA+NIVO arm and 2.79 months in nivolumab arm (HR</w:t>
      </w:r>
      <w:r w:rsidR="002145D6">
        <w:rPr>
          <w:snapToGrid/>
          <w:lang w:val="en-US"/>
        </w:rPr>
        <w:t xml:space="preserve"> =</w:t>
      </w:r>
      <w:r w:rsidRPr="000E37C4">
        <w:rPr>
          <w:snapToGrid/>
          <w:lang w:val="en-US"/>
        </w:rPr>
        <w:t xml:space="preserve"> 0.78; 95% CI: 0.54</w:t>
      </w:r>
      <w:r w:rsidR="0012670A">
        <w:rPr>
          <w:snapToGrid/>
          <w:lang w:val="en-US"/>
        </w:rPr>
        <w:t xml:space="preserve">, </w:t>
      </w:r>
      <w:r w:rsidRPr="000E37C4">
        <w:rPr>
          <w:snapToGrid/>
          <w:lang w:val="en-US"/>
        </w:rPr>
        <w:t>1.15).</w:t>
      </w:r>
    </w:p>
    <w:p w14:paraId="2A1CD9BF" w14:textId="5934B3E8" w:rsidR="00D24261" w:rsidRPr="00264274" w:rsidRDefault="00D24261" w:rsidP="00D24261">
      <w:pPr>
        <w:pStyle w:val="3-BodyText"/>
        <w:numPr>
          <w:ilvl w:val="1"/>
          <w:numId w:val="1"/>
        </w:numPr>
        <w:rPr>
          <w:snapToGrid/>
          <w:lang w:val="en-US"/>
        </w:rPr>
      </w:pPr>
      <w:r w:rsidRPr="00575809">
        <w:rPr>
          <w:snapToGrid/>
          <w:lang w:val="en-US"/>
        </w:rPr>
        <w:t xml:space="preserve">In the CA209067 trial, </w:t>
      </w:r>
      <w:r w:rsidR="0012670A">
        <w:rPr>
          <w:snapToGrid/>
          <w:lang w:val="en-US"/>
        </w:rPr>
        <w:t xml:space="preserve">a </w:t>
      </w:r>
      <w:r w:rsidRPr="00575809">
        <w:rPr>
          <w:snapToGrid/>
          <w:lang w:val="en-US"/>
        </w:rPr>
        <w:t xml:space="preserve">statistically significant treatment modification effect was associated with the BRAF mutation (I²=72%, p=0.06) </w:t>
      </w:r>
      <w:r w:rsidR="0012670A">
        <w:rPr>
          <w:snapToGrid/>
          <w:lang w:val="en-US"/>
        </w:rPr>
        <w:t>with</w:t>
      </w:r>
      <w:r w:rsidR="0012670A" w:rsidRPr="00575809">
        <w:rPr>
          <w:snapToGrid/>
          <w:lang w:val="en-US"/>
        </w:rPr>
        <w:t xml:space="preserve"> </w:t>
      </w:r>
      <w:r w:rsidRPr="00575809">
        <w:rPr>
          <w:snapToGrid/>
          <w:lang w:val="en-US"/>
        </w:rPr>
        <w:t xml:space="preserve">respect to the PFS outcome, with greater treatment effect observed in patients who </w:t>
      </w:r>
      <w:r>
        <w:rPr>
          <w:snapToGrid/>
          <w:lang w:val="en-US"/>
        </w:rPr>
        <w:t>carry</w:t>
      </w:r>
      <w:r w:rsidRPr="00575809">
        <w:rPr>
          <w:snapToGrid/>
          <w:lang w:val="en-US"/>
        </w:rPr>
        <w:t xml:space="preserve"> </w:t>
      </w:r>
      <w:r>
        <w:rPr>
          <w:snapToGrid/>
          <w:lang w:val="en-US"/>
        </w:rPr>
        <w:t>the mutation</w:t>
      </w:r>
      <w:r w:rsidRPr="00575809">
        <w:rPr>
          <w:snapToGrid/>
          <w:lang w:val="en-US"/>
        </w:rPr>
        <w:t>.</w:t>
      </w:r>
      <w:r>
        <w:rPr>
          <w:snapToGrid/>
          <w:lang w:val="en-US"/>
        </w:rPr>
        <w:t xml:space="preserve"> Among patients with BRAF mutant tumours, OS was not reached in the NIVO+IPI arm and was 45.5 months in </w:t>
      </w:r>
      <w:r w:rsidR="0012670A">
        <w:rPr>
          <w:snapToGrid/>
          <w:lang w:val="en-US"/>
        </w:rPr>
        <w:t xml:space="preserve">the </w:t>
      </w:r>
      <w:r>
        <w:rPr>
          <w:snapToGrid/>
          <w:lang w:val="en-US"/>
        </w:rPr>
        <w:t>nivolumab</w:t>
      </w:r>
      <w:r w:rsidR="0012670A">
        <w:rPr>
          <w:snapToGrid/>
          <w:lang w:val="en-US"/>
        </w:rPr>
        <w:t xml:space="preserve"> arm</w:t>
      </w:r>
      <w:r>
        <w:rPr>
          <w:snapToGrid/>
          <w:lang w:val="en-US"/>
        </w:rPr>
        <w:t>.</w:t>
      </w:r>
    </w:p>
    <w:p w14:paraId="2FDA2C5C" w14:textId="77777777" w:rsidR="00D24261" w:rsidRPr="000D04EC" w:rsidRDefault="00D24261" w:rsidP="00D24261">
      <w:pPr>
        <w:pStyle w:val="3-BodyText"/>
        <w:rPr>
          <w:snapToGrid/>
          <w:u w:val="single"/>
          <w:lang w:val="en-US"/>
        </w:rPr>
      </w:pPr>
      <w:r w:rsidRPr="000D04EC">
        <w:rPr>
          <w:snapToGrid/>
          <w:u w:val="single"/>
          <w:lang w:val="en-US"/>
        </w:rPr>
        <w:t>Indirect Treatment Comparison</w:t>
      </w:r>
    </w:p>
    <w:p w14:paraId="5FE49332" w14:textId="232E939B" w:rsidR="00D24261" w:rsidRDefault="00D24261" w:rsidP="00D24261">
      <w:pPr>
        <w:pStyle w:val="3-BodyText"/>
        <w:numPr>
          <w:ilvl w:val="1"/>
          <w:numId w:val="1"/>
        </w:numPr>
        <w:rPr>
          <w:rStyle w:val="CommentReference"/>
          <w:rFonts w:asciiTheme="minorHAnsi" w:hAnsiTheme="minorHAnsi"/>
          <w:b w:val="0"/>
          <w:snapToGrid/>
          <w:sz w:val="24"/>
          <w:szCs w:val="24"/>
          <w:lang w:val="en-US"/>
        </w:rPr>
      </w:pPr>
      <w:r>
        <w:rPr>
          <w:rStyle w:val="CommentReference"/>
          <w:rFonts w:asciiTheme="minorHAnsi" w:hAnsiTheme="minorHAnsi"/>
          <w:b w:val="0"/>
          <w:snapToGrid/>
          <w:sz w:val="24"/>
          <w:szCs w:val="24"/>
          <w:lang w:val="en-US"/>
        </w:rPr>
        <w:t>T</w:t>
      </w:r>
      <w:r w:rsidRPr="002540EA">
        <w:rPr>
          <w:rStyle w:val="CommentReference"/>
          <w:rFonts w:asciiTheme="minorHAnsi" w:hAnsiTheme="minorHAnsi"/>
          <w:b w:val="0"/>
          <w:snapToGrid/>
          <w:sz w:val="24"/>
          <w:szCs w:val="24"/>
          <w:lang w:val="en-US"/>
        </w:rPr>
        <w:t xml:space="preserve">he submission presented an </w:t>
      </w:r>
      <w:r>
        <w:rPr>
          <w:rStyle w:val="CommentReference"/>
          <w:rFonts w:asciiTheme="minorHAnsi" w:hAnsiTheme="minorHAnsi"/>
          <w:b w:val="0"/>
          <w:snapToGrid/>
          <w:sz w:val="24"/>
          <w:szCs w:val="24"/>
          <w:lang w:val="en-US"/>
        </w:rPr>
        <w:t>ITC</w:t>
      </w:r>
      <w:r w:rsidRPr="002540EA">
        <w:rPr>
          <w:rStyle w:val="CommentReference"/>
          <w:rFonts w:asciiTheme="minorHAnsi" w:hAnsiTheme="minorHAnsi"/>
          <w:b w:val="0"/>
          <w:snapToGrid/>
          <w:sz w:val="24"/>
          <w:szCs w:val="24"/>
          <w:lang w:val="en-US"/>
        </w:rPr>
        <w:t xml:space="preserve">, using </w:t>
      </w:r>
      <w:r w:rsidR="0012670A">
        <w:rPr>
          <w:rStyle w:val="CommentReference"/>
          <w:rFonts w:asciiTheme="minorHAnsi" w:hAnsiTheme="minorHAnsi"/>
          <w:b w:val="0"/>
          <w:snapToGrid/>
          <w:sz w:val="24"/>
          <w:szCs w:val="24"/>
          <w:lang w:val="en-US"/>
        </w:rPr>
        <w:t xml:space="preserve">the </w:t>
      </w:r>
      <w:r w:rsidRPr="002540EA">
        <w:rPr>
          <w:rStyle w:val="CommentReference"/>
          <w:rFonts w:asciiTheme="minorHAnsi" w:hAnsiTheme="minorHAnsi"/>
          <w:b w:val="0"/>
          <w:snapToGrid/>
          <w:sz w:val="24"/>
          <w:szCs w:val="24"/>
          <w:lang w:val="en-US"/>
        </w:rPr>
        <w:t xml:space="preserve">Bucher method, between RELA+NIVO and NIVO+IPI using nivolumab as the common </w:t>
      </w:r>
      <w:r>
        <w:rPr>
          <w:rStyle w:val="CommentReference"/>
          <w:rFonts w:asciiTheme="minorHAnsi" w:hAnsiTheme="minorHAnsi"/>
          <w:b w:val="0"/>
          <w:snapToGrid/>
          <w:sz w:val="24"/>
          <w:szCs w:val="24"/>
          <w:lang w:val="en-US"/>
        </w:rPr>
        <w:t xml:space="preserve">comparator. The results of the ITC are </w:t>
      </w:r>
      <w:proofErr w:type="spellStart"/>
      <w:r>
        <w:rPr>
          <w:rStyle w:val="CommentReference"/>
          <w:rFonts w:asciiTheme="minorHAnsi" w:hAnsiTheme="minorHAnsi"/>
          <w:b w:val="0"/>
          <w:snapToGrid/>
          <w:sz w:val="24"/>
          <w:szCs w:val="24"/>
          <w:lang w:val="en-US"/>
        </w:rPr>
        <w:t>summarised</w:t>
      </w:r>
      <w:proofErr w:type="spellEnd"/>
      <w:r>
        <w:rPr>
          <w:rStyle w:val="CommentReference"/>
          <w:rFonts w:asciiTheme="minorHAnsi" w:hAnsiTheme="minorHAnsi"/>
          <w:b w:val="0"/>
          <w:snapToGrid/>
          <w:sz w:val="24"/>
          <w:szCs w:val="24"/>
          <w:lang w:val="en-US"/>
        </w:rPr>
        <w:t xml:space="preserve"> in </w:t>
      </w:r>
      <w:r>
        <w:rPr>
          <w:rStyle w:val="CommentReference"/>
          <w:rFonts w:asciiTheme="minorHAnsi" w:hAnsiTheme="minorHAnsi"/>
          <w:b w:val="0"/>
          <w:snapToGrid/>
          <w:sz w:val="24"/>
          <w:szCs w:val="24"/>
          <w:lang w:val="en-US"/>
        </w:rPr>
        <w:fldChar w:fldCharType="begin"/>
      </w:r>
      <w:r>
        <w:rPr>
          <w:rStyle w:val="CommentReference"/>
          <w:rFonts w:asciiTheme="minorHAnsi" w:hAnsiTheme="minorHAnsi"/>
          <w:b w:val="0"/>
          <w:snapToGrid/>
          <w:sz w:val="24"/>
          <w:szCs w:val="24"/>
          <w:lang w:val="en-US"/>
        </w:rPr>
        <w:instrText xml:space="preserve"> REF _Ref100927744 \h  \* MERGEFORMAT </w:instrText>
      </w:r>
      <w:r>
        <w:rPr>
          <w:rStyle w:val="CommentReference"/>
          <w:rFonts w:asciiTheme="minorHAnsi" w:hAnsiTheme="minorHAnsi"/>
          <w:b w:val="0"/>
          <w:snapToGrid/>
          <w:sz w:val="24"/>
          <w:szCs w:val="24"/>
          <w:lang w:val="en-US"/>
        </w:rPr>
      </w:r>
      <w:r>
        <w:rPr>
          <w:rStyle w:val="CommentReference"/>
          <w:rFonts w:asciiTheme="minorHAnsi" w:hAnsiTheme="minorHAnsi"/>
          <w:b w:val="0"/>
          <w:snapToGrid/>
          <w:sz w:val="24"/>
          <w:szCs w:val="24"/>
          <w:lang w:val="en-US"/>
        </w:rPr>
        <w:fldChar w:fldCharType="separate"/>
      </w:r>
      <w:r w:rsidR="00633460" w:rsidRPr="00633460">
        <w:rPr>
          <w:rStyle w:val="CommentReference"/>
          <w:rFonts w:asciiTheme="minorHAnsi" w:hAnsiTheme="minorHAnsi"/>
          <w:b w:val="0"/>
          <w:snapToGrid/>
          <w:sz w:val="24"/>
          <w:szCs w:val="24"/>
          <w:lang w:val="en-US"/>
        </w:rPr>
        <w:t>Table 7</w:t>
      </w:r>
      <w:r>
        <w:rPr>
          <w:rStyle w:val="CommentReference"/>
          <w:rFonts w:asciiTheme="minorHAnsi" w:hAnsiTheme="minorHAnsi"/>
          <w:b w:val="0"/>
          <w:snapToGrid/>
          <w:sz w:val="24"/>
          <w:szCs w:val="24"/>
          <w:lang w:val="en-US"/>
        </w:rPr>
        <w:fldChar w:fldCharType="end"/>
      </w:r>
      <w:r>
        <w:rPr>
          <w:rStyle w:val="CommentReference"/>
          <w:rFonts w:asciiTheme="minorHAnsi" w:hAnsiTheme="minorHAnsi"/>
          <w:b w:val="0"/>
          <w:snapToGrid/>
          <w:sz w:val="24"/>
          <w:szCs w:val="24"/>
          <w:lang w:val="en-US"/>
        </w:rPr>
        <w:t>.</w:t>
      </w:r>
    </w:p>
    <w:p w14:paraId="5EEFD3D5" w14:textId="5528654B" w:rsidR="00D24261" w:rsidRPr="002C7A98" w:rsidRDefault="00D24261" w:rsidP="00D24261">
      <w:pPr>
        <w:pStyle w:val="Caption"/>
        <w:keepNext/>
        <w:spacing w:after="0"/>
        <w:rPr>
          <w:rStyle w:val="CommentReference"/>
          <w:b/>
          <w:bCs w:val="0"/>
          <w:color w:val="000000" w:themeColor="text1"/>
        </w:rPr>
      </w:pPr>
      <w:bookmarkStart w:id="52" w:name="_Ref100927744"/>
      <w:r w:rsidRPr="002C7A98">
        <w:rPr>
          <w:rStyle w:val="CommentReference"/>
          <w:b/>
          <w:bCs w:val="0"/>
          <w:color w:val="000000" w:themeColor="text1"/>
        </w:rPr>
        <w:t xml:space="preserve">Table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7</w:t>
      </w:r>
      <w:r>
        <w:rPr>
          <w:rStyle w:val="CommentReference"/>
          <w:b/>
          <w:bCs w:val="0"/>
          <w:color w:val="000000" w:themeColor="text1"/>
        </w:rPr>
        <w:fldChar w:fldCharType="end"/>
      </w:r>
      <w:bookmarkEnd w:id="52"/>
      <w:r>
        <w:rPr>
          <w:rStyle w:val="CommentReference"/>
          <w:b/>
          <w:bCs w:val="0"/>
          <w:color w:val="000000" w:themeColor="text1"/>
        </w:rPr>
        <w:t xml:space="preserve">: </w:t>
      </w:r>
      <w:r w:rsidRPr="002C7A98">
        <w:rPr>
          <w:rStyle w:val="CommentReference"/>
          <w:b/>
          <w:bCs w:val="0"/>
          <w:color w:val="000000" w:themeColor="text1"/>
        </w:rPr>
        <w:t>Results of OS and PFS indirect comparison of RELA+NIVO and NIVO+IPI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Results of OS and PFS indirect comparison of RELA+NIVO and NIVO+IPI"/>
      </w:tblPr>
      <w:tblGrid>
        <w:gridCol w:w="2406"/>
        <w:gridCol w:w="1702"/>
        <w:gridCol w:w="1699"/>
        <w:gridCol w:w="1702"/>
        <w:gridCol w:w="1508"/>
      </w:tblGrid>
      <w:tr w:rsidR="002145D6" w14:paraId="4C11F01C" w14:textId="77777777" w:rsidTr="002145D6">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4B3F44" w14:textId="20164B7A" w:rsidR="002145D6" w:rsidRDefault="002145D6" w:rsidP="00E730EF">
            <w:pPr>
              <w:pStyle w:val="In-tableHeading"/>
              <w:jc w:val="center"/>
              <w:rPr>
                <w:szCs w:val="20"/>
              </w:rPr>
            </w:pP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C6D6FE" w14:textId="77777777" w:rsidR="002145D6" w:rsidRPr="00C75932" w:rsidRDefault="002145D6" w:rsidP="00E730EF">
            <w:pPr>
              <w:pStyle w:val="In-tableHeading"/>
              <w:jc w:val="center"/>
              <w:rPr>
                <w:szCs w:val="20"/>
              </w:rPr>
            </w:pPr>
            <w:r w:rsidRPr="00C75932">
              <w:rPr>
                <w:szCs w:val="20"/>
              </w:rPr>
              <w:t>RELA+NIVO</w:t>
            </w:r>
          </w:p>
        </w:tc>
        <w:tc>
          <w:tcPr>
            <w:tcW w:w="94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328618" w14:textId="77777777" w:rsidR="002145D6" w:rsidRDefault="002145D6" w:rsidP="00E730EF">
            <w:pPr>
              <w:pStyle w:val="In-tableHeading"/>
              <w:jc w:val="center"/>
              <w:rPr>
                <w:szCs w:val="20"/>
              </w:rPr>
            </w:pPr>
            <w:r>
              <w:rPr>
                <w:szCs w:val="20"/>
              </w:rPr>
              <w:t>Nivolumab</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4F2CED" w14:textId="77777777" w:rsidR="002145D6" w:rsidRDefault="002145D6" w:rsidP="00E730EF">
            <w:pPr>
              <w:pStyle w:val="In-tableHeading"/>
              <w:jc w:val="center"/>
              <w:rPr>
                <w:szCs w:val="20"/>
              </w:rPr>
            </w:pPr>
            <w:r>
              <w:rPr>
                <w:szCs w:val="20"/>
              </w:rPr>
              <w:t>Absolute difference</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7B2A48" w14:textId="77777777" w:rsidR="002145D6" w:rsidRDefault="002145D6" w:rsidP="00E730EF">
            <w:pPr>
              <w:pStyle w:val="In-tableHeading"/>
              <w:jc w:val="center"/>
              <w:rPr>
                <w:szCs w:val="20"/>
              </w:rPr>
            </w:pPr>
            <w:r>
              <w:rPr>
                <w:szCs w:val="20"/>
              </w:rPr>
              <w:t>HR (95% CI)</w:t>
            </w:r>
          </w:p>
        </w:tc>
      </w:tr>
      <w:tr w:rsidR="002145D6" w14:paraId="00CB31CF" w14:textId="77777777" w:rsidTr="002145D6">
        <w:trPr>
          <w:cantSplit/>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3FA5E0" w14:textId="038E6B6C" w:rsidR="002145D6" w:rsidRPr="002145D6" w:rsidRDefault="002145D6" w:rsidP="002145D6">
            <w:pPr>
              <w:pStyle w:val="Default"/>
              <w:rPr>
                <w:rFonts w:ascii="Arial Narrow" w:eastAsiaTheme="majorEastAsia" w:hAnsi="Arial Narrow" w:cstheme="majorBidi"/>
                <w:bCs/>
                <w:color w:val="auto"/>
                <w:sz w:val="20"/>
                <w:szCs w:val="20"/>
              </w:rPr>
            </w:pPr>
            <w:r w:rsidRPr="002145D6">
              <w:rPr>
                <w:rFonts w:ascii="Arial Narrow" w:hAnsi="Arial Narrow"/>
                <w:b/>
                <w:bCs/>
                <w:sz w:val="20"/>
                <w:szCs w:val="20"/>
              </w:rPr>
              <w:t>CA224047</w:t>
            </w:r>
            <w:r w:rsidRPr="002145D6">
              <w:rPr>
                <w:rFonts w:ascii="Arial Narrow" w:hAnsi="Arial Narrow"/>
                <w:b/>
                <w:bCs/>
                <w:sz w:val="20"/>
                <w:szCs w:val="20"/>
                <w:vertAlign w:val="superscript"/>
              </w:rPr>
              <w:t>a</w:t>
            </w:r>
          </w:p>
        </w:tc>
      </w:tr>
      <w:tr w:rsidR="002145D6" w14:paraId="2C06D394" w14:textId="77777777" w:rsidTr="002145D6">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17FC13" w14:textId="77777777" w:rsidR="002145D6" w:rsidRDefault="002145D6" w:rsidP="00E730EF">
            <w:pPr>
              <w:pStyle w:val="TableText0"/>
              <w:rPr>
                <w:szCs w:val="20"/>
              </w:rPr>
            </w:pPr>
            <w:r>
              <w:rPr>
                <w:szCs w:val="20"/>
              </w:rPr>
              <w:t>OS event, n/N (%)</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tcPr>
          <w:p w14:paraId="6D2E10BC" w14:textId="77777777" w:rsidR="002145D6" w:rsidRPr="00C75932" w:rsidRDefault="002145D6" w:rsidP="00E730EF">
            <w:pPr>
              <w:pStyle w:val="Default"/>
              <w:jc w:val="center"/>
              <w:rPr>
                <w:rFonts w:ascii="Arial Narrow" w:eastAsiaTheme="majorEastAsia" w:hAnsi="Arial Narrow" w:cstheme="majorBidi"/>
                <w:bCs/>
                <w:color w:val="auto"/>
                <w:sz w:val="20"/>
                <w:szCs w:val="20"/>
              </w:rPr>
            </w:pPr>
            <w:r w:rsidRPr="00C75932">
              <w:rPr>
                <w:rFonts w:ascii="Arial Narrow" w:eastAsiaTheme="majorEastAsia" w:hAnsi="Arial Narrow" w:cstheme="majorBidi"/>
                <w:bCs/>
                <w:color w:val="auto"/>
                <w:sz w:val="20"/>
                <w:szCs w:val="20"/>
              </w:rPr>
              <w:t>137/355 (38.6%)</w:t>
            </w:r>
          </w:p>
        </w:tc>
        <w:tc>
          <w:tcPr>
            <w:tcW w:w="942" w:type="pct"/>
            <w:tcBorders>
              <w:top w:val="single" w:sz="4" w:space="0" w:color="auto"/>
              <w:left w:val="single" w:sz="4" w:space="0" w:color="auto"/>
              <w:bottom w:val="single" w:sz="4" w:space="0" w:color="auto"/>
              <w:right w:val="single" w:sz="4" w:space="0" w:color="auto"/>
            </w:tcBorders>
            <w:tcMar>
              <w:left w:w="28" w:type="dxa"/>
              <w:right w:w="28" w:type="dxa"/>
            </w:tcMar>
          </w:tcPr>
          <w:p w14:paraId="1B44E01B" w14:textId="77777777" w:rsidR="002145D6" w:rsidRPr="00C75932" w:rsidRDefault="002145D6" w:rsidP="00E730EF">
            <w:pPr>
              <w:pStyle w:val="TableText0"/>
              <w:jc w:val="center"/>
              <w:rPr>
                <w:szCs w:val="20"/>
              </w:rPr>
            </w:pPr>
            <w:r w:rsidRPr="00C75932">
              <w:rPr>
                <w:szCs w:val="20"/>
              </w:rPr>
              <w:t>160/359 (44.6%)</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tcPr>
          <w:p w14:paraId="3C563444" w14:textId="77777777" w:rsidR="002145D6" w:rsidRPr="00C75932" w:rsidRDefault="002145D6" w:rsidP="00E730EF">
            <w:pPr>
              <w:pStyle w:val="TableText0"/>
              <w:jc w:val="center"/>
              <w:rPr>
                <w:szCs w:val="20"/>
              </w:rPr>
            </w:pPr>
            <w:r w:rsidRPr="00C75932">
              <w:rPr>
                <w:szCs w:val="20"/>
              </w:rPr>
              <w:t>-</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tcPr>
          <w:p w14:paraId="521FE0FB" w14:textId="77777777" w:rsidR="002145D6" w:rsidRPr="00C75932" w:rsidRDefault="002145D6" w:rsidP="00E730EF">
            <w:pPr>
              <w:pStyle w:val="Default"/>
              <w:jc w:val="center"/>
              <w:rPr>
                <w:rFonts w:ascii="Arial Narrow" w:eastAsiaTheme="majorEastAsia" w:hAnsi="Arial Narrow" w:cstheme="majorBidi"/>
                <w:bCs/>
                <w:color w:val="auto"/>
                <w:sz w:val="20"/>
                <w:szCs w:val="20"/>
              </w:rPr>
            </w:pPr>
            <w:r w:rsidRPr="00C75932">
              <w:rPr>
                <w:rFonts w:ascii="Arial Narrow" w:eastAsiaTheme="majorEastAsia" w:hAnsi="Arial Narrow" w:cstheme="majorBidi"/>
                <w:bCs/>
                <w:color w:val="auto"/>
                <w:sz w:val="20"/>
                <w:szCs w:val="20"/>
              </w:rPr>
              <w:t>-</w:t>
            </w:r>
          </w:p>
        </w:tc>
      </w:tr>
      <w:tr w:rsidR="002145D6" w14:paraId="7D500253" w14:textId="77777777" w:rsidTr="002145D6">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C5C79E" w14:textId="2938D1E1" w:rsidR="002145D6" w:rsidRDefault="002145D6" w:rsidP="00E730EF">
            <w:pPr>
              <w:pStyle w:val="Default"/>
              <w:rPr>
                <w:rFonts w:ascii="Arial Narrow" w:eastAsiaTheme="majorEastAsia" w:hAnsi="Arial Narrow" w:cstheme="majorBidi"/>
                <w:bCs/>
                <w:color w:val="auto"/>
                <w:sz w:val="20"/>
                <w:szCs w:val="20"/>
              </w:rPr>
            </w:pPr>
            <w:r>
              <w:rPr>
                <w:rFonts w:ascii="Arial Narrow" w:eastAsiaTheme="majorEastAsia" w:hAnsi="Arial Narrow" w:cstheme="majorBidi"/>
                <w:bCs/>
                <w:color w:val="auto"/>
                <w:sz w:val="20"/>
                <w:szCs w:val="20"/>
              </w:rPr>
              <w:t>Median OS, months (95% CI)</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87B563" w14:textId="77777777" w:rsidR="002145D6" w:rsidRPr="00C75932" w:rsidRDefault="002145D6" w:rsidP="00E730EF">
            <w:pPr>
              <w:pStyle w:val="TableText0"/>
              <w:jc w:val="center"/>
              <w:rPr>
                <w:szCs w:val="20"/>
              </w:rPr>
            </w:pPr>
            <w:r w:rsidRPr="00C75932">
              <w:rPr>
                <w:szCs w:val="20"/>
              </w:rPr>
              <w:t>NA (32.2, NR)</w:t>
            </w:r>
          </w:p>
        </w:tc>
        <w:tc>
          <w:tcPr>
            <w:tcW w:w="9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4691A0" w14:textId="77777777" w:rsidR="002145D6" w:rsidRPr="00C75932" w:rsidRDefault="002145D6" w:rsidP="00E730EF">
            <w:pPr>
              <w:pStyle w:val="TableText0"/>
              <w:jc w:val="center"/>
              <w:rPr>
                <w:szCs w:val="20"/>
              </w:rPr>
            </w:pPr>
            <w:r w:rsidRPr="00C75932">
              <w:rPr>
                <w:szCs w:val="20"/>
              </w:rPr>
              <w:t>34.1 (25.23, NR)</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4D67F0" w14:textId="77777777" w:rsidR="002145D6" w:rsidRPr="00C75932" w:rsidRDefault="002145D6" w:rsidP="00E730EF">
            <w:pPr>
              <w:pStyle w:val="TableText0"/>
              <w:jc w:val="center"/>
              <w:rPr>
                <w:szCs w:val="20"/>
              </w:rPr>
            </w:pPr>
            <w:r w:rsidRPr="00C75932">
              <w:rPr>
                <w:szCs w:val="20"/>
              </w:rPr>
              <w:t>-</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994098" w14:textId="70582CC5" w:rsidR="002145D6" w:rsidRPr="00C75932" w:rsidRDefault="002145D6" w:rsidP="00E730EF">
            <w:pPr>
              <w:pStyle w:val="Default"/>
              <w:jc w:val="center"/>
              <w:rPr>
                <w:rFonts w:ascii="Arial Narrow" w:eastAsiaTheme="majorEastAsia" w:hAnsi="Arial Narrow" w:cstheme="majorBidi"/>
                <w:bCs/>
                <w:color w:val="auto"/>
                <w:sz w:val="20"/>
                <w:szCs w:val="20"/>
              </w:rPr>
            </w:pPr>
            <w:r w:rsidRPr="00C75932">
              <w:rPr>
                <w:rFonts w:ascii="Arial Narrow" w:eastAsiaTheme="majorEastAsia" w:hAnsi="Arial Narrow" w:cstheme="majorBidi"/>
                <w:bCs/>
                <w:color w:val="auto"/>
                <w:sz w:val="20"/>
                <w:szCs w:val="20"/>
              </w:rPr>
              <w:t>0.8</w:t>
            </w:r>
            <w:r>
              <w:rPr>
                <w:rFonts w:ascii="Arial Narrow" w:eastAsiaTheme="majorEastAsia" w:hAnsi="Arial Narrow" w:cstheme="majorBidi"/>
                <w:bCs/>
                <w:color w:val="auto"/>
                <w:sz w:val="20"/>
                <w:szCs w:val="20"/>
              </w:rPr>
              <w:t>0</w:t>
            </w:r>
            <w:r w:rsidRPr="00C75932">
              <w:rPr>
                <w:rFonts w:ascii="Arial Narrow" w:eastAsiaTheme="majorEastAsia" w:hAnsi="Arial Narrow" w:cstheme="majorBidi"/>
                <w:bCs/>
                <w:color w:val="auto"/>
                <w:sz w:val="20"/>
                <w:szCs w:val="20"/>
              </w:rPr>
              <w:t xml:space="preserve"> (0.64, 1.01)</w:t>
            </w:r>
          </w:p>
        </w:tc>
      </w:tr>
      <w:tr w:rsidR="002145D6" w14:paraId="30B13B5E" w14:textId="77777777" w:rsidTr="002145D6">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A04FC42" w14:textId="77777777" w:rsidR="002145D6" w:rsidRDefault="002145D6" w:rsidP="00E730EF">
            <w:pPr>
              <w:pStyle w:val="Default"/>
              <w:rPr>
                <w:rFonts w:ascii="Arial Narrow" w:eastAsiaTheme="majorEastAsia" w:hAnsi="Arial Narrow" w:cstheme="majorBidi"/>
                <w:bCs/>
                <w:color w:val="auto"/>
                <w:sz w:val="20"/>
                <w:szCs w:val="20"/>
              </w:rPr>
            </w:pPr>
            <w:r>
              <w:rPr>
                <w:rFonts w:ascii="Arial Narrow" w:eastAsiaTheme="majorEastAsia" w:hAnsi="Arial Narrow" w:cstheme="majorBidi"/>
                <w:bCs/>
                <w:color w:val="auto"/>
                <w:sz w:val="20"/>
                <w:szCs w:val="20"/>
              </w:rPr>
              <w:t>PFS event, n/N (%)</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tcPr>
          <w:p w14:paraId="1C4E32AB" w14:textId="77777777" w:rsidR="002145D6" w:rsidRDefault="002145D6" w:rsidP="00E730EF">
            <w:pPr>
              <w:pStyle w:val="TableText0"/>
              <w:jc w:val="center"/>
              <w:rPr>
                <w:szCs w:val="20"/>
                <w:highlight w:val="yellow"/>
              </w:rPr>
            </w:pPr>
            <w:r w:rsidRPr="00914501">
              <w:t>180</w:t>
            </w:r>
            <w:r>
              <w:t>/355</w:t>
            </w:r>
            <w:r w:rsidRPr="00914501">
              <w:t xml:space="preserve"> (50.7%)</w:t>
            </w:r>
          </w:p>
        </w:tc>
        <w:tc>
          <w:tcPr>
            <w:tcW w:w="942" w:type="pct"/>
            <w:tcBorders>
              <w:top w:val="single" w:sz="4" w:space="0" w:color="auto"/>
              <w:left w:val="single" w:sz="4" w:space="0" w:color="auto"/>
              <w:bottom w:val="single" w:sz="4" w:space="0" w:color="auto"/>
              <w:right w:val="single" w:sz="4" w:space="0" w:color="auto"/>
            </w:tcBorders>
            <w:tcMar>
              <w:left w:w="28" w:type="dxa"/>
              <w:right w:w="28" w:type="dxa"/>
            </w:tcMar>
          </w:tcPr>
          <w:p w14:paraId="7EFA7C0F" w14:textId="77777777" w:rsidR="002145D6" w:rsidRDefault="002145D6" w:rsidP="00E730EF">
            <w:pPr>
              <w:pStyle w:val="TableText0"/>
              <w:jc w:val="center"/>
              <w:rPr>
                <w:szCs w:val="20"/>
                <w:highlight w:val="yellow"/>
              </w:rPr>
            </w:pPr>
            <w:r w:rsidRPr="00914501">
              <w:t>211</w:t>
            </w:r>
            <w:r>
              <w:t>/359</w:t>
            </w:r>
            <w:r w:rsidRPr="00914501">
              <w:t xml:space="preserve"> (58.8%)</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763AE7" w14:textId="77777777" w:rsidR="002145D6" w:rsidRDefault="002145D6" w:rsidP="00E730EF">
            <w:pPr>
              <w:pStyle w:val="TableText0"/>
              <w:jc w:val="center"/>
              <w:rPr>
                <w:szCs w:val="20"/>
              </w:rPr>
            </w:pPr>
            <w:r>
              <w:t>-</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BEA448" w14:textId="77777777" w:rsidR="002145D6" w:rsidRPr="002145D6" w:rsidRDefault="002145D6" w:rsidP="00E730EF">
            <w:pPr>
              <w:pStyle w:val="Default"/>
              <w:jc w:val="center"/>
              <w:rPr>
                <w:rFonts w:ascii="Arial Narrow" w:eastAsiaTheme="majorEastAsia" w:hAnsi="Arial Narrow" w:cstheme="majorBidi"/>
                <w:color w:val="auto"/>
                <w:sz w:val="20"/>
                <w:szCs w:val="20"/>
              </w:rPr>
            </w:pPr>
            <w:r w:rsidRPr="002145D6">
              <w:rPr>
                <w:rFonts w:ascii="Arial Narrow" w:hAnsi="Arial Narrow"/>
                <w:sz w:val="20"/>
                <w:szCs w:val="20"/>
              </w:rPr>
              <w:t>-</w:t>
            </w:r>
          </w:p>
        </w:tc>
      </w:tr>
      <w:tr w:rsidR="002145D6" w14:paraId="1102DBDE" w14:textId="77777777" w:rsidTr="002145D6">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BF2642C" w14:textId="517DF3F6" w:rsidR="002145D6" w:rsidRDefault="002145D6" w:rsidP="00E730EF">
            <w:pPr>
              <w:pStyle w:val="Default"/>
              <w:rPr>
                <w:rFonts w:ascii="Arial Narrow" w:eastAsiaTheme="majorEastAsia" w:hAnsi="Arial Narrow" w:cstheme="majorBidi"/>
                <w:bCs/>
                <w:color w:val="auto"/>
                <w:sz w:val="20"/>
                <w:szCs w:val="20"/>
              </w:rPr>
            </w:pPr>
            <w:r>
              <w:rPr>
                <w:rFonts w:ascii="Arial Narrow" w:eastAsiaTheme="majorEastAsia" w:hAnsi="Arial Narrow" w:cstheme="majorBidi"/>
                <w:bCs/>
                <w:color w:val="auto"/>
                <w:sz w:val="20"/>
                <w:szCs w:val="20"/>
              </w:rPr>
              <w:t>Median PFS, months (95% CI)</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F9A4B4" w14:textId="77777777" w:rsidR="002145D6" w:rsidRDefault="002145D6" w:rsidP="00E730EF">
            <w:pPr>
              <w:pStyle w:val="TableText0"/>
              <w:jc w:val="center"/>
              <w:rPr>
                <w:szCs w:val="20"/>
              </w:rPr>
            </w:pPr>
            <w:r w:rsidRPr="00E81936">
              <w:t>10.12 (6.37, 15.74)</w:t>
            </w:r>
          </w:p>
        </w:tc>
        <w:tc>
          <w:tcPr>
            <w:tcW w:w="9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307A7D" w14:textId="77777777" w:rsidR="002145D6" w:rsidRDefault="002145D6" w:rsidP="00E730EF">
            <w:pPr>
              <w:pStyle w:val="TableText0"/>
              <w:jc w:val="center"/>
              <w:rPr>
                <w:szCs w:val="20"/>
                <w:highlight w:val="yellow"/>
              </w:rPr>
            </w:pPr>
            <w:r w:rsidRPr="00E81936">
              <w:t>4.63 (3.38, 5.62)</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D7D2DF" w14:textId="77777777" w:rsidR="002145D6" w:rsidRDefault="002145D6" w:rsidP="00E730EF">
            <w:pPr>
              <w:pStyle w:val="TableText0"/>
              <w:jc w:val="center"/>
              <w:rPr>
                <w:szCs w:val="20"/>
              </w:rPr>
            </w:pPr>
            <w:r w:rsidRPr="006F3F5F">
              <w:t xml:space="preserve">5.49 </w:t>
            </w:r>
            <w:r>
              <w:t>months</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C17719" w14:textId="77777777" w:rsidR="002145D6" w:rsidRDefault="002145D6" w:rsidP="00E730EF">
            <w:pPr>
              <w:pStyle w:val="Default"/>
              <w:jc w:val="center"/>
              <w:rPr>
                <w:rFonts w:ascii="Arial Narrow" w:eastAsiaTheme="majorEastAsia" w:hAnsi="Arial Narrow" w:cstheme="majorBidi"/>
                <w:b/>
                <w:color w:val="auto"/>
                <w:sz w:val="20"/>
                <w:szCs w:val="20"/>
                <w:highlight w:val="yellow"/>
              </w:rPr>
            </w:pPr>
            <w:r w:rsidRPr="000B2DC9">
              <w:rPr>
                <w:rFonts w:ascii="Arial Narrow" w:eastAsiaTheme="majorEastAsia" w:hAnsi="Arial Narrow" w:cstheme="majorBidi"/>
                <w:b/>
                <w:iCs/>
                <w:color w:val="auto"/>
                <w:sz w:val="20"/>
              </w:rPr>
              <w:t xml:space="preserve">0.75 </w:t>
            </w:r>
            <w:r>
              <w:rPr>
                <w:rFonts w:ascii="Arial Narrow" w:eastAsiaTheme="majorEastAsia" w:hAnsi="Arial Narrow" w:cstheme="majorBidi"/>
                <w:b/>
                <w:iCs/>
                <w:color w:val="auto"/>
                <w:sz w:val="20"/>
              </w:rPr>
              <w:t>(</w:t>
            </w:r>
            <w:r w:rsidRPr="000B2DC9">
              <w:rPr>
                <w:rFonts w:ascii="Arial Narrow" w:eastAsiaTheme="majorEastAsia" w:hAnsi="Arial Narrow" w:cstheme="majorBidi"/>
                <w:b/>
                <w:iCs/>
                <w:color w:val="auto"/>
                <w:sz w:val="20"/>
              </w:rPr>
              <w:t>0.62, 0.92</w:t>
            </w:r>
            <w:r>
              <w:rPr>
                <w:rFonts w:ascii="Arial Narrow" w:eastAsiaTheme="majorEastAsia" w:hAnsi="Arial Narrow" w:cstheme="majorBidi"/>
                <w:b/>
                <w:iCs/>
                <w:color w:val="auto"/>
                <w:sz w:val="20"/>
              </w:rPr>
              <w:t>)</w:t>
            </w:r>
          </w:p>
        </w:tc>
      </w:tr>
      <w:tr w:rsidR="002145D6" w14:paraId="63584760" w14:textId="77777777" w:rsidTr="002145D6">
        <w:trPr>
          <w:cantSplit/>
        </w:trPr>
        <w:tc>
          <w:tcPr>
            <w:tcW w:w="133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BE0595" w14:textId="125A3E9F" w:rsidR="002145D6" w:rsidRDefault="002145D6" w:rsidP="00E730EF">
            <w:pPr>
              <w:pStyle w:val="In-tableHeading"/>
              <w:jc w:val="center"/>
              <w:rPr>
                <w:szCs w:val="20"/>
              </w:rPr>
            </w:pP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E8F4B3" w14:textId="77777777" w:rsidR="002145D6" w:rsidRPr="00C75932" w:rsidRDefault="002145D6" w:rsidP="00E730EF">
            <w:pPr>
              <w:pStyle w:val="In-tableHeading"/>
              <w:jc w:val="center"/>
              <w:rPr>
                <w:b w:val="0"/>
                <w:szCs w:val="20"/>
              </w:rPr>
            </w:pPr>
            <w:r w:rsidRPr="00C75932">
              <w:rPr>
                <w:rStyle w:val="CommentReference"/>
                <w:b/>
                <w:szCs w:val="20"/>
              </w:rPr>
              <w:t>NIVO+IPI</w:t>
            </w:r>
          </w:p>
        </w:tc>
        <w:tc>
          <w:tcPr>
            <w:tcW w:w="94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00737B" w14:textId="77777777" w:rsidR="002145D6" w:rsidRDefault="002145D6" w:rsidP="00E730EF">
            <w:pPr>
              <w:pStyle w:val="In-tableHeading"/>
              <w:jc w:val="center"/>
              <w:rPr>
                <w:szCs w:val="20"/>
              </w:rPr>
            </w:pPr>
            <w:r>
              <w:rPr>
                <w:szCs w:val="20"/>
              </w:rPr>
              <w:t>Nivolumab</w:t>
            </w:r>
          </w:p>
        </w:tc>
        <w:tc>
          <w:tcPr>
            <w:tcW w:w="94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5B2AA6" w14:textId="77777777" w:rsidR="002145D6" w:rsidRDefault="002145D6" w:rsidP="00E730EF">
            <w:pPr>
              <w:pStyle w:val="In-tableHeading"/>
              <w:jc w:val="center"/>
              <w:rPr>
                <w:szCs w:val="20"/>
              </w:rPr>
            </w:pPr>
            <w:r>
              <w:rPr>
                <w:szCs w:val="20"/>
              </w:rPr>
              <w:t>Absolute difference</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7FEA9C" w14:textId="77777777" w:rsidR="002145D6" w:rsidRDefault="002145D6" w:rsidP="00E730EF">
            <w:pPr>
              <w:pStyle w:val="In-tableHeading"/>
              <w:jc w:val="center"/>
              <w:rPr>
                <w:szCs w:val="20"/>
              </w:rPr>
            </w:pPr>
            <w:r>
              <w:rPr>
                <w:szCs w:val="20"/>
              </w:rPr>
              <w:t>HR (95% CI)</w:t>
            </w:r>
          </w:p>
        </w:tc>
      </w:tr>
      <w:tr w:rsidR="002145D6" w14:paraId="1813F4DA" w14:textId="77777777" w:rsidTr="002145D6">
        <w:trPr>
          <w:cantSplit/>
        </w:trPr>
        <w:tc>
          <w:tcPr>
            <w:tcW w:w="500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7097E" w14:textId="7D53DBD7" w:rsidR="002145D6" w:rsidRDefault="002145D6" w:rsidP="002145D6">
            <w:pPr>
              <w:pStyle w:val="In-tableHeading"/>
              <w:rPr>
                <w:szCs w:val="20"/>
              </w:rPr>
            </w:pPr>
            <w:r>
              <w:rPr>
                <w:szCs w:val="20"/>
              </w:rPr>
              <w:t>CA209067</w:t>
            </w:r>
            <w:r>
              <w:rPr>
                <w:szCs w:val="20"/>
                <w:vertAlign w:val="superscript"/>
              </w:rPr>
              <w:t>b</w:t>
            </w:r>
          </w:p>
        </w:tc>
      </w:tr>
      <w:tr w:rsidR="002145D6" w14:paraId="7B3A8300" w14:textId="77777777" w:rsidTr="002145D6">
        <w:trPr>
          <w:cantSplit/>
        </w:trPr>
        <w:tc>
          <w:tcPr>
            <w:tcW w:w="13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7C0E1" w14:textId="77777777" w:rsidR="002145D6" w:rsidRDefault="002145D6" w:rsidP="00E730EF">
            <w:pPr>
              <w:pStyle w:val="TableText0"/>
              <w:rPr>
                <w:szCs w:val="20"/>
              </w:rPr>
            </w:pPr>
            <w:r>
              <w:rPr>
                <w:szCs w:val="20"/>
              </w:rPr>
              <w:t>OS event, n/N (%)</w:t>
            </w:r>
          </w:p>
        </w:tc>
        <w:tc>
          <w:tcPr>
            <w:tcW w:w="9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5F2F90" w14:textId="77777777" w:rsidR="002145D6" w:rsidRDefault="002145D6" w:rsidP="00E730EF">
            <w:pPr>
              <w:pStyle w:val="TableText0"/>
              <w:jc w:val="center"/>
              <w:rPr>
                <w:szCs w:val="20"/>
                <w:highlight w:val="yellow"/>
              </w:rPr>
            </w:pPr>
            <w:r w:rsidRPr="005D506F">
              <w:t>182</w:t>
            </w:r>
            <w:r>
              <w:t>/314</w:t>
            </w:r>
            <w:r w:rsidRPr="005D506F">
              <w:t xml:space="preserve"> (58%)</w:t>
            </w:r>
          </w:p>
        </w:tc>
        <w:tc>
          <w:tcPr>
            <w:tcW w:w="9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B06727" w14:textId="77777777" w:rsidR="002145D6" w:rsidRDefault="002145D6" w:rsidP="00E730EF">
            <w:pPr>
              <w:pStyle w:val="TableText0"/>
              <w:jc w:val="center"/>
              <w:rPr>
                <w:szCs w:val="20"/>
                <w:highlight w:val="yellow"/>
              </w:rPr>
            </w:pPr>
            <w:r w:rsidRPr="005D506F">
              <w:t>164/316</w:t>
            </w:r>
            <w:r>
              <w:t xml:space="preserve"> </w:t>
            </w:r>
            <w:r w:rsidRPr="005D506F">
              <w:t>(52%)</w:t>
            </w:r>
          </w:p>
        </w:tc>
        <w:tc>
          <w:tcPr>
            <w:tcW w:w="9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7213B8" w14:textId="77777777" w:rsidR="002145D6" w:rsidRDefault="002145D6" w:rsidP="00E730EF">
            <w:pPr>
              <w:pStyle w:val="TableText0"/>
              <w:jc w:val="center"/>
              <w:rPr>
                <w:szCs w:val="20"/>
              </w:rPr>
            </w:pPr>
            <w:r>
              <w:t>-</w:t>
            </w:r>
          </w:p>
        </w:tc>
        <w:tc>
          <w:tcPr>
            <w:tcW w:w="8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B3770" w14:textId="76CB89A8" w:rsidR="002145D6" w:rsidRDefault="002145D6" w:rsidP="00E730EF">
            <w:pPr>
              <w:pStyle w:val="TableText0"/>
              <w:jc w:val="center"/>
              <w:rPr>
                <w:szCs w:val="20"/>
              </w:rPr>
            </w:pPr>
            <w:r>
              <w:rPr>
                <w:szCs w:val="20"/>
              </w:rPr>
              <w:t>-</w:t>
            </w:r>
          </w:p>
        </w:tc>
      </w:tr>
      <w:tr w:rsidR="002145D6" w14:paraId="232EA3B4" w14:textId="77777777" w:rsidTr="002145D6">
        <w:trPr>
          <w:cantSplit/>
        </w:trPr>
        <w:tc>
          <w:tcPr>
            <w:tcW w:w="13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817994" w14:textId="136768C8" w:rsidR="002145D6" w:rsidRDefault="002145D6" w:rsidP="00E730EF">
            <w:pPr>
              <w:pStyle w:val="TableText0"/>
              <w:rPr>
                <w:szCs w:val="20"/>
              </w:rPr>
            </w:pPr>
            <w:r>
              <w:rPr>
                <w:bCs w:val="0"/>
                <w:szCs w:val="20"/>
              </w:rPr>
              <w:t>Median OS, months (95% CI)</w:t>
            </w:r>
          </w:p>
        </w:tc>
        <w:tc>
          <w:tcPr>
            <w:tcW w:w="9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1DF76" w14:textId="6057314B" w:rsidR="002145D6" w:rsidRDefault="002145D6" w:rsidP="00E730EF">
            <w:pPr>
              <w:pStyle w:val="TableText0"/>
              <w:jc w:val="center"/>
              <w:rPr>
                <w:szCs w:val="20"/>
                <w:highlight w:val="yellow"/>
              </w:rPr>
            </w:pPr>
            <w:r>
              <w:t>NR (NR, NR)</w:t>
            </w:r>
          </w:p>
        </w:tc>
        <w:tc>
          <w:tcPr>
            <w:tcW w:w="9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866A4A" w14:textId="77777777" w:rsidR="002145D6" w:rsidRDefault="002145D6" w:rsidP="00E730EF">
            <w:pPr>
              <w:pStyle w:val="TableText0"/>
              <w:jc w:val="center"/>
              <w:rPr>
                <w:szCs w:val="20"/>
                <w:highlight w:val="yellow"/>
              </w:rPr>
            </w:pPr>
            <w:r w:rsidRPr="005D506F">
              <w:t>37.6 (29.1, NR)</w:t>
            </w:r>
          </w:p>
        </w:tc>
        <w:tc>
          <w:tcPr>
            <w:tcW w:w="9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A86A1B" w14:textId="77777777" w:rsidR="002145D6" w:rsidRDefault="002145D6" w:rsidP="00E730EF">
            <w:pPr>
              <w:pStyle w:val="TableText0"/>
              <w:jc w:val="center"/>
              <w:rPr>
                <w:szCs w:val="20"/>
                <w:highlight w:val="yellow"/>
              </w:rPr>
            </w:pPr>
            <w:r>
              <w:t>-</w:t>
            </w:r>
          </w:p>
        </w:tc>
        <w:tc>
          <w:tcPr>
            <w:tcW w:w="8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FB63C1" w14:textId="77777777" w:rsidR="002145D6" w:rsidRDefault="002145D6" w:rsidP="00E730EF">
            <w:pPr>
              <w:pStyle w:val="TableText0"/>
              <w:jc w:val="center"/>
              <w:rPr>
                <w:szCs w:val="20"/>
                <w:highlight w:val="yellow"/>
              </w:rPr>
            </w:pPr>
            <w:r w:rsidRPr="005D506F">
              <w:t>0.85</w:t>
            </w:r>
            <w:r>
              <w:t xml:space="preserve"> </w:t>
            </w:r>
            <w:r w:rsidRPr="005D506F">
              <w:t>(0.68, 1.07)</w:t>
            </w:r>
          </w:p>
        </w:tc>
      </w:tr>
      <w:tr w:rsidR="002145D6" w14:paraId="67725655" w14:textId="77777777" w:rsidTr="002145D6">
        <w:trPr>
          <w:cantSplit/>
        </w:trPr>
        <w:tc>
          <w:tcPr>
            <w:tcW w:w="13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61A74D" w14:textId="77777777" w:rsidR="002145D6" w:rsidRDefault="002145D6" w:rsidP="00E730EF">
            <w:pPr>
              <w:pStyle w:val="TableText0"/>
              <w:rPr>
                <w:bCs w:val="0"/>
                <w:szCs w:val="20"/>
              </w:rPr>
            </w:pPr>
            <w:r>
              <w:rPr>
                <w:szCs w:val="20"/>
              </w:rPr>
              <w:t>PFS event, n/N (%)</w:t>
            </w:r>
          </w:p>
        </w:tc>
        <w:tc>
          <w:tcPr>
            <w:tcW w:w="9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5BF808" w14:textId="77777777" w:rsidR="002145D6" w:rsidRDefault="002145D6" w:rsidP="00E730EF">
            <w:pPr>
              <w:pStyle w:val="TableText0"/>
              <w:jc w:val="center"/>
              <w:rPr>
                <w:szCs w:val="20"/>
              </w:rPr>
            </w:pPr>
            <w:r w:rsidRPr="000B2DC9">
              <w:t>151</w:t>
            </w:r>
            <w:r>
              <w:t>/314</w:t>
            </w:r>
            <w:r w:rsidRPr="000B2DC9">
              <w:t xml:space="preserve"> </w:t>
            </w:r>
            <w:r>
              <w:t>(</w:t>
            </w:r>
            <w:r w:rsidRPr="000B2DC9">
              <w:t>48.1%)</w:t>
            </w:r>
          </w:p>
        </w:tc>
        <w:tc>
          <w:tcPr>
            <w:tcW w:w="9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473A8C" w14:textId="77777777" w:rsidR="002145D6" w:rsidRDefault="002145D6" w:rsidP="00E730EF">
            <w:pPr>
              <w:pStyle w:val="TableText0"/>
              <w:jc w:val="center"/>
              <w:rPr>
                <w:szCs w:val="20"/>
                <w:highlight w:val="yellow"/>
              </w:rPr>
            </w:pPr>
            <w:r w:rsidRPr="000B2DC9">
              <w:t>174/316</w:t>
            </w:r>
            <w:r>
              <w:t xml:space="preserve"> </w:t>
            </w:r>
            <w:r w:rsidRPr="000B2DC9">
              <w:t>(55.1%)</w:t>
            </w:r>
          </w:p>
        </w:tc>
        <w:tc>
          <w:tcPr>
            <w:tcW w:w="9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9DFF6C" w14:textId="77777777" w:rsidR="002145D6" w:rsidRDefault="002145D6" w:rsidP="00E730EF">
            <w:pPr>
              <w:pStyle w:val="TableText0"/>
              <w:jc w:val="center"/>
              <w:rPr>
                <w:i/>
                <w:iCs/>
                <w:szCs w:val="20"/>
              </w:rPr>
            </w:pPr>
            <w:r>
              <w:t>-</w:t>
            </w:r>
          </w:p>
        </w:tc>
        <w:tc>
          <w:tcPr>
            <w:tcW w:w="8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5CC806" w14:textId="796CEFFC" w:rsidR="002145D6" w:rsidRPr="002145D6" w:rsidRDefault="002145D6" w:rsidP="00E730EF">
            <w:pPr>
              <w:pStyle w:val="TableText0"/>
              <w:jc w:val="center"/>
              <w:rPr>
                <w:szCs w:val="20"/>
              </w:rPr>
            </w:pPr>
            <w:r w:rsidRPr="002145D6">
              <w:rPr>
                <w:szCs w:val="20"/>
              </w:rPr>
              <w:t>-</w:t>
            </w:r>
          </w:p>
        </w:tc>
      </w:tr>
      <w:tr w:rsidR="002145D6" w14:paraId="417E96B5" w14:textId="77777777" w:rsidTr="002145D6">
        <w:trPr>
          <w:cantSplit/>
        </w:trPr>
        <w:tc>
          <w:tcPr>
            <w:tcW w:w="133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54B9B" w14:textId="507CB9FC" w:rsidR="002145D6" w:rsidRDefault="002145D6" w:rsidP="00E730EF">
            <w:pPr>
              <w:pStyle w:val="TableText0"/>
              <w:rPr>
                <w:bCs w:val="0"/>
                <w:szCs w:val="20"/>
              </w:rPr>
            </w:pPr>
            <w:r>
              <w:rPr>
                <w:bCs w:val="0"/>
                <w:szCs w:val="20"/>
              </w:rPr>
              <w:t>Median PFS, months (95% CI)</w:t>
            </w:r>
          </w:p>
        </w:tc>
        <w:tc>
          <w:tcPr>
            <w:tcW w:w="9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23BD9" w14:textId="77777777" w:rsidR="002145D6" w:rsidRDefault="002145D6" w:rsidP="00E730EF">
            <w:pPr>
              <w:pStyle w:val="TableText0"/>
              <w:jc w:val="center"/>
              <w:rPr>
                <w:szCs w:val="20"/>
              </w:rPr>
            </w:pPr>
            <w:r w:rsidRPr="000B2DC9">
              <w:t>11.5 (8.9, 16.72)</w:t>
            </w:r>
          </w:p>
        </w:tc>
        <w:tc>
          <w:tcPr>
            <w:tcW w:w="94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6EB2B2" w14:textId="77777777" w:rsidR="002145D6" w:rsidRDefault="002145D6" w:rsidP="00E730EF">
            <w:pPr>
              <w:pStyle w:val="TableText0"/>
              <w:jc w:val="center"/>
              <w:rPr>
                <w:szCs w:val="20"/>
                <w:highlight w:val="yellow"/>
              </w:rPr>
            </w:pPr>
            <w:r w:rsidRPr="000B2DC9">
              <w:t>6.87 (4.34, 9.46)</w:t>
            </w:r>
          </w:p>
        </w:tc>
        <w:tc>
          <w:tcPr>
            <w:tcW w:w="94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CA3FB6" w14:textId="77777777" w:rsidR="002145D6" w:rsidRDefault="002145D6" w:rsidP="00E730EF">
            <w:pPr>
              <w:pStyle w:val="TableText0"/>
              <w:jc w:val="center"/>
              <w:rPr>
                <w:i/>
                <w:iCs/>
                <w:szCs w:val="20"/>
                <w:highlight w:val="yellow"/>
              </w:rPr>
            </w:pPr>
            <w:r>
              <w:t>4.63 months</w:t>
            </w:r>
          </w:p>
        </w:tc>
        <w:tc>
          <w:tcPr>
            <w:tcW w:w="8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FB1C6E" w14:textId="77777777" w:rsidR="002145D6" w:rsidRDefault="002145D6" w:rsidP="00E730EF">
            <w:pPr>
              <w:pStyle w:val="TableText0"/>
              <w:jc w:val="center"/>
              <w:rPr>
                <w:b/>
                <w:bCs w:val="0"/>
                <w:szCs w:val="20"/>
                <w:highlight w:val="yellow"/>
              </w:rPr>
            </w:pPr>
            <w:r w:rsidRPr="000B2DC9">
              <w:rPr>
                <w:b/>
                <w:bCs w:val="0"/>
              </w:rPr>
              <w:t xml:space="preserve">0.74 </w:t>
            </w:r>
            <w:r>
              <w:rPr>
                <w:b/>
                <w:bCs w:val="0"/>
              </w:rPr>
              <w:t>(</w:t>
            </w:r>
            <w:r w:rsidRPr="000B2DC9">
              <w:rPr>
                <w:b/>
                <w:bCs w:val="0"/>
              </w:rPr>
              <w:t>0.6, 0.92</w:t>
            </w:r>
            <w:r>
              <w:rPr>
                <w:b/>
                <w:bCs w:val="0"/>
              </w:rPr>
              <w:t>)</w:t>
            </w:r>
          </w:p>
        </w:tc>
      </w:tr>
      <w:tr w:rsidR="002145D6" w14:paraId="5F31AA04" w14:textId="77777777" w:rsidTr="002145D6">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CFC7D3" w14:textId="40876EE3" w:rsidR="002145D6" w:rsidRPr="000B2DC9" w:rsidRDefault="002145D6" w:rsidP="002145D6">
            <w:pPr>
              <w:pStyle w:val="TableText0"/>
              <w:rPr>
                <w:b/>
                <w:bCs w:val="0"/>
              </w:rPr>
            </w:pPr>
            <w:r>
              <w:rPr>
                <w:b/>
                <w:bCs w:val="0"/>
              </w:rPr>
              <w:t>ITC</w:t>
            </w:r>
          </w:p>
        </w:tc>
      </w:tr>
      <w:tr w:rsidR="002145D6" w14:paraId="2330552E" w14:textId="77777777" w:rsidTr="002145D6">
        <w:trPr>
          <w:cantSplit/>
        </w:trPr>
        <w:tc>
          <w:tcPr>
            <w:tcW w:w="4164"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686310" w14:textId="26B5D368" w:rsidR="002145D6" w:rsidRDefault="002145D6" w:rsidP="00E730EF">
            <w:pPr>
              <w:pStyle w:val="TableText0"/>
              <w:jc w:val="right"/>
              <w:rPr>
                <w:bCs w:val="0"/>
                <w:szCs w:val="20"/>
              </w:rPr>
            </w:pPr>
            <w:r>
              <w:rPr>
                <w:bCs w:val="0"/>
                <w:szCs w:val="20"/>
              </w:rPr>
              <w:t>RELA+NIVO vs. NIVO+IPI for OS (95% CI)</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AD3754" w14:textId="156A8A2E" w:rsidR="002145D6" w:rsidRDefault="002145D6" w:rsidP="00E730EF">
            <w:pPr>
              <w:pStyle w:val="Default"/>
              <w:jc w:val="center"/>
              <w:rPr>
                <w:rFonts w:ascii="Arial Narrow" w:eastAsiaTheme="majorEastAsia" w:hAnsi="Arial Narrow" w:cstheme="majorBidi"/>
                <w:bCs/>
                <w:color w:val="auto"/>
                <w:sz w:val="20"/>
                <w:szCs w:val="20"/>
                <w:highlight w:val="yellow"/>
              </w:rPr>
            </w:pPr>
            <w:r w:rsidRPr="00C75932">
              <w:rPr>
                <w:rFonts w:ascii="Arial Narrow" w:eastAsiaTheme="majorEastAsia" w:hAnsi="Arial Narrow" w:cstheme="majorBidi"/>
                <w:bCs/>
                <w:color w:val="auto"/>
                <w:sz w:val="20"/>
                <w:szCs w:val="20"/>
              </w:rPr>
              <w:t xml:space="preserve">0.94 </w:t>
            </w:r>
            <w:r>
              <w:rPr>
                <w:rFonts w:ascii="Arial Narrow" w:eastAsiaTheme="majorEastAsia" w:hAnsi="Arial Narrow" w:cstheme="majorBidi"/>
                <w:bCs/>
                <w:color w:val="auto"/>
                <w:sz w:val="20"/>
                <w:szCs w:val="20"/>
              </w:rPr>
              <w:t>(</w:t>
            </w:r>
            <w:r w:rsidRPr="00C75932">
              <w:rPr>
                <w:rFonts w:ascii="Arial Narrow" w:eastAsiaTheme="majorEastAsia" w:hAnsi="Arial Narrow" w:cstheme="majorBidi"/>
                <w:bCs/>
                <w:color w:val="auto"/>
                <w:sz w:val="20"/>
                <w:szCs w:val="20"/>
              </w:rPr>
              <w:t>0.68, 1.30</w:t>
            </w:r>
            <w:r>
              <w:rPr>
                <w:rFonts w:ascii="Arial Narrow" w:eastAsiaTheme="majorEastAsia" w:hAnsi="Arial Narrow" w:cstheme="majorBidi"/>
                <w:bCs/>
                <w:color w:val="auto"/>
                <w:sz w:val="20"/>
                <w:szCs w:val="20"/>
              </w:rPr>
              <w:t>)</w:t>
            </w:r>
          </w:p>
        </w:tc>
      </w:tr>
      <w:tr w:rsidR="002145D6" w14:paraId="49C2B05C" w14:textId="77777777" w:rsidTr="002145D6">
        <w:trPr>
          <w:cantSplit/>
        </w:trPr>
        <w:tc>
          <w:tcPr>
            <w:tcW w:w="4164"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407A04" w14:textId="287C0790" w:rsidR="002145D6" w:rsidRDefault="002145D6" w:rsidP="00E730EF">
            <w:pPr>
              <w:pStyle w:val="TableText0"/>
              <w:jc w:val="right"/>
              <w:rPr>
                <w:bCs w:val="0"/>
                <w:szCs w:val="20"/>
              </w:rPr>
            </w:pPr>
            <w:r>
              <w:rPr>
                <w:bCs w:val="0"/>
                <w:szCs w:val="20"/>
              </w:rPr>
              <w:t>RELA+NIVO vs. NIVO+IPI for PFS (95% CI)</w:t>
            </w:r>
          </w:p>
        </w:tc>
        <w:tc>
          <w:tcPr>
            <w:tcW w:w="8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9596B1" w14:textId="3343BBB9" w:rsidR="002145D6" w:rsidRPr="00F41718" w:rsidRDefault="002145D6" w:rsidP="00E730EF">
            <w:pPr>
              <w:pStyle w:val="Default"/>
              <w:jc w:val="center"/>
              <w:rPr>
                <w:rFonts w:ascii="Arial Narrow" w:eastAsiaTheme="majorEastAsia" w:hAnsi="Arial Narrow" w:cstheme="majorBidi"/>
                <w:bCs/>
                <w:color w:val="auto"/>
                <w:sz w:val="20"/>
                <w:szCs w:val="20"/>
                <w:highlight w:val="yellow"/>
              </w:rPr>
            </w:pPr>
            <w:r w:rsidRPr="00F41718">
              <w:rPr>
                <w:rFonts w:ascii="Arial Narrow" w:eastAsiaTheme="majorEastAsia" w:hAnsi="Arial Narrow" w:cstheme="majorBidi"/>
                <w:bCs/>
                <w:color w:val="auto"/>
                <w:sz w:val="20"/>
                <w:szCs w:val="20"/>
              </w:rPr>
              <w:t>1.01 (0.76, 1.36)</w:t>
            </w:r>
          </w:p>
        </w:tc>
      </w:tr>
    </w:tbl>
    <w:p w14:paraId="4CF48BC5" w14:textId="77777777" w:rsidR="00D24261" w:rsidRDefault="00D24261" w:rsidP="00D24261">
      <w:pPr>
        <w:pStyle w:val="TableFigureFooter"/>
        <w:rPr>
          <w:lang w:eastAsia="en-GB"/>
        </w:rPr>
      </w:pPr>
      <w:r>
        <w:rPr>
          <w:lang w:eastAsia="en-GB"/>
        </w:rPr>
        <w:t xml:space="preserve">Source: </w:t>
      </w:r>
      <w:bookmarkStart w:id="53" w:name="_Ref85632963"/>
      <w:r>
        <w:t xml:space="preserve">Table 25, p87, Table 26, p90, Table 28, p99, Table 29, p101, Table </w:t>
      </w:r>
      <w:bookmarkEnd w:id="53"/>
      <w:r>
        <w:t xml:space="preserve">38, p142 and Table 39, p144 </w:t>
      </w:r>
      <w:r>
        <w:rPr>
          <w:lang w:eastAsia="en-GB"/>
        </w:rPr>
        <w:t>of the submission.</w:t>
      </w:r>
    </w:p>
    <w:p w14:paraId="5CA2CFF1" w14:textId="3536B9FC" w:rsidR="00D24261" w:rsidRDefault="00D24261" w:rsidP="00D24261">
      <w:pPr>
        <w:pStyle w:val="TableFigureFooter"/>
        <w:rPr>
          <w:lang w:eastAsia="en-GB"/>
        </w:rPr>
      </w:pPr>
      <w:r>
        <w:rPr>
          <w:lang w:eastAsia="en-GB"/>
        </w:rPr>
        <w:t>CI = confidence interval, HR = hazard ratio, IPI = ipilimumab,</w:t>
      </w:r>
      <w:r w:rsidR="00C027ED">
        <w:rPr>
          <w:lang w:eastAsia="en-GB"/>
        </w:rPr>
        <w:t xml:space="preserve"> ITC = indirect treatment comparison</w:t>
      </w:r>
      <w:r w:rsidR="0001560B">
        <w:rPr>
          <w:lang w:eastAsia="en-GB"/>
        </w:rPr>
        <w:t>,</w:t>
      </w:r>
      <w:r>
        <w:rPr>
          <w:lang w:eastAsia="en-GB"/>
        </w:rPr>
        <w:t xml:space="preserve"> </w:t>
      </w:r>
      <w:r>
        <w:rPr>
          <w:rFonts w:eastAsia="Calibri"/>
        </w:rPr>
        <w:t xml:space="preserve">n = number of participants reporting data, N = total participants in group, </w:t>
      </w:r>
      <w:r>
        <w:rPr>
          <w:lang w:eastAsia="en-GB"/>
        </w:rPr>
        <w:t>NIVO = nivolumab, NR= not reported, OS = overall survival, PFS = progression free survival, RELA = relatlimab.</w:t>
      </w:r>
    </w:p>
    <w:p w14:paraId="6D104669" w14:textId="77777777" w:rsidR="00D24261" w:rsidRDefault="00D24261" w:rsidP="00D24261">
      <w:pPr>
        <w:pStyle w:val="TableFigureFooter"/>
        <w:rPr>
          <w:lang w:eastAsia="en-GB"/>
        </w:rPr>
      </w:pPr>
      <w:r>
        <w:rPr>
          <w:rFonts w:eastAsia="Calibri"/>
          <w:b/>
          <w:bCs/>
        </w:rPr>
        <w:t xml:space="preserve">Bold </w:t>
      </w:r>
      <w:r>
        <w:rPr>
          <w:rFonts w:eastAsia="Calibri"/>
        </w:rPr>
        <w:t>indicates statistically significant results.</w:t>
      </w:r>
    </w:p>
    <w:p w14:paraId="246A1FA2" w14:textId="77777777" w:rsidR="00D24261" w:rsidRDefault="00D24261" w:rsidP="00D24261">
      <w:pPr>
        <w:pStyle w:val="TableFigureFooter"/>
      </w:pPr>
      <w:r>
        <w:rPr>
          <w:vertAlign w:val="superscript"/>
        </w:rPr>
        <w:t>a</w:t>
      </w:r>
      <w:r>
        <w:t xml:space="preserve"> In CA224047, data cut-off for PFS: March 2021 and data cut-off for OS: October 2021.</w:t>
      </w:r>
    </w:p>
    <w:p w14:paraId="164C5C80" w14:textId="77777777" w:rsidR="00D24261" w:rsidRPr="00E77083" w:rsidRDefault="00D24261" w:rsidP="00D24261">
      <w:pPr>
        <w:pStyle w:val="TableFigureFooter"/>
        <w:rPr>
          <w:lang w:eastAsia="en-GB"/>
        </w:rPr>
      </w:pPr>
      <w:r>
        <w:rPr>
          <w:vertAlign w:val="superscript"/>
        </w:rPr>
        <w:t>b</w:t>
      </w:r>
      <w:r>
        <w:t xml:space="preserve"> In CA209067, data cut-off for PFS: February 2015 and data cut-for OS: May 2017.</w:t>
      </w:r>
      <w:r>
        <w:rPr>
          <w:lang w:eastAsia="en-GB"/>
        </w:rPr>
        <w:t xml:space="preserve"> </w:t>
      </w:r>
    </w:p>
    <w:p w14:paraId="0A855B64" w14:textId="0038E9EB" w:rsidR="00D24261" w:rsidRPr="00AF1DAD" w:rsidRDefault="00D24261" w:rsidP="00D24261">
      <w:pPr>
        <w:pStyle w:val="3-BodyText"/>
        <w:numPr>
          <w:ilvl w:val="1"/>
          <w:numId w:val="1"/>
        </w:numPr>
        <w:rPr>
          <w:rStyle w:val="CommentReference"/>
          <w:rFonts w:asciiTheme="minorHAnsi" w:hAnsiTheme="minorHAnsi"/>
          <w:b w:val="0"/>
          <w:snapToGrid/>
          <w:sz w:val="24"/>
          <w:szCs w:val="24"/>
          <w:lang w:val="en-US"/>
        </w:rPr>
      </w:pPr>
      <w:r w:rsidRPr="00455FA0">
        <w:rPr>
          <w:rStyle w:val="CommentReference"/>
          <w:rFonts w:asciiTheme="minorHAnsi" w:hAnsiTheme="minorHAnsi"/>
          <w:b w:val="0"/>
          <w:snapToGrid/>
          <w:sz w:val="24"/>
          <w:szCs w:val="24"/>
          <w:lang w:val="en-US"/>
        </w:rPr>
        <w:t xml:space="preserve">The </w:t>
      </w:r>
      <w:r>
        <w:rPr>
          <w:rStyle w:val="CommentReference"/>
          <w:rFonts w:asciiTheme="minorHAnsi" w:hAnsiTheme="minorHAnsi"/>
          <w:b w:val="0"/>
          <w:snapToGrid/>
          <w:sz w:val="24"/>
          <w:szCs w:val="24"/>
          <w:lang w:val="en-US"/>
        </w:rPr>
        <w:t>ITC</w:t>
      </w:r>
      <w:r w:rsidRPr="00455FA0">
        <w:rPr>
          <w:rStyle w:val="CommentReference"/>
          <w:rFonts w:asciiTheme="minorHAnsi" w:hAnsiTheme="minorHAnsi"/>
          <w:b w:val="0"/>
          <w:snapToGrid/>
          <w:sz w:val="24"/>
          <w:szCs w:val="24"/>
          <w:lang w:val="en-US"/>
        </w:rPr>
        <w:t xml:space="preserve"> analysis showed no statistically significant difference</w:t>
      </w:r>
      <w:r w:rsidR="006C0CC2">
        <w:rPr>
          <w:rStyle w:val="CommentReference"/>
          <w:rFonts w:asciiTheme="minorHAnsi" w:hAnsiTheme="minorHAnsi"/>
          <w:b w:val="0"/>
          <w:snapToGrid/>
          <w:sz w:val="24"/>
          <w:szCs w:val="24"/>
          <w:lang w:val="en-US"/>
        </w:rPr>
        <w:t>s</w:t>
      </w:r>
      <w:r w:rsidRPr="00455FA0">
        <w:rPr>
          <w:rStyle w:val="CommentReference"/>
          <w:rFonts w:asciiTheme="minorHAnsi" w:hAnsiTheme="minorHAnsi"/>
          <w:b w:val="0"/>
          <w:snapToGrid/>
          <w:sz w:val="24"/>
          <w:szCs w:val="24"/>
          <w:lang w:val="en-US"/>
        </w:rPr>
        <w:t xml:space="preserve"> between RELA+NIVO and NIVO+IPI</w:t>
      </w:r>
      <w:r w:rsidR="006C0CC2">
        <w:rPr>
          <w:rStyle w:val="CommentReference"/>
          <w:rFonts w:asciiTheme="minorHAnsi" w:hAnsiTheme="minorHAnsi"/>
          <w:b w:val="0"/>
          <w:snapToGrid/>
          <w:sz w:val="24"/>
          <w:szCs w:val="24"/>
          <w:lang w:val="en-US"/>
        </w:rPr>
        <w:t xml:space="preserve"> </w:t>
      </w:r>
      <w:r w:rsidR="002145D6">
        <w:rPr>
          <w:rStyle w:val="CommentReference"/>
          <w:rFonts w:asciiTheme="minorHAnsi" w:hAnsiTheme="minorHAnsi"/>
          <w:b w:val="0"/>
          <w:snapToGrid/>
          <w:sz w:val="24"/>
          <w:szCs w:val="24"/>
          <w:lang w:val="en-US"/>
        </w:rPr>
        <w:t xml:space="preserve">in terms of OS </w:t>
      </w:r>
      <w:r w:rsidR="006C0CC2">
        <w:rPr>
          <w:rStyle w:val="CommentReference"/>
          <w:rFonts w:asciiTheme="minorHAnsi" w:hAnsiTheme="minorHAnsi"/>
          <w:b w:val="0"/>
          <w:snapToGrid/>
          <w:sz w:val="24"/>
          <w:szCs w:val="24"/>
          <w:lang w:val="en-US"/>
        </w:rPr>
        <w:t>(</w:t>
      </w:r>
      <w:r w:rsidRPr="00455FA0">
        <w:rPr>
          <w:rStyle w:val="CommentReference"/>
          <w:rFonts w:asciiTheme="minorHAnsi" w:hAnsiTheme="minorHAnsi"/>
          <w:b w:val="0"/>
          <w:snapToGrid/>
          <w:sz w:val="24"/>
          <w:szCs w:val="24"/>
          <w:lang w:val="en-US"/>
        </w:rPr>
        <w:t>HR</w:t>
      </w:r>
      <w:r>
        <w:rPr>
          <w:rStyle w:val="CommentReference"/>
          <w:rFonts w:asciiTheme="minorHAnsi" w:hAnsiTheme="minorHAnsi"/>
          <w:b w:val="0"/>
          <w:snapToGrid/>
          <w:sz w:val="24"/>
          <w:szCs w:val="24"/>
          <w:lang w:val="en-US"/>
        </w:rPr>
        <w:t xml:space="preserve"> </w:t>
      </w:r>
      <w:r w:rsidR="006C0CC2">
        <w:rPr>
          <w:rStyle w:val="CommentReference"/>
          <w:rFonts w:asciiTheme="minorHAnsi" w:hAnsiTheme="minorHAnsi"/>
          <w:b w:val="0"/>
          <w:snapToGrid/>
          <w:sz w:val="24"/>
          <w:szCs w:val="24"/>
          <w:lang w:val="en-US"/>
        </w:rPr>
        <w:t xml:space="preserve">= </w:t>
      </w:r>
      <w:r w:rsidRPr="00455FA0">
        <w:rPr>
          <w:rStyle w:val="CommentReference"/>
          <w:rFonts w:asciiTheme="minorHAnsi" w:hAnsiTheme="minorHAnsi"/>
          <w:b w:val="0"/>
          <w:snapToGrid/>
          <w:sz w:val="24"/>
          <w:szCs w:val="24"/>
          <w:lang w:val="en-US"/>
        </w:rPr>
        <w:t>0.94</w:t>
      </w:r>
      <w:r w:rsidR="006C0CC2">
        <w:rPr>
          <w:rStyle w:val="CommentReference"/>
          <w:rFonts w:asciiTheme="minorHAnsi" w:hAnsiTheme="minorHAnsi"/>
          <w:b w:val="0"/>
          <w:snapToGrid/>
          <w:sz w:val="24"/>
          <w:szCs w:val="24"/>
          <w:lang w:val="en-US"/>
        </w:rPr>
        <w:t>;</w:t>
      </w:r>
      <w:r>
        <w:rPr>
          <w:rStyle w:val="CommentReference"/>
          <w:rFonts w:asciiTheme="minorHAnsi" w:hAnsiTheme="minorHAnsi"/>
          <w:b w:val="0"/>
          <w:snapToGrid/>
          <w:sz w:val="24"/>
          <w:szCs w:val="24"/>
          <w:lang w:val="en-US"/>
        </w:rPr>
        <w:t xml:space="preserve"> </w:t>
      </w:r>
      <w:r w:rsidRPr="00455FA0">
        <w:rPr>
          <w:rStyle w:val="CommentReference"/>
          <w:rFonts w:asciiTheme="minorHAnsi" w:hAnsiTheme="minorHAnsi"/>
          <w:b w:val="0"/>
          <w:snapToGrid/>
          <w:sz w:val="24"/>
          <w:szCs w:val="24"/>
          <w:lang w:val="en-US"/>
        </w:rPr>
        <w:t>95% CI</w:t>
      </w:r>
      <w:r w:rsidR="006C0CC2">
        <w:rPr>
          <w:rStyle w:val="CommentReference"/>
          <w:rFonts w:asciiTheme="minorHAnsi" w:hAnsiTheme="minorHAnsi"/>
          <w:b w:val="0"/>
          <w:snapToGrid/>
          <w:sz w:val="24"/>
          <w:szCs w:val="24"/>
          <w:lang w:val="en-US"/>
        </w:rPr>
        <w:t>:</w:t>
      </w:r>
      <w:r w:rsidRPr="00455FA0">
        <w:rPr>
          <w:rStyle w:val="CommentReference"/>
          <w:rFonts w:asciiTheme="minorHAnsi" w:hAnsiTheme="minorHAnsi"/>
          <w:b w:val="0"/>
          <w:snapToGrid/>
          <w:sz w:val="24"/>
          <w:szCs w:val="24"/>
          <w:lang w:val="en-US"/>
        </w:rPr>
        <w:t xml:space="preserve"> 0.68, 1.30)</w:t>
      </w:r>
      <w:r w:rsidR="006C0CC2">
        <w:rPr>
          <w:rStyle w:val="CommentReference"/>
          <w:rFonts w:asciiTheme="minorHAnsi" w:hAnsiTheme="minorHAnsi"/>
          <w:b w:val="0"/>
          <w:snapToGrid/>
          <w:sz w:val="24"/>
          <w:szCs w:val="24"/>
          <w:lang w:val="en-US"/>
        </w:rPr>
        <w:t xml:space="preserve"> </w:t>
      </w:r>
      <w:r w:rsidR="00E76C33">
        <w:rPr>
          <w:rStyle w:val="CommentReference"/>
          <w:rFonts w:asciiTheme="minorHAnsi" w:hAnsiTheme="minorHAnsi"/>
          <w:b w:val="0"/>
          <w:snapToGrid/>
          <w:sz w:val="24"/>
          <w:szCs w:val="24"/>
          <w:lang w:val="en-US"/>
        </w:rPr>
        <w:t xml:space="preserve">or </w:t>
      </w:r>
      <w:r w:rsidRPr="00455FA0">
        <w:rPr>
          <w:rStyle w:val="CommentReference"/>
          <w:rFonts w:asciiTheme="minorHAnsi" w:hAnsiTheme="minorHAnsi"/>
          <w:b w:val="0"/>
          <w:snapToGrid/>
          <w:sz w:val="24"/>
          <w:szCs w:val="24"/>
          <w:lang w:val="en-US"/>
        </w:rPr>
        <w:t xml:space="preserve">PFS </w:t>
      </w:r>
      <w:r w:rsidR="006C0CC2">
        <w:rPr>
          <w:rStyle w:val="CommentReference"/>
          <w:rFonts w:asciiTheme="minorHAnsi" w:hAnsiTheme="minorHAnsi"/>
          <w:b w:val="0"/>
          <w:snapToGrid/>
          <w:sz w:val="24"/>
          <w:szCs w:val="24"/>
          <w:lang w:val="en-US"/>
        </w:rPr>
        <w:t>(</w:t>
      </w:r>
      <w:r w:rsidRPr="00455FA0">
        <w:rPr>
          <w:rStyle w:val="CommentReference"/>
          <w:rFonts w:asciiTheme="minorHAnsi" w:hAnsiTheme="minorHAnsi"/>
          <w:b w:val="0"/>
          <w:snapToGrid/>
          <w:sz w:val="24"/>
          <w:szCs w:val="24"/>
          <w:lang w:val="en-US"/>
        </w:rPr>
        <w:t>HR</w:t>
      </w:r>
      <w:r>
        <w:rPr>
          <w:rStyle w:val="CommentReference"/>
          <w:rFonts w:asciiTheme="minorHAnsi" w:hAnsiTheme="minorHAnsi"/>
          <w:b w:val="0"/>
          <w:snapToGrid/>
          <w:sz w:val="24"/>
          <w:szCs w:val="24"/>
          <w:lang w:val="en-US"/>
        </w:rPr>
        <w:t xml:space="preserve"> </w:t>
      </w:r>
      <w:r w:rsidR="006C0CC2">
        <w:rPr>
          <w:rStyle w:val="CommentReference"/>
          <w:rFonts w:asciiTheme="minorHAnsi" w:hAnsiTheme="minorHAnsi"/>
          <w:b w:val="0"/>
          <w:snapToGrid/>
          <w:sz w:val="24"/>
          <w:szCs w:val="24"/>
          <w:lang w:val="en-US"/>
        </w:rPr>
        <w:t>=</w:t>
      </w:r>
      <w:r w:rsidR="00F97127">
        <w:rPr>
          <w:rStyle w:val="CommentReference"/>
          <w:rFonts w:asciiTheme="minorHAnsi" w:hAnsiTheme="minorHAnsi"/>
          <w:b w:val="0"/>
          <w:snapToGrid/>
          <w:sz w:val="24"/>
          <w:szCs w:val="24"/>
          <w:lang w:val="en-US"/>
        </w:rPr>
        <w:t xml:space="preserve"> </w:t>
      </w:r>
      <w:r w:rsidRPr="00455FA0">
        <w:rPr>
          <w:rStyle w:val="CommentReference"/>
          <w:rFonts w:asciiTheme="minorHAnsi" w:hAnsiTheme="minorHAnsi"/>
          <w:b w:val="0"/>
          <w:snapToGrid/>
          <w:sz w:val="24"/>
          <w:szCs w:val="24"/>
          <w:lang w:val="en-US"/>
        </w:rPr>
        <w:t>1.</w:t>
      </w:r>
      <w:r w:rsidR="00C027ED" w:rsidRPr="00455FA0">
        <w:rPr>
          <w:rStyle w:val="CommentReference"/>
          <w:rFonts w:asciiTheme="minorHAnsi" w:hAnsiTheme="minorHAnsi"/>
          <w:b w:val="0"/>
          <w:snapToGrid/>
          <w:sz w:val="24"/>
          <w:szCs w:val="24"/>
          <w:lang w:val="en-US"/>
        </w:rPr>
        <w:t>01</w:t>
      </w:r>
      <w:r w:rsidR="00C027ED">
        <w:rPr>
          <w:rStyle w:val="CommentReference"/>
          <w:rFonts w:asciiTheme="minorHAnsi" w:hAnsiTheme="minorHAnsi"/>
          <w:b w:val="0"/>
          <w:snapToGrid/>
          <w:sz w:val="24"/>
          <w:szCs w:val="24"/>
          <w:lang w:val="en-US"/>
        </w:rPr>
        <w:t>; 95</w:t>
      </w:r>
      <w:r w:rsidRPr="00455FA0">
        <w:rPr>
          <w:rStyle w:val="CommentReference"/>
          <w:rFonts w:asciiTheme="minorHAnsi" w:hAnsiTheme="minorHAnsi"/>
          <w:b w:val="0"/>
          <w:snapToGrid/>
          <w:sz w:val="24"/>
          <w:szCs w:val="24"/>
          <w:lang w:val="en-US"/>
        </w:rPr>
        <w:t>% CI: 0.76, 1.36).</w:t>
      </w:r>
      <w:r>
        <w:rPr>
          <w:rStyle w:val="CommentReference"/>
          <w:rFonts w:asciiTheme="minorHAnsi" w:hAnsiTheme="minorHAnsi"/>
          <w:b w:val="0"/>
          <w:snapToGrid/>
          <w:sz w:val="24"/>
          <w:szCs w:val="24"/>
          <w:lang w:val="en-US"/>
        </w:rPr>
        <w:t xml:space="preserve"> </w:t>
      </w:r>
      <w:r w:rsidR="003F156F" w:rsidRPr="00AF1DAD">
        <w:rPr>
          <w:rStyle w:val="CommentReference"/>
          <w:rFonts w:asciiTheme="minorHAnsi" w:hAnsiTheme="minorHAnsi"/>
          <w:b w:val="0"/>
          <w:snapToGrid/>
          <w:sz w:val="24"/>
          <w:szCs w:val="24"/>
          <w:lang w:val="en-US"/>
        </w:rPr>
        <w:t xml:space="preserve">However, the results </w:t>
      </w:r>
      <w:r w:rsidR="00E76C33">
        <w:rPr>
          <w:rStyle w:val="CommentReference"/>
          <w:rFonts w:asciiTheme="minorHAnsi" w:hAnsiTheme="minorHAnsi"/>
          <w:b w:val="0"/>
          <w:snapToGrid/>
          <w:sz w:val="24"/>
          <w:szCs w:val="24"/>
          <w:lang w:val="en-US"/>
        </w:rPr>
        <w:t>were</w:t>
      </w:r>
      <w:r w:rsidR="00E76C33" w:rsidRPr="00AF1DAD">
        <w:rPr>
          <w:rStyle w:val="CommentReference"/>
          <w:rFonts w:asciiTheme="minorHAnsi" w:hAnsiTheme="minorHAnsi"/>
          <w:b w:val="0"/>
          <w:snapToGrid/>
          <w:sz w:val="24"/>
          <w:szCs w:val="24"/>
          <w:lang w:val="en-US"/>
        </w:rPr>
        <w:t xml:space="preserve"> </w:t>
      </w:r>
      <w:r w:rsidR="003F156F" w:rsidRPr="00AF1DAD">
        <w:rPr>
          <w:rStyle w:val="CommentReference"/>
          <w:rFonts w:asciiTheme="minorHAnsi" w:hAnsiTheme="minorHAnsi"/>
          <w:b w:val="0"/>
          <w:snapToGrid/>
          <w:sz w:val="24"/>
          <w:szCs w:val="24"/>
          <w:lang w:val="en-US"/>
        </w:rPr>
        <w:t>uncertain given the transitivity issues identified in paragraph 6.7</w:t>
      </w:r>
      <w:r w:rsidR="004C6F8B" w:rsidRPr="00AF1DAD">
        <w:rPr>
          <w:rStyle w:val="CommentReference"/>
          <w:rFonts w:asciiTheme="minorHAnsi" w:hAnsiTheme="minorHAnsi"/>
          <w:b w:val="0"/>
          <w:snapToGrid/>
          <w:sz w:val="24"/>
          <w:szCs w:val="24"/>
          <w:lang w:val="en-US"/>
        </w:rPr>
        <w:t>.</w:t>
      </w:r>
    </w:p>
    <w:p w14:paraId="2DD26298" w14:textId="53A7B617" w:rsidR="00D24261" w:rsidRPr="00AF1DAD" w:rsidRDefault="00D24261" w:rsidP="00324D24">
      <w:pPr>
        <w:pStyle w:val="3-BodyText"/>
        <w:numPr>
          <w:ilvl w:val="1"/>
          <w:numId w:val="1"/>
        </w:numPr>
        <w:rPr>
          <w:rStyle w:val="CommentReference"/>
          <w:rFonts w:asciiTheme="minorHAnsi" w:hAnsiTheme="minorHAnsi"/>
          <w:b w:val="0"/>
          <w:snapToGrid/>
          <w:sz w:val="24"/>
          <w:szCs w:val="24"/>
          <w:lang w:val="en-US"/>
        </w:rPr>
      </w:pPr>
      <w:r w:rsidRPr="00AF1DAD">
        <w:rPr>
          <w:rStyle w:val="CommentReference"/>
          <w:rFonts w:asciiTheme="minorHAnsi" w:hAnsiTheme="minorHAnsi"/>
          <w:b w:val="0"/>
          <w:snapToGrid/>
          <w:sz w:val="24"/>
          <w:szCs w:val="24"/>
          <w:lang w:val="en-US"/>
        </w:rPr>
        <w:lastRenderedPageBreak/>
        <w:t xml:space="preserve">The median PFS of nivolumab </w:t>
      </w:r>
      <w:r w:rsidR="006C0CC2" w:rsidRPr="00AF1DAD">
        <w:rPr>
          <w:rStyle w:val="CommentReference"/>
          <w:rFonts w:asciiTheme="minorHAnsi" w:hAnsiTheme="minorHAnsi"/>
          <w:b w:val="0"/>
          <w:snapToGrid/>
          <w:sz w:val="24"/>
          <w:szCs w:val="24"/>
          <w:lang w:val="en-US"/>
        </w:rPr>
        <w:t>monotherapy (</w:t>
      </w:r>
      <w:r w:rsidR="00E857B6" w:rsidRPr="00AF1DAD">
        <w:rPr>
          <w:rStyle w:val="CommentReference"/>
          <w:rFonts w:asciiTheme="minorHAnsi" w:hAnsiTheme="minorHAnsi"/>
          <w:b w:val="0"/>
          <w:snapToGrid/>
          <w:sz w:val="24"/>
          <w:szCs w:val="24"/>
          <w:lang w:val="en-US"/>
        </w:rPr>
        <w:t>i.e.,</w:t>
      </w:r>
      <w:r w:rsidR="006C0CC2" w:rsidRPr="00AF1DAD">
        <w:rPr>
          <w:rStyle w:val="CommentReference"/>
          <w:rFonts w:asciiTheme="minorHAnsi" w:hAnsiTheme="minorHAnsi"/>
          <w:b w:val="0"/>
          <w:snapToGrid/>
          <w:sz w:val="24"/>
          <w:szCs w:val="24"/>
          <w:lang w:val="en-US"/>
        </w:rPr>
        <w:t xml:space="preserve"> the common comparator) was longer </w:t>
      </w:r>
      <w:r w:rsidRPr="00AF1DAD">
        <w:rPr>
          <w:rStyle w:val="CommentReference"/>
          <w:rFonts w:asciiTheme="minorHAnsi" w:hAnsiTheme="minorHAnsi"/>
          <w:b w:val="0"/>
          <w:snapToGrid/>
          <w:sz w:val="24"/>
          <w:szCs w:val="24"/>
          <w:lang w:val="en-US"/>
        </w:rPr>
        <w:t xml:space="preserve">in </w:t>
      </w:r>
      <w:r w:rsidR="006C0CC2" w:rsidRPr="00AF1DAD">
        <w:rPr>
          <w:rStyle w:val="CommentReference"/>
          <w:rFonts w:asciiTheme="minorHAnsi" w:hAnsiTheme="minorHAnsi"/>
          <w:b w:val="0"/>
          <w:snapToGrid/>
          <w:sz w:val="24"/>
          <w:szCs w:val="24"/>
          <w:lang w:val="en-US"/>
        </w:rPr>
        <w:t xml:space="preserve">the </w:t>
      </w:r>
      <w:r w:rsidRPr="00AF1DAD">
        <w:rPr>
          <w:rFonts w:ascii="Calibri" w:hAnsi="Calibri"/>
        </w:rPr>
        <w:t>CA209067</w:t>
      </w:r>
      <w:r w:rsidRPr="00AF1DAD">
        <w:rPr>
          <w:rStyle w:val="CommentReference"/>
          <w:rFonts w:asciiTheme="minorHAnsi" w:hAnsiTheme="minorHAnsi"/>
          <w:b w:val="0"/>
          <w:snapToGrid/>
          <w:sz w:val="24"/>
          <w:szCs w:val="24"/>
          <w:lang w:val="en-US"/>
        </w:rPr>
        <w:t xml:space="preserve"> trial than in </w:t>
      </w:r>
      <w:r w:rsidR="003F156F" w:rsidRPr="00AF1DAD">
        <w:rPr>
          <w:rStyle w:val="CommentReference"/>
          <w:rFonts w:asciiTheme="minorHAnsi" w:hAnsiTheme="minorHAnsi"/>
          <w:b w:val="0"/>
          <w:snapToGrid/>
          <w:sz w:val="24"/>
          <w:szCs w:val="24"/>
          <w:lang w:val="en-US"/>
        </w:rPr>
        <w:t xml:space="preserve">the </w:t>
      </w:r>
      <w:r w:rsidRPr="00AF1DAD">
        <w:rPr>
          <w:rFonts w:ascii="Calibri" w:hAnsi="Calibri"/>
        </w:rPr>
        <w:t xml:space="preserve">CA224047 </w:t>
      </w:r>
      <w:r w:rsidR="003F156F" w:rsidRPr="00AF1DAD">
        <w:rPr>
          <w:rFonts w:ascii="Calibri" w:hAnsi="Calibri"/>
        </w:rPr>
        <w:t xml:space="preserve">trial </w:t>
      </w:r>
      <w:r w:rsidRPr="00AF1DAD">
        <w:rPr>
          <w:rFonts w:ascii="Calibri" w:hAnsi="Calibri"/>
        </w:rPr>
        <w:t>(6.87 vs 4.63 months</w:t>
      </w:r>
      <w:r w:rsidR="006C0CC2" w:rsidRPr="00AF1DAD">
        <w:rPr>
          <w:rFonts w:ascii="Calibri" w:hAnsi="Calibri"/>
        </w:rPr>
        <w:t xml:space="preserve"> respectively</w:t>
      </w:r>
      <w:r w:rsidRPr="00AF1DAD">
        <w:rPr>
          <w:rFonts w:ascii="Calibri" w:hAnsi="Calibri"/>
        </w:rPr>
        <w:t>)</w:t>
      </w:r>
      <w:r w:rsidR="006C0CC2" w:rsidRPr="00AF1DAD">
        <w:rPr>
          <w:rFonts w:ascii="Calibri" w:hAnsi="Calibri"/>
        </w:rPr>
        <w:t>.</w:t>
      </w:r>
      <w:r w:rsidR="006C0CC2" w:rsidRPr="00324D24">
        <w:rPr>
          <w:rFonts w:ascii="Calibri" w:hAnsi="Calibri"/>
          <w:i/>
          <w:iCs/>
        </w:rPr>
        <w:t xml:space="preserve"> </w:t>
      </w:r>
      <w:r w:rsidR="006C0CC2" w:rsidRPr="00AF1DAD">
        <w:rPr>
          <w:rFonts w:ascii="Calibri" w:hAnsi="Calibri"/>
        </w:rPr>
        <w:t>T</w:t>
      </w:r>
      <w:r w:rsidRPr="00AF1DAD">
        <w:rPr>
          <w:rFonts w:ascii="Calibri" w:hAnsi="Calibri"/>
        </w:rPr>
        <w:t xml:space="preserve">his could suggest differences in patient characteristics across the two trials. </w:t>
      </w:r>
    </w:p>
    <w:p w14:paraId="7B1D25C6" w14:textId="6B7F03C3" w:rsidR="00D24261" w:rsidRPr="00A85051" w:rsidRDefault="00D24261" w:rsidP="00D24261">
      <w:pPr>
        <w:pStyle w:val="3-BodyText"/>
        <w:numPr>
          <w:ilvl w:val="1"/>
          <w:numId w:val="1"/>
        </w:numPr>
        <w:rPr>
          <w:rStyle w:val="CommentReference"/>
          <w:rFonts w:asciiTheme="minorHAnsi" w:hAnsiTheme="minorHAnsi"/>
          <w:b w:val="0"/>
          <w:snapToGrid/>
          <w:sz w:val="24"/>
          <w:szCs w:val="24"/>
          <w:lang w:val="en-US"/>
        </w:rPr>
      </w:pPr>
      <w:r>
        <w:rPr>
          <w:rFonts w:ascii="Calibri" w:hAnsi="Calibri"/>
        </w:rPr>
        <w:t xml:space="preserve">The submission also presented sensitivity analyses, which compared results from </w:t>
      </w:r>
      <w:r w:rsidR="003F156F">
        <w:rPr>
          <w:rFonts w:ascii="Calibri" w:hAnsi="Calibri"/>
        </w:rPr>
        <w:t xml:space="preserve">the </w:t>
      </w:r>
      <w:r>
        <w:rPr>
          <w:rFonts w:ascii="Calibri" w:hAnsi="Calibri"/>
        </w:rPr>
        <w:t xml:space="preserve">CA224047 trial with the </w:t>
      </w:r>
      <w:r w:rsidRPr="00E91117">
        <w:rPr>
          <w:rFonts w:ascii="Calibri" w:hAnsi="Calibri"/>
        </w:rPr>
        <w:t xml:space="preserve">extended data from </w:t>
      </w:r>
      <w:r w:rsidR="003F156F">
        <w:rPr>
          <w:rFonts w:ascii="Calibri" w:hAnsi="Calibri"/>
        </w:rPr>
        <w:t xml:space="preserve">the </w:t>
      </w:r>
      <w:r w:rsidRPr="00E91117">
        <w:rPr>
          <w:rFonts w:ascii="Calibri" w:hAnsi="Calibri"/>
        </w:rPr>
        <w:t xml:space="preserve">CA209067 </w:t>
      </w:r>
      <w:r w:rsidR="003F156F">
        <w:rPr>
          <w:rFonts w:ascii="Calibri" w:hAnsi="Calibri"/>
        </w:rPr>
        <w:t xml:space="preserve">trial </w:t>
      </w:r>
      <w:r w:rsidRPr="00E91117">
        <w:rPr>
          <w:rFonts w:ascii="Calibri" w:hAnsi="Calibri"/>
        </w:rPr>
        <w:t>at 4-, 5- and 6.5-years follow-up</w:t>
      </w:r>
      <w:r>
        <w:rPr>
          <w:rFonts w:ascii="Calibri" w:hAnsi="Calibri"/>
        </w:rPr>
        <w:t xml:space="preserve">. </w:t>
      </w:r>
      <w:r w:rsidRPr="00455FA0">
        <w:rPr>
          <w:rStyle w:val="CommentReference"/>
          <w:rFonts w:asciiTheme="minorHAnsi" w:hAnsiTheme="minorHAnsi"/>
          <w:b w:val="0"/>
          <w:snapToGrid/>
          <w:sz w:val="24"/>
          <w:szCs w:val="24"/>
          <w:lang w:val="en-US"/>
        </w:rPr>
        <w:t>The</w:t>
      </w:r>
      <w:r w:rsidR="006C0CC2">
        <w:rPr>
          <w:rStyle w:val="CommentReference"/>
          <w:rFonts w:asciiTheme="minorHAnsi" w:hAnsiTheme="minorHAnsi"/>
          <w:b w:val="0"/>
          <w:snapToGrid/>
          <w:sz w:val="24"/>
          <w:szCs w:val="24"/>
          <w:lang w:val="en-US"/>
        </w:rPr>
        <w:t xml:space="preserve"> results of the</w:t>
      </w:r>
      <w:r w:rsidRPr="00455FA0">
        <w:rPr>
          <w:rStyle w:val="CommentReference"/>
          <w:rFonts w:asciiTheme="minorHAnsi" w:hAnsiTheme="minorHAnsi"/>
          <w:b w:val="0"/>
          <w:snapToGrid/>
          <w:sz w:val="24"/>
          <w:szCs w:val="24"/>
          <w:lang w:val="en-US"/>
        </w:rPr>
        <w:t xml:space="preserve"> sensitivity analyses </w:t>
      </w:r>
      <w:r w:rsidR="006C0CC2">
        <w:rPr>
          <w:rStyle w:val="CommentReference"/>
          <w:rFonts w:asciiTheme="minorHAnsi" w:hAnsiTheme="minorHAnsi"/>
          <w:b w:val="0"/>
          <w:snapToGrid/>
          <w:sz w:val="24"/>
          <w:szCs w:val="24"/>
          <w:lang w:val="en-US"/>
        </w:rPr>
        <w:t xml:space="preserve">were consistent with the main ITC analyses, </w:t>
      </w:r>
      <w:r w:rsidRPr="00455FA0">
        <w:rPr>
          <w:rStyle w:val="CommentReference"/>
          <w:rFonts w:asciiTheme="minorHAnsi" w:hAnsiTheme="minorHAnsi"/>
          <w:b w:val="0"/>
          <w:snapToGrid/>
          <w:sz w:val="24"/>
          <w:szCs w:val="24"/>
          <w:lang w:val="en-US"/>
        </w:rPr>
        <w:t>show</w:t>
      </w:r>
      <w:r w:rsidR="006C0CC2">
        <w:rPr>
          <w:rStyle w:val="CommentReference"/>
          <w:rFonts w:asciiTheme="minorHAnsi" w:hAnsiTheme="minorHAnsi"/>
          <w:b w:val="0"/>
          <w:snapToGrid/>
          <w:sz w:val="24"/>
          <w:szCs w:val="24"/>
          <w:lang w:val="en-US"/>
        </w:rPr>
        <w:t>ing</w:t>
      </w:r>
      <w:r w:rsidRPr="00455FA0">
        <w:rPr>
          <w:rStyle w:val="CommentReference"/>
          <w:rFonts w:asciiTheme="minorHAnsi" w:hAnsiTheme="minorHAnsi"/>
          <w:b w:val="0"/>
          <w:snapToGrid/>
          <w:sz w:val="24"/>
          <w:szCs w:val="24"/>
          <w:lang w:val="en-US"/>
        </w:rPr>
        <w:t xml:space="preserve"> no statistically significant differences in OS and PFS between RELA+NIVO and NIVO+IPI. </w:t>
      </w:r>
    </w:p>
    <w:p w14:paraId="283F24DA" w14:textId="4FD62480" w:rsidR="00D24261" w:rsidRPr="005F0CE1" w:rsidRDefault="00D24261" w:rsidP="00D24261">
      <w:pPr>
        <w:pStyle w:val="3-BodyText"/>
        <w:numPr>
          <w:ilvl w:val="1"/>
          <w:numId w:val="1"/>
        </w:numPr>
        <w:rPr>
          <w:i/>
          <w:iCs/>
          <w:snapToGrid/>
          <w:lang w:val="en-US"/>
        </w:rPr>
      </w:pPr>
      <w:r>
        <w:rPr>
          <w:snapToGrid/>
          <w:lang w:val="en-US"/>
        </w:rPr>
        <w:fldChar w:fldCharType="begin"/>
      </w:r>
      <w:r>
        <w:rPr>
          <w:snapToGrid/>
          <w:lang w:val="en-US"/>
        </w:rPr>
        <w:instrText xml:space="preserve"> REF _Ref100793406 \h </w:instrText>
      </w:r>
      <w:r>
        <w:rPr>
          <w:snapToGrid/>
          <w:lang w:val="en-US"/>
        </w:rPr>
      </w:r>
      <w:r>
        <w:rPr>
          <w:snapToGrid/>
          <w:lang w:val="en-US"/>
        </w:rPr>
        <w:fldChar w:fldCharType="separate"/>
      </w:r>
      <w:r w:rsidR="00633460">
        <w:t xml:space="preserve">Figure </w:t>
      </w:r>
      <w:r w:rsidR="00633460">
        <w:rPr>
          <w:noProof/>
        </w:rPr>
        <w:t>6</w:t>
      </w:r>
      <w:r>
        <w:rPr>
          <w:snapToGrid/>
          <w:lang w:val="en-US"/>
        </w:rPr>
        <w:fldChar w:fldCharType="end"/>
      </w:r>
      <w:r>
        <w:rPr>
          <w:snapToGrid/>
          <w:lang w:val="en-US"/>
        </w:rPr>
        <w:t xml:space="preserve"> </w:t>
      </w:r>
      <w:r w:rsidRPr="00287E07">
        <w:rPr>
          <w:snapToGrid/>
          <w:lang w:val="en-US"/>
        </w:rPr>
        <w:t xml:space="preserve">and </w:t>
      </w:r>
      <w:r>
        <w:rPr>
          <w:snapToGrid/>
          <w:lang w:val="en-US"/>
        </w:rPr>
        <w:fldChar w:fldCharType="begin"/>
      </w:r>
      <w:r>
        <w:rPr>
          <w:snapToGrid/>
          <w:lang w:val="en-US"/>
        </w:rPr>
        <w:instrText xml:space="preserve"> REF _Ref100795542 \h </w:instrText>
      </w:r>
      <w:r>
        <w:rPr>
          <w:snapToGrid/>
          <w:lang w:val="en-US"/>
        </w:rPr>
      </w:r>
      <w:r>
        <w:rPr>
          <w:snapToGrid/>
          <w:lang w:val="en-US"/>
        </w:rPr>
        <w:fldChar w:fldCharType="separate"/>
      </w:r>
      <w:r w:rsidR="00633460">
        <w:t xml:space="preserve">Figure </w:t>
      </w:r>
      <w:r w:rsidR="00633460">
        <w:rPr>
          <w:noProof/>
        </w:rPr>
        <w:t>7</w:t>
      </w:r>
      <w:r>
        <w:rPr>
          <w:snapToGrid/>
          <w:lang w:val="en-US"/>
        </w:rPr>
        <w:fldChar w:fldCharType="end"/>
      </w:r>
      <w:r>
        <w:rPr>
          <w:snapToGrid/>
          <w:lang w:val="en-US"/>
        </w:rPr>
        <w:t xml:space="preserve"> </w:t>
      </w:r>
      <w:r w:rsidRPr="00287E07">
        <w:rPr>
          <w:snapToGrid/>
          <w:lang w:val="en-US"/>
        </w:rPr>
        <w:t xml:space="preserve">present an overlay of the OS and PFS curves from </w:t>
      </w:r>
      <w:r w:rsidR="003F156F">
        <w:rPr>
          <w:snapToGrid/>
          <w:lang w:val="en-US"/>
        </w:rPr>
        <w:t xml:space="preserve">the </w:t>
      </w:r>
      <w:r w:rsidRPr="00287E07">
        <w:rPr>
          <w:snapToGrid/>
          <w:lang w:val="en-US"/>
        </w:rPr>
        <w:t>CA224047 and CA209067</w:t>
      </w:r>
      <w:r w:rsidR="003F156F">
        <w:rPr>
          <w:snapToGrid/>
          <w:lang w:val="en-US"/>
        </w:rPr>
        <w:t xml:space="preserve"> trials</w:t>
      </w:r>
      <w:r w:rsidRPr="00287E07">
        <w:rPr>
          <w:snapToGrid/>
          <w:lang w:val="en-US"/>
        </w:rPr>
        <w:t xml:space="preserve">, respectively. </w:t>
      </w:r>
    </w:p>
    <w:p w14:paraId="197585DB" w14:textId="4B2D0721" w:rsidR="00D24261" w:rsidRDefault="00D24261" w:rsidP="00D24261">
      <w:pPr>
        <w:pStyle w:val="TableFigureHeading"/>
      </w:pPr>
      <w:bookmarkStart w:id="54" w:name="_Ref100793406"/>
      <w:r>
        <w:t xml:space="preserve">Figure </w:t>
      </w:r>
      <w:fldSimple w:instr=" SEQ Figure \* ARABIC ">
        <w:r w:rsidR="00633460">
          <w:rPr>
            <w:noProof/>
          </w:rPr>
          <w:t>6</w:t>
        </w:r>
      </w:fldSimple>
      <w:bookmarkEnd w:id="54"/>
      <w:r>
        <w:t xml:space="preserve">: </w:t>
      </w:r>
      <w:r w:rsidRPr="006226F4">
        <w:t>Overlay of Kaplan</w:t>
      </w:r>
      <w:r>
        <w:t>-</w:t>
      </w:r>
      <w:r w:rsidRPr="006226F4">
        <w:t xml:space="preserve">Meier curves for OS from </w:t>
      </w:r>
      <w:r w:rsidR="003F156F">
        <w:t xml:space="preserve">the </w:t>
      </w:r>
      <w:r>
        <w:t>CA224047 and CA209067</w:t>
      </w:r>
      <w:r w:rsidR="003F156F">
        <w:t xml:space="preserve"> trials</w:t>
      </w:r>
    </w:p>
    <w:p w14:paraId="4C9CE10C" w14:textId="77777777" w:rsidR="00D24261" w:rsidRDefault="00D24261" w:rsidP="00D24261">
      <w:pPr>
        <w:pStyle w:val="3-BodyText"/>
        <w:spacing w:after="0"/>
        <w:rPr>
          <w:rStyle w:val="CommentReference"/>
          <w:rFonts w:asciiTheme="minorHAnsi" w:hAnsiTheme="minorHAnsi"/>
          <w:b w:val="0"/>
          <w:snapToGrid/>
          <w:sz w:val="24"/>
          <w:szCs w:val="24"/>
          <w:lang w:val="en-US"/>
        </w:rPr>
      </w:pPr>
      <w:r>
        <w:rPr>
          <w:noProof/>
        </w:rPr>
        <w:drawing>
          <wp:inline distT="0" distB="0" distL="0" distR="0" wp14:anchorId="1E38F971" wp14:editId="29CC1C29">
            <wp:extent cx="5732145" cy="3878580"/>
            <wp:effectExtent l="0" t="0" r="1905" b="7620"/>
            <wp:docPr id="76" name="Chart 76" descr="OS curves for RELA +NIVO (Trial 047) and NIVO + IPI (Trial 067, 6.5 year follow up) up to 40 months almost identical.&#10;OS curves for NIVO (Trial 067, 6.5 year follow up) and NIVO (Trial 047) out to 40 months very similar. &#10;OS curves for both arms of Trial  067 appear to separate at 12 months. OS curves for both arms of Trial 047 appear to separate around 8 months">
              <a:extLst xmlns:a="http://schemas.openxmlformats.org/drawingml/2006/main">
                <a:ext uri="{FF2B5EF4-FFF2-40B4-BE49-F238E27FC236}">
                  <a16:creationId xmlns:a16="http://schemas.microsoft.com/office/drawing/2014/main" id="{2B1C1D4B-3EE5-4E33-898E-F8F36B4AA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275EE" w14:textId="77777777" w:rsidR="00D24261" w:rsidRDefault="00D24261" w:rsidP="00D24261">
      <w:pPr>
        <w:pStyle w:val="TableFigureHeading"/>
        <w:keepNext w:val="0"/>
        <w:rPr>
          <w:rFonts w:eastAsia="Times New Roman" w:cs="Arial"/>
          <w:b w:val="0"/>
          <w:bCs w:val="0"/>
          <w:snapToGrid w:val="0"/>
          <w:sz w:val="18"/>
          <w:szCs w:val="22"/>
        </w:rPr>
      </w:pPr>
      <w:r w:rsidRPr="0033051C">
        <w:rPr>
          <w:rFonts w:eastAsia="Times New Roman" w:cs="Arial"/>
          <w:b w:val="0"/>
          <w:bCs w:val="0"/>
          <w:snapToGrid w:val="0"/>
          <w:sz w:val="18"/>
          <w:szCs w:val="22"/>
        </w:rPr>
        <w:t xml:space="preserve">Source: Figure </w:t>
      </w:r>
      <w:r>
        <w:rPr>
          <w:rFonts w:eastAsia="Times New Roman" w:cs="Arial"/>
          <w:b w:val="0"/>
          <w:bCs w:val="0"/>
          <w:snapToGrid w:val="0"/>
          <w:sz w:val="18"/>
          <w:szCs w:val="22"/>
        </w:rPr>
        <w:t>42</w:t>
      </w:r>
      <w:r w:rsidRPr="0033051C">
        <w:rPr>
          <w:rFonts w:eastAsia="Times New Roman" w:cs="Arial"/>
          <w:b w:val="0"/>
          <w:bCs w:val="0"/>
          <w:snapToGrid w:val="0"/>
          <w:sz w:val="18"/>
          <w:szCs w:val="22"/>
        </w:rPr>
        <w:t>, p14</w:t>
      </w:r>
      <w:r>
        <w:rPr>
          <w:rFonts w:eastAsia="Times New Roman" w:cs="Arial"/>
          <w:b w:val="0"/>
          <w:bCs w:val="0"/>
          <w:snapToGrid w:val="0"/>
          <w:sz w:val="18"/>
          <w:szCs w:val="22"/>
        </w:rPr>
        <w:t>5</w:t>
      </w:r>
      <w:r w:rsidRPr="0033051C">
        <w:rPr>
          <w:rFonts w:eastAsia="Times New Roman" w:cs="Arial"/>
          <w:b w:val="0"/>
          <w:bCs w:val="0"/>
          <w:snapToGrid w:val="0"/>
          <w:sz w:val="18"/>
          <w:szCs w:val="22"/>
        </w:rPr>
        <w:t xml:space="preserve"> of the submission.</w:t>
      </w:r>
    </w:p>
    <w:p w14:paraId="77230CDD" w14:textId="13EE3D53" w:rsidR="00D24261" w:rsidRDefault="00D24261" w:rsidP="00D24261">
      <w:pPr>
        <w:pStyle w:val="TableFigureHeading"/>
      </w:pPr>
      <w:bookmarkStart w:id="55" w:name="_Ref100795542"/>
      <w:r>
        <w:lastRenderedPageBreak/>
        <w:t xml:space="preserve">Figure </w:t>
      </w:r>
      <w:fldSimple w:instr=" SEQ Figure \* ARABIC ">
        <w:r w:rsidR="00633460">
          <w:rPr>
            <w:noProof/>
          </w:rPr>
          <w:t>7</w:t>
        </w:r>
      </w:fldSimple>
      <w:bookmarkEnd w:id="55"/>
      <w:r>
        <w:t xml:space="preserve">: </w:t>
      </w:r>
      <w:r w:rsidRPr="00287E07">
        <w:t xml:space="preserve">Overlay of Kaplan-Meier curves for PFS from </w:t>
      </w:r>
      <w:r w:rsidR="003F156F">
        <w:t xml:space="preserve">the </w:t>
      </w:r>
      <w:r w:rsidRPr="00287E07">
        <w:t>CA224047 and CA209067</w:t>
      </w:r>
      <w:r w:rsidR="003F156F">
        <w:t xml:space="preserve"> trials</w:t>
      </w:r>
    </w:p>
    <w:p w14:paraId="16B17F96" w14:textId="77777777" w:rsidR="00D24261" w:rsidRDefault="00D24261" w:rsidP="00D24261">
      <w:pPr>
        <w:pStyle w:val="3-BodyText"/>
        <w:spacing w:after="0"/>
        <w:rPr>
          <w:rStyle w:val="CommentReference"/>
          <w:rFonts w:asciiTheme="minorHAnsi" w:hAnsiTheme="minorHAnsi"/>
          <w:b w:val="0"/>
          <w:snapToGrid/>
          <w:sz w:val="24"/>
          <w:szCs w:val="24"/>
          <w:lang w:val="en-US"/>
        </w:rPr>
      </w:pPr>
      <w:r>
        <w:rPr>
          <w:noProof/>
        </w:rPr>
        <w:drawing>
          <wp:inline distT="0" distB="0" distL="0" distR="0" wp14:anchorId="6CA6C608" wp14:editId="364DC68E">
            <wp:extent cx="5732145" cy="3729990"/>
            <wp:effectExtent l="0" t="0" r="1905" b="3810"/>
            <wp:docPr id="15" name="Chart 15" descr="PFS curves for both arms of Trial 047 separate at around 3 months . PFS curves for both arms of Trial 067 separate at around 3 months.">
              <a:extLst xmlns:a="http://schemas.openxmlformats.org/drawingml/2006/main">
                <a:ext uri="{FF2B5EF4-FFF2-40B4-BE49-F238E27FC236}">
                  <a16:creationId xmlns:a16="http://schemas.microsoft.com/office/drawing/2014/main" id="{2B1C1D4B-3EE5-4E33-898E-F8F36B4AA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78565D" w14:textId="77777777" w:rsidR="00D24261" w:rsidRDefault="00D24261" w:rsidP="00D24261">
      <w:pPr>
        <w:pStyle w:val="TableFigureFooter"/>
        <w:spacing w:after="0"/>
      </w:pPr>
      <w:r>
        <w:t xml:space="preserve">Source: Figure 40, p143 </w:t>
      </w:r>
      <w:r w:rsidRPr="00D13A3E">
        <w:t xml:space="preserve">of the </w:t>
      </w:r>
      <w:r>
        <w:t>submission.</w:t>
      </w:r>
    </w:p>
    <w:p w14:paraId="4D960274" w14:textId="77777777" w:rsidR="00D24261" w:rsidRPr="00287E07" w:rsidRDefault="00D24261" w:rsidP="00D24261">
      <w:pPr>
        <w:pStyle w:val="TableFigureFooter"/>
        <w:spacing w:after="0"/>
        <w:rPr>
          <w:rStyle w:val="CommentReference"/>
          <w:b w:val="0"/>
          <w:sz w:val="18"/>
          <w:szCs w:val="22"/>
        </w:rPr>
      </w:pPr>
    </w:p>
    <w:p w14:paraId="0EE8FFB9" w14:textId="6401653F" w:rsidR="00D24261" w:rsidRPr="00AF1DAD" w:rsidRDefault="00D24261" w:rsidP="00D24261">
      <w:pPr>
        <w:pStyle w:val="3-BodyText"/>
        <w:numPr>
          <w:ilvl w:val="1"/>
          <w:numId w:val="1"/>
        </w:numPr>
        <w:rPr>
          <w:snapToGrid/>
          <w:lang w:val="en-US"/>
        </w:rPr>
      </w:pPr>
      <w:r w:rsidRPr="00575809">
        <w:rPr>
          <w:snapToGrid/>
          <w:lang w:val="en-US"/>
        </w:rPr>
        <w:t xml:space="preserve">The submission presented a MAIC to adjust for differences in baseline characteristics between </w:t>
      </w:r>
      <w:r w:rsidR="002145D6">
        <w:rPr>
          <w:snapToGrid/>
          <w:lang w:val="en-US"/>
        </w:rPr>
        <w:t xml:space="preserve">the </w:t>
      </w:r>
      <w:r w:rsidRPr="00575809">
        <w:rPr>
          <w:snapToGrid/>
          <w:lang w:val="en-US"/>
        </w:rPr>
        <w:t xml:space="preserve">trials. The submission </w:t>
      </w:r>
      <w:r>
        <w:rPr>
          <w:snapToGrid/>
          <w:lang w:val="en-US"/>
        </w:rPr>
        <w:t>used</w:t>
      </w:r>
      <w:r w:rsidRPr="00575809">
        <w:rPr>
          <w:snapToGrid/>
          <w:lang w:val="en-US"/>
        </w:rPr>
        <w:t xml:space="preserve"> an inverse probability treatment weighting approach to adjust for differences in </w:t>
      </w:r>
      <w:r w:rsidRPr="00AF1DAD">
        <w:rPr>
          <w:snapToGrid/>
          <w:lang w:val="en-US"/>
        </w:rPr>
        <w:t xml:space="preserve">baseline characteristics between patients from the CA209067 and CA224047 trials. </w:t>
      </w:r>
      <w:bookmarkStart w:id="56" w:name="_Hlk100674271"/>
    </w:p>
    <w:p w14:paraId="1BA71F0C" w14:textId="6DA0845F" w:rsidR="00D24261" w:rsidRPr="00AF1DAD" w:rsidRDefault="00D24261" w:rsidP="00D24261">
      <w:pPr>
        <w:pStyle w:val="3-BodyText"/>
        <w:numPr>
          <w:ilvl w:val="1"/>
          <w:numId w:val="1"/>
        </w:numPr>
        <w:rPr>
          <w:snapToGrid/>
          <w:lang w:val="en-US"/>
        </w:rPr>
      </w:pPr>
      <w:bookmarkStart w:id="57" w:name="_Hlk99608692"/>
      <w:r w:rsidRPr="00AF1DAD">
        <w:t xml:space="preserve">The data cut-offs applied in the main ITC analysis were not consistent with those applied in the adjusted ITC analysis for </w:t>
      </w:r>
      <w:r w:rsidR="00741ACA" w:rsidRPr="00AF1DAD">
        <w:t xml:space="preserve">the </w:t>
      </w:r>
      <w:r w:rsidRPr="00AF1DAD">
        <w:t>PFS</w:t>
      </w:r>
      <w:r w:rsidR="00741ACA" w:rsidRPr="00AF1DAD">
        <w:t xml:space="preserve">, </w:t>
      </w:r>
      <w:r w:rsidRPr="00AF1DAD">
        <w:t xml:space="preserve">OS </w:t>
      </w:r>
      <w:r w:rsidR="00741ACA" w:rsidRPr="00AF1DAD">
        <w:t xml:space="preserve">and safety </w:t>
      </w:r>
      <w:r w:rsidRPr="00AF1DAD">
        <w:t xml:space="preserve">estimates. </w:t>
      </w:r>
      <w:bookmarkEnd w:id="57"/>
      <w:r w:rsidRPr="00AF1DAD">
        <w:rPr>
          <w:snapToGrid/>
          <w:lang w:val="en-US"/>
        </w:rPr>
        <w:t xml:space="preserve">For PFS, the main ITC used </w:t>
      </w:r>
      <w:r w:rsidR="007748D9" w:rsidRPr="00AF1DAD">
        <w:rPr>
          <w:snapToGrid/>
          <w:lang w:val="en-US"/>
        </w:rPr>
        <w:t xml:space="preserve">the </w:t>
      </w:r>
      <w:r w:rsidRPr="00AF1DAD">
        <w:rPr>
          <w:snapToGrid/>
          <w:lang w:val="en-US"/>
        </w:rPr>
        <w:t xml:space="preserve">March 2021 cut-off for </w:t>
      </w:r>
      <w:r w:rsidR="007748D9" w:rsidRPr="00AF1DAD">
        <w:rPr>
          <w:snapToGrid/>
          <w:lang w:val="en-US"/>
        </w:rPr>
        <w:t xml:space="preserve">the </w:t>
      </w:r>
      <w:r w:rsidRPr="00AF1DAD">
        <w:rPr>
          <w:snapToGrid/>
          <w:lang w:val="en-US"/>
        </w:rPr>
        <w:t xml:space="preserve">CA224047 trial and </w:t>
      </w:r>
      <w:r w:rsidR="007748D9" w:rsidRPr="00AF1DAD">
        <w:rPr>
          <w:snapToGrid/>
          <w:lang w:val="en-US"/>
        </w:rPr>
        <w:t xml:space="preserve">the </w:t>
      </w:r>
      <w:r w:rsidR="001156B4" w:rsidRPr="00AF1DAD">
        <w:rPr>
          <w:snapToGrid/>
          <w:lang w:val="en-US"/>
        </w:rPr>
        <w:t xml:space="preserve">February </w:t>
      </w:r>
      <w:r w:rsidRPr="00AF1DAD">
        <w:rPr>
          <w:snapToGrid/>
          <w:lang w:val="en-US"/>
        </w:rPr>
        <w:t xml:space="preserve">2015 cut-off for the CA209067 trial, whereas the adjusted ITC used </w:t>
      </w:r>
      <w:r w:rsidR="007748D9" w:rsidRPr="00AF1DAD">
        <w:rPr>
          <w:snapToGrid/>
          <w:lang w:val="en-US"/>
        </w:rPr>
        <w:t xml:space="preserve">the </w:t>
      </w:r>
      <w:r w:rsidRPr="00AF1DAD">
        <w:rPr>
          <w:snapToGrid/>
          <w:lang w:val="en-US"/>
        </w:rPr>
        <w:t>October 2021 cut-</w:t>
      </w:r>
      <w:r w:rsidR="00324D24" w:rsidRPr="00AF1DAD">
        <w:rPr>
          <w:snapToGrid/>
          <w:lang w:val="en-US"/>
        </w:rPr>
        <w:t>off for</w:t>
      </w:r>
      <w:r w:rsidRPr="00AF1DAD">
        <w:rPr>
          <w:snapToGrid/>
          <w:lang w:val="en-US"/>
        </w:rPr>
        <w:t xml:space="preserve"> </w:t>
      </w:r>
      <w:r w:rsidR="007748D9" w:rsidRPr="00AF1DAD">
        <w:rPr>
          <w:snapToGrid/>
          <w:lang w:val="en-US"/>
        </w:rPr>
        <w:t xml:space="preserve">the </w:t>
      </w:r>
      <w:r w:rsidRPr="00AF1DAD">
        <w:rPr>
          <w:snapToGrid/>
          <w:lang w:val="en-US"/>
        </w:rPr>
        <w:t xml:space="preserve">CA224047 </w:t>
      </w:r>
      <w:r w:rsidR="00860E19" w:rsidRPr="00AF1DAD">
        <w:rPr>
          <w:snapToGrid/>
          <w:lang w:val="en-US"/>
        </w:rPr>
        <w:t>trial.</w:t>
      </w:r>
      <w:r w:rsidRPr="00AF1DAD">
        <w:rPr>
          <w:snapToGrid/>
          <w:lang w:val="en-US"/>
        </w:rPr>
        <w:t xml:space="preserve"> </w:t>
      </w:r>
    </w:p>
    <w:p w14:paraId="66546A04" w14:textId="49E54980" w:rsidR="00670A75" w:rsidRPr="006421D0" w:rsidRDefault="00D24261" w:rsidP="00670A75">
      <w:pPr>
        <w:pStyle w:val="ListParagraph"/>
        <w:widowControl w:val="0"/>
        <w:numPr>
          <w:ilvl w:val="1"/>
          <w:numId w:val="1"/>
        </w:numPr>
        <w:snapToGrid w:val="0"/>
      </w:pPr>
      <w:r w:rsidRPr="00670A75">
        <w:rPr>
          <w:snapToGrid/>
          <w:lang w:val="en-US"/>
        </w:rPr>
        <w:t xml:space="preserve">For OS and safety, the main ITC used </w:t>
      </w:r>
      <w:r w:rsidR="0059583A" w:rsidRPr="00670A75">
        <w:rPr>
          <w:snapToGrid/>
          <w:lang w:val="en-US"/>
        </w:rPr>
        <w:t xml:space="preserve">the </w:t>
      </w:r>
      <w:r w:rsidRPr="00670A75">
        <w:rPr>
          <w:snapToGrid/>
          <w:lang w:val="en-US"/>
        </w:rPr>
        <w:t xml:space="preserve">October 2021 cut-off for </w:t>
      </w:r>
      <w:r w:rsidR="0059583A" w:rsidRPr="00670A75">
        <w:rPr>
          <w:snapToGrid/>
          <w:lang w:val="en-US"/>
        </w:rPr>
        <w:t xml:space="preserve">the </w:t>
      </w:r>
      <w:r w:rsidRPr="00670A75">
        <w:rPr>
          <w:snapToGrid/>
          <w:lang w:val="en-US"/>
        </w:rPr>
        <w:t xml:space="preserve">CA224047 trial and </w:t>
      </w:r>
      <w:r w:rsidR="0059583A" w:rsidRPr="00670A75">
        <w:rPr>
          <w:snapToGrid/>
          <w:lang w:val="en-US"/>
        </w:rPr>
        <w:t xml:space="preserve">the </w:t>
      </w:r>
      <w:r w:rsidRPr="00670A75">
        <w:rPr>
          <w:snapToGrid/>
          <w:lang w:val="en-US"/>
        </w:rPr>
        <w:t xml:space="preserve">2017 cut-off for the CA209067 trial, whereas the adjusted ITC </w:t>
      </w:r>
      <w:r w:rsidR="0001560B" w:rsidRPr="00670A75">
        <w:rPr>
          <w:snapToGrid/>
          <w:lang w:val="en-US"/>
        </w:rPr>
        <w:t>used the</w:t>
      </w:r>
      <w:r w:rsidRPr="00670A75">
        <w:rPr>
          <w:snapToGrid/>
          <w:lang w:val="en-US"/>
        </w:rPr>
        <w:t xml:space="preserve"> October 19, 2020, database lock from CA209067. Moreover, the OS outcomes from the October 2020 cut-off were truncated to emulate the first per protocol analysis and to align the median follow-up duration from </w:t>
      </w:r>
      <w:r w:rsidR="004A3D54" w:rsidRPr="00670A75">
        <w:rPr>
          <w:snapToGrid/>
          <w:lang w:val="en-US"/>
        </w:rPr>
        <w:t xml:space="preserve">the </w:t>
      </w:r>
      <w:r w:rsidRPr="00670A75">
        <w:rPr>
          <w:snapToGrid/>
          <w:lang w:val="en-US"/>
        </w:rPr>
        <w:t>CA224047 trial. Accordingly, patients in the CA209067 trial who did not have an event by August 1, 2016, were censored at this date. After truncation the minimum follow-up in the CA209067 trial was 28 months, and median follow-up was 32 months. The truncation of data and the</w:t>
      </w:r>
      <w:r w:rsidRPr="00670A75">
        <w:rPr>
          <w:i/>
          <w:iCs/>
          <w:snapToGrid/>
          <w:lang w:val="en-US"/>
        </w:rPr>
        <w:t xml:space="preserve"> </w:t>
      </w:r>
      <w:r w:rsidRPr="00670A75">
        <w:rPr>
          <w:snapToGrid/>
          <w:lang w:val="en-US"/>
        </w:rPr>
        <w:t xml:space="preserve">censoring to align median follow-up times may not be appropriate and could result in </w:t>
      </w:r>
      <w:r w:rsidRPr="006421D0">
        <w:rPr>
          <w:snapToGrid/>
          <w:lang w:val="en-US"/>
        </w:rPr>
        <w:t xml:space="preserve">biased results. The submission could have used the data from the May 2017 cut-off (3 </w:t>
      </w:r>
      <w:r w:rsidRPr="006421D0">
        <w:rPr>
          <w:snapToGrid/>
          <w:lang w:val="en-US"/>
        </w:rPr>
        <w:lastRenderedPageBreak/>
        <w:t>years median follow</w:t>
      </w:r>
      <w:r w:rsidR="00292876" w:rsidRPr="006421D0">
        <w:rPr>
          <w:snapToGrid/>
          <w:lang w:val="en-US"/>
        </w:rPr>
        <w:t>-</w:t>
      </w:r>
      <w:r w:rsidRPr="006421D0">
        <w:rPr>
          <w:snapToGrid/>
          <w:lang w:val="en-US"/>
        </w:rPr>
        <w:t>up)</w:t>
      </w:r>
      <w:r w:rsidR="00874C75" w:rsidRPr="006421D0">
        <w:rPr>
          <w:snapToGrid/>
          <w:lang w:val="en-US"/>
        </w:rPr>
        <w:t xml:space="preserve"> from </w:t>
      </w:r>
      <w:r w:rsidR="0059583A" w:rsidRPr="006421D0">
        <w:rPr>
          <w:snapToGrid/>
          <w:lang w:val="en-US"/>
        </w:rPr>
        <w:t xml:space="preserve">the </w:t>
      </w:r>
      <w:r w:rsidR="00874C75" w:rsidRPr="006421D0">
        <w:rPr>
          <w:snapToGrid/>
          <w:lang w:val="en-US"/>
        </w:rPr>
        <w:t>CA209067</w:t>
      </w:r>
      <w:r w:rsidR="0059583A" w:rsidRPr="006421D0">
        <w:rPr>
          <w:snapToGrid/>
          <w:lang w:val="en-US"/>
        </w:rPr>
        <w:t xml:space="preserve"> trial </w:t>
      </w:r>
      <w:r w:rsidRPr="006421D0">
        <w:rPr>
          <w:snapToGrid/>
          <w:lang w:val="en-US"/>
        </w:rPr>
        <w:t>in the MAIC.</w:t>
      </w:r>
      <w:r w:rsidR="00670A75" w:rsidRPr="006421D0">
        <w:rPr>
          <w:snapToGrid/>
          <w:lang w:val="en-US"/>
        </w:rPr>
        <w:t xml:space="preserve"> </w:t>
      </w:r>
      <w:r w:rsidR="00670A75" w:rsidRPr="006421D0">
        <w:t xml:space="preserve">The PSCR (p3) stated </w:t>
      </w:r>
      <w:r w:rsidR="00532BC8" w:rsidRPr="006421D0">
        <w:t>that comparing time-to-event endpoints across two trials with different follow up periods w</w:t>
      </w:r>
      <w:r w:rsidR="000C35D4" w:rsidRPr="006421D0">
        <w:t>ould</w:t>
      </w:r>
      <w:r w:rsidR="00532BC8" w:rsidRPr="006421D0">
        <w:t xml:space="preserve"> create bias, particularly if data from one or both trials </w:t>
      </w:r>
      <w:r w:rsidR="000C35D4" w:rsidRPr="006421D0">
        <w:t>wa</w:t>
      </w:r>
      <w:r w:rsidR="00532BC8" w:rsidRPr="006421D0">
        <w:t>s not yet mature. T</w:t>
      </w:r>
      <w:r w:rsidR="00670A75" w:rsidRPr="006421D0">
        <w:t xml:space="preserve">he </w:t>
      </w:r>
      <w:r w:rsidR="000C35D4" w:rsidRPr="006421D0">
        <w:t xml:space="preserve">PSCR </w:t>
      </w:r>
      <w:r w:rsidR="00744D3B" w:rsidRPr="006421D0">
        <w:t xml:space="preserve">also </w:t>
      </w:r>
      <w:r w:rsidR="000C35D4" w:rsidRPr="006421D0">
        <w:t xml:space="preserve">stated that the </w:t>
      </w:r>
      <w:r w:rsidR="00670A75" w:rsidRPr="006421D0">
        <w:t>decision to align end point definitions in the ITC and to truncate the data was to reduce the risk of bias in the ITC given the time</w:t>
      </w:r>
      <w:r w:rsidR="000C35D4" w:rsidRPr="006421D0">
        <w:t>-</w:t>
      </w:r>
      <w:r w:rsidR="00670A75" w:rsidRPr="006421D0">
        <w:t>to</w:t>
      </w:r>
      <w:r w:rsidR="000C35D4" w:rsidRPr="006421D0">
        <w:t>-</w:t>
      </w:r>
      <w:r w:rsidR="00670A75" w:rsidRPr="006421D0">
        <w:t xml:space="preserve">event nature of the endpoints being compared. The ESC </w:t>
      </w:r>
      <w:r w:rsidR="00532BC8" w:rsidRPr="006421D0">
        <w:t xml:space="preserve">considered the results from the MAIC reasonable but </w:t>
      </w:r>
      <w:r w:rsidR="00670A75" w:rsidRPr="006421D0">
        <w:t xml:space="preserve">agreed </w:t>
      </w:r>
      <w:r w:rsidR="00532BC8" w:rsidRPr="006421D0">
        <w:t xml:space="preserve">for consistency, </w:t>
      </w:r>
      <w:r w:rsidR="00670A75" w:rsidRPr="006421D0">
        <w:t>a 3</w:t>
      </w:r>
      <w:r w:rsidR="00C302EE" w:rsidRPr="006421D0">
        <w:t>-</w:t>
      </w:r>
      <w:r w:rsidR="00670A75" w:rsidRPr="006421D0">
        <w:t xml:space="preserve">year median follow up (2017 data cut off) </w:t>
      </w:r>
      <w:r w:rsidR="00532BC8" w:rsidRPr="006421D0">
        <w:t xml:space="preserve">for </w:t>
      </w:r>
      <w:r w:rsidR="00670A75" w:rsidRPr="006421D0">
        <w:t xml:space="preserve">the MAIC </w:t>
      </w:r>
      <w:r w:rsidR="000C35D4" w:rsidRPr="006421D0">
        <w:t>might be</w:t>
      </w:r>
      <w:r w:rsidR="00670A75" w:rsidRPr="006421D0">
        <w:t xml:space="preserve"> more appropriate</w:t>
      </w:r>
      <w:r w:rsidR="000C35D4" w:rsidRPr="006421D0">
        <w:t xml:space="preserve"> although</w:t>
      </w:r>
      <w:r w:rsidR="00670A75" w:rsidRPr="006421D0">
        <w:t xml:space="preserve">, based on the proportional hazards assumption, variation in the follow-up times between the trials would not have a significant effect on the results. </w:t>
      </w:r>
      <w:r w:rsidR="00532BC8" w:rsidRPr="006421D0">
        <w:t xml:space="preserve"> </w:t>
      </w:r>
      <w:r w:rsidR="00354716" w:rsidRPr="006972C3">
        <w:t xml:space="preserve">The </w:t>
      </w:r>
      <w:r w:rsidR="00F93201" w:rsidRPr="006972C3">
        <w:t>p</w:t>
      </w:r>
      <w:r w:rsidR="00354716" w:rsidRPr="006972C3">
        <w:t>re-PBAC response (p2) maintain</w:t>
      </w:r>
      <w:r w:rsidR="00F93201" w:rsidRPr="006972C3">
        <w:t>ed</w:t>
      </w:r>
      <w:r w:rsidR="00354716" w:rsidRPr="006972C3">
        <w:t xml:space="preserve"> that the most robust comparison </w:t>
      </w:r>
      <w:r w:rsidR="00E76C33">
        <w:t>was</w:t>
      </w:r>
      <w:r w:rsidR="00354716" w:rsidRPr="006972C3">
        <w:t xml:space="preserve"> presented, given the data available and</w:t>
      </w:r>
      <w:r w:rsidR="00E76C33">
        <w:t>,</w:t>
      </w:r>
      <w:r w:rsidR="00354716" w:rsidRPr="006972C3">
        <w:t xml:space="preserve"> on balance</w:t>
      </w:r>
      <w:r w:rsidR="00E76C33">
        <w:t>,</w:t>
      </w:r>
      <w:r w:rsidR="00354716" w:rsidRPr="006972C3">
        <w:t xml:space="preserve"> demonstrate</w:t>
      </w:r>
      <w:r w:rsidR="00E76C33">
        <w:t>d</w:t>
      </w:r>
      <w:r w:rsidR="00354716" w:rsidRPr="006972C3">
        <w:t xml:space="preserve"> non-inferiority of RELA+NIVO compared with NIVO+IPI.</w:t>
      </w:r>
    </w:p>
    <w:p w14:paraId="4F87DBDD" w14:textId="22461F92" w:rsidR="00D24261" w:rsidRPr="006421D0" w:rsidRDefault="00D24261" w:rsidP="00D24261">
      <w:pPr>
        <w:pStyle w:val="3-BodyText"/>
        <w:numPr>
          <w:ilvl w:val="1"/>
          <w:numId w:val="1"/>
        </w:numPr>
        <w:rPr>
          <w:snapToGrid/>
          <w:lang w:val="en-US"/>
        </w:rPr>
      </w:pPr>
      <w:r w:rsidRPr="00AF1DAD">
        <w:rPr>
          <w:snapToGrid/>
          <w:lang w:val="en-US"/>
        </w:rPr>
        <w:t xml:space="preserve">The </w:t>
      </w:r>
      <w:r w:rsidRPr="006421D0">
        <w:rPr>
          <w:snapToGrid/>
          <w:lang w:val="en-US"/>
        </w:rPr>
        <w:t xml:space="preserve">submission presented the factors that could potentially affect the exchangeability of the results between </w:t>
      </w:r>
      <w:r w:rsidR="0059583A" w:rsidRPr="006421D0">
        <w:rPr>
          <w:snapToGrid/>
          <w:lang w:val="en-US"/>
        </w:rPr>
        <w:t xml:space="preserve">the </w:t>
      </w:r>
      <w:r w:rsidRPr="006421D0">
        <w:rPr>
          <w:snapToGrid/>
          <w:lang w:val="en-US"/>
        </w:rPr>
        <w:t>CA224047 and CA209067</w:t>
      </w:r>
      <w:r w:rsidR="0059583A" w:rsidRPr="006421D0">
        <w:rPr>
          <w:snapToGrid/>
          <w:lang w:val="en-US"/>
        </w:rPr>
        <w:t xml:space="preserve"> trials</w:t>
      </w:r>
      <w:r w:rsidRPr="006421D0">
        <w:rPr>
          <w:snapToGrid/>
          <w:lang w:val="en-US"/>
        </w:rPr>
        <w:t xml:space="preserve">, including age, AJCC M stage, ECOG Performance Status, discontinuation criteria, prior systemic therapy, and treatment setting. However, the </w:t>
      </w:r>
      <w:r w:rsidR="000C35D4" w:rsidRPr="006421D0">
        <w:rPr>
          <w:snapToGrid/>
          <w:lang w:val="en-US"/>
        </w:rPr>
        <w:t xml:space="preserve">ESC noted that the </w:t>
      </w:r>
      <w:r w:rsidRPr="006421D0">
        <w:rPr>
          <w:snapToGrid/>
          <w:lang w:val="en-US"/>
        </w:rPr>
        <w:t xml:space="preserve">submission did not include subsequent treatments </w:t>
      </w:r>
      <w:r w:rsidR="000C35D4" w:rsidRPr="006421D0">
        <w:rPr>
          <w:snapToGrid/>
          <w:lang w:val="en-US"/>
        </w:rPr>
        <w:t xml:space="preserve">or differences in follow up duration </w:t>
      </w:r>
      <w:r w:rsidRPr="006421D0">
        <w:rPr>
          <w:snapToGrid/>
          <w:lang w:val="en-US"/>
        </w:rPr>
        <w:t xml:space="preserve">as </w:t>
      </w:r>
      <w:r w:rsidR="000C35D4" w:rsidRPr="006421D0">
        <w:rPr>
          <w:snapToGrid/>
          <w:lang w:val="en-US"/>
        </w:rPr>
        <w:t>transitivity issues</w:t>
      </w:r>
      <w:r w:rsidRPr="006421D0">
        <w:rPr>
          <w:snapToGrid/>
          <w:lang w:val="en-US"/>
        </w:rPr>
        <w:t>.</w:t>
      </w:r>
    </w:p>
    <w:p w14:paraId="2A0A7BBD" w14:textId="4CFC7572" w:rsidR="00D24261" w:rsidRPr="006421D0" w:rsidRDefault="00D24261" w:rsidP="00D24261">
      <w:pPr>
        <w:pStyle w:val="3-BodyText"/>
        <w:numPr>
          <w:ilvl w:val="1"/>
          <w:numId w:val="1"/>
        </w:numPr>
        <w:spacing w:after="0"/>
        <w:rPr>
          <w:snapToGrid/>
          <w:lang w:val="en-US"/>
        </w:rPr>
      </w:pPr>
      <w:r w:rsidRPr="006421D0">
        <w:rPr>
          <w:rFonts w:ascii="Calibri" w:hAnsi="Calibri"/>
          <w:snapToGrid/>
        </w:rPr>
        <w:t>The MAIC estimates for efficacy were similar to the ITC estimates</w:t>
      </w:r>
      <w:r w:rsidRPr="006421D0">
        <w:t xml:space="preserve">. </w:t>
      </w:r>
      <w:r w:rsidRPr="006421D0">
        <w:rPr>
          <w:rFonts w:ascii="Calibri" w:hAnsi="Calibri"/>
          <w:snapToGrid/>
        </w:rPr>
        <w:t>Key findings from the MAIC were as follows:</w:t>
      </w:r>
    </w:p>
    <w:p w14:paraId="6F39BBF4" w14:textId="77777777" w:rsidR="00D24261" w:rsidRPr="006421D0" w:rsidRDefault="00D24261" w:rsidP="00AF456E">
      <w:pPr>
        <w:pStyle w:val="3-BodyText"/>
        <w:numPr>
          <w:ilvl w:val="0"/>
          <w:numId w:val="7"/>
        </w:numPr>
        <w:spacing w:after="0"/>
        <w:ind w:left="1134"/>
      </w:pPr>
      <w:r w:rsidRPr="006421D0">
        <w:rPr>
          <w:rFonts w:ascii="Calibri" w:hAnsi="Calibri"/>
          <w:snapToGrid/>
        </w:rPr>
        <w:t>There was no significant difference in the OS between RELA+NIVO and NIVO+IPI, with HR of 0.87 (95% CI: 0.68, 1.12).</w:t>
      </w:r>
    </w:p>
    <w:p w14:paraId="14EC659F" w14:textId="14220F8F" w:rsidR="00D24261" w:rsidRPr="006421D0" w:rsidRDefault="00D24261" w:rsidP="00AF456E">
      <w:pPr>
        <w:pStyle w:val="3-BodyText"/>
        <w:numPr>
          <w:ilvl w:val="0"/>
          <w:numId w:val="7"/>
        </w:numPr>
        <w:ind w:left="1134"/>
      </w:pPr>
      <w:r w:rsidRPr="006421D0">
        <w:rPr>
          <w:rFonts w:ascii="Calibri" w:hAnsi="Calibri"/>
          <w:snapToGrid/>
        </w:rPr>
        <w:t>There was no significant difference in the PFS between RELA+NIVO and NIVO+IPI, with HR of 1.00 (95% CI: 0.79, 1.25).</w:t>
      </w:r>
      <w:bookmarkEnd w:id="56"/>
    </w:p>
    <w:p w14:paraId="4C03407B" w14:textId="77777777" w:rsidR="00D24261" w:rsidRPr="006421D0" w:rsidRDefault="00D24261" w:rsidP="0074263A">
      <w:pPr>
        <w:pStyle w:val="4-SubsectionHeading"/>
        <w:rPr>
          <w:sz w:val="28"/>
          <w:szCs w:val="28"/>
        </w:rPr>
      </w:pPr>
      <w:bookmarkStart w:id="58" w:name="_Toc22897642"/>
      <w:bookmarkStart w:id="59" w:name="_Toc103768656"/>
      <w:r w:rsidRPr="006421D0">
        <w:rPr>
          <w:sz w:val="28"/>
          <w:szCs w:val="28"/>
        </w:rPr>
        <w:t>Comparative harms</w:t>
      </w:r>
      <w:bookmarkEnd w:id="58"/>
      <w:bookmarkEnd w:id="59"/>
    </w:p>
    <w:p w14:paraId="33CD7F9B" w14:textId="6C5146C8" w:rsidR="00D24261" w:rsidRDefault="00D24261" w:rsidP="00D24261">
      <w:pPr>
        <w:pStyle w:val="3-BodyText"/>
        <w:numPr>
          <w:ilvl w:val="1"/>
          <w:numId w:val="1"/>
        </w:numPr>
      </w:pPr>
      <w:bookmarkStart w:id="60" w:name="_Hlk80343694"/>
      <w:r w:rsidRPr="004E2B03">
        <w:t xml:space="preserve">The submission presented safety data based on </w:t>
      </w:r>
      <w:r w:rsidRPr="004E2B03">
        <w:rPr>
          <w:i/>
          <w:iCs/>
        </w:rPr>
        <w:t>post-hoc</w:t>
      </w:r>
      <w:r w:rsidRPr="004E2B03">
        <w:t xml:space="preserve"> analyses from the CA224047 and CA209067 trials.</w:t>
      </w:r>
      <w:bookmarkEnd w:id="60"/>
      <w:r>
        <w:t xml:space="preserve"> </w:t>
      </w:r>
      <w:r w:rsidR="00B80169">
        <w:t>A s</w:t>
      </w:r>
      <w:r>
        <w:t>ummary of key adverse events</w:t>
      </w:r>
      <w:r w:rsidR="00B80169">
        <w:t xml:space="preserve"> (AEs)</w:t>
      </w:r>
      <w:r>
        <w:t xml:space="preserve"> in </w:t>
      </w:r>
      <w:r w:rsidR="00B80169">
        <w:t xml:space="preserve">trials </w:t>
      </w:r>
      <w:r>
        <w:t xml:space="preserve">CA224047 and CA209067 is presented in </w:t>
      </w:r>
      <w:r>
        <w:fldChar w:fldCharType="begin"/>
      </w:r>
      <w:r>
        <w:instrText xml:space="preserve"> REF _Ref100928437 \h </w:instrText>
      </w:r>
      <w:r>
        <w:fldChar w:fldCharType="separate"/>
      </w:r>
      <w:r w:rsidR="00633460">
        <w:t xml:space="preserve">Table </w:t>
      </w:r>
      <w:r w:rsidR="00633460">
        <w:rPr>
          <w:noProof/>
        </w:rPr>
        <w:t>8</w:t>
      </w:r>
      <w:r>
        <w:fldChar w:fldCharType="end"/>
      </w:r>
      <w:r>
        <w:t>.</w:t>
      </w:r>
    </w:p>
    <w:p w14:paraId="62B4C5A8" w14:textId="2B51FCC9" w:rsidR="00324D24" w:rsidRDefault="00D24261" w:rsidP="00324D24">
      <w:pPr>
        <w:pStyle w:val="3-BodyText"/>
        <w:numPr>
          <w:ilvl w:val="1"/>
          <w:numId w:val="1"/>
        </w:numPr>
      </w:pPr>
      <w:r>
        <w:t xml:space="preserve">In </w:t>
      </w:r>
      <w:r w:rsidR="0059583A">
        <w:t xml:space="preserve">the </w:t>
      </w:r>
      <w:r>
        <w:t>CA224047</w:t>
      </w:r>
      <w:r w:rsidR="0059583A">
        <w:t xml:space="preserve"> trial</w:t>
      </w:r>
      <w:r>
        <w:t xml:space="preserve">, RELA+NIVO was associated with more Grade ≥ 3 treatment-related AEs when compared with </w:t>
      </w:r>
      <w:r w:rsidR="00324D24">
        <w:t xml:space="preserve">nivolumab </w:t>
      </w:r>
      <w:r>
        <w:t>(40.</w:t>
      </w:r>
      <w:r w:rsidR="008F385C">
        <w:t>3</w:t>
      </w:r>
      <w:r>
        <w:t>% compared with 33.4%)</w:t>
      </w:r>
      <w:r w:rsidR="005B2AF8">
        <w:t xml:space="preserve"> and </w:t>
      </w:r>
      <w:r w:rsidR="00716B78">
        <w:t xml:space="preserve">statistically significantly more </w:t>
      </w:r>
      <w:r w:rsidR="005B2AF8">
        <w:t>AEs leading to discontinuation from the trial (19.4% vs 11.4%</w:t>
      </w:r>
      <w:r w:rsidR="00716B78">
        <w:t>; RR = 1.70; 95% CI: 1.19, 2.43)</w:t>
      </w:r>
      <w:r>
        <w:t xml:space="preserve">. </w:t>
      </w:r>
      <w:r w:rsidR="005B2AF8">
        <w:t xml:space="preserve">RELA+NIVO was </w:t>
      </w:r>
      <w:r w:rsidR="00716B78">
        <w:t xml:space="preserve">also </w:t>
      </w:r>
      <w:r w:rsidR="005B2AF8">
        <w:t xml:space="preserve">associated </w:t>
      </w:r>
      <w:r w:rsidR="005B2AF8" w:rsidRPr="00324D24">
        <w:t xml:space="preserve">with more </w:t>
      </w:r>
      <w:r w:rsidR="00324D24" w:rsidRPr="00324D24">
        <w:t>pruritis (</w:t>
      </w:r>
      <w:bookmarkStart w:id="61" w:name="_Hlk103183769"/>
      <w:r w:rsidR="00324D24" w:rsidRPr="00324D24">
        <w:t>23.</w:t>
      </w:r>
      <w:r w:rsidR="008F385C">
        <w:t>4</w:t>
      </w:r>
      <w:r w:rsidR="00324D24" w:rsidRPr="00324D24">
        <w:t>% vs 15.</w:t>
      </w:r>
      <w:r w:rsidR="008F385C">
        <w:t>9</w:t>
      </w:r>
      <w:r w:rsidR="00324D24" w:rsidRPr="00324D24">
        <w:t>%</w:t>
      </w:r>
      <w:bookmarkEnd w:id="61"/>
      <w:r w:rsidR="00324D24" w:rsidRPr="00324D24">
        <w:t>), fatigue (</w:t>
      </w:r>
      <w:bookmarkStart w:id="62" w:name="_Hlk103183786"/>
      <w:r w:rsidR="00324D24" w:rsidRPr="00324D24">
        <w:t xml:space="preserve">23.1% vs 12.8%) </w:t>
      </w:r>
      <w:bookmarkEnd w:id="62"/>
      <w:r w:rsidR="00324D24" w:rsidRPr="00324D24">
        <w:t>and arthralgia (14.</w:t>
      </w:r>
      <w:r w:rsidR="008F385C">
        <w:t>4</w:t>
      </w:r>
      <w:r w:rsidR="00324D24" w:rsidRPr="00324D24">
        <w:t xml:space="preserve">% vs 7.2%) than nivolumab monotherapy. </w:t>
      </w:r>
    </w:p>
    <w:p w14:paraId="6420AFE2" w14:textId="67565ED8" w:rsidR="00324D24" w:rsidRPr="00AF1DAD" w:rsidRDefault="00324D24" w:rsidP="00324D24">
      <w:pPr>
        <w:pStyle w:val="3-BodyText"/>
        <w:numPr>
          <w:ilvl w:val="1"/>
          <w:numId w:val="1"/>
        </w:numPr>
      </w:pPr>
      <w:r>
        <w:t xml:space="preserve">In </w:t>
      </w:r>
      <w:r w:rsidR="0059583A">
        <w:t xml:space="preserve">the </w:t>
      </w:r>
      <w:r>
        <w:t>CA209067</w:t>
      </w:r>
      <w:r w:rsidR="0059583A">
        <w:t xml:space="preserve"> trial</w:t>
      </w:r>
      <w:r>
        <w:t xml:space="preserve">, NIVO+IPI </w:t>
      </w:r>
      <w:r w:rsidRPr="00AF1DAD">
        <w:t>was associated with statistically significantly more Grade ≥ 3 treatment-related AEs when compared with nivolumab monotherapy (68.</w:t>
      </w:r>
      <w:r w:rsidR="008F385C" w:rsidRPr="00AF1DAD">
        <w:t>7</w:t>
      </w:r>
      <w:r w:rsidRPr="00AF1DAD">
        <w:t xml:space="preserve">% compared with 43.5%). </w:t>
      </w:r>
      <w:bookmarkStart w:id="63" w:name="_Hlk103155665"/>
      <w:r w:rsidRPr="00AF1DAD">
        <w:t>NIVO+IPI was also associated with more diarrhoea (44.</w:t>
      </w:r>
      <w:r w:rsidR="008F385C" w:rsidRPr="00AF1DAD">
        <w:t>1</w:t>
      </w:r>
      <w:r w:rsidRPr="00AF1DAD">
        <w:t>% vs 19.</w:t>
      </w:r>
      <w:r w:rsidR="008F385C" w:rsidRPr="00AF1DAD">
        <w:t>2</w:t>
      </w:r>
      <w:r w:rsidRPr="00AF1DAD">
        <w:t>%), pruritis (33.2% vs 18.</w:t>
      </w:r>
      <w:r w:rsidR="008F385C" w:rsidRPr="00AF1DAD">
        <w:t>9</w:t>
      </w:r>
      <w:r w:rsidRPr="00AF1DAD">
        <w:t>%)</w:t>
      </w:r>
      <w:r w:rsidR="008F385C" w:rsidRPr="00AF1DAD">
        <w:t>, nausea (25.9% vs 13.1%)</w:t>
      </w:r>
      <w:r w:rsidRPr="00AF1DAD">
        <w:t xml:space="preserve"> and </w:t>
      </w:r>
      <w:r w:rsidR="008F385C" w:rsidRPr="00AF1DAD">
        <w:t xml:space="preserve">pyrexia </w:t>
      </w:r>
      <w:r w:rsidRPr="00AF1DAD">
        <w:t>(</w:t>
      </w:r>
      <w:r w:rsidR="008F385C" w:rsidRPr="00AF1DAD">
        <w:t>18.5</w:t>
      </w:r>
      <w:r w:rsidRPr="00AF1DAD">
        <w:t xml:space="preserve">% vs </w:t>
      </w:r>
      <w:r w:rsidR="008F385C" w:rsidRPr="00AF1DAD">
        <w:t>5.8</w:t>
      </w:r>
      <w:r w:rsidRPr="00AF1DAD">
        <w:t>%) than nivolumab monotherapy.</w:t>
      </w:r>
      <w:bookmarkEnd w:id="63"/>
      <w:r w:rsidRPr="00AF1DAD">
        <w:t xml:space="preserve"> The PBAC previously considered that combination treatment with NIVO+IPI has a significantly inferior safety profile </w:t>
      </w:r>
      <w:r w:rsidRPr="00AF1DAD">
        <w:lastRenderedPageBreak/>
        <w:t xml:space="preserve">compared to pembrolizumab monotherapy, nivolumab monotherapy or ipilimumab monotherapy (paragraph 7.5, nivolumab plus ipilimumab </w:t>
      </w:r>
      <w:r w:rsidR="0077732D">
        <w:t>Public Summary Document [</w:t>
      </w:r>
      <w:r w:rsidRPr="00AF1DAD">
        <w:t>PSD</w:t>
      </w:r>
      <w:r w:rsidR="0077732D">
        <w:t>]</w:t>
      </w:r>
      <w:r w:rsidRPr="00AF1DAD">
        <w:t>, November 2015).</w:t>
      </w:r>
    </w:p>
    <w:p w14:paraId="4BB0B2DA" w14:textId="2338E6BE" w:rsidR="00324D24" w:rsidRDefault="00324D24" w:rsidP="00324D24">
      <w:pPr>
        <w:pStyle w:val="TableFigureHeading"/>
      </w:pPr>
      <w:bookmarkStart w:id="64" w:name="_Ref100928437"/>
      <w:r>
        <w:t xml:space="preserve">Table </w:t>
      </w:r>
      <w:fldSimple w:instr=" SEQ Table \* ARABIC \s 1 ">
        <w:r w:rsidR="00633460">
          <w:rPr>
            <w:noProof/>
          </w:rPr>
          <w:t>8</w:t>
        </w:r>
      </w:fldSimple>
      <w:bookmarkEnd w:id="64"/>
      <w:r>
        <w:t xml:space="preserve">: </w:t>
      </w:r>
      <w:r w:rsidRPr="00CC5A41">
        <w:t xml:space="preserve">Summary of key adverse events in </w:t>
      </w:r>
      <w:r w:rsidR="0059583A">
        <w:t xml:space="preserve">the </w:t>
      </w:r>
      <w:r>
        <w:t>CA224047 (data cut-off: March 2021) and CA209067 (data cut-off: February 2015)</w:t>
      </w:r>
      <w:r w:rsidR="0059583A">
        <w:t xml:space="preserv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ummary of key adverse events in the CA224047 (data cut-off: March 2021) and CA209067 (data cut-off: February 2015) trials"/>
      </w:tblPr>
      <w:tblGrid>
        <w:gridCol w:w="3114"/>
        <w:gridCol w:w="1841"/>
        <w:gridCol w:w="1838"/>
        <w:gridCol w:w="2224"/>
      </w:tblGrid>
      <w:tr w:rsidR="00324D24" w:rsidRPr="00080909" w14:paraId="433F4945" w14:textId="77777777" w:rsidTr="00262BAC">
        <w:trPr>
          <w:cantSplit/>
          <w:tblHeader/>
        </w:trPr>
        <w:tc>
          <w:tcPr>
            <w:tcW w:w="1727" w:type="pct"/>
            <w:vAlign w:val="center"/>
          </w:tcPr>
          <w:p w14:paraId="54CA2B83" w14:textId="77777777" w:rsidR="00324D24" w:rsidRPr="00080909" w:rsidRDefault="00324D24" w:rsidP="00262BAC">
            <w:pPr>
              <w:pStyle w:val="In-tableHeading"/>
            </w:pPr>
            <w:r>
              <w:t>CA224047</w:t>
            </w:r>
          </w:p>
        </w:tc>
        <w:tc>
          <w:tcPr>
            <w:tcW w:w="1021" w:type="pct"/>
            <w:vAlign w:val="center"/>
          </w:tcPr>
          <w:p w14:paraId="6AF42404" w14:textId="77777777" w:rsidR="00324D24" w:rsidRDefault="00324D24" w:rsidP="00262BAC">
            <w:pPr>
              <w:pStyle w:val="In-tableHeading"/>
              <w:jc w:val="center"/>
            </w:pPr>
            <w:r>
              <w:t>RELA+NIVO</w:t>
            </w:r>
          </w:p>
          <w:p w14:paraId="3316AF15" w14:textId="77777777" w:rsidR="00324D24" w:rsidRPr="00080909" w:rsidRDefault="00324D24" w:rsidP="00262BAC">
            <w:pPr>
              <w:pStyle w:val="Tabletext"/>
              <w:jc w:val="center"/>
            </w:pPr>
            <w:r>
              <w:rPr>
                <w:b/>
              </w:rPr>
              <w:t>N=355, n (%)</w:t>
            </w:r>
          </w:p>
        </w:tc>
        <w:tc>
          <w:tcPr>
            <w:tcW w:w="1019" w:type="pct"/>
            <w:vAlign w:val="center"/>
          </w:tcPr>
          <w:p w14:paraId="08477566" w14:textId="77777777" w:rsidR="00324D24" w:rsidRDefault="00324D24" w:rsidP="00262BAC">
            <w:pPr>
              <w:pStyle w:val="In-tableHeading"/>
              <w:jc w:val="center"/>
            </w:pPr>
            <w:r>
              <w:t xml:space="preserve">Nivolumab </w:t>
            </w:r>
          </w:p>
          <w:p w14:paraId="386F8972" w14:textId="77777777" w:rsidR="00324D24" w:rsidRPr="00080909" w:rsidRDefault="00324D24" w:rsidP="00262BAC">
            <w:pPr>
              <w:pStyle w:val="Tabletext"/>
              <w:jc w:val="center"/>
            </w:pPr>
            <w:r>
              <w:rPr>
                <w:b/>
              </w:rPr>
              <w:t>N=359, n (%)</w:t>
            </w:r>
          </w:p>
        </w:tc>
        <w:tc>
          <w:tcPr>
            <w:tcW w:w="1233" w:type="pct"/>
            <w:vAlign w:val="center"/>
          </w:tcPr>
          <w:p w14:paraId="29F8A784" w14:textId="77777777" w:rsidR="00324D24" w:rsidRPr="00080909" w:rsidRDefault="00324D24" w:rsidP="00262BAC">
            <w:pPr>
              <w:pStyle w:val="In-tableHeading"/>
              <w:jc w:val="center"/>
            </w:pPr>
            <w:r>
              <w:t>RR (95% CI)</w:t>
            </w:r>
          </w:p>
        </w:tc>
      </w:tr>
      <w:tr w:rsidR="00324D24" w14:paraId="6A1BAC1D" w14:textId="77777777" w:rsidTr="00262BAC">
        <w:trPr>
          <w:cantSplit/>
        </w:trPr>
        <w:tc>
          <w:tcPr>
            <w:tcW w:w="1727" w:type="pct"/>
            <w:vAlign w:val="center"/>
          </w:tcPr>
          <w:p w14:paraId="6DEABF7E" w14:textId="77777777" w:rsidR="00324D24" w:rsidRDefault="00324D24" w:rsidP="00262BAC">
            <w:pPr>
              <w:pStyle w:val="TableText0"/>
            </w:pPr>
            <w:r>
              <w:rPr>
                <w:color w:val="000000"/>
                <w:lang w:val="en-US"/>
              </w:rPr>
              <w:t>Any severe AE (Grade ≥3)</w:t>
            </w:r>
          </w:p>
        </w:tc>
        <w:tc>
          <w:tcPr>
            <w:tcW w:w="1021" w:type="pct"/>
            <w:vAlign w:val="center"/>
          </w:tcPr>
          <w:p w14:paraId="61C14666" w14:textId="10062BEE" w:rsidR="00324D24" w:rsidRDefault="00324D24" w:rsidP="00262BAC">
            <w:pPr>
              <w:pStyle w:val="TableText0"/>
              <w:jc w:val="center"/>
            </w:pPr>
            <w:r>
              <w:rPr>
                <w:szCs w:val="20"/>
              </w:rPr>
              <w:t>143 (40.</w:t>
            </w:r>
            <w:r w:rsidR="000C35D4">
              <w:rPr>
                <w:szCs w:val="20"/>
              </w:rPr>
              <w:t>3</w:t>
            </w:r>
            <w:r>
              <w:rPr>
                <w:szCs w:val="20"/>
              </w:rPr>
              <w:t>%)</w:t>
            </w:r>
          </w:p>
        </w:tc>
        <w:tc>
          <w:tcPr>
            <w:tcW w:w="1019" w:type="pct"/>
            <w:vAlign w:val="center"/>
          </w:tcPr>
          <w:p w14:paraId="4EB69A2F" w14:textId="5F406B2B" w:rsidR="00324D24" w:rsidRDefault="00324D24" w:rsidP="00262BAC">
            <w:pPr>
              <w:pStyle w:val="TableText0"/>
              <w:jc w:val="center"/>
            </w:pPr>
            <w:r>
              <w:rPr>
                <w:szCs w:val="20"/>
              </w:rPr>
              <w:t>120 (33.4%)</w:t>
            </w:r>
          </w:p>
        </w:tc>
        <w:tc>
          <w:tcPr>
            <w:tcW w:w="1233" w:type="pct"/>
            <w:vAlign w:val="center"/>
          </w:tcPr>
          <w:p w14:paraId="4E45E2D4" w14:textId="77777777" w:rsidR="00324D24" w:rsidRDefault="00324D24" w:rsidP="00262BAC">
            <w:pPr>
              <w:pStyle w:val="TableText0"/>
              <w:jc w:val="center"/>
            </w:pPr>
            <w:r>
              <w:t>1.21 (0.99, 1.46)</w:t>
            </w:r>
          </w:p>
        </w:tc>
      </w:tr>
      <w:tr w:rsidR="00324D24" w14:paraId="20B87DA9" w14:textId="77777777" w:rsidTr="00262BAC">
        <w:trPr>
          <w:cantSplit/>
        </w:trPr>
        <w:tc>
          <w:tcPr>
            <w:tcW w:w="1727" w:type="pct"/>
            <w:vAlign w:val="center"/>
          </w:tcPr>
          <w:p w14:paraId="42A6D137" w14:textId="77777777" w:rsidR="00324D24" w:rsidRDefault="00324D24" w:rsidP="00262BAC">
            <w:pPr>
              <w:pStyle w:val="TableText0"/>
            </w:pPr>
            <w:r>
              <w:rPr>
                <w:color w:val="000000"/>
                <w:lang w:val="en-US"/>
              </w:rPr>
              <w:t>AE leading to discontinuation</w:t>
            </w:r>
          </w:p>
        </w:tc>
        <w:tc>
          <w:tcPr>
            <w:tcW w:w="1021" w:type="pct"/>
            <w:vAlign w:val="center"/>
          </w:tcPr>
          <w:p w14:paraId="14B50E6A" w14:textId="57D0021B" w:rsidR="00324D24" w:rsidRDefault="00324D24" w:rsidP="00262BAC">
            <w:pPr>
              <w:pStyle w:val="Tabletext"/>
              <w:jc w:val="center"/>
            </w:pPr>
            <w:r>
              <w:rPr>
                <w:szCs w:val="20"/>
              </w:rPr>
              <w:t>69 (19.4%)</w:t>
            </w:r>
          </w:p>
        </w:tc>
        <w:tc>
          <w:tcPr>
            <w:tcW w:w="1019" w:type="pct"/>
            <w:vAlign w:val="center"/>
          </w:tcPr>
          <w:p w14:paraId="00F6AD69" w14:textId="455C479B" w:rsidR="00324D24" w:rsidRDefault="00324D24" w:rsidP="00262BAC">
            <w:pPr>
              <w:pStyle w:val="TableText0"/>
              <w:jc w:val="center"/>
            </w:pPr>
            <w:r>
              <w:rPr>
                <w:szCs w:val="20"/>
              </w:rPr>
              <w:t>41 (11.4%)</w:t>
            </w:r>
          </w:p>
        </w:tc>
        <w:tc>
          <w:tcPr>
            <w:tcW w:w="1233" w:type="pct"/>
            <w:vAlign w:val="center"/>
          </w:tcPr>
          <w:p w14:paraId="126751C4" w14:textId="77777777" w:rsidR="00324D24" w:rsidRDefault="00324D24" w:rsidP="00262BAC">
            <w:pPr>
              <w:pStyle w:val="TableText0"/>
              <w:jc w:val="center"/>
            </w:pPr>
            <w:r>
              <w:rPr>
                <w:b/>
              </w:rPr>
              <w:t>1.70 (1.19, 2.43)</w:t>
            </w:r>
          </w:p>
        </w:tc>
      </w:tr>
      <w:tr w:rsidR="00324D24" w14:paraId="3BB6D0D0" w14:textId="77777777" w:rsidTr="00262BAC">
        <w:trPr>
          <w:cantSplit/>
        </w:trPr>
        <w:tc>
          <w:tcPr>
            <w:tcW w:w="1727" w:type="pct"/>
            <w:tcBorders>
              <w:bottom w:val="single" w:sz="4" w:space="0" w:color="auto"/>
            </w:tcBorders>
            <w:vAlign w:val="center"/>
          </w:tcPr>
          <w:p w14:paraId="60B976E0" w14:textId="77777777" w:rsidR="00324D24" w:rsidRDefault="00324D24" w:rsidP="00262BAC">
            <w:pPr>
              <w:pStyle w:val="TableText0"/>
            </w:pPr>
            <w:r>
              <w:rPr>
                <w:color w:val="000000"/>
                <w:lang w:val="en-US"/>
              </w:rPr>
              <w:t>Death due to study drug toxicity</w:t>
            </w:r>
          </w:p>
        </w:tc>
        <w:tc>
          <w:tcPr>
            <w:tcW w:w="1021" w:type="pct"/>
            <w:tcBorders>
              <w:bottom w:val="single" w:sz="4" w:space="0" w:color="auto"/>
            </w:tcBorders>
            <w:vAlign w:val="center"/>
          </w:tcPr>
          <w:p w14:paraId="46125397" w14:textId="283A4A48" w:rsidR="00324D24" w:rsidRDefault="00324D24" w:rsidP="00262BAC">
            <w:pPr>
              <w:pStyle w:val="Tabletext"/>
              <w:jc w:val="center"/>
            </w:pPr>
            <w:r>
              <w:rPr>
                <w:szCs w:val="20"/>
              </w:rPr>
              <w:t>3 (0.</w:t>
            </w:r>
            <w:r w:rsidR="000C35D4">
              <w:rPr>
                <w:szCs w:val="20"/>
              </w:rPr>
              <w:t>9</w:t>
            </w:r>
            <w:r>
              <w:rPr>
                <w:szCs w:val="20"/>
              </w:rPr>
              <w:t>%)</w:t>
            </w:r>
          </w:p>
        </w:tc>
        <w:tc>
          <w:tcPr>
            <w:tcW w:w="1019" w:type="pct"/>
            <w:tcBorders>
              <w:bottom w:val="single" w:sz="4" w:space="0" w:color="auto"/>
            </w:tcBorders>
            <w:vAlign w:val="center"/>
          </w:tcPr>
          <w:p w14:paraId="481DB2B4" w14:textId="0033F03C" w:rsidR="00324D24" w:rsidRDefault="00324D24" w:rsidP="00262BAC">
            <w:pPr>
              <w:pStyle w:val="Tabletext"/>
              <w:jc w:val="center"/>
            </w:pPr>
            <w:r>
              <w:rPr>
                <w:szCs w:val="20"/>
              </w:rPr>
              <w:t>2 (0.6%)</w:t>
            </w:r>
          </w:p>
        </w:tc>
        <w:tc>
          <w:tcPr>
            <w:tcW w:w="1233" w:type="pct"/>
            <w:tcBorders>
              <w:bottom w:val="single" w:sz="4" w:space="0" w:color="auto"/>
            </w:tcBorders>
            <w:vAlign w:val="center"/>
          </w:tcPr>
          <w:p w14:paraId="365D7DFB" w14:textId="77777777" w:rsidR="00324D24" w:rsidRDefault="00324D24" w:rsidP="00262BAC">
            <w:pPr>
              <w:pStyle w:val="TableText0"/>
              <w:jc w:val="center"/>
            </w:pPr>
            <w:r>
              <w:t>1.52 (0.25, 9.02)</w:t>
            </w:r>
          </w:p>
        </w:tc>
      </w:tr>
      <w:tr w:rsidR="00324D24" w14:paraId="2FB78856" w14:textId="77777777" w:rsidTr="00262BAC">
        <w:trPr>
          <w:cantSplit/>
        </w:trPr>
        <w:tc>
          <w:tcPr>
            <w:tcW w:w="1727" w:type="pct"/>
            <w:tcBorders>
              <w:top w:val="single" w:sz="4" w:space="0" w:color="auto"/>
              <w:left w:val="single" w:sz="4" w:space="0" w:color="auto"/>
              <w:bottom w:val="nil"/>
              <w:right w:val="single" w:sz="4" w:space="0" w:color="auto"/>
            </w:tcBorders>
            <w:vAlign w:val="center"/>
          </w:tcPr>
          <w:p w14:paraId="6F75921A" w14:textId="77777777" w:rsidR="00324D24" w:rsidRPr="00AE758C" w:rsidRDefault="00324D24" w:rsidP="00262BAC">
            <w:pPr>
              <w:pStyle w:val="TableText0"/>
              <w:rPr>
                <w:color w:val="000000"/>
                <w:lang w:val="en-US"/>
              </w:rPr>
            </w:pPr>
            <w:r w:rsidRPr="00116CE8">
              <w:rPr>
                <w:color w:val="000000"/>
                <w:lang w:val="en-US"/>
              </w:rPr>
              <w:t>Most frequent study drug related AEs (&gt;5% in any treatment arm)</w:t>
            </w:r>
          </w:p>
        </w:tc>
        <w:tc>
          <w:tcPr>
            <w:tcW w:w="1021" w:type="pct"/>
            <w:tcBorders>
              <w:top w:val="single" w:sz="4" w:space="0" w:color="auto"/>
              <w:left w:val="single" w:sz="4" w:space="0" w:color="auto"/>
              <w:bottom w:val="nil"/>
              <w:right w:val="single" w:sz="4" w:space="0" w:color="auto"/>
            </w:tcBorders>
            <w:vAlign w:val="center"/>
          </w:tcPr>
          <w:p w14:paraId="0C72E7C9" w14:textId="77777777" w:rsidR="00324D24" w:rsidRPr="00C91F9E" w:rsidRDefault="00324D24" w:rsidP="00262BAC">
            <w:pPr>
              <w:pStyle w:val="Tabletext"/>
              <w:jc w:val="center"/>
              <w:rPr>
                <w:rFonts w:eastAsiaTheme="majorEastAsia" w:cstheme="majorBidi"/>
                <w:bCs/>
                <w:snapToGrid/>
                <w:color w:val="000000"/>
                <w:lang w:val="en-US"/>
              </w:rPr>
            </w:pPr>
          </w:p>
        </w:tc>
        <w:tc>
          <w:tcPr>
            <w:tcW w:w="1019" w:type="pct"/>
            <w:tcBorders>
              <w:top w:val="single" w:sz="4" w:space="0" w:color="auto"/>
              <w:left w:val="single" w:sz="4" w:space="0" w:color="auto"/>
              <w:bottom w:val="nil"/>
              <w:right w:val="single" w:sz="4" w:space="0" w:color="auto"/>
            </w:tcBorders>
            <w:vAlign w:val="center"/>
          </w:tcPr>
          <w:p w14:paraId="2F32B2B5" w14:textId="77777777" w:rsidR="00324D24" w:rsidRPr="00AE758C" w:rsidRDefault="00324D24" w:rsidP="00262BAC">
            <w:pPr>
              <w:pStyle w:val="TableText0"/>
              <w:jc w:val="center"/>
              <w:rPr>
                <w:color w:val="000000"/>
                <w:lang w:val="en-US"/>
              </w:rPr>
            </w:pPr>
          </w:p>
        </w:tc>
        <w:tc>
          <w:tcPr>
            <w:tcW w:w="1233" w:type="pct"/>
            <w:tcBorders>
              <w:bottom w:val="nil"/>
            </w:tcBorders>
            <w:vAlign w:val="center"/>
          </w:tcPr>
          <w:p w14:paraId="46FE956E" w14:textId="77777777" w:rsidR="00324D24" w:rsidRPr="007F228A" w:rsidRDefault="00324D24" w:rsidP="00262BAC">
            <w:pPr>
              <w:pStyle w:val="TableText0"/>
              <w:jc w:val="center"/>
              <w:rPr>
                <w:b/>
              </w:rPr>
            </w:pPr>
          </w:p>
        </w:tc>
      </w:tr>
      <w:tr w:rsidR="00324D24" w14:paraId="3F42A4E6" w14:textId="77777777" w:rsidTr="00262BAC">
        <w:trPr>
          <w:cantSplit/>
        </w:trPr>
        <w:tc>
          <w:tcPr>
            <w:tcW w:w="1727" w:type="pct"/>
            <w:tcBorders>
              <w:top w:val="nil"/>
              <w:left w:val="single" w:sz="4" w:space="0" w:color="auto"/>
              <w:bottom w:val="nil"/>
              <w:right w:val="single" w:sz="4" w:space="0" w:color="auto"/>
            </w:tcBorders>
            <w:vAlign w:val="center"/>
          </w:tcPr>
          <w:p w14:paraId="2EF609E2" w14:textId="77777777" w:rsidR="00324D24" w:rsidRPr="00C91F9E" w:rsidRDefault="00324D24" w:rsidP="00AF456E">
            <w:pPr>
              <w:pStyle w:val="TableText0"/>
              <w:numPr>
                <w:ilvl w:val="0"/>
                <w:numId w:val="9"/>
              </w:numPr>
              <w:rPr>
                <w:color w:val="000000"/>
                <w:lang w:val="en-US"/>
              </w:rPr>
            </w:pPr>
            <w:r w:rsidRPr="00AE758C">
              <w:rPr>
                <w:color w:val="000000"/>
                <w:lang w:val="en-US"/>
              </w:rPr>
              <w:t>Pruritus</w:t>
            </w:r>
          </w:p>
        </w:tc>
        <w:tc>
          <w:tcPr>
            <w:tcW w:w="1021" w:type="pct"/>
            <w:tcBorders>
              <w:top w:val="nil"/>
              <w:left w:val="single" w:sz="4" w:space="0" w:color="auto"/>
              <w:bottom w:val="nil"/>
              <w:right w:val="single" w:sz="4" w:space="0" w:color="auto"/>
            </w:tcBorders>
            <w:vAlign w:val="center"/>
          </w:tcPr>
          <w:p w14:paraId="2FE5F73F" w14:textId="01CFC3F7" w:rsidR="00324D24" w:rsidRPr="00C91F9E" w:rsidRDefault="00324D24" w:rsidP="00262BAC">
            <w:pPr>
              <w:pStyle w:val="Tabletext"/>
              <w:jc w:val="center"/>
              <w:rPr>
                <w:color w:val="000000"/>
                <w:lang w:val="en-US"/>
              </w:rPr>
            </w:pPr>
            <w:r w:rsidRPr="00C91F9E">
              <w:rPr>
                <w:rFonts w:eastAsiaTheme="majorEastAsia" w:cstheme="majorBidi"/>
                <w:bCs/>
                <w:snapToGrid/>
                <w:color w:val="000000"/>
                <w:lang w:val="en-US"/>
              </w:rPr>
              <w:t>83</w:t>
            </w:r>
            <w:r>
              <w:rPr>
                <w:rFonts w:eastAsiaTheme="majorEastAsia" w:cstheme="majorBidi"/>
                <w:bCs/>
                <w:snapToGrid/>
                <w:color w:val="000000"/>
                <w:lang w:val="en-US"/>
              </w:rPr>
              <w:t xml:space="preserve"> </w:t>
            </w:r>
            <w:r w:rsidRPr="00AE758C">
              <w:rPr>
                <w:color w:val="000000"/>
                <w:lang w:val="en-US"/>
              </w:rPr>
              <w:t>(23.</w:t>
            </w:r>
            <w:r w:rsidR="000C35D4">
              <w:rPr>
                <w:color w:val="000000"/>
                <w:lang w:val="en-US"/>
              </w:rPr>
              <w:t>4</w:t>
            </w:r>
            <w:r w:rsidRPr="00AE758C">
              <w:rPr>
                <w:color w:val="000000"/>
                <w:lang w:val="en-US"/>
              </w:rPr>
              <w:t>%)</w:t>
            </w:r>
          </w:p>
        </w:tc>
        <w:tc>
          <w:tcPr>
            <w:tcW w:w="1019" w:type="pct"/>
            <w:tcBorders>
              <w:top w:val="nil"/>
              <w:left w:val="single" w:sz="4" w:space="0" w:color="auto"/>
              <w:bottom w:val="nil"/>
              <w:right w:val="single" w:sz="4" w:space="0" w:color="auto"/>
            </w:tcBorders>
            <w:vAlign w:val="center"/>
          </w:tcPr>
          <w:p w14:paraId="244B050E" w14:textId="06220041" w:rsidR="00324D24" w:rsidRPr="00C91F9E" w:rsidRDefault="00324D24" w:rsidP="00262BAC">
            <w:pPr>
              <w:pStyle w:val="TableText0"/>
              <w:jc w:val="center"/>
              <w:rPr>
                <w:color w:val="000000"/>
                <w:lang w:val="en-US"/>
              </w:rPr>
            </w:pPr>
            <w:r w:rsidRPr="00AE758C">
              <w:rPr>
                <w:color w:val="000000"/>
                <w:lang w:val="en-US"/>
              </w:rPr>
              <w:t>57 (15.</w:t>
            </w:r>
            <w:r w:rsidR="005C05EA">
              <w:rPr>
                <w:color w:val="000000"/>
                <w:lang w:val="en-US"/>
              </w:rPr>
              <w:t>9</w:t>
            </w:r>
            <w:r w:rsidRPr="00AE758C">
              <w:rPr>
                <w:color w:val="000000"/>
                <w:lang w:val="en-US"/>
              </w:rPr>
              <w:t>%)</w:t>
            </w:r>
          </w:p>
        </w:tc>
        <w:tc>
          <w:tcPr>
            <w:tcW w:w="1233" w:type="pct"/>
            <w:tcBorders>
              <w:top w:val="nil"/>
              <w:bottom w:val="nil"/>
            </w:tcBorders>
            <w:vAlign w:val="center"/>
          </w:tcPr>
          <w:p w14:paraId="6D0DA367" w14:textId="77777777" w:rsidR="00324D24" w:rsidRPr="00B1011F" w:rsidRDefault="00324D24" w:rsidP="00262BAC">
            <w:pPr>
              <w:pStyle w:val="TableText0"/>
              <w:jc w:val="center"/>
            </w:pPr>
            <w:r w:rsidRPr="007F228A">
              <w:rPr>
                <w:b/>
              </w:rPr>
              <w:t xml:space="preserve">1.47 </w:t>
            </w:r>
            <w:r>
              <w:rPr>
                <w:b/>
              </w:rPr>
              <w:t>(</w:t>
            </w:r>
            <w:r w:rsidRPr="007F228A">
              <w:rPr>
                <w:b/>
              </w:rPr>
              <w:t>1.09, 1.99</w:t>
            </w:r>
            <w:r>
              <w:rPr>
                <w:b/>
              </w:rPr>
              <w:t>)</w:t>
            </w:r>
          </w:p>
        </w:tc>
      </w:tr>
      <w:tr w:rsidR="00324D24" w14:paraId="5ADBCB23" w14:textId="77777777" w:rsidTr="00262BAC">
        <w:trPr>
          <w:cantSplit/>
        </w:trPr>
        <w:tc>
          <w:tcPr>
            <w:tcW w:w="1727" w:type="pct"/>
            <w:tcBorders>
              <w:top w:val="nil"/>
              <w:left w:val="single" w:sz="4" w:space="0" w:color="auto"/>
              <w:bottom w:val="nil"/>
              <w:right w:val="single" w:sz="4" w:space="0" w:color="auto"/>
            </w:tcBorders>
            <w:vAlign w:val="center"/>
          </w:tcPr>
          <w:p w14:paraId="7ABCD668" w14:textId="77777777" w:rsidR="00324D24" w:rsidRPr="00C91F9E" w:rsidRDefault="00324D24" w:rsidP="00AF456E">
            <w:pPr>
              <w:pStyle w:val="TableText0"/>
              <w:numPr>
                <w:ilvl w:val="0"/>
                <w:numId w:val="9"/>
              </w:numPr>
              <w:rPr>
                <w:color w:val="000000"/>
                <w:lang w:val="en-US"/>
              </w:rPr>
            </w:pPr>
            <w:r w:rsidRPr="00AE758C">
              <w:rPr>
                <w:color w:val="000000"/>
                <w:lang w:val="en-US"/>
              </w:rPr>
              <w:t>Fatigue</w:t>
            </w:r>
          </w:p>
        </w:tc>
        <w:tc>
          <w:tcPr>
            <w:tcW w:w="1021" w:type="pct"/>
            <w:tcBorders>
              <w:top w:val="nil"/>
              <w:left w:val="single" w:sz="4" w:space="0" w:color="auto"/>
              <w:bottom w:val="nil"/>
              <w:right w:val="single" w:sz="4" w:space="0" w:color="auto"/>
            </w:tcBorders>
            <w:vAlign w:val="center"/>
          </w:tcPr>
          <w:p w14:paraId="397A3F3B" w14:textId="1A9D7E06" w:rsidR="00324D24" w:rsidRPr="00C91F9E" w:rsidRDefault="00324D24" w:rsidP="00262BAC">
            <w:pPr>
              <w:pStyle w:val="Tabletext"/>
              <w:jc w:val="center"/>
              <w:rPr>
                <w:rFonts w:eastAsiaTheme="majorEastAsia" w:cstheme="majorBidi"/>
                <w:bCs/>
                <w:snapToGrid/>
                <w:color w:val="000000"/>
                <w:lang w:val="en-US"/>
              </w:rPr>
            </w:pPr>
            <w:r w:rsidRPr="00C91F9E">
              <w:rPr>
                <w:rFonts w:eastAsiaTheme="majorEastAsia" w:cstheme="majorBidi"/>
                <w:bCs/>
                <w:snapToGrid/>
                <w:color w:val="000000"/>
                <w:lang w:val="en-US"/>
              </w:rPr>
              <w:t>82</w:t>
            </w:r>
            <w:r>
              <w:rPr>
                <w:rFonts w:eastAsiaTheme="majorEastAsia" w:cstheme="majorBidi"/>
                <w:bCs/>
                <w:snapToGrid/>
                <w:color w:val="000000"/>
                <w:lang w:val="en-US"/>
              </w:rPr>
              <w:t xml:space="preserve"> </w:t>
            </w:r>
            <w:r w:rsidRPr="00AE758C">
              <w:rPr>
                <w:color w:val="000000"/>
                <w:lang w:val="en-US"/>
              </w:rPr>
              <w:t>(23.1%)</w:t>
            </w:r>
          </w:p>
        </w:tc>
        <w:tc>
          <w:tcPr>
            <w:tcW w:w="1019" w:type="pct"/>
            <w:tcBorders>
              <w:top w:val="nil"/>
              <w:left w:val="single" w:sz="4" w:space="0" w:color="auto"/>
              <w:bottom w:val="nil"/>
              <w:right w:val="single" w:sz="4" w:space="0" w:color="auto"/>
            </w:tcBorders>
            <w:vAlign w:val="center"/>
          </w:tcPr>
          <w:p w14:paraId="21D88032" w14:textId="61706FAA" w:rsidR="00324D24" w:rsidRPr="00C91F9E" w:rsidRDefault="00324D24" w:rsidP="00262BAC">
            <w:pPr>
              <w:pStyle w:val="TableText0"/>
              <w:jc w:val="center"/>
              <w:rPr>
                <w:color w:val="000000"/>
                <w:lang w:val="en-US"/>
              </w:rPr>
            </w:pPr>
            <w:r w:rsidRPr="00AE758C">
              <w:rPr>
                <w:color w:val="000000"/>
                <w:lang w:val="en-US"/>
              </w:rPr>
              <w:t>46 (12.8%)</w:t>
            </w:r>
          </w:p>
        </w:tc>
        <w:tc>
          <w:tcPr>
            <w:tcW w:w="1233" w:type="pct"/>
            <w:tcBorders>
              <w:top w:val="nil"/>
              <w:bottom w:val="nil"/>
            </w:tcBorders>
            <w:vAlign w:val="center"/>
          </w:tcPr>
          <w:p w14:paraId="09BAB5C4" w14:textId="77777777" w:rsidR="00324D24" w:rsidRPr="00B1011F" w:rsidRDefault="00324D24" w:rsidP="00262BAC">
            <w:pPr>
              <w:pStyle w:val="TableText0"/>
              <w:jc w:val="center"/>
            </w:pPr>
            <w:r w:rsidRPr="007F228A">
              <w:rPr>
                <w:b/>
              </w:rPr>
              <w:t xml:space="preserve">1.80 </w:t>
            </w:r>
            <w:r>
              <w:rPr>
                <w:b/>
              </w:rPr>
              <w:t>(</w:t>
            </w:r>
            <w:r w:rsidRPr="007F228A">
              <w:rPr>
                <w:b/>
              </w:rPr>
              <w:t>1.30, 2.51</w:t>
            </w:r>
            <w:r>
              <w:rPr>
                <w:b/>
              </w:rPr>
              <w:t>)</w:t>
            </w:r>
          </w:p>
        </w:tc>
      </w:tr>
      <w:tr w:rsidR="00324D24" w14:paraId="3B0CE9C2" w14:textId="77777777" w:rsidTr="00262BAC">
        <w:trPr>
          <w:cantSplit/>
        </w:trPr>
        <w:tc>
          <w:tcPr>
            <w:tcW w:w="1727" w:type="pct"/>
            <w:tcBorders>
              <w:top w:val="nil"/>
              <w:left w:val="single" w:sz="4" w:space="0" w:color="auto"/>
              <w:bottom w:val="nil"/>
              <w:right w:val="single" w:sz="4" w:space="0" w:color="auto"/>
            </w:tcBorders>
            <w:vAlign w:val="center"/>
          </w:tcPr>
          <w:p w14:paraId="3D0CDAA0" w14:textId="77777777" w:rsidR="00324D24" w:rsidRPr="00C91F9E" w:rsidRDefault="00324D24" w:rsidP="00AF456E">
            <w:pPr>
              <w:pStyle w:val="TableText0"/>
              <w:numPr>
                <w:ilvl w:val="0"/>
                <w:numId w:val="9"/>
              </w:numPr>
              <w:rPr>
                <w:color w:val="000000"/>
                <w:lang w:val="en-US"/>
              </w:rPr>
            </w:pPr>
            <w:r w:rsidRPr="00AE758C">
              <w:rPr>
                <w:color w:val="000000"/>
                <w:lang w:val="en-US"/>
              </w:rPr>
              <w:t>Rash</w:t>
            </w:r>
          </w:p>
        </w:tc>
        <w:tc>
          <w:tcPr>
            <w:tcW w:w="1021" w:type="pct"/>
            <w:tcBorders>
              <w:top w:val="nil"/>
              <w:left w:val="single" w:sz="4" w:space="0" w:color="auto"/>
              <w:bottom w:val="nil"/>
              <w:right w:val="single" w:sz="4" w:space="0" w:color="auto"/>
            </w:tcBorders>
            <w:vAlign w:val="center"/>
          </w:tcPr>
          <w:p w14:paraId="312C0EF5" w14:textId="5F183722" w:rsidR="00324D24" w:rsidRPr="00C91F9E" w:rsidRDefault="00324D24" w:rsidP="00262BAC">
            <w:pPr>
              <w:pStyle w:val="Tabletext"/>
              <w:jc w:val="center"/>
              <w:rPr>
                <w:color w:val="000000"/>
                <w:lang w:val="en-US"/>
              </w:rPr>
            </w:pPr>
            <w:r w:rsidRPr="00C91F9E">
              <w:rPr>
                <w:rFonts w:eastAsiaTheme="majorEastAsia" w:cstheme="majorBidi"/>
                <w:bCs/>
                <w:snapToGrid/>
                <w:color w:val="000000"/>
                <w:lang w:val="en-US"/>
              </w:rPr>
              <w:t>55</w:t>
            </w:r>
            <w:r>
              <w:rPr>
                <w:rFonts w:eastAsiaTheme="majorEastAsia" w:cstheme="majorBidi"/>
                <w:bCs/>
                <w:snapToGrid/>
                <w:color w:val="000000"/>
                <w:lang w:val="en-US"/>
              </w:rPr>
              <w:t xml:space="preserve"> </w:t>
            </w:r>
            <w:r w:rsidRPr="00AE758C">
              <w:rPr>
                <w:color w:val="000000"/>
                <w:lang w:val="en-US"/>
              </w:rPr>
              <w:t>(15.</w:t>
            </w:r>
            <w:r w:rsidR="000C35D4">
              <w:rPr>
                <w:color w:val="000000"/>
                <w:lang w:val="en-US"/>
              </w:rPr>
              <w:t>5</w:t>
            </w:r>
            <w:r w:rsidRPr="00AE758C">
              <w:rPr>
                <w:color w:val="000000"/>
                <w:lang w:val="en-US"/>
              </w:rPr>
              <w:t>%)</w:t>
            </w:r>
          </w:p>
        </w:tc>
        <w:tc>
          <w:tcPr>
            <w:tcW w:w="1019" w:type="pct"/>
            <w:tcBorders>
              <w:top w:val="nil"/>
              <w:left w:val="single" w:sz="4" w:space="0" w:color="auto"/>
              <w:bottom w:val="nil"/>
              <w:right w:val="single" w:sz="4" w:space="0" w:color="auto"/>
            </w:tcBorders>
            <w:vAlign w:val="center"/>
          </w:tcPr>
          <w:p w14:paraId="024696E3" w14:textId="36B20808" w:rsidR="00324D24" w:rsidRPr="00C91F9E" w:rsidRDefault="00324D24" w:rsidP="00262BAC">
            <w:pPr>
              <w:pStyle w:val="TableText0"/>
              <w:jc w:val="center"/>
              <w:rPr>
                <w:color w:val="000000"/>
                <w:lang w:val="en-US"/>
              </w:rPr>
            </w:pPr>
            <w:r w:rsidRPr="00AE758C">
              <w:rPr>
                <w:color w:val="000000"/>
                <w:lang w:val="en-US"/>
              </w:rPr>
              <w:t>43 (1</w:t>
            </w:r>
            <w:r w:rsidR="005C05EA">
              <w:rPr>
                <w:color w:val="000000"/>
                <w:lang w:val="en-US"/>
              </w:rPr>
              <w:t>2.0</w:t>
            </w:r>
            <w:r w:rsidRPr="00AE758C">
              <w:rPr>
                <w:color w:val="000000"/>
                <w:lang w:val="en-US"/>
              </w:rPr>
              <w:t>%)</w:t>
            </w:r>
          </w:p>
        </w:tc>
        <w:tc>
          <w:tcPr>
            <w:tcW w:w="1233" w:type="pct"/>
            <w:tcBorders>
              <w:top w:val="nil"/>
              <w:bottom w:val="nil"/>
            </w:tcBorders>
            <w:vAlign w:val="center"/>
          </w:tcPr>
          <w:p w14:paraId="691739AF" w14:textId="77777777" w:rsidR="00324D24" w:rsidRPr="00B1011F" w:rsidRDefault="00324D24" w:rsidP="00262BAC">
            <w:pPr>
              <w:pStyle w:val="TableText0"/>
              <w:jc w:val="center"/>
            </w:pPr>
            <w:r w:rsidRPr="007F228A">
              <w:t>1.29</w:t>
            </w:r>
            <w:r>
              <w:t xml:space="preserve"> (</w:t>
            </w:r>
            <w:r w:rsidRPr="007F228A">
              <w:t>0.89, 1.87</w:t>
            </w:r>
            <w:r>
              <w:t>)</w:t>
            </w:r>
          </w:p>
        </w:tc>
      </w:tr>
      <w:tr w:rsidR="00324D24" w14:paraId="4859348C" w14:textId="77777777" w:rsidTr="00262BAC">
        <w:trPr>
          <w:cantSplit/>
        </w:trPr>
        <w:tc>
          <w:tcPr>
            <w:tcW w:w="1727" w:type="pct"/>
            <w:tcBorders>
              <w:top w:val="nil"/>
              <w:left w:val="single" w:sz="4" w:space="0" w:color="auto"/>
              <w:bottom w:val="nil"/>
              <w:right w:val="single" w:sz="4" w:space="0" w:color="auto"/>
            </w:tcBorders>
            <w:vAlign w:val="center"/>
          </w:tcPr>
          <w:p w14:paraId="797099A1" w14:textId="77777777" w:rsidR="00324D24" w:rsidRPr="00C91F9E" w:rsidRDefault="00324D24" w:rsidP="00AF456E">
            <w:pPr>
              <w:pStyle w:val="TableText0"/>
              <w:numPr>
                <w:ilvl w:val="0"/>
                <w:numId w:val="9"/>
              </w:numPr>
              <w:rPr>
                <w:color w:val="000000"/>
                <w:lang w:val="en-US"/>
              </w:rPr>
            </w:pPr>
            <w:r w:rsidRPr="00AE758C">
              <w:rPr>
                <w:color w:val="000000"/>
                <w:lang w:val="en-US"/>
              </w:rPr>
              <w:t>Arthralgia</w:t>
            </w:r>
          </w:p>
        </w:tc>
        <w:tc>
          <w:tcPr>
            <w:tcW w:w="1021" w:type="pct"/>
            <w:tcBorders>
              <w:top w:val="nil"/>
              <w:left w:val="single" w:sz="4" w:space="0" w:color="auto"/>
              <w:bottom w:val="nil"/>
              <w:right w:val="single" w:sz="4" w:space="0" w:color="auto"/>
            </w:tcBorders>
            <w:vAlign w:val="center"/>
          </w:tcPr>
          <w:p w14:paraId="6FC2B3BD" w14:textId="7FAA2056" w:rsidR="00324D24" w:rsidRPr="00C91F9E" w:rsidRDefault="00324D24" w:rsidP="00262BAC">
            <w:pPr>
              <w:pStyle w:val="Tabletext"/>
              <w:jc w:val="center"/>
              <w:rPr>
                <w:color w:val="000000"/>
                <w:lang w:val="en-US"/>
              </w:rPr>
            </w:pPr>
            <w:r w:rsidRPr="00C91F9E">
              <w:rPr>
                <w:rFonts w:eastAsiaTheme="majorEastAsia" w:cstheme="majorBidi"/>
                <w:bCs/>
                <w:snapToGrid/>
                <w:color w:val="000000"/>
                <w:lang w:val="en-US"/>
              </w:rPr>
              <w:t>51</w:t>
            </w:r>
            <w:r>
              <w:rPr>
                <w:rFonts w:eastAsiaTheme="majorEastAsia" w:cstheme="majorBidi"/>
                <w:bCs/>
                <w:snapToGrid/>
                <w:color w:val="000000"/>
                <w:lang w:val="en-US"/>
              </w:rPr>
              <w:t xml:space="preserve"> </w:t>
            </w:r>
            <w:r w:rsidRPr="00AE758C">
              <w:rPr>
                <w:color w:val="000000"/>
                <w:lang w:val="en-US"/>
              </w:rPr>
              <w:t>(14.</w:t>
            </w:r>
            <w:r w:rsidR="000C35D4">
              <w:rPr>
                <w:color w:val="000000"/>
                <w:lang w:val="en-US"/>
              </w:rPr>
              <w:t>4</w:t>
            </w:r>
            <w:r w:rsidRPr="00AE758C">
              <w:rPr>
                <w:color w:val="000000"/>
                <w:lang w:val="en-US"/>
              </w:rPr>
              <w:t>%)</w:t>
            </w:r>
          </w:p>
        </w:tc>
        <w:tc>
          <w:tcPr>
            <w:tcW w:w="1019" w:type="pct"/>
            <w:tcBorders>
              <w:top w:val="nil"/>
              <w:left w:val="single" w:sz="4" w:space="0" w:color="auto"/>
              <w:bottom w:val="nil"/>
              <w:right w:val="single" w:sz="4" w:space="0" w:color="auto"/>
            </w:tcBorders>
            <w:vAlign w:val="center"/>
          </w:tcPr>
          <w:p w14:paraId="1B765C6A" w14:textId="66EAF50B" w:rsidR="00324D24" w:rsidRPr="00C91F9E" w:rsidRDefault="00324D24" w:rsidP="00262BAC">
            <w:pPr>
              <w:pStyle w:val="TableText0"/>
              <w:jc w:val="center"/>
              <w:rPr>
                <w:color w:val="000000"/>
                <w:lang w:val="en-US"/>
              </w:rPr>
            </w:pPr>
            <w:r w:rsidRPr="00AE758C">
              <w:rPr>
                <w:color w:val="000000"/>
                <w:lang w:val="en-US"/>
              </w:rPr>
              <w:t>26 (7.2%)</w:t>
            </w:r>
          </w:p>
        </w:tc>
        <w:tc>
          <w:tcPr>
            <w:tcW w:w="1233" w:type="pct"/>
            <w:tcBorders>
              <w:top w:val="nil"/>
              <w:bottom w:val="nil"/>
            </w:tcBorders>
            <w:vAlign w:val="center"/>
          </w:tcPr>
          <w:p w14:paraId="26C400A3" w14:textId="77777777" w:rsidR="00324D24" w:rsidRPr="00B1011F" w:rsidRDefault="00324D24" w:rsidP="00262BAC">
            <w:pPr>
              <w:pStyle w:val="TableText0"/>
              <w:jc w:val="center"/>
            </w:pPr>
            <w:r w:rsidRPr="007F228A">
              <w:rPr>
                <w:b/>
              </w:rPr>
              <w:t xml:space="preserve">1.98 </w:t>
            </w:r>
            <w:r>
              <w:rPr>
                <w:b/>
              </w:rPr>
              <w:t>(</w:t>
            </w:r>
            <w:r w:rsidRPr="007F228A">
              <w:rPr>
                <w:b/>
              </w:rPr>
              <w:t>1.27, 3.11</w:t>
            </w:r>
            <w:r>
              <w:rPr>
                <w:b/>
              </w:rPr>
              <w:t>)</w:t>
            </w:r>
          </w:p>
        </w:tc>
      </w:tr>
      <w:tr w:rsidR="00324D24" w14:paraId="670D56F1" w14:textId="77777777" w:rsidTr="00262BAC">
        <w:trPr>
          <w:cantSplit/>
        </w:trPr>
        <w:tc>
          <w:tcPr>
            <w:tcW w:w="1727" w:type="pct"/>
            <w:tcBorders>
              <w:top w:val="nil"/>
              <w:left w:val="single" w:sz="4" w:space="0" w:color="auto"/>
              <w:bottom w:val="nil"/>
              <w:right w:val="single" w:sz="4" w:space="0" w:color="auto"/>
            </w:tcBorders>
            <w:vAlign w:val="center"/>
          </w:tcPr>
          <w:p w14:paraId="2141B5B4" w14:textId="77777777" w:rsidR="00324D24" w:rsidRPr="00C91F9E" w:rsidRDefault="00324D24" w:rsidP="00AF456E">
            <w:pPr>
              <w:pStyle w:val="TableText0"/>
              <w:numPr>
                <w:ilvl w:val="0"/>
                <w:numId w:val="9"/>
              </w:numPr>
              <w:rPr>
                <w:color w:val="000000"/>
                <w:lang w:val="en-US"/>
              </w:rPr>
            </w:pPr>
            <w:r w:rsidRPr="00AE758C">
              <w:rPr>
                <w:color w:val="000000"/>
                <w:lang w:val="en-US"/>
              </w:rPr>
              <w:t>Hypothyroidism</w:t>
            </w:r>
          </w:p>
        </w:tc>
        <w:tc>
          <w:tcPr>
            <w:tcW w:w="1021" w:type="pct"/>
            <w:tcBorders>
              <w:top w:val="nil"/>
              <w:left w:val="single" w:sz="4" w:space="0" w:color="auto"/>
              <w:bottom w:val="nil"/>
              <w:right w:val="single" w:sz="4" w:space="0" w:color="auto"/>
            </w:tcBorders>
            <w:vAlign w:val="center"/>
          </w:tcPr>
          <w:p w14:paraId="70E481DF" w14:textId="0CDDF522" w:rsidR="00324D24" w:rsidRPr="00C91F9E" w:rsidRDefault="00324D24" w:rsidP="00262BAC">
            <w:pPr>
              <w:pStyle w:val="Tabletext"/>
              <w:jc w:val="center"/>
              <w:rPr>
                <w:color w:val="000000"/>
                <w:lang w:val="en-US"/>
              </w:rPr>
            </w:pPr>
            <w:r w:rsidRPr="00C91F9E">
              <w:rPr>
                <w:rFonts w:eastAsiaTheme="majorEastAsia" w:cstheme="majorBidi"/>
                <w:bCs/>
                <w:snapToGrid/>
                <w:color w:val="000000"/>
                <w:lang w:val="en-US"/>
              </w:rPr>
              <w:t>51</w:t>
            </w:r>
            <w:r>
              <w:rPr>
                <w:rFonts w:eastAsiaTheme="majorEastAsia" w:cstheme="majorBidi"/>
                <w:bCs/>
                <w:snapToGrid/>
                <w:color w:val="000000"/>
                <w:lang w:val="en-US"/>
              </w:rPr>
              <w:t xml:space="preserve"> </w:t>
            </w:r>
            <w:r w:rsidRPr="00AE758C">
              <w:rPr>
                <w:color w:val="000000"/>
                <w:lang w:val="en-US"/>
              </w:rPr>
              <w:t>(14.</w:t>
            </w:r>
            <w:r w:rsidR="000C35D4">
              <w:rPr>
                <w:color w:val="000000"/>
                <w:lang w:val="en-US"/>
              </w:rPr>
              <w:t>4</w:t>
            </w:r>
            <w:r w:rsidRPr="00AE758C">
              <w:rPr>
                <w:color w:val="000000"/>
                <w:lang w:val="en-US"/>
              </w:rPr>
              <w:t>%)</w:t>
            </w:r>
          </w:p>
        </w:tc>
        <w:tc>
          <w:tcPr>
            <w:tcW w:w="1019" w:type="pct"/>
            <w:tcBorders>
              <w:top w:val="nil"/>
              <w:left w:val="single" w:sz="4" w:space="0" w:color="auto"/>
              <w:bottom w:val="nil"/>
              <w:right w:val="single" w:sz="4" w:space="0" w:color="auto"/>
            </w:tcBorders>
            <w:vAlign w:val="center"/>
          </w:tcPr>
          <w:p w14:paraId="09572CCB" w14:textId="6F7BE5C3" w:rsidR="00324D24" w:rsidRPr="00C91F9E" w:rsidRDefault="00324D24" w:rsidP="00262BAC">
            <w:pPr>
              <w:pStyle w:val="TableText0"/>
              <w:jc w:val="center"/>
              <w:rPr>
                <w:color w:val="000000"/>
                <w:lang w:val="en-US"/>
              </w:rPr>
            </w:pPr>
            <w:r w:rsidRPr="00AE758C">
              <w:rPr>
                <w:color w:val="000000"/>
                <w:lang w:val="en-US"/>
              </w:rPr>
              <w:t>43 (1</w:t>
            </w:r>
            <w:r w:rsidR="005C05EA">
              <w:rPr>
                <w:color w:val="000000"/>
                <w:lang w:val="en-US"/>
              </w:rPr>
              <w:t>2.0</w:t>
            </w:r>
            <w:r w:rsidRPr="00AE758C">
              <w:rPr>
                <w:color w:val="000000"/>
                <w:lang w:val="en-US"/>
              </w:rPr>
              <w:t>%)</w:t>
            </w:r>
          </w:p>
        </w:tc>
        <w:tc>
          <w:tcPr>
            <w:tcW w:w="1233" w:type="pct"/>
            <w:tcBorders>
              <w:top w:val="nil"/>
              <w:bottom w:val="nil"/>
            </w:tcBorders>
            <w:vAlign w:val="center"/>
          </w:tcPr>
          <w:p w14:paraId="705E270F" w14:textId="77777777" w:rsidR="00324D24" w:rsidRPr="00B1011F" w:rsidRDefault="00324D24" w:rsidP="00262BAC">
            <w:pPr>
              <w:pStyle w:val="TableText0"/>
              <w:jc w:val="center"/>
            </w:pPr>
            <w:r w:rsidRPr="007F228A">
              <w:t>1.20</w:t>
            </w:r>
            <w:r>
              <w:t xml:space="preserve"> (</w:t>
            </w:r>
            <w:r w:rsidRPr="007F228A">
              <w:t>0.82, 1.75</w:t>
            </w:r>
            <w:r>
              <w:t>)</w:t>
            </w:r>
          </w:p>
        </w:tc>
      </w:tr>
      <w:tr w:rsidR="00324D24" w14:paraId="228D9938" w14:textId="77777777" w:rsidTr="00262BAC">
        <w:trPr>
          <w:cantSplit/>
        </w:trPr>
        <w:tc>
          <w:tcPr>
            <w:tcW w:w="1727" w:type="pct"/>
            <w:tcBorders>
              <w:top w:val="nil"/>
              <w:left w:val="single" w:sz="4" w:space="0" w:color="auto"/>
              <w:bottom w:val="single" w:sz="4" w:space="0" w:color="auto"/>
              <w:right w:val="single" w:sz="4" w:space="0" w:color="auto"/>
            </w:tcBorders>
            <w:vAlign w:val="center"/>
          </w:tcPr>
          <w:p w14:paraId="05CD5C5B" w14:textId="77777777" w:rsidR="00324D24" w:rsidRPr="00C91F9E" w:rsidRDefault="00324D24" w:rsidP="00AF456E">
            <w:pPr>
              <w:pStyle w:val="TableText0"/>
              <w:numPr>
                <w:ilvl w:val="0"/>
                <w:numId w:val="9"/>
              </w:numPr>
              <w:rPr>
                <w:color w:val="000000"/>
                <w:lang w:val="en-US"/>
              </w:rPr>
            </w:pPr>
            <w:r w:rsidRPr="00AE758C">
              <w:rPr>
                <w:color w:val="000000"/>
                <w:lang w:val="en-US"/>
              </w:rPr>
              <w:t>Diarrhoea</w:t>
            </w:r>
          </w:p>
        </w:tc>
        <w:tc>
          <w:tcPr>
            <w:tcW w:w="1021" w:type="pct"/>
            <w:tcBorders>
              <w:top w:val="nil"/>
              <w:left w:val="single" w:sz="4" w:space="0" w:color="auto"/>
              <w:bottom w:val="single" w:sz="4" w:space="0" w:color="auto"/>
              <w:right w:val="single" w:sz="4" w:space="0" w:color="auto"/>
            </w:tcBorders>
            <w:vAlign w:val="center"/>
          </w:tcPr>
          <w:p w14:paraId="325CCBC0" w14:textId="3A11D213" w:rsidR="00324D24" w:rsidRPr="00C91F9E" w:rsidRDefault="00324D24" w:rsidP="00262BAC">
            <w:pPr>
              <w:pStyle w:val="Tabletext"/>
              <w:jc w:val="center"/>
              <w:rPr>
                <w:color w:val="000000"/>
                <w:lang w:val="en-US"/>
              </w:rPr>
            </w:pPr>
            <w:r w:rsidRPr="00C91F9E">
              <w:rPr>
                <w:rFonts w:eastAsiaTheme="majorEastAsia" w:cstheme="majorBidi"/>
                <w:bCs/>
                <w:snapToGrid/>
                <w:color w:val="000000"/>
                <w:lang w:val="en-US"/>
              </w:rPr>
              <w:t>48</w:t>
            </w:r>
            <w:r>
              <w:rPr>
                <w:rFonts w:eastAsiaTheme="majorEastAsia" w:cstheme="majorBidi"/>
                <w:bCs/>
                <w:snapToGrid/>
                <w:color w:val="000000"/>
                <w:lang w:val="en-US"/>
              </w:rPr>
              <w:t xml:space="preserve"> </w:t>
            </w:r>
            <w:r w:rsidRPr="00AE758C">
              <w:rPr>
                <w:color w:val="000000"/>
                <w:lang w:val="en-US"/>
              </w:rPr>
              <w:t>(13.5%)</w:t>
            </w:r>
          </w:p>
        </w:tc>
        <w:tc>
          <w:tcPr>
            <w:tcW w:w="1019" w:type="pct"/>
            <w:tcBorders>
              <w:top w:val="nil"/>
              <w:left w:val="single" w:sz="4" w:space="0" w:color="auto"/>
              <w:bottom w:val="single" w:sz="4" w:space="0" w:color="auto"/>
              <w:right w:val="single" w:sz="4" w:space="0" w:color="auto"/>
            </w:tcBorders>
            <w:vAlign w:val="center"/>
          </w:tcPr>
          <w:p w14:paraId="2D016389" w14:textId="108B3E26" w:rsidR="00324D24" w:rsidRPr="00C91F9E" w:rsidRDefault="00324D24" w:rsidP="00262BAC">
            <w:pPr>
              <w:pStyle w:val="TableText0"/>
              <w:jc w:val="center"/>
              <w:rPr>
                <w:color w:val="000000"/>
                <w:lang w:val="en-US"/>
              </w:rPr>
            </w:pPr>
            <w:r w:rsidRPr="00AE758C">
              <w:rPr>
                <w:color w:val="000000"/>
                <w:lang w:val="en-US"/>
              </w:rPr>
              <w:t>33 (9.</w:t>
            </w:r>
            <w:r w:rsidR="005C05EA">
              <w:rPr>
                <w:color w:val="000000"/>
                <w:lang w:val="en-US"/>
              </w:rPr>
              <w:t>2</w:t>
            </w:r>
            <w:r w:rsidRPr="00AE758C">
              <w:rPr>
                <w:color w:val="000000"/>
                <w:lang w:val="en-US"/>
              </w:rPr>
              <w:t>%)</w:t>
            </w:r>
          </w:p>
        </w:tc>
        <w:tc>
          <w:tcPr>
            <w:tcW w:w="1233" w:type="pct"/>
            <w:tcBorders>
              <w:top w:val="nil"/>
            </w:tcBorders>
            <w:vAlign w:val="center"/>
          </w:tcPr>
          <w:p w14:paraId="29544FFE" w14:textId="77777777" w:rsidR="00324D24" w:rsidRPr="00B1011F" w:rsidRDefault="00324D24" w:rsidP="00262BAC">
            <w:pPr>
              <w:pStyle w:val="TableText0"/>
              <w:jc w:val="center"/>
            </w:pPr>
            <w:r w:rsidRPr="007F228A">
              <w:t>1.47</w:t>
            </w:r>
            <w:r>
              <w:t xml:space="preserve"> (</w:t>
            </w:r>
            <w:r w:rsidRPr="007F228A">
              <w:t>0.97, 2.23</w:t>
            </w:r>
            <w:r>
              <w:t>)</w:t>
            </w:r>
          </w:p>
        </w:tc>
      </w:tr>
      <w:tr w:rsidR="00324D24" w14:paraId="575AE3C8" w14:textId="77777777" w:rsidTr="00262BAC">
        <w:trPr>
          <w:cantSplit/>
        </w:trPr>
        <w:tc>
          <w:tcPr>
            <w:tcW w:w="1727" w:type="pct"/>
            <w:tcBorders>
              <w:top w:val="nil"/>
              <w:left w:val="single" w:sz="4" w:space="0" w:color="auto"/>
              <w:bottom w:val="single" w:sz="4" w:space="0" w:color="auto"/>
              <w:right w:val="single" w:sz="4" w:space="0" w:color="auto"/>
            </w:tcBorders>
            <w:vAlign w:val="center"/>
          </w:tcPr>
          <w:p w14:paraId="2D3BB9EF" w14:textId="77777777" w:rsidR="00324D24" w:rsidRPr="00C91F9E" w:rsidRDefault="00324D24" w:rsidP="00262BAC">
            <w:pPr>
              <w:pStyle w:val="TableText0"/>
              <w:rPr>
                <w:b/>
                <w:bCs w:val="0"/>
                <w:color w:val="000000"/>
                <w:lang w:val="en-US"/>
              </w:rPr>
            </w:pPr>
            <w:r>
              <w:rPr>
                <w:b/>
                <w:bCs w:val="0"/>
              </w:rPr>
              <w:t>CA209067</w:t>
            </w:r>
          </w:p>
        </w:tc>
        <w:tc>
          <w:tcPr>
            <w:tcW w:w="1021" w:type="pct"/>
            <w:tcBorders>
              <w:top w:val="single" w:sz="4" w:space="0" w:color="auto"/>
              <w:left w:val="single" w:sz="4" w:space="0" w:color="auto"/>
              <w:bottom w:val="nil"/>
              <w:right w:val="single" w:sz="4" w:space="0" w:color="auto"/>
            </w:tcBorders>
            <w:vAlign w:val="center"/>
          </w:tcPr>
          <w:p w14:paraId="6758CF54" w14:textId="77777777" w:rsidR="00324D24" w:rsidRDefault="00324D24" w:rsidP="00262BAC">
            <w:pPr>
              <w:pStyle w:val="Tabletext"/>
              <w:jc w:val="center"/>
              <w:rPr>
                <w:b/>
              </w:rPr>
            </w:pPr>
            <w:r>
              <w:rPr>
                <w:b/>
              </w:rPr>
              <w:t>NIVO+IPI</w:t>
            </w:r>
          </w:p>
          <w:p w14:paraId="5516AA9F" w14:textId="77777777" w:rsidR="00324D24" w:rsidRPr="00C91F9E" w:rsidRDefault="00324D24" w:rsidP="00262BAC">
            <w:pPr>
              <w:pStyle w:val="Tabletext"/>
              <w:jc w:val="center"/>
              <w:rPr>
                <w:rFonts w:eastAsiaTheme="majorEastAsia" w:cstheme="majorBidi"/>
                <w:b/>
                <w:snapToGrid/>
                <w:color w:val="000000"/>
                <w:lang w:val="en-US"/>
              </w:rPr>
            </w:pPr>
            <w:r w:rsidRPr="00CC5A41">
              <w:rPr>
                <w:rFonts w:eastAsiaTheme="majorEastAsia" w:cstheme="majorBidi"/>
                <w:b/>
                <w:snapToGrid/>
                <w:color w:val="000000"/>
                <w:lang w:val="en-US"/>
              </w:rPr>
              <w:t>N=313</w:t>
            </w:r>
            <w:r>
              <w:rPr>
                <w:rFonts w:eastAsiaTheme="majorEastAsia" w:cstheme="majorBidi"/>
                <w:b/>
                <w:snapToGrid/>
                <w:color w:val="000000"/>
                <w:lang w:val="en-US"/>
              </w:rPr>
              <w:t xml:space="preserve">, </w:t>
            </w:r>
            <w:r w:rsidRPr="00CC5A41">
              <w:rPr>
                <w:rFonts w:eastAsiaTheme="majorEastAsia" w:cstheme="majorBidi"/>
                <w:b/>
                <w:snapToGrid/>
                <w:color w:val="000000"/>
                <w:lang w:val="en-US"/>
              </w:rPr>
              <w:t>n (%)</w:t>
            </w:r>
          </w:p>
        </w:tc>
        <w:tc>
          <w:tcPr>
            <w:tcW w:w="1019" w:type="pct"/>
            <w:tcBorders>
              <w:top w:val="single" w:sz="4" w:space="0" w:color="auto"/>
              <w:left w:val="single" w:sz="4" w:space="0" w:color="auto"/>
              <w:bottom w:val="nil"/>
              <w:right w:val="single" w:sz="4" w:space="0" w:color="auto"/>
            </w:tcBorders>
            <w:vAlign w:val="center"/>
          </w:tcPr>
          <w:p w14:paraId="619C7F2F" w14:textId="77777777" w:rsidR="00324D24" w:rsidRDefault="00324D24" w:rsidP="00262BAC">
            <w:pPr>
              <w:pStyle w:val="TableText0"/>
              <w:jc w:val="center"/>
              <w:rPr>
                <w:b/>
              </w:rPr>
            </w:pPr>
            <w:r>
              <w:rPr>
                <w:b/>
              </w:rPr>
              <w:t xml:space="preserve">Nivolumab </w:t>
            </w:r>
          </w:p>
          <w:p w14:paraId="4BC81DB8" w14:textId="77777777" w:rsidR="00324D24" w:rsidRPr="00C91F9E" w:rsidRDefault="00324D24" w:rsidP="00262BAC">
            <w:pPr>
              <w:pStyle w:val="Tabletext"/>
              <w:jc w:val="center"/>
              <w:rPr>
                <w:b/>
                <w:color w:val="000000"/>
                <w:lang w:val="en-US"/>
              </w:rPr>
            </w:pPr>
            <w:r w:rsidRPr="00CC5A41">
              <w:rPr>
                <w:rFonts w:eastAsiaTheme="majorEastAsia" w:cstheme="majorBidi"/>
                <w:b/>
                <w:snapToGrid/>
                <w:color w:val="000000"/>
                <w:lang w:val="en-US"/>
              </w:rPr>
              <w:t>N=313</w:t>
            </w:r>
            <w:r>
              <w:rPr>
                <w:rFonts w:eastAsiaTheme="majorEastAsia" w:cstheme="majorBidi"/>
                <w:b/>
                <w:snapToGrid/>
                <w:color w:val="000000"/>
                <w:lang w:val="en-US"/>
              </w:rPr>
              <w:t xml:space="preserve">, </w:t>
            </w:r>
            <w:r w:rsidRPr="00CC5A41">
              <w:rPr>
                <w:rFonts w:eastAsiaTheme="majorEastAsia" w:cstheme="majorBidi"/>
                <w:b/>
                <w:snapToGrid/>
                <w:color w:val="000000"/>
                <w:lang w:val="en-US"/>
              </w:rPr>
              <w:t>n (%)</w:t>
            </w:r>
          </w:p>
        </w:tc>
        <w:tc>
          <w:tcPr>
            <w:tcW w:w="1233" w:type="pct"/>
            <w:tcBorders>
              <w:top w:val="nil"/>
            </w:tcBorders>
            <w:vAlign w:val="center"/>
          </w:tcPr>
          <w:p w14:paraId="5728E80B" w14:textId="77777777" w:rsidR="00324D24" w:rsidRPr="00C91F9E" w:rsidRDefault="00324D24" w:rsidP="00262BAC">
            <w:pPr>
              <w:pStyle w:val="TableText0"/>
              <w:jc w:val="center"/>
              <w:rPr>
                <w:b/>
                <w:bCs w:val="0"/>
              </w:rPr>
            </w:pPr>
            <w:r w:rsidRPr="00C91F9E">
              <w:rPr>
                <w:b/>
                <w:bCs w:val="0"/>
              </w:rPr>
              <w:t>RR (95% CI)</w:t>
            </w:r>
          </w:p>
        </w:tc>
      </w:tr>
      <w:tr w:rsidR="00324D24" w14:paraId="0D9B9A3B" w14:textId="77777777" w:rsidTr="00262BAC">
        <w:trPr>
          <w:cantSplit/>
        </w:trPr>
        <w:tc>
          <w:tcPr>
            <w:tcW w:w="1727" w:type="pct"/>
            <w:vAlign w:val="center"/>
          </w:tcPr>
          <w:p w14:paraId="54E15E2D" w14:textId="77777777" w:rsidR="00324D24" w:rsidRDefault="00324D24" w:rsidP="00262BAC">
            <w:pPr>
              <w:pStyle w:val="TableText0"/>
              <w:rPr>
                <w:color w:val="000000"/>
                <w:lang w:val="en-US"/>
              </w:rPr>
            </w:pPr>
            <w:r>
              <w:rPr>
                <w:color w:val="000000"/>
                <w:lang w:val="en-US"/>
              </w:rPr>
              <w:t>Any cause severe AE (Grade ≥3)</w:t>
            </w:r>
          </w:p>
        </w:tc>
        <w:tc>
          <w:tcPr>
            <w:tcW w:w="1021" w:type="pct"/>
            <w:vAlign w:val="center"/>
          </w:tcPr>
          <w:p w14:paraId="64E6BB1D" w14:textId="3ACCE52E" w:rsidR="00324D24" w:rsidRPr="00116CE8" w:rsidRDefault="00324D24" w:rsidP="00262BAC">
            <w:pPr>
              <w:pStyle w:val="TableText0"/>
              <w:jc w:val="center"/>
              <w:rPr>
                <w:color w:val="000000"/>
                <w:lang w:val="en-US"/>
              </w:rPr>
            </w:pPr>
            <w:r w:rsidRPr="00116CE8">
              <w:rPr>
                <w:color w:val="000000"/>
                <w:lang w:val="en-US"/>
              </w:rPr>
              <w:t>215 (68.</w:t>
            </w:r>
            <w:r w:rsidR="000C35D4">
              <w:rPr>
                <w:color w:val="000000"/>
                <w:lang w:val="en-US"/>
              </w:rPr>
              <w:t>7</w:t>
            </w:r>
            <w:r w:rsidRPr="00116CE8">
              <w:rPr>
                <w:color w:val="000000"/>
                <w:lang w:val="en-US"/>
              </w:rPr>
              <w:t>%)</w:t>
            </w:r>
          </w:p>
        </w:tc>
        <w:tc>
          <w:tcPr>
            <w:tcW w:w="1019" w:type="pct"/>
            <w:vAlign w:val="center"/>
          </w:tcPr>
          <w:p w14:paraId="02A52E6A" w14:textId="48DBFEFD" w:rsidR="00324D24" w:rsidRPr="00116CE8" w:rsidRDefault="00324D24" w:rsidP="00262BAC">
            <w:pPr>
              <w:pStyle w:val="TableText0"/>
              <w:jc w:val="center"/>
              <w:rPr>
                <w:color w:val="000000"/>
                <w:lang w:val="en-US"/>
              </w:rPr>
            </w:pPr>
            <w:r w:rsidRPr="00116CE8">
              <w:rPr>
                <w:color w:val="000000"/>
                <w:lang w:val="en-US"/>
              </w:rPr>
              <w:t>136 (43.5%)</w:t>
            </w:r>
          </w:p>
        </w:tc>
        <w:tc>
          <w:tcPr>
            <w:tcW w:w="1233" w:type="pct"/>
            <w:vAlign w:val="center"/>
          </w:tcPr>
          <w:p w14:paraId="15F25B0C" w14:textId="77777777" w:rsidR="00324D24" w:rsidRPr="00B1011F" w:rsidRDefault="00324D24" w:rsidP="00262BAC">
            <w:pPr>
              <w:pStyle w:val="TableText0"/>
              <w:jc w:val="center"/>
            </w:pPr>
            <w:r>
              <w:rPr>
                <w:b/>
              </w:rPr>
              <w:t>1.58 (1.36, 1.83)</w:t>
            </w:r>
          </w:p>
        </w:tc>
      </w:tr>
      <w:tr w:rsidR="00324D24" w14:paraId="0E525930" w14:textId="77777777" w:rsidTr="00262BAC">
        <w:trPr>
          <w:cantSplit/>
        </w:trPr>
        <w:tc>
          <w:tcPr>
            <w:tcW w:w="1727" w:type="pct"/>
            <w:vAlign w:val="center"/>
          </w:tcPr>
          <w:p w14:paraId="25787CC3" w14:textId="77777777" w:rsidR="00324D24" w:rsidRPr="00116CE8" w:rsidRDefault="00324D24" w:rsidP="00262BAC">
            <w:pPr>
              <w:pStyle w:val="TableText0"/>
              <w:rPr>
                <w:color w:val="000000"/>
                <w:lang w:val="en-US"/>
              </w:rPr>
            </w:pPr>
            <w:r>
              <w:rPr>
                <w:color w:val="000000"/>
                <w:lang w:val="en-US"/>
              </w:rPr>
              <w:t>AE leading to discontinuation</w:t>
            </w:r>
          </w:p>
        </w:tc>
        <w:tc>
          <w:tcPr>
            <w:tcW w:w="1021" w:type="pct"/>
          </w:tcPr>
          <w:p w14:paraId="1A570894" w14:textId="6180F41E" w:rsidR="00324D24" w:rsidRPr="00116CE8" w:rsidRDefault="00324D24" w:rsidP="00262BAC">
            <w:pPr>
              <w:pStyle w:val="TableText0"/>
              <w:jc w:val="center"/>
              <w:rPr>
                <w:color w:val="000000"/>
                <w:lang w:val="en-US"/>
              </w:rPr>
            </w:pPr>
            <w:r w:rsidRPr="00116CE8">
              <w:rPr>
                <w:color w:val="000000"/>
                <w:lang w:val="en-US"/>
              </w:rPr>
              <w:t xml:space="preserve">135 (43.1%) </w:t>
            </w:r>
          </w:p>
        </w:tc>
        <w:tc>
          <w:tcPr>
            <w:tcW w:w="1019" w:type="pct"/>
          </w:tcPr>
          <w:p w14:paraId="17F0D109" w14:textId="3AD1F8D1" w:rsidR="00324D24" w:rsidRPr="00116CE8" w:rsidRDefault="00324D24" w:rsidP="00262BAC">
            <w:pPr>
              <w:pStyle w:val="TableText0"/>
              <w:jc w:val="center"/>
              <w:rPr>
                <w:color w:val="000000"/>
                <w:lang w:val="en-US"/>
              </w:rPr>
            </w:pPr>
            <w:r w:rsidRPr="00116CE8">
              <w:rPr>
                <w:color w:val="000000"/>
                <w:lang w:val="en-US"/>
              </w:rPr>
              <w:t xml:space="preserve">43 (13.7%) </w:t>
            </w:r>
          </w:p>
        </w:tc>
        <w:tc>
          <w:tcPr>
            <w:tcW w:w="1233" w:type="pct"/>
            <w:vAlign w:val="center"/>
          </w:tcPr>
          <w:p w14:paraId="0C9013C0" w14:textId="77777777" w:rsidR="00324D24" w:rsidRDefault="00324D24" w:rsidP="00262BAC">
            <w:pPr>
              <w:pStyle w:val="TableText0"/>
              <w:jc w:val="center"/>
            </w:pPr>
            <w:r>
              <w:rPr>
                <w:b/>
              </w:rPr>
              <w:t>3.14 (2.31, 4.26)</w:t>
            </w:r>
          </w:p>
        </w:tc>
      </w:tr>
      <w:tr w:rsidR="00324D24" w14:paraId="2A29117F" w14:textId="77777777" w:rsidTr="00262BAC">
        <w:trPr>
          <w:cantSplit/>
        </w:trPr>
        <w:tc>
          <w:tcPr>
            <w:tcW w:w="1727" w:type="pct"/>
            <w:tcBorders>
              <w:bottom w:val="single" w:sz="4" w:space="0" w:color="auto"/>
            </w:tcBorders>
            <w:vAlign w:val="center"/>
          </w:tcPr>
          <w:p w14:paraId="08342EE7" w14:textId="77777777" w:rsidR="00324D24" w:rsidRPr="00116CE8" w:rsidRDefault="00324D24" w:rsidP="00262BAC">
            <w:pPr>
              <w:pStyle w:val="TableText0"/>
              <w:rPr>
                <w:color w:val="000000"/>
                <w:lang w:val="en-US"/>
              </w:rPr>
            </w:pPr>
            <w:r>
              <w:rPr>
                <w:color w:val="000000"/>
                <w:lang w:val="en-US"/>
              </w:rPr>
              <w:t>Death due to study drug toxicity</w:t>
            </w:r>
          </w:p>
        </w:tc>
        <w:tc>
          <w:tcPr>
            <w:tcW w:w="1021" w:type="pct"/>
            <w:tcBorders>
              <w:bottom w:val="single" w:sz="4" w:space="0" w:color="auto"/>
            </w:tcBorders>
          </w:tcPr>
          <w:p w14:paraId="54F80AB1" w14:textId="61AC8B48" w:rsidR="00324D24" w:rsidRPr="00116CE8" w:rsidRDefault="00324D24" w:rsidP="00262BAC">
            <w:pPr>
              <w:pStyle w:val="Tabletext"/>
              <w:jc w:val="center"/>
              <w:rPr>
                <w:color w:val="000000"/>
                <w:lang w:val="en-US"/>
              </w:rPr>
            </w:pPr>
            <w:r w:rsidRPr="00116CE8">
              <w:rPr>
                <w:rFonts w:eastAsiaTheme="majorEastAsia" w:cstheme="majorBidi"/>
                <w:bCs/>
                <w:snapToGrid/>
                <w:color w:val="000000"/>
                <w:lang w:val="en-US"/>
              </w:rPr>
              <w:t xml:space="preserve">0 </w:t>
            </w:r>
            <w:r w:rsidRPr="00116CE8">
              <w:rPr>
                <w:color w:val="000000"/>
                <w:lang w:val="en-US"/>
              </w:rPr>
              <w:t xml:space="preserve"> </w:t>
            </w:r>
          </w:p>
        </w:tc>
        <w:tc>
          <w:tcPr>
            <w:tcW w:w="1019" w:type="pct"/>
            <w:tcBorders>
              <w:bottom w:val="single" w:sz="4" w:space="0" w:color="auto"/>
            </w:tcBorders>
          </w:tcPr>
          <w:p w14:paraId="4ABEF9AC" w14:textId="244339A7" w:rsidR="00324D24" w:rsidRPr="00116CE8" w:rsidRDefault="00324D24" w:rsidP="00262BAC">
            <w:pPr>
              <w:pStyle w:val="Tabletext"/>
              <w:jc w:val="center"/>
              <w:rPr>
                <w:color w:val="000000"/>
                <w:lang w:val="en-US"/>
              </w:rPr>
            </w:pPr>
            <w:r w:rsidRPr="00116CE8">
              <w:rPr>
                <w:rFonts w:eastAsiaTheme="majorEastAsia" w:cstheme="majorBidi"/>
                <w:bCs/>
                <w:snapToGrid/>
                <w:color w:val="000000"/>
                <w:lang w:val="en-US"/>
              </w:rPr>
              <w:t xml:space="preserve">1 </w:t>
            </w:r>
            <w:r w:rsidRPr="00116CE8">
              <w:rPr>
                <w:color w:val="000000"/>
                <w:lang w:val="en-US"/>
              </w:rPr>
              <w:t xml:space="preserve">(0.3%) </w:t>
            </w:r>
          </w:p>
        </w:tc>
        <w:tc>
          <w:tcPr>
            <w:tcW w:w="1233" w:type="pct"/>
            <w:tcBorders>
              <w:bottom w:val="single" w:sz="4" w:space="0" w:color="auto"/>
            </w:tcBorders>
            <w:vAlign w:val="center"/>
          </w:tcPr>
          <w:p w14:paraId="1B7D1F5E" w14:textId="77777777" w:rsidR="00324D24" w:rsidRDefault="00324D24" w:rsidP="00262BAC">
            <w:pPr>
              <w:pStyle w:val="TableText0"/>
              <w:jc w:val="center"/>
            </w:pPr>
            <w:r>
              <w:t>0.33 (0.01, 8.15)</w:t>
            </w:r>
          </w:p>
        </w:tc>
      </w:tr>
      <w:tr w:rsidR="00324D24" w14:paraId="2159220D" w14:textId="77777777" w:rsidTr="00262BAC">
        <w:trPr>
          <w:cantSplit/>
        </w:trPr>
        <w:tc>
          <w:tcPr>
            <w:tcW w:w="1727" w:type="pct"/>
            <w:tcBorders>
              <w:bottom w:val="nil"/>
              <w:right w:val="single" w:sz="4" w:space="0" w:color="auto"/>
            </w:tcBorders>
            <w:vAlign w:val="center"/>
          </w:tcPr>
          <w:p w14:paraId="0490FF65" w14:textId="77777777" w:rsidR="00324D24" w:rsidRDefault="00324D24" w:rsidP="00262BAC">
            <w:pPr>
              <w:pStyle w:val="TableText0"/>
              <w:rPr>
                <w:color w:val="000000"/>
                <w:lang w:val="en-US"/>
              </w:rPr>
            </w:pPr>
            <w:r w:rsidRPr="00116CE8">
              <w:rPr>
                <w:color w:val="000000"/>
                <w:lang w:val="en-US"/>
              </w:rPr>
              <w:t>Most frequent study drug related AEs (&gt;5% in any treatment arm)</w:t>
            </w:r>
          </w:p>
        </w:tc>
        <w:tc>
          <w:tcPr>
            <w:tcW w:w="1021" w:type="pct"/>
            <w:tcBorders>
              <w:left w:val="single" w:sz="4" w:space="0" w:color="auto"/>
              <w:bottom w:val="nil"/>
              <w:right w:val="single" w:sz="4" w:space="0" w:color="auto"/>
            </w:tcBorders>
          </w:tcPr>
          <w:p w14:paraId="49A27964" w14:textId="77777777" w:rsidR="00324D24" w:rsidRPr="00116CE8" w:rsidRDefault="00324D24" w:rsidP="00262BAC">
            <w:pPr>
              <w:pStyle w:val="Tabletext"/>
              <w:jc w:val="center"/>
              <w:rPr>
                <w:rFonts w:eastAsiaTheme="majorEastAsia" w:cstheme="majorBidi"/>
                <w:bCs/>
                <w:snapToGrid/>
                <w:color w:val="000000"/>
                <w:lang w:val="en-US"/>
              </w:rPr>
            </w:pPr>
          </w:p>
        </w:tc>
        <w:tc>
          <w:tcPr>
            <w:tcW w:w="1019" w:type="pct"/>
            <w:tcBorders>
              <w:left w:val="single" w:sz="4" w:space="0" w:color="auto"/>
              <w:bottom w:val="nil"/>
              <w:right w:val="single" w:sz="4" w:space="0" w:color="auto"/>
            </w:tcBorders>
          </w:tcPr>
          <w:p w14:paraId="7917D7E7" w14:textId="77777777" w:rsidR="00324D24" w:rsidRPr="00116CE8" w:rsidRDefault="00324D24" w:rsidP="00262BAC">
            <w:pPr>
              <w:pStyle w:val="Tabletext"/>
              <w:jc w:val="center"/>
              <w:rPr>
                <w:rFonts w:eastAsiaTheme="majorEastAsia" w:cstheme="majorBidi"/>
                <w:bCs/>
                <w:snapToGrid/>
                <w:color w:val="000000"/>
                <w:lang w:val="en-US"/>
              </w:rPr>
            </w:pPr>
          </w:p>
        </w:tc>
        <w:tc>
          <w:tcPr>
            <w:tcW w:w="1233" w:type="pct"/>
            <w:tcBorders>
              <w:left w:val="single" w:sz="4" w:space="0" w:color="auto"/>
              <w:bottom w:val="nil"/>
            </w:tcBorders>
            <w:vAlign w:val="center"/>
          </w:tcPr>
          <w:p w14:paraId="22C2AC4F" w14:textId="77777777" w:rsidR="00324D24" w:rsidRDefault="00324D24" w:rsidP="00262BAC">
            <w:pPr>
              <w:pStyle w:val="TableText0"/>
              <w:jc w:val="center"/>
            </w:pPr>
          </w:p>
        </w:tc>
      </w:tr>
      <w:tr w:rsidR="00324D24" w14:paraId="5FC83B9F" w14:textId="77777777" w:rsidTr="00262BAC">
        <w:trPr>
          <w:cantSplit/>
        </w:trPr>
        <w:tc>
          <w:tcPr>
            <w:tcW w:w="1727" w:type="pct"/>
            <w:tcBorders>
              <w:top w:val="nil"/>
              <w:bottom w:val="nil"/>
              <w:right w:val="single" w:sz="4" w:space="0" w:color="auto"/>
            </w:tcBorders>
          </w:tcPr>
          <w:p w14:paraId="737C0DE8" w14:textId="77777777" w:rsidR="00324D24" w:rsidRPr="00116CE8" w:rsidRDefault="00324D24" w:rsidP="00AF456E">
            <w:pPr>
              <w:pStyle w:val="TableText0"/>
              <w:numPr>
                <w:ilvl w:val="0"/>
                <w:numId w:val="8"/>
              </w:numPr>
              <w:rPr>
                <w:color w:val="000000"/>
                <w:lang w:val="en-US"/>
              </w:rPr>
            </w:pPr>
            <w:r w:rsidRPr="00116CE8">
              <w:rPr>
                <w:color w:val="000000"/>
                <w:lang w:val="en-US"/>
              </w:rPr>
              <w:t>Diarrhoea</w:t>
            </w:r>
          </w:p>
        </w:tc>
        <w:tc>
          <w:tcPr>
            <w:tcW w:w="1021" w:type="pct"/>
            <w:tcBorders>
              <w:top w:val="nil"/>
              <w:left w:val="single" w:sz="4" w:space="0" w:color="auto"/>
              <w:bottom w:val="nil"/>
              <w:right w:val="single" w:sz="4" w:space="0" w:color="auto"/>
            </w:tcBorders>
          </w:tcPr>
          <w:p w14:paraId="792E7E88" w14:textId="1BDC980C"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138 (44.</w:t>
            </w:r>
            <w:r w:rsidR="000C35D4">
              <w:rPr>
                <w:rFonts w:eastAsiaTheme="majorEastAsia" w:cstheme="majorBidi"/>
                <w:bCs/>
                <w:snapToGrid/>
                <w:color w:val="000000"/>
                <w:lang w:val="en-US"/>
              </w:rPr>
              <w:t>1</w:t>
            </w:r>
            <w:r w:rsidRPr="00116CE8">
              <w:rPr>
                <w:rFonts w:eastAsiaTheme="majorEastAsia" w:cstheme="majorBidi"/>
                <w:bCs/>
                <w:snapToGrid/>
                <w:color w:val="000000"/>
                <w:lang w:val="en-US"/>
              </w:rPr>
              <w:t>%)</w:t>
            </w:r>
          </w:p>
        </w:tc>
        <w:tc>
          <w:tcPr>
            <w:tcW w:w="1019" w:type="pct"/>
            <w:tcBorders>
              <w:top w:val="nil"/>
              <w:left w:val="single" w:sz="4" w:space="0" w:color="auto"/>
              <w:bottom w:val="nil"/>
              <w:right w:val="single" w:sz="4" w:space="0" w:color="auto"/>
            </w:tcBorders>
          </w:tcPr>
          <w:p w14:paraId="07B90DFD" w14:textId="461A0804"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60 (19.</w:t>
            </w:r>
            <w:r w:rsidR="005C05EA">
              <w:rPr>
                <w:rFonts w:eastAsiaTheme="majorEastAsia" w:cstheme="majorBidi"/>
                <w:bCs/>
                <w:snapToGrid/>
                <w:color w:val="000000"/>
                <w:lang w:val="en-US"/>
              </w:rPr>
              <w:t>2%</w:t>
            </w:r>
            <w:r w:rsidRPr="00116CE8">
              <w:rPr>
                <w:rFonts w:eastAsiaTheme="majorEastAsia" w:cstheme="majorBidi"/>
                <w:bCs/>
                <w:snapToGrid/>
                <w:color w:val="000000"/>
                <w:lang w:val="en-US"/>
              </w:rPr>
              <w:t>)</w:t>
            </w:r>
          </w:p>
        </w:tc>
        <w:tc>
          <w:tcPr>
            <w:tcW w:w="1233" w:type="pct"/>
            <w:tcBorders>
              <w:top w:val="nil"/>
              <w:left w:val="single" w:sz="4" w:space="0" w:color="auto"/>
              <w:bottom w:val="nil"/>
            </w:tcBorders>
          </w:tcPr>
          <w:p w14:paraId="615A49A5" w14:textId="77777777" w:rsidR="00324D24" w:rsidRDefault="00324D24" w:rsidP="00262BAC">
            <w:pPr>
              <w:pStyle w:val="TableText0"/>
              <w:jc w:val="center"/>
            </w:pPr>
            <w:r>
              <w:rPr>
                <w:b/>
              </w:rPr>
              <w:t>2.30 (1.77, 2.98)</w:t>
            </w:r>
          </w:p>
        </w:tc>
      </w:tr>
      <w:tr w:rsidR="00324D24" w14:paraId="1D802D87" w14:textId="77777777" w:rsidTr="00262BAC">
        <w:trPr>
          <w:cantSplit/>
        </w:trPr>
        <w:tc>
          <w:tcPr>
            <w:tcW w:w="1727" w:type="pct"/>
            <w:tcBorders>
              <w:top w:val="nil"/>
              <w:bottom w:val="nil"/>
              <w:right w:val="single" w:sz="4" w:space="0" w:color="auto"/>
            </w:tcBorders>
          </w:tcPr>
          <w:p w14:paraId="1FA42632" w14:textId="77777777" w:rsidR="00324D24" w:rsidRPr="00116CE8" w:rsidRDefault="00324D24" w:rsidP="00AF456E">
            <w:pPr>
              <w:pStyle w:val="TableText0"/>
              <w:numPr>
                <w:ilvl w:val="0"/>
                <w:numId w:val="8"/>
              </w:numPr>
              <w:rPr>
                <w:color w:val="000000"/>
                <w:lang w:val="en-US"/>
              </w:rPr>
            </w:pPr>
            <w:r w:rsidRPr="00116CE8">
              <w:rPr>
                <w:color w:val="000000"/>
                <w:lang w:val="en-US"/>
              </w:rPr>
              <w:t>Fatigue</w:t>
            </w:r>
          </w:p>
        </w:tc>
        <w:tc>
          <w:tcPr>
            <w:tcW w:w="1021" w:type="pct"/>
            <w:tcBorders>
              <w:top w:val="nil"/>
              <w:left w:val="single" w:sz="4" w:space="0" w:color="auto"/>
              <w:bottom w:val="nil"/>
              <w:right w:val="single" w:sz="4" w:space="0" w:color="auto"/>
            </w:tcBorders>
          </w:tcPr>
          <w:p w14:paraId="775A010F" w14:textId="78C1BA14"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110 (35.1%)</w:t>
            </w:r>
          </w:p>
        </w:tc>
        <w:tc>
          <w:tcPr>
            <w:tcW w:w="1019" w:type="pct"/>
            <w:tcBorders>
              <w:top w:val="nil"/>
              <w:left w:val="single" w:sz="4" w:space="0" w:color="auto"/>
              <w:bottom w:val="nil"/>
              <w:right w:val="single" w:sz="4" w:space="0" w:color="auto"/>
            </w:tcBorders>
          </w:tcPr>
          <w:p w14:paraId="52E7A5CB" w14:textId="4871D2E1"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107 (34.</w:t>
            </w:r>
            <w:r w:rsidR="005C05EA">
              <w:rPr>
                <w:rFonts w:eastAsiaTheme="majorEastAsia" w:cstheme="majorBidi"/>
                <w:bCs/>
                <w:snapToGrid/>
                <w:color w:val="000000"/>
                <w:lang w:val="en-US"/>
              </w:rPr>
              <w:t>2</w:t>
            </w:r>
            <w:r w:rsidRPr="00116CE8">
              <w:rPr>
                <w:rFonts w:eastAsiaTheme="majorEastAsia" w:cstheme="majorBidi"/>
                <w:bCs/>
                <w:snapToGrid/>
                <w:color w:val="000000"/>
                <w:lang w:val="en-US"/>
              </w:rPr>
              <w:t>%)</w:t>
            </w:r>
          </w:p>
        </w:tc>
        <w:tc>
          <w:tcPr>
            <w:tcW w:w="1233" w:type="pct"/>
            <w:tcBorders>
              <w:top w:val="nil"/>
              <w:left w:val="single" w:sz="4" w:space="0" w:color="auto"/>
              <w:bottom w:val="nil"/>
            </w:tcBorders>
          </w:tcPr>
          <w:p w14:paraId="1BD034A4" w14:textId="77777777" w:rsidR="00324D24" w:rsidRDefault="00324D24" w:rsidP="00262BAC">
            <w:pPr>
              <w:pStyle w:val="TableText0"/>
              <w:jc w:val="center"/>
            </w:pPr>
            <w:r>
              <w:t>1.03 (0.83, 1.27)</w:t>
            </w:r>
          </w:p>
        </w:tc>
      </w:tr>
      <w:tr w:rsidR="00324D24" w14:paraId="7354B8E0" w14:textId="77777777" w:rsidTr="00262BAC">
        <w:trPr>
          <w:cantSplit/>
        </w:trPr>
        <w:tc>
          <w:tcPr>
            <w:tcW w:w="1727" w:type="pct"/>
            <w:tcBorders>
              <w:top w:val="nil"/>
              <w:bottom w:val="nil"/>
              <w:right w:val="single" w:sz="4" w:space="0" w:color="auto"/>
            </w:tcBorders>
          </w:tcPr>
          <w:p w14:paraId="595F657D" w14:textId="77777777" w:rsidR="00324D24" w:rsidRPr="00116CE8" w:rsidRDefault="00324D24" w:rsidP="00AF456E">
            <w:pPr>
              <w:pStyle w:val="TableText0"/>
              <w:numPr>
                <w:ilvl w:val="0"/>
                <w:numId w:val="8"/>
              </w:numPr>
              <w:rPr>
                <w:color w:val="000000"/>
                <w:lang w:val="en-US"/>
              </w:rPr>
            </w:pPr>
            <w:r w:rsidRPr="00116CE8">
              <w:rPr>
                <w:color w:val="000000"/>
                <w:lang w:val="en-US"/>
              </w:rPr>
              <w:t xml:space="preserve">Pruritus </w:t>
            </w:r>
          </w:p>
        </w:tc>
        <w:tc>
          <w:tcPr>
            <w:tcW w:w="1021" w:type="pct"/>
            <w:tcBorders>
              <w:top w:val="nil"/>
              <w:left w:val="single" w:sz="4" w:space="0" w:color="auto"/>
              <w:bottom w:val="nil"/>
              <w:right w:val="single" w:sz="4" w:space="0" w:color="auto"/>
            </w:tcBorders>
          </w:tcPr>
          <w:p w14:paraId="3BC55742" w14:textId="3B0C9A89"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104 (33.2%)</w:t>
            </w:r>
          </w:p>
        </w:tc>
        <w:tc>
          <w:tcPr>
            <w:tcW w:w="1019" w:type="pct"/>
            <w:tcBorders>
              <w:top w:val="nil"/>
              <w:left w:val="single" w:sz="4" w:space="0" w:color="auto"/>
              <w:bottom w:val="nil"/>
              <w:right w:val="single" w:sz="4" w:space="0" w:color="auto"/>
            </w:tcBorders>
          </w:tcPr>
          <w:p w14:paraId="1CB15991" w14:textId="4B737817"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59 (18.</w:t>
            </w:r>
            <w:r w:rsidR="005C05EA">
              <w:rPr>
                <w:rFonts w:eastAsiaTheme="majorEastAsia" w:cstheme="majorBidi"/>
                <w:bCs/>
                <w:snapToGrid/>
                <w:color w:val="000000"/>
                <w:lang w:val="en-US"/>
              </w:rPr>
              <w:t>9</w:t>
            </w:r>
            <w:r w:rsidRPr="00116CE8">
              <w:rPr>
                <w:rFonts w:eastAsiaTheme="majorEastAsia" w:cstheme="majorBidi"/>
                <w:bCs/>
                <w:snapToGrid/>
                <w:color w:val="000000"/>
                <w:lang w:val="en-US"/>
              </w:rPr>
              <w:t>%)</w:t>
            </w:r>
          </w:p>
        </w:tc>
        <w:tc>
          <w:tcPr>
            <w:tcW w:w="1233" w:type="pct"/>
            <w:tcBorders>
              <w:top w:val="nil"/>
              <w:left w:val="single" w:sz="4" w:space="0" w:color="auto"/>
              <w:bottom w:val="nil"/>
            </w:tcBorders>
          </w:tcPr>
          <w:p w14:paraId="5AC5DA4E" w14:textId="77777777" w:rsidR="00324D24" w:rsidRDefault="00324D24" w:rsidP="00262BAC">
            <w:pPr>
              <w:pStyle w:val="TableText0"/>
              <w:jc w:val="center"/>
            </w:pPr>
            <w:r>
              <w:rPr>
                <w:b/>
              </w:rPr>
              <w:t>1.76 (1.33, 2.33)</w:t>
            </w:r>
          </w:p>
        </w:tc>
      </w:tr>
      <w:tr w:rsidR="00324D24" w14:paraId="459A5743" w14:textId="77777777" w:rsidTr="00262BAC">
        <w:trPr>
          <w:cantSplit/>
        </w:trPr>
        <w:tc>
          <w:tcPr>
            <w:tcW w:w="1727" w:type="pct"/>
            <w:tcBorders>
              <w:top w:val="nil"/>
              <w:bottom w:val="nil"/>
              <w:right w:val="single" w:sz="4" w:space="0" w:color="auto"/>
            </w:tcBorders>
          </w:tcPr>
          <w:p w14:paraId="144561B6" w14:textId="77777777" w:rsidR="00324D24" w:rsidRPr="00116CE8" w:rsidRDefault="00324D24" w:rsidP="00AF456E">
            <w:pPr>
              <w:pStyle w:val="TableText0"/>
              <w:numPr>
                <w:ilvl w:val="0"/>
                <w:numId w:val="8"/>
              </w:numPr>
              <w:rPr>
                <w:color w:val="000000"/>
                <w:lang w:val="en-US"/>
              </w:rPr>
            </w:pPr>
            <w:r w:rsidRPr="00116CE8">
              <w:rPr>
                <w:color w:val="000000"/>
                <w:lang w:val="en-US"/>
              </w:rPr>
              <w:t>Rash</w:t>
            </w:r>
          </w:p>
        </w:tc>
        <w:tc>
          <w:tcPr>
            <w:tcW w:w="1021" w:type="pct"/>
            <w:tcBorders>
              <w:top w:val="nil"/>
              <w:left w:val="single" w:sz="4" w:space="0" w:color="auto"/>
              <w:bottom w:val="nil"/>
              <w:right w:val="single" w:sz="4" w:space="0" w:color="auto"/>
            </w:tcBorders>
          </w:tcPr>
          <w:p w14:paraId="44C2522B" w14:textId="6D914A9D"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89 (28.4%)</w:t>
            </w:r>
          </w:p>
        </w:tc>
        <w:tc>
          <w:tcPr>
            <w:tcW w:w="1019" w:type="pct"/>
            <w:tcBorders>
              <w:top w:val="nil"/>
              <w:left w:val="single" w:sz="4" w:space="0" w:color="auto"/>
              <w:bottom w:val="nil"/>
              <w:right w:val="single" w:sz="4" w:space="0" w:color="auto"/>
            </w:tcBorders>
          </w:tcPr>
          <w:p w14:paraId="6DD7074C" w14:textId="27D2EA7E"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68 (21.7%)</w:t>
            </w:r>
          </w:p>
        </w:tc>
        <w:tc>
          <w:tcPr>
            <w:tcW w:w="1233" w:type="pct"/>
            <w:tcBorders>
              <w:top w:val="nil"/>
              <w:left w:val="single" w:sz="4" w:space="0" w:color="auto"/>
              <w:bottom w:val="nil"/>
            </w:tcBorders>
          </w:tcPr>
          <w:p w14:paraId="6D3FD9FB" w14:textId="77777777" w:rsidR="00324D24" w:rsidRDefault="00324D24" w:rsidP="00262BAC">
            <w:pPr>
              <w:pStyle w:val="TableText0"/>
              <w:jc w:val="center"/>
            </w:pPr>
            <w:r>
              <w:t>1.31 (1.00, 1.72)</w:t>
            </w:r>
          </w:p>
        </w:tc>
      </w:tr>
      <w:tr w:rsidR="00324D24" w14:paraId="41A8C9E5" w14:textId="77777777" w:rsidTr="00262BAC">
        <w:trPr>
          <w:cantSplit/>
        </w:trPr>
        <w:tc>
          <w:tcPr>
            <w:tcW w:w="1727" w:type="pct"/>
            <w:tcBorders>
              <w:top w:val="nil"/>
              <w:bottom w:val="nil"/>
              <w:right w:val="single" w:sz="4" w:space="0" w:color="auto"/>
            </w:tcBorders>
          </w:tcPr>
          <w:p w14:paraId="4D128087" w14:textId="77777777" w:rsidR="00324D24" w:rsidRPr="00116CE8" w:rsidRDefault="00324D24" w:rsidP="00AF456E">
            <w:pPr>
              <w:pStyle w:val="TableText0"/>
              <w:numPr>
                <w:ilvl w:val="0"/>
                <w:numId w:val="8"/>
              </w:numPr>
              <w:rPr>
                <w:color w:val="000000"/>
                <w:lang w:val="en-US"/>
              </w:rPr>
            </w:pPr>
            <w:r w:rsidRPr="00116CE8">
              <w:rPr>
                <w:color w:val="000000"/>
                <w:lang w:val="en-US"/>
              </w:rPr>
              <w:t xml:space="preserve">Nausea </w:t>
            </w:r>
          </w:p>
        </w:tc>
        <w:tc>
          <w:tcPr>
            <w:tcW w:w="1021" w:type="pct"/>
            <w:tcBorders>
              <w:top w:val="nil"/>
              <w:left w:val="single" w:sz="4" w:space="0" w:color="auto"/>
              <w:bottom w:val="nil"/>
              <w:right w:val="single" w:sz="4" w:space="0" w:color="auto"/>
            </w:tcBorders>
          </w:tcPr>
          <w:p w14:paraId="59D9970E" w14:textId="3129E522" w:rsidR="00324D24" w:rsidRPr="00116CE8" w:rsidRDefault="00324D24" w:rsidP="00262BAC">
            <w:pPr>
              <w:pStyle w:val="Tabletext"/>
              <w:jc w:val="center"/>
              <w:rPr>
                <w:rFonts w:eastAsiaTheme="majorEastAsia" w:cstheme="majorBidi"/>
                <w:bCs/>
                <w:color w:val="000000"/>
                <w:lang w:val="en-US"/>
              </w:rPr>
            </w:pPr>
            <w:r w:rsidRPr="00116CE8">
              <w:rPr>
                <w:rFonts w:eastAsiaTheme="majorEastAsia" w:cstheme="majorBidi"/>
                <w:bCs/>
                <w:snapToGrid/>
                <w:color w:val="000000"/>
                <w:lang w:val="en-US"/>
              </w:rPr>
              <w:t xml:space="preserve">81 </w:t>
            </w:r>
            <w:r w:rsidRPr="00116CE8">
              <w:rPr>
                <w:rFonts w:eastAsiaTheme="majorEastAsia" w:cstheme="majorBidi"/>
                <w:bCs/>
                <w:color w:val="000000"/>
                <w:lang w:val="en-US"/>
              </w:rPr>
              <w:t>(25.</w:t>
            </w:r>
            <w:r w:rsidR="000C35D4">
              <w:rPr>
                <w:rFonts w:eastAsiaTheme="majorEastAsia" w:cstheme="majorBidi"/>
                <w:bCs/>
                <w:color w:val="000000"/>
                <w:lang w:val="en-US"/>
              </w:rPr>
              <w:t>9</w:t>
            </w:r>
            <w:r w:rsidRPr="00116CE8">
              <w:rPr>
                <w:rFonts w:eastAsiaTheme="majorEastAsia" w:cstheme="majorBidi"/>
                <w:bCs/>
                <w:color w:val="000000"/>
                <w:lang w:val="en-US"/>
              </w:rPr>
              <w:t>%)</w:t>
            </w:r>
          </w:p>
        </w:tc>
        <w:tc>
          <w:tcPr>
            <w:tcW w:w="1019" w:type="pct"/>
            <w:tcBorders>
              <w:top w:val="nil"/>
              <w:left w:val="single" w:sz="4" w:space="0" w:color="auto"/>
              <w:bottom w:val="nil"/>
              <w:right w:val="single" w:sz="4" w:space="0" w:color="auto"/>
            </w:tcBorders>
          </w:tcPr>
          <w:p w14:paraId="0B84D007" w14:textId="617A98F9"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41 (13.1%)</w:t>
            </w:r>
          </w:p>
        </w:tc>
        <w:tc>
          <w:tcPr>
            <w:tcW w:w="1233" w:type="pct"/>
            <w:tcBorders>
              <w:top w:val="nil"/>
              <w:left w:val="single" w:sz="4" w:space="0" w:color="auto"/>
              <w:bottom w:val="nil"/>
            </w:tcBorders>
          </w:tcPr>
          <w:p w14:paraId="012D4B27" w14:textId="77777777" w:rsidR="00324D24" w:rsidRDefault="00324D24" w:rsidP="00262BAC">
            <w:pPr>
              <w:pStyle w:val="TableText0"/>
              <w:jc w:val="center"/>
            </w:pPr>
            <w:r>
              <w:rPr>
                <w:b/>
              </w:rPr>
              <w:t>1.98 (1.40, 2.78)</w:t>
            </w:r>
          </w:p>
        </w:tc>
      </w:tr>
      <w:tr w:rsidR="00324D24" w14:paraId="61340DB7" w14:textId="77777777" w:rsidTr="00262BAC">
        <w:trPr>
          <w:cantSplit/>
        </w:trPr>
        <w:tc>
          <w:tcPr>
            <w:tcW w:w="1727" w:type="pct"/>
            <w:tcBorders>
              <w:top w:val="nil"/>
              <w:right w:val="single" w:sz="4" w:space="0" w:color="auto"/>
            </w:tcBorders>
          </w:tcPr>
          <w:p w14:paraId="03562EE9" w14:textId="77777777" w:rsidR="00324D24" w:rsidRPr="00116CE8" w:rsidRDefault="00324D24" w:rsidP="00AF456E">
            <w:pPr>
              <w:pStyle w:val="TableText0"/>
              <w:numPr>
                <w:ilvl w:val="0"/>
                <w:numId w:val="8"/>
              </w:numPr>
              <w:rPr>
                <w:color w:val="000000"/>
                <w:lang w:val="en-US"/>
              </w:rPr>
            </w:pPr>
            <w:r w:rsidRPr="00116CE8">
              <w:rPr>
                <w:color w:val="000000"/>
                <w:lang w:val="en-US"/>
              </w:rPr>
              <w:t>Pyrexia</w:t>
            </w:r>
          </w:p>
        </w:tc>
        <w:tc>
          <w:tcPr>
            <w:tcW w:w="1021" w:type="pct"/>
            <w:tcBorders>
              <w:top w:val="nil"/>
              <w:left w:val="single" w:sz="4" w:space="0" w:color="auto"/>
              <w:right w:val="single" w:sz="4" w:space="0" w:color="auto"/>
            </w:tcBorders>
          </w:tcPr>
          <w:p w14:paraId="1C5261FC" w14:textId="2F48146E" w:rsidR="00324D24" w:rsidRPr="00116CE8" w:rsidRDefault="00324D24" w:rsidP="00262BAC">
            <w:pPr>
              <w:pStyle w:val="Tabletext"/>
              <w:jc w:val="center"/>
              <w:rPr>
                <w:rFonts w:eastAsiaTheme="majorEastAsia" w:cstheme="majorBidi"/>
                <w:bCs/>
                <w:color w:val="000000"/>
                <w:lang w:val="en-US"/>
              </w:rPr>
            </w:pPr>
            <w:r w:rsidRPr="00116CE8">
              <w:rPr>
                <w:rFonts w:eastAsiaTheme="majorEastAsia" w:cstheme="majorBidi"/>
                <w:bCs/>
                <w:snapToGrid/>
                <w:color w:val="000000"/>
                <w:lang w:val="en-US"/>
              </w:rPr>
              <w:t xml:space="preserve">58 </w:t>
            </w:r>
            <w:r w:rsidRPr="00116CE8">
              <w:rPr>
                <w:rFonts w:eastAsiaTheme="majorEastAsia" w:cstheme="majorBidi"/>
                <w:bCs/>
                <w:color w:val="000000"/>
                <w:lang w:val="en-US"/>
              </w:rPr>
              <w:t>(18.5%)</w:t>
            </w:r>
          </w:p>
        </w:tc>
        <w:tc>
          <w:tcPr>
            <w:tcW w:w="1019" w:type="pct"/>
            <w:tcBorders>
              <w:top w:val="nil"/>
              <w:left w:val="single" w:sz="4" w:space="0" w:color="auto"/>
              <w:right w:val="single" w:sz="4" w:space="0" w:color="auto"/>
            </w:tcBorders>
          </w:tcPr>
          <w:p w14:paraId="1F85C303" w14:textId="79576483" w:rsidR="00324D24" w:rsidRPr="00116CE8" w:rsidRDefault="00324D24" w:rsidP="00262BAC">
            <w:pPr>
              <w:pStyle w:val="Tabletext"/>
              <w:jc w:val="center"/>
              <w:rPr>
                <w:rFonts w:eastAsiaTheme="majorEastAsia" w:cstheme="majorBidi"/>
                <w:bCs/>
                <w:snapToGrid/>
                <w:color w:val="000000"/>
                <w:lang w:val="en-US"/>
              </w:rPr>
            </w:pPr>
            <w:r w:rsidRPr="00116CE8">
              <w:rPr>
                <w:rFonts w:eastAsiaTheme="majorEastAsia" w:cstheme="majorBidi"/>
                <w:bCs/>
                <w:snapToGrid/>
                <w:color w:val="000000"/>
                <w:lang w:val="en-US"/>
              </w:rPr>
              <w:t>18 (5.</w:t>
            </w:r>
            <w:r w:rsidR="005C05EA">
              <w:rPr>
                <w:rFonts w:eastAsiaTheme="majorEastAsia" w:cstheme="majorBidi"/>
                <w:bCs/>
                <w:snapToGrid/>
                <w:color w:val="000000"/>
                <w:lang w:val="en-US"/>
              </w:rPr>
              <w:t>8</w:t>
            </w:r>
            <w:r w:rsidRPr="00116CE8">
              <w:rPr>
                <w:rFonts w:eastAsiaTheme="majorEastAsia" w:cstheme="majorBidi"/>
                <w:bCs/>
                <w:snapToGrid/>
                <w:color w:val="000000"/>
                <w:lang w:val="en-US"/>
              </w:rPr>
              <w:t>%)</w:t>
            </w:r>
          </w:p>
        </w:tc>
        <w:tc>
          <w:tcPr>
            <w:tcW w:w="1233" w:type="pct"/>
            <w:tcBorders>
              <w:top w:val="nil"/>
              <w:left w:val="single" w:sz="4" w:space="0" w:color="auto"/>
            </w:tcBorders>
          </w:tcPr>
          <w:p w14:paraId="699701FC" w14:textId="77777777" w:rsidR="00324D24" w:rsidRDefault="00324D24" w:rsidP="00262BAC">
            <w:pPr>
              <w:pStyle w:val="TableText0"/>
              <w:jc w:val="center"/>
            </w:pPr>
            <w:r>
              <w:rPr>
                <w:b/>
              </w:rPr>
              <w:t>3.22 (1.94, 5.34)</w:t>
            </w:r>
          </w:p>
        </w:tc>
      </w:tr>
    </w:tbl>
    <w:p w14:paraId="24FF1846" w14:textId="77777777" w:rsidR="00324D24" w:rsidRDefault="00324D24" w:rsidP="00324D24">
      <w:pPr>
        <w:pStyle w:val="TableFooter"/>
      </w:pPr>
      <w:r>
        <w:t>Source</w:t>
      </w:r>
      <w:bookmarkStart w:id="65" w:name="_Hlk100677741"/>
      <w:r>
        <w:t>: Table 31, p108</w:t>
      </w:r>
      <w:bookmarkEnd w:id="65"/>
      <w:r>
        <w:t>, Table 33, pp113-114 of the submission, Table 8.1-1, p68 of CA224047 CSR v1.0; Table 34, p118 and Table 36, pp125-126 of the submission; Table 8.1-2, p126 of CA209067 CSR v1.0.</w:t>
      </w:r>
    </w:p>
    <w:p w14:paraId="6952F365" w14:textId="77777777" w:rsidR="00324D24" w:rsidRDefault="00324D24" w:rsidP="00324D24">
      <w:pPr>
        <w:pStyle w:val="TableFooter"/>
        <w:rPr>
          <w:szCs w:val="22"/>
          <w:lang w:eastAsia="en-US"/>
        </w:rPr>
      </w:pPr>
      <w:r>
        <w:t>AE = adverse event, NIVO= nivolumab, NR = not reported, RELA = relatlimab, TEAE = treatment emergent adverse event.</w:t>
      </w:r>
    </w:p>
    <w:p w14:paraId="37F1A0C0" w14:textId="2E504BD9" w:rsidR="00324D24" w:rsidRDefault="00324D24" w:rsidP="00324D24">
      <w:pPr>
        <w:pStyle w:val="3-BodyText"/>
      </w:pPr>
      <w:r w:rsidRPr="00F815BD">
        <w:rPr>
          <w:rFonts w:ascii="Arial Narrow" w:eastAsia="Calibri" w:hAnsi="Arial Narrow"/>
          <w:b/>
          <w:sz w:val="18"/>
        </w:rPr>
        <w:t>Bold</w:t>
      </w:r>
      <w:r w:rsidRPr="00F815BD">
        <w:rPr>
          <w:rFonts w:ascii="Arial Narrow" w:eastAsia="Calibri" w:hAnsi="Arial Narrow"/>
          <w:sz w:val="18"/>
        </w:rPr>
        <w:t xml:space="preserve"> indicates statistically significant results.</w:t>
      </w:r>
    </w:p>
    <w:p w14:paraId="50A59F8D" w14:textId="62315059" w:rsidR="005C05EA" w:rsidRPr="006421D0" w:rsidRDefault="005C05EA" w:rsidP="00324D24">
      <w:pPr>
        <w:pStyle w:val="3-BodyText"/>
        <w:numPr>
          <w:ilvl w:val="1"/>
          <w:numId w:val="1"/>
        </w:numPr>
      </w:pPr>
      <w:r w:rsidRPr="006421D0">
        <w:t xml:space="preserve">The ESC considered the comparison of adverse events in the CA224047 and CA209067 trials somewhat unclear. The ESC noted that in the nivolumab </w:t>
      </w:r>
      <w:r w:rsidR="006D5F90" w:rsidRPr="006421D0">
        <w:t xml:space="preserve">monotherapy </w:t>
      </w:r>
      <w:r w:rsidRPr="006421D0">
        <w:t xml:space="preserve">treatment arms, there were more Grade 3 or higher AEs in trial CA209067 (43%) than trial CA224047 (33%) and that the rates of the common most frequent drug related AEs were also higher for nivolumab in CA209067 than CA224047 (diarrhoea 19.2% vs 9.2%; pruritis 18.9% vs 15.9%; fatigue 34.2% vs 12.8%; rash 21.7% vs 12.0%). </w:t>
      </w:r>
      <w:r w:rsidR="00007A3C" w:rsidRPr="006421D0">
        <w:t xml:space="preserve">The ESC considered that these differences demonstrated </w:t>
      </w:r>
      <w:r w:rsidR="006D5F90" w:rsidRPr="006421D0">
        <w:t xml:space="preserve">potential </w:t>
      </w:r>
      <w:r w:rsidR="00007A3C" w:rsidRPr="006421D0">
        <w:t xml:space="preserve">transitivity issues between the trial populations and the investigator assessment of AEs. </w:t>
      </w:r>
    </w:p>
    <w:p w14:paraId="76A662E2" w14:textId="4B8ECF88" w:rsidR="00D24261" w:rsidRPr="00324D24" w:rsidRDefault="00D24261" w:rsidP="00324D24">
      <w:pPr>
        <w:pStyle w:val="3-BodyText"/>
        <w:numPr>
          <w:ilvl w:val="1"/>
          <w:numId w:val="1"/>
        </w:numPr>
      </w:pPr>
      <w:r w:rsidRPr="00262DC5">
        <w:t xml:space="preserve">To support the claim </w:t>
      </w:r>
      <w:r w:rsidR="008122D1">
        <w:t>that RELA+NIVO was superior in terms of safety compared to NIVO+IPI</w:t>
      </w:r>
      <w:r w:rsidRPr="00262DC5">
        <w:t>, the submission</w:t>
      </w:r>
      <w:r>
        <w:t xml:space="preserve"> </w:t>
      </w:r>
      <w:r w:rsidRPr="00262DC5">
        <w:t xml:space="preserve">presented indirect comparisons of safety based on </w:t>
      </w:r>
      <w:r>
        <w:t xml:space="preserve">the </w:t>
      </w:r>
      <w:r w:rsidRPr="00262DC5">
        <w:t xml:space="preserve">data from </w:t>
      </w:r>
      <w:r w:rsidR="0059583A">
        <w:t xml:space="preserve">the </w:t>
      </w:r>
      <w:r>
        <w:t>CA224047</w:t>
      </w:r>
      <w:r w:rsidRPr="00262DC5">
        <w:t xml:space="preserve"> and </w:t>
      </w:r>
      <w:r>
        <w:t>CA209067</w:t>
      </w:r>
      <w:r w:rsidRPr="00262DC5">
        <w:t xml:space="preserve"> trials</w:t>
      </w:r>
      <w:r>
        <w:t xml:space="preserve">. </w:t>
      </w:r>
      <w:r w:rsidR="003C1B75">
        <w:t>The i</w:t>
      </w:r>
      <w:r w:rsidRPr="008C49EC">
        <w:t>ndirect analysis of safety demonstrated that NIVO+IPI was associated with statistically significantly more any drug-related AE</w:t>
      </w:r>
      <w:r w:rsidR="008622BC">
        <w:t>s</w:t>
      </w:r>
      <w:r w:rsidRPr="008C49EC">
        <w:t xml:space="preserve">, </w:t>
      </w:r>
      <w:r w:rsidRPr="008C49EC">
        <w:lastRenderedPageBreak/>
        <w:t xml:space="preserve">any </w:t>
      </w:r>
      <w:r w:rsidR="005C05EA">
        <w:t>G</w:t>
      </w:r>
      <w:r w:rsidRPr="008C49EC">
        <w:t>rade 3 or 4 AE</w:t>
      </w:r>
      <w:r w:rsidR="008622BC">
        <w:t>s</w:t>
      </w:r>
      <w:r w:rsidRPr="008C49EC">
        <w:t>, drug-related Grade 3 or 4 AE</w:t>
      </w:r>
      <w:r w:rsidR="008622BC">
        <w:t>s</w:t>
      </w:r>
      <w:r w:rsidRPr="008C49EC">
        <w:t>, any SAE</w:t>
      </w:r>
      <w:r w:rsidR="008622BC">
        <w:t>s</w:t>
      </w:r>
      <w:r w:rsidRPr="008C49EC">
        <w:t>, drug-related SAE</w:t>
      </w:r>
      <w:r w:rsidR="008622BC">
        <w:t>s</w:t>
      </w:r>
      <w:r w:rsidRPr="008C49EC">
        <w:t>, any AE</w:t>
      </w:r>
      <w:r w:rsidR="008622BC">
        <w:t>s</w:t>
      </w:r>
      <w:r w:rsidRPr="008C49EC">
        <w:t xml:space="preserve"> leading to discontinuation, and drug-related AE</w:t>
      </w:r>
      <w:r w:rsidR="008622BC">
        <w:t>s</w:t>
      </w:r>
      <w:r w:rsidRPr="008C49EC">
        <w:t xml:space="preserve"> leading to discontinuation, compared with RELA+NIVO. </w:t>
      </w:r>
    </w:p>
    <w:p w14:paraId="682C80FE" w14:textId="51DBB45C" w:rsidR="00D24261" w:rsidRPr="00AF1DAD" w:rsidRDefault="00D24261" w:rsidP="00D24261">
      <w:pPr>
        <w:pStyle w:val="3-BodyText"/>
        <w:numPr>
          <w:ilvl w:val="1"/>
          <w:numId w:val="1"/>
        </w:numPr>
      </w:pPr>
      <w:r>
        <w:t xml:space="preserve">The submission also presented an adjusted ITC for safety using </w:t>
      </w:r>
      <w:r w:rsidRPr="00575809">
        <w:rPr>
          <w:snapToGrid/>
          <w:lang w:val="en-US"/>
        </w:rPr>
        <w:t>an inverse probability treatment weighting approach to adjust for differences in baseline characteristics</w:t>
      </w:r>
      <w:r>
        <w:t xml:space="preserve">. </w:t>
      </w:r>
      <w:r w:rsidRPr="00920ACD">
        <w:t xml:space="preserve">After weighting, NIVO+IPI was associated </w:t>
      </w:r>
      <w:r w:rsidRPr="00AF1DAD">
        <w:t>with higher Grade 3 or 4 AEs compared with RELA+NIVO (78.5% compared with 40.</w:t>
      </w:r>
      <w:r w:rsidR="008F385C" w:rsidRPr="00AF1DAD">
        <w:t>2</w:t>
      </w:r>
      <w:r w:rsidRPr="00AF1DAD">
        <w:t xml:space="preserve">%). </w:t>
      </w:r>
      <w:r w:rsidR="00385182" w:rsidRPr="00AF1DAD">
        <w:t>T</w:t>
      </w:r>
      <w:r w:rsidRPr="00AF1DAD">
        <w:t>he submission did not present a comparison of treatment related death</w:t>
      </w:r>
      <w:r w:rsidR="00385182" w:rsidRPr="00AF1DAD">
        <w:t>s</w:t>
      </w:r>
      <w:r w:rsidRPr="00AF1DAD">
        <w:t xml:space="preserve"> between the two trials.</w:t>
      </w:r>
    </w:p>
    <w:p w14:paraId="0E5D8B16" w14:textId="77777777" w:rsidR="00D24261" w:rsidRPr="00780A43" w:rsidRDefault="00D24261" w:rsidP="0074263A">
      <w:pPr>
        <w:pStyle w:val="4-SubsectionHeading"/>
        <w:rPr>
          <w:i/>
          <w:iCs/>
          <w:sz w:val="28"/>
          <w:szCs w:val="28"/>
        </w:rPr>
      </w:pPr>
      <w:bookmarkStart w:id="66" w:name="_Toc22897643"/>
      <w:bookmarkStart w:id="67" w:name="_Toc103768657"/>
      <w:r w:rsidRPr="00780A43">
        <w:rPr>
          <w:i/>
          <w:iCs/>
          <w:sz w:val="28"/>
          <w:szCs w:val="28"/>
        </w:rPr>
        <w:t>Benefits/harms</w:t>
      </w:r>
      <w:bookmarkEnd w:id="66"/>
      <w:bookmarkEnd w:id="67"/>
    </w:p>
    <w:p w14:paraId="35AD734E" w14:textId="16279100" w:rsidR="00D24261" w:rsidRPr="006421D0" w:rsidRDefault="00D24261" w:rsidP="00D24261">
      <w:pPr>
        <w:pStyle w:val="3-BodyText"/>
        <w:numPr>
          <w:ilvl w:val="1"/>
          <w:numId w:val="1"/>
        </w:numPr>
        <w:rPr>
          <w:lang w:val="en-US"/>
        </w:rPr>
      </w:pPr>
      <w:r w:rsidRPr="006421D0">
        <w:rPr>
          <w:lang w:val="en-US"/>
        </w:rPr>
        <w:t>A summary of the comparative benefits and harms for RELA+NIVO versus nivolumab monotherapy is presented</w:t>
      </w:r>
      <w:r w:rsidR="004D1CCC" w:rsidRPr="006421D0">
        <w:rPr>
          <w:lang w:val="en-US"/>
        </w:rPr>
        <w:t xml:space="preserve"> in </w:t>
      </w:r>
      <w:r w:rsidR="008122D1" w:rsidRPr="006421D0">
        <w:rPr>
          <w:lang w:val="en-US"/>
        </w:rPr>
        <w:fldChar w:fldCharType="begin"/>
      </w:r>
      <w:r w:rsidR="008122D1" w:rsidRPr="006421D0">
        <w:rPr>
          <w:lang w:val="en-US"/>
        </w:rPr>
        <w:instrText xml:space="preserve"> REF _Ref100929145 \h  \* MERGEFORMAT </w:instrText>
      </w:r>
      <w:r w:rsidR="008122D1" w:rsidRPr="006421D0">
        <w:rPr>
          <w:lang w:val="en-US"/>
        </w:rPr>
      </w:r>
      <w:r w:rsidR="008122D1" w:rsidRPr="006421D0">
        <w:rPr>
          <w:lang w:val="en-US"/>
        </w:rPr>
        <w:fldChar w:fldCharType="separate"/>
      </w:r>
      <w:r w:rsidR="00633460" w:rsidRPr="00633460">
        <w:rPr>
          <w:lang w:val="en-US"/>
        </w:rPr>
        <w:t>Table 9</w:t>
      </w:r>
      <w:r w:rsidR="008122D1" w:rsidRPr="006421D0">
        <w:rPr>
          <w:lang w:val="en-US"/>
        </w:rPr>
        <w:fldChar w:fldCharType="end"/>
      </w:r>
      <w:r w:rsidR="008122D1" w:rsidRPr="006421D0">
        <w:rPr>
          <w:lang w:val="en-US"/>
        </w:rPr>
        <w:t>.</w:t>
      </w:r>
      <w:r w:rsidR="00C302EE" w:rsidRPr="006421D0">
        <w:rPr>
          <w:lang w:val="en-US"/>
        </w:rPr>
        <w:t xml:space="preserve"> </w:t>
      </w:r>
      <w:r w:rsidR="00007A3C" w:rsidRPr="006421D0">
        <w:rPr>
          <w:lang w:val="en-US"/>
        </w:rPr>
        <w:t xml:space="preserve">No comparison of benefits and harms was presented for RELA+NIVO versus NIVO+IPI as </w:t>
      </w:r>
      <w:r w:rsidR="00C302EE" w:rsidRPr="006421D0">
        <w:rPr>
          <w:lang w:val="en-US"/>
        </w:rPr>
        <w:t>submission presented an ITC with a claim of non-inferior efficacy</w:t>
      </w:r>
      <w:r w:rsidR="00007A3C" w:rsidRPr="006421D0">
        <w:rPr>
          <w:lang w:val="en-US"/>
        </w:rPr>
        <w:t>.</w:t>
      </w:r>
    </w:p>
    <w:p w14:paraId="5A2D4689" w14:textId="5AE60EA9" w:rsidR="00D24261" w:rsidRPr="00F44A63" w:rsidRDefault="00D24261" w:rsidP="00D24261">
      <w:pPr>
        <w:pStyle w:val="Caption"/>
        <w:keepNext/>
        <w:spacing w:after="0"/>
        <w:rPr>
          <w:rStyle w:val="CommentReference"/>
          <w:b/>
          <w:bCs w:val="0"/>
          <w:color w:val="000000" w:themeColor="text1"/>
        </w:rPr>
      </w:pPr>
      <w:bookmarkStart w:id="68" w:name="_Ref100929145"/>
      <w:r w:rsidRPr="00F44A63">
        <w:rPr>
          <w:rStyle w:val="CommentReference"/>
          <w:b/>
          <w:bCs w:val="0"/>
          <w:color w:val="000000" w:themeColor="text1"/>
        </w:rPr>
        <w:t xml:space="preserve">Table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9</w:t>
      </w:r>
      <w:r>
        <w:rPr>
          <w:rStyle w:val="CommentReference"/>
          <w:b/>
          <w:bCs w:val="0"/>
          <w:color w:val="000000" w:themeColor="text1"/>
        </w:rPr>
        <w:fldChar w:fldCharType="end"/>
      </w:r>
      <w:bookmarkStart w:id="69" w:name="_Ref100930292"/>
      <w:bookmarkEnd w:id="68"/>
      <w:r w:rsidRPr="00F44A63">
        <w:rPr>
          <w:rStyle w:val="CommentReference"/>
          <w:b/>
          <w:bCs w:val="0"/>
          <w:color w:val="000000" w:themeColor="text1"/>
        </w:rPr>
        <w:t>: Summary of comparative benefits and harms for RELA+NIVO and nivolumab monotherapy</w:t>
      </w:r>
      <w:bookmarkEnd w:id="69"/>
    </w:p>
    <w:tbl>
      <w:tblPr>
        <w:tblStyle w:val="TableGrid"/>
        <w:tblW w:w="5000" w:type="pct"/>
        <w:tblCellMar>
          <w:left w:w="28" w:type="dxa"/>
          <w:right w:w="28" w:type="dxa"/>
        </w:tblCellMar>
        <w:tblLook w:val="04A0" w:firstRow="1" w:lastRow="0" w:firstColumn="1" w:lastColumn="0" w:noHBand="0" w:noVBand="1"/>
      </w:tblPr>
      <w:tblGrid>
        <w:gridCol w:w="3114"/>
        <w:gridCol w:w="1701"/>
        <w:gridCol w:w="1702"/>
        <w:gridCol w:w="1133"/>
        <w:gridCol w:w="1367"/>
      </w:tblGrid>
      <w:tr w:rsidR="00D24261" w:rsidRPr="00712C73" w14:paraId="5EDBC5BB" w14:textId="77777777" w:rsidTr="00993EEC">
        <w:trPr>
          <w:trHeight w:val="20"/>
        </w:trPr>
        <w:tc>
          <w:tcPr>
            <w:tcW w:w="5000" w:type="pct"/>
            <w:gridSpan w:val="5"/>
            <w:shd w:val="clear" w:color="auto" w:fill="auto"/>
          </w:tcPr>
          <w:p w14:paraId="15F7CF63" w14:textId="77777777" w:rsidR="00D24261" w:rsidRPr="00330DAA" w:rsidRDefault="00D24261" w:rsidP="00E730EF">
            <w:pPr>
              <w:pStyle w:val="In-tableHeading"/>
            </w:pPr>
            <w:r>
              <w:t>Benefits</w:t>
            </w:r>
          </w:p>
        </w:tc>
      </w:tr>
      <w:tr w:rsidR="00D24261" w:rsidRPr="00511320" w14:paraId="7C83EE6B" w14:textId="77777777" w:rsidTr="00A3402E">
        <w:trPr>
          <w:trHeight w:val="20"/>
        </w:trPr>
        <w:tc>
          <w:tcPr>
            <w:tcW w:w="1727" w:type="pct"/>
            <w:tcBorders>
              <w:bottom w:val="single" w:sz="4" w:space="0" w:color="auto"/>
            </w:tcBorders>
            <w:shd w:val="clear" w:color="auto" w:fill="auto"/>
          </w:tcPr>
          <w:p w14:paraId="303D7CB0" w14:textId="77777777" w:rsidR="00D24261" w:rsidRPr="00330DAA" w:rsidRDefault="00D24261" w:rsidP="00E730EF">
            <w:pPr>
              <w:pStyle w:val="In-tableHeading"/>
            </w:pPr>
            <w:r w:rsidRPr="00330DAA">
              <w:t>Event</w:t>
            </w:r>
          </w:p>
        </w:tc>
        <w:tc>
          <w:tcPr>
            <w:tcW w:w="943" w:type="pct"/>
            <w:tcBorders>
              <w:bottom w:val="single" w:sz="4" w:space="0" w:color="auto"/>
            </w:tcBorders>
            <w:shd w:val="clear" w:color="auto" w:fill="auto"/>
          </w:tcPr>
          <w:p w14:paraId="41E5390A" w14:textId="77777777" w:rsidR="00D24261" w:rsidRDefault="00D24261" w:rsidP="00E730EF">
            <w:pPr>
              <w:pStyle w:val="In-tableHeading"/>
              <w:jc w:val="center"/>
            </w:pPr>
            <w:r>
              <w:t xml:space="preserve">RELA+NIVO </w:t>
            </w:r>
          </w:p>
          <w:p w14:paraId="11CA0AF4" w14:textId="108D68FC" w:rsidR="00D24261" w:rsidRPr="00330DAA" w:rsidRDefault="00D24261" w:rsidP="00E730EF">
            <w:pPr>
              <w:pStyle w:val="In-tableHeading"/>
              <w:jc w:val="center"/>
            </w:pPr>
          </w:p>
        </w:tc>
        <w:tc>
          <w:tcPr>
            <w:tcW w:w="944" w:type="pct"/>
            <w:tcBorders>
              <w:bottom w:val="single" w:sz="4" w:space="0" w:color="auto"/>
            </w:tcBorders>
            <w:shd w:val="clear" w:color="auto" w:fill="auto"/>
          </w:tcPr>
          <w:p w14:paraId="0F12EFB6" w14:textId="77777777" w:rsidR="00D24261" w:rsidRDefault="00D24261" w:rsidP="00E730EF">
            <w:pPr>
              <w:pStyle w:val="In-tableHeading"/>
              <w:jc w:val="center"/>
            </w:pPr>
            <w:r>
              <w:t>Nivolumab</w:t>
            </w:r>
          </w:p>
          <w:p w14:paraId="6482CE04" w14:textId="03773DE0" w:rsidR="00D24261" w:rsidRPr="00330DAA" w:rsidRDefault="00D24261" w:rsidP="00E730EF">
            <w:pPr>
              <w:pStyle w:val="In-tableHeading"/>
              <w:jc w:val="center"/>
            </w:pPr>
          </w:p>
        </w:tc>
        <w:tc>
          <w:tcPr>
            <w:tcW w:w="628" w:type="pct"/>
            <w:tcBorders>
              <w:bottom w:val="single" w:sz="4" w:space="0" w:color="auto"/>
            </w:tcBorders>
            <w:shd w:val="clear" w:color="auto" w:fill="auto"/>
          </w:tcPr>
          <w:p w14:paraId="09265270" w14:textId="546A0CBB" w:rsidR="00D24261" w:rsidRPr="00330DAA" w:rsidRDefault="00D24261" w:rsidP="00E730EF">
            <w:pPr>
              <w:pStyle w:val="In-tableHeading"/>
              <w:jc w:val="center"/>
              <w:rPr>
                <w:rFonts w:asciiTheme="minorHAnsi" w:hAnsiTheme="minorHAnsi"/>
              </w:rPr>
            </w:pPr>
            <w:r w:rsidRPr="00330DAA">
              <w:t xml:space="preserve">Absolute </w:t>
            </w:r>
            <w:r w:rsidR="00361E49">
              <w:t>d</w:t>
            </w:r>
            <w:r w:rsidRPr="00330DAA">
              <w:t>ifference</w:t>
            </w:r>
          </w:p>
        </w:tc>
        <w:tc>
          <w:tcPr>
            <w:tcW w:w="758" w:type="pct"/>
            <w:tcBorders>
              <w:bottom w:val="single" w:sz="4" w:space="0" w:color="auto"/>
            </w:tcBorders>
            <w:shd w:val="clear" w:color="auto" w:fill="auto"/>
          </w:tcPr>
          <w:p w14:paraId="1E354424" w14:textId="77777777" w:rsidR="00D24261" w:rsidRPr="00511320" w:rsidRDefault="00D24261" w:rsidP="00E730EF">
            <w:pPr>
              <w:pStyle w:val="In-tableHeading"/>
              <w:jc w:val="center"/>
            </w:pPr>
            <w:r w:rsidRPr="00511320">
              <w:t>HR (95% CI)</w:t>
            </w:r>
          </w:p>
        </w:tc>
      </w:tr>
      <w:tr w:rsidR="00D24261" w:rsidRPr="00C67006" w14:paraId="7F99F518" w14:textId="77777777" w:rsidTr="00993EEC">
        <w:trPr>
          <w:trHeight w:val="20"/>
        </w:trPr>
        <w:tc>
          <w:tcPr>
            <w:tcW w:w="5000" w:type="pct"/>
            <w:gridSpan w:val="5"/>
            <w:tcBorders>
              <w:bottom w:val="single" w:sz="4" w:space="0" w:color="auto"/>
            </w:tcBorders>
            <w:shd w:val="clear" w:color="auto" w:fill="auto"/>
          </w:tcPr>
          <w:p w14:paraId="6C5E7ACD" w14:textId="57345281" w:rsidR="00D24261" w:rsidRPr="001872FD" w:rsidRDefault="00D24261" w:rsidP="00E730EF">
            <w:pPr>
              <w:pStyle w:val="TableText0"/>
              <w:keepLines/>
              <w:widowControl w:val="0"/>
              <w:rPr>
                <w:rFonts w:cs="Times New Roman"/>
                <w:b/>
                <w:bCs w:val="0"/>
              </w:rPr>
            </w:pPr>
            <w:r w:rsidRPr="001872FD">
              <w:rPr>
                <w:b/>
                <w:bCs w:val="0"/>
              </w:rPr>
              <w:t>Progression-free survival (median duration of follow</w:t>
            </w:r>
            <w:r w:rsidR="00292876">
              <w:rPr>
                <w:b/>
                <w:bCs w:val="0"/>
              </w:rPr>
              <w:t>-</w:t>
            </w:r>
            <w:r w:rsidRPr="001872FD">
              <w:rPr>
                <w:b/>
                <w:bCs w:val="0"/>
              </w:rPr>
              <w:t xml:space="preserve">up </w:t>
            </w:r>
            <w:r>
              <w:rPr>
                <w:b/>
                <w:bCs w:val="0"/>
              </w:rPr>
              <w:t>13.21</w:t>
            </w:r>
            <w:r w:rsidRPr="001872FD">
              <w:rPr>
                <w:b/>
                <w:bCs w:val="0"/>
              </w:rPr>
              <w:t xml:space="preserve"> months)</w:t>
            </w:r>
          </w:p>
        </w:tc>
      </w:tr>
      <w:tr w:rsidR="00D24261" w:rsidRPr="00C67006" w14:paraId="0A1A90EF" w14:textId="77777777" w:rsidTr="00A3402E">
        <w:trPr>
          <w:trHeight w:val="20"/>
        </w:trPr>
        <w:tc>
          <w:tcPr>
            <w:tcW w:w="1727" w:type="pct"/>
            <w:tcBorders>
              <w:bottom w:val="single" w:sz="4" w:space="0" w:color="auto"/>
              <w:right w:val="single" w:sz="4" w:space="0" w:color="auto"/>
            </w:tcBorders>
            <w:shd w:val="clear" w:color="auto" w:fill="auto"/>
          </w:tcPr>
          <w:p w14:paraId="505C85D7" w14:textId="77777777" w:rsidR="00D24261" w:rsidRPr="00330DAA" w:rsidRDefault="00D24261" w:rsidP="00E730EF">
            <w:pPr>
              <w:pStyle w:val="TableText0"/>
              <w:keepLines/>
              <w:widowControl w:val="0"/>
            </w:pPr>
            <w:r w:rsidRPr="00330DAA">
              <w:t>Progressed, n (%)</w:t>
            </w:r>
          </w:p>
        </w:tc>
        <w:tc>
          <w:tcPr>
            <w:tcW w:w="943" w:type="pct"/>
            <w:tcBorders>
              <w:left w:val="single" w:sz="4" w:space="0" w:color="auto"/>
              <w:bottom w:val="single" w:sz="4" w:space="0" w:color="auto"/>
              <w:right w:val="single" w:sz="4" w:space="0" w:color="auto"/>
            </w:tcBorders>
            <w:shd w:val="clear" w:color="auto" w:fill="auto"/>
          </w:tcPr>
          <w:p w14:paraId="08876725" w14:textId="77777777" w:rsidR="00D24261" w:rsidRPr="00330DAA" w:rsidRDefault="00D24261" w:rsidP="00E730EF">
            <w:pPr>
              <w:pStyle w:val="TableText0"/>
              <w:keepLines/>
              <w:widowControl w:val="0"/>
              <w:jc w:val="center"/>
            </w:pPr>
            <w:r w:rsidRPr="00F815BD">
              <w:rPr>
                <w:rFonts w:cs="Times New Roman"/>
              </w:rPr>
              <w:t>180/355 (50.7%)</w:t>
            </w:r>
          </w:p>
        </w:tc>
        <w:tc>
          <w:tcPr>
            <w:tcW w:w="944" w:type="pct"/>
            <w:tcBorders>
              <w:left w:val="single" w:sz="4" w:space="0" w:color="auto"/>
              <w:bottom w:val="single" w:sz="4" w:space="0" w:color="auto"/>
              <w:right w:val="single" w:sz="4" w:space="0" w:color="auto"/>
            </w:tcBorders>
            <w:shd w:val="clear" w:color="auto" w:fill="auto"/>
          </w:tcPr>
          <w:p w14:paraId="4D8CA858" w14:textId="77777777" w:rsidR="00D24261" w:rsidRPr="00330DAA" w:rsidRDefault="00D24261" w:rsidP="00E730EF">
            <w:pPr>
              <w:pStyle w:val="TableText0"/>
              <w:keepLines/>
              <w:widowControl w:val="0"/>
              <w:jc w:val="center"/>
            </w:pPr>
            <w:r w:rsidRPr="00F815BD">
              <w:rPr>
                <w:rFonts w:cs="Times New Roman"/>
              </w:rPr>
              <w:t>211/359 (58.8%)</w:t>
            </w:r>
          </w:p>
        </w:tc>
        <w:tc>
          <w:tcPr>
            <w:tcW w:w="628" w:type="pct"/>
            <w:tcBorders>
              <w:left w:val="single" w:sz="4" w:space="0" w:color="auto"/>
              <w:bottom w:val="single" w:sz="4" w:space="0" w:color="auto"/>
              <w:right w:val="single" w:sz="4" w:space="0" w:color="auto"/>
            </w:tcBorders>
            <w:shd w:val="clear" w:color="auto" w:fill="auto"/>
            <w:vAlign w:val="center"/>
          </w:tcPr>
          <w:p w14:paraId="282310C3" w14:textId="77777777" w:rsidR="00D24261" w:rsidRPr="00330DAA" w:rsidRDefault="00D24261" w:rsidP="00E730EF">
            <w:pPr>
              <w:pStyle w:val="TableText0"/>
              <w:keepLines/>
              <w:widowControl w:val="0"/>
              <w:jc w:val="center"/>
            </w:pPr>
            <w:r w:rsidRPr="00F815BD">
              <w:rPr>
                <w:rFonts w:cs="Times New Roman"/>
              </w:rPr>
              <w:t>-</w:t>
            </w:r>
          </w:p>
        </w:tc>
        <w:tc>
          <w:tcPr>
            <w:tcW w:w="758" w:type="pct"/>
            <w:vMerge w:val="restart"/>
            <w:tcBorders>
              <w:left w:val="single" w:sz="4" w:space="0" w:color="auto"/>
            </w:tcBorders>
            <w:shd w:val="clear" w:color="auto" w:fill="auto"/>
            <w:vAlign w:val="center"/>
          </w:tcPr>
          <w:p w14:paraId="6446C5AE" w14:textId="77777777" w:rsidR="00D24261" w:rsidRPr="00C67006" w:rsidRDefault="00D24261" w:rsidP="00E730EF">
            <w:pPr>
              <w:pStyle w:val="TableText0"/>
              <w:keepLines/>
              <w:widowControl w:val="0"/>
              <w:jc w:val="center"/>
            </w:pPr>
            <w:r w:rsidRPr="00F815BD">
              <w:rPr>
                <w:rFonts w:cs="Times New Roman"/>
                <w:b/>
              </w:rPr>
              <w:t>0.75 (0.62, 0.92)</w:t>
            </w:r>
          </w:p>
        </w:tc>
      </w:tr>
      <w:tr w:rsidR="00D24261" w:rsidRPr="00C67006" w14:paraId="3004EE4F" w14:textId="77777777" w:rsidTr="00A3402E">
        <w:trPr>
          <w:trHeight w:val="20"/>
        </w:trPr>
        <w:tc>
          <w:tcPr>
            <w:tcW w:w="1727" w:type="pct"/>
            <w:tcBorders>
              <w:bottom w:val="single" w:sz="4" w:space="0" w:color="auto"/>
              <w:right w:val="single" w:sz="4" w:space="0" w:color="auto"/>
            </w:tcBorders>
            <w:shd w:val="clear" w:color="auto" w:fill="auto"/>
          </w:tcPr>
          <w:p w14:paraId="3836E9CE" w14:textId="77777777" w:rsidR="00D24261" w:rsidRPr="00330DAA" w:rsidRDefault="00D24261" w:rsidP="00E730EF">
            <w:pPr>
              <w:pStyle w:val="TableText0"/>
              <w:keepLines/>
              <w:widowControl w:val="0"/>
            </w:pPr>
            <w:r w:rsidRPr="00330DAA">
              <w:t>Median PFS</w:t>
            </w:r>
            <w:r>
              <w:t xml:space="preserve">, </w:t>
            </w:r>
            <w:r w:rsidRPr="00330DAA">
              <w:t>months</w:t>
            </w:r>
            <w:r>
              <w:t xml:space="preserve"> (95% CI)</w:t>
            </w:r>
          </w:p>
        </w:tc>
        <w:tc>
          <w:tcPr>
            <w:tcW w:w="943" w:type="pct"/>
            <w:tcBorders>
              <w:left w:val="single" w:sz="4" w:space="0" w:color="auto"/>
              <w:bottom w:val="single" w:sz="4" w:space="0" w:color="auto"/>
              <w:right w:val="single" w:sz="4" w:space="0" w:color="auto"/>
            </w:tcBorders>
            <w:shd w:val="clear" w:color="auto" w:fill="auto"/>
            <w:vAlign w:val="center"/>
          </w:tcPr>
          <w:p w14:paraId="2DB45A88" w14:textId="77777777" w:rsidR="00D24261" w:rsidRPr="00330DAA" w:rsidRDefault="00D24261" w:rsidP="00E730EF">
            <w:pPr>
              <w:pStyle w:val="TableText0"/>
              <w:keepLines/>
              <w:widowControl w:val="0"/>
              <w:jc w:val="center"/>
              <w:rPr>
                <w:rFonts w:cs="Times New Roman"/>
                <w:szCs w:val="20"/>
              </w:rPr>
            </w:pPr>
            <w:r w:rsidRPr="00F815BD">
              <w:rPr>
                <w:rFonts w:cs="Times New Roman"/>
              </w:rPr>
              <w:t>10.12 (6.37, 15.74)</w:t>
            </w:r>
          </w:p>
        </w:tc>
        <w:tc>
          <w:tcPr>
            <w:tcW w:w="944" w:type="pct"/>
            <w:tcBorders>
              <w:left w:val="single" w:sz="4" w:space="0" w:color="auto"/>
              <w:bottom w:val="single" w:sz="4" w:space="0" w:color="auto"/>
              <w:right w:val="single" w:sz="4" w:space="0" w:color="auto"/>
            </w:tcBorders>
            <w:shd w:val="clear" w:color="auto" w:fill="auto"/>
            <w:vAlign w:val="center"/>
          </w:tcPr>
          <w:p w14:paraId="7B01CCF3" w14:textId="77777777" w:rsidR="00D24261" w:rsidRPr="00330DAA" w:rsidRDefault="00D24261" w:rsidP="00E730EF">
            <w:pPr>
              <w:pStyle w:val="TableText0"/>
              <w:keepLines/>
              <w:widowControl w:val="0"/>
              <w:jc w:val="center"/>
              <w:rPr>
                <w:rFonts w:cs="Times New Roman"/>
                <w:szCs w:val="20"/>
              </w:rPr>
            </w:pPr>
            <w:r w:rsidRPr="00F815BD">
              <w:rPr>
                <w:rFonts w:cs="Times New Roman"/>
              </w:rPr>
              <w:t>4.63 (3.38, 5.62)</w:t>
            </w:r>
          </w:p>
        </w:tc>
        <w:tc>
          <w:tcPr>
            <w:tcW w:w="628" w:type="pct"/>
            <w:tcBorders>
              <w:left w:val="single" w:sz="4" w:space="0" w:color="auto"/>
              <w:bottom w:val="single" w:sz="4" w:space="0" w:color="auto"/>
              <w:right w:val="single" w:sz="4" w:space="0" w:color="auto"/>
            </w:tcBorders>
            <w:shd w:val="clear" w:color="auto" w:fill="auto"/>
            <w:vAlign w:val="center"/>
          </w:tcPr>
          <w:p w14:paraId="0F20734D" w14:textId="77777777" w:rsidR="00D24261" w:rsidRPr="00330DAA" w:rsidRDefault="00D24261" w:rsidP="00E730EF">
            <w:pPr>
              <w:pStyle w:val="TableText0"/>
              <w:keepLines/>
              <w:widowControl w:val="0"/>
              <w:jc w:val="center"/>
            </w:pPr>
            <w:r w:rsidRPr="00F815BD">
              <w:rPr>
                <w:rFonts w:cs="Times New Roman"/>
              </w:rPr>
              <w:t>5.49 months</w:t>
            </w:r>
          </w:p>
        </w:tc>
        <w:tc>
          <w:tcPr>
            <w:tcW w:w="758" w:type="pct"/>
            <w:vMerge/>
            <w:tcBorders>
              <w:left w:val="single" w:sz="4" w:space="0" w:color="auto"/>
            </w:tcBorders>
            <w:shd w:val="clear" w:color="auto" w:fill="auto"/>
            <w:vAlign w:val="center"/>
          </w:tcPr>
          <w:p w14:paraId="6AF40F89" w14:textId="77777777" w:rsidR="00D24261" w:rsidRPr="00C67006" w:rsidRDefault="00D24261" w:rsidP="00E730EF">
            <w:pPr>
              <w:pStyle w:val="TableText0"/>
              <w:keepLines/>
              <w:widowControl w:val="0"/>
              <w:jc w:val="center"/>
              <w:rPr>
                <w:szCs w:val="20"/>
              </w:rPr>
            </w:pPr>
          </w:p>
        </w:tc>
      </w:tr>
      <w:tr w:rsidR="00D24261" w:rsidRPr="00C67006" w14:paraId="3D4B5909" w14:textId="77777777" w:rsidTr="00A3402E">
        <w:trPr>
          <w:trHeight w:val="20"/>
        </w:trPr>
        <w:tc>
          <w:tcPr>
            <w:tcW w:w="1727" w:type="pct"/>
            <w:tcBorders>
              <w:bottom w:val="single" w:sz="4" w:space="0" w:color="auto"/>
              <w:right w:val="single" w:sz="4" w:space="0" w:color="auto"/>
            </w:tcBorders>
            <w:shd w:val="clear" w:color="auto" w:fill="auto"/>
            <w:vAlign w:val="center"/>
          </w:tcPr>
          <w:p w14:paraId="48372A22" w14:textId="77777777" w:rsidR="00D24261" w:rsidRPr="00330DAA" w:rsidRDefault="00D24261" w:rsidP="00361E49">
            <w:pPr>
              <w:pStyle w:val="TableText0"/>
              <w:keepLines/>
              <w:widowControl w:val="0"/>
            </w:pPr>
            <w:r w:rsidRPr="00330DAA">
              <w:t xml:space="preserve">% not progressed at </w:t>
            </w:r>
            <w:r>
              <w:t>6</w:t>
            </w:r>
            <w:r w:rsidRPr="00330DAA">
              <w:t xml:space="preserve"> months (95% CI)</w:t>
            </w:r>
          </w:p>
        </w:tc>
        <w:tc>
          <w:tcPr>
            <w:tcW w:w="943" w:type="pct"/>
            <w:tcBorders>
              <w:left w:val="single" w:sz="4" w:space="0" w:color="auto"/>
              <w:bottom w:val="single" w:sz="4" w:space="0" w:color="auto"/>
              <w:right w:val="single" w:sz="4" w:space="0" w:color="auto"/>
            </w:tcBorders>
            <w:shd w:val="clear" w:color="auto" w:fill="auto"/>
            <w:vAlign w:val="center"/>
          </w:tcPr>
          <w:p w14:paraId="0758479A" w14:textId="77777777" w:rsidR="00D24261" w:rsidRDefault="00D24261" w:rsidP="00E730EF">
            <w:pPr>
              <w:pStyle w:val="TableText0"/>
              <w:keepLines/>
              <w:widowControl w:val="0"/>
              <w:jc w:val="center"/>
              <w:rPr>
                <w:rFonts w:cs="Times New Roman"/>
              </w:rPr>
            </w:pPr>
            <w:r>
              <w:rPr>
                <w:rFonts w:cs="Times New Roman"/>
              </w:rPr>
              <w:t xml:space="preserve">57.2% </w:t>
            </w:r>
          </w:p>
          <w:p w14:paraId="60BF8BFA" w14:textId="77777777" w:rsidR="00D24261" w:rsidRPr="00F815BD" w:rsidRDefault="00D24261" w:rsidP="00E730EF">
            <w:pPr>
              <w:pStyle w:val="TableText0"/>
              <w:keepLines/>
              <w:widowControl w:val="0"/>
              <w:jc w:val="center"/>
              <w:rPr>
                <w:rFonts w:cs="Times New Roman"/>
              </w:rPr>
            </w:pPr>
            <w:r>
              <w:rPr>
                <w:rFonts w:cs="Times New Roman"/>
              </w:rPr>
              <w:t>(51.5%, 62.5%)</w:t>
            </w:r>
          </w:p>
        </w:tc>
        <w:tc>
          <w:tcPr>
            <w:tcW w:w="944" w:type="pct"/>
            <w:tcBorders>
              <w:left w:val="single" w:sz="4" w:space="0" w:color="auto"/>
              <w:bottom w:val="single" w:sz="4" w:space="0" w:color="auto"/>
              <w:right w:val="single" w:sz="4" w:space="0" w:color="auto"/>
            </w:tcBorders>
            <w:shd w:val="clear" w:color="auto" w:fill="auto"/>
            <w:vAlign w:val="center"/>
          </w:tcPr>
          <w:p w14:paraId="2F69D608" w14:textId="77777777" w:rsidR="00D24261" w:rsidRDefault="00D24261" w:rsidP="00E730EF">
            <w:pPr>
              <w:pStyle w:val="TableText0"/>
              <w:keepLines/>
              <w:widowControl w:val="0"/>
              <w:jc w:val="center"/>
              <w:rPr>
                <w:rFonts w:cs="Times New Roman"/>
              </w:rPr>
            </w:pPr>
            <w:r w:rsidRPr="00245D4B">
              <w:rPr>
                <w:rFonts w:cs="Times New Roman"/>
              </w:rPr>
              <w:t>44.1</w:t>
            </w:r>
            <w:r>
              <w:rPr>
                <w:rFonts w:cs="Times New Roman"/>
              </w:rPr>
              <w:t>%</w:t>
            </w:r>
          </w:p>
          <w:p w14:paraId="0A44AD14" w14:textId="77777777" w:rsidR="00D24261" w:rsidRPr="00F815BD" w:rsidRDefault="00D24261" w:rsidP="00E730EF">
            <w:pPr>
              <w:pStyle w:val="TableText0"/>
              <w:keepLines/>
              <w:widowControl w:val="0"/>
              <w:jc w:val="center"/>
              <w:rPr>
                <w:rFonts w:cs="Times New Roman"/>
              </w:rPr>
            </w:pPr>
            <w:r w:rsidRPr="00245D4B">
              <w:rPr>
                <w:rFonts w:cs="Times New Roman"/>
              </w:rPr>
              <w:t>(38.5</w:t>
            </w:r>
            <w:r>
              <w:rPr>
                <w:rFonts w:cs="Times New Roman"/>
              </w:rPr>
              <w:t>%</w:t>
            </w:r>
            <w:r w:rsidRPr="00245D4B">
              <w:rPr>
                <w:rFonts w:cs="Times New Roman"/>
              </w:rPr>
              <w:t>, 49.5</w:t>
            </w:r>
            <w:r>
              <w:rPr>
                <w:rFonts w:cs="Times New Roman"/>
              </w:rPr>
              <w:t>%</w:t>
            </w:r>
            <w:r w:rsidRPr="00245D4B">
              <w:rPr>
                <w:rFonts w:cs="Times New Roman"/>
              </w:rPr>
              <w:t>)</w:t>
            </w:r>
          </w:p>
        </w:tc>
        <w:tc>
          <w:tcPr>
            <w:tcW w:w="628" w:type="pct"/>
            <w:tcBorders>
              <w:left w:val="single" w:sz="4" w:space="0" w:color="auto"/>
              <w:bottom w:val="single" w:sz="4" w:space="0" w:color="auto"/>
              <w:right w:val="single" w:sz="4" w:space="0" w:color="auto"/>
            </w:tcBorders>
            <w:shd w:val="clear" w:color="auto" w:fill="auto"/>
            <w:vAlign w:val="center"/>
          </w:tcPr>
          <w:p w14:paraId="07B08646" w14:textId="77777777" w:rsidR="00D24261" w:rsidRPr="00F815BD" w:rsidRDefault="00D24261" w:rsidP="00E730EF">
            <w:pPr>
              <w:pStyle w:val="TableText0"/>
              <w:keepLines/>
              <w:widowControl w:val="0"/>
              <w:jc w:val="center"/>
              <w:rPr>
                <w:rFonts w:cs="Times New Roman"/>
              </w:rPr>
            </w:pPr>
            <w:r>
              <w:rPr>
                <w:rFonts w:cs="Times New Roman"/>
              </w:rPr>
              <w:t>13.1%</w:t>
            </w:r>
          </w:p>
        </w:tc>
        <w:tc>
          <w:tcPr>
            <w:tcW w:w="758" w:type="pct"/>
            <w:vMerge/>
            <w:tcBorders>
              <w:left w:val="single" w:sz="4" w:space="0" w:color="auto"/>
            </w:tcBorders>
            <w:shd w:val="clear" w:color="auto" w:fill="auto"/>
            <w:vAlign w:val="center"/>
          </w:tcPr>
          <w:p w14:paraId="1A1BF324" w14:textId="77777777" w:rsidR="00D24261" w:rsidRPr="00C67006" w:rsidRDefault="00D24261" w:rsidP="00E730EF">
            <w:pPr>
              <w:pStyle w:val="TableText0"/>
              <w:keepLines/>
              <w:widowControl w:val="0"/>
              <w:jc w:val="center"/>
              <w:rPr>
                <w:szCs w:val="20"/>
              </w:rPr>
            </w:pPr>
          </w:p>
        </w:tc>
      </w:tr>
      <w:tr w:rsidR="00D24261" w:rsidRPr="00C67006" w14:paraId="35DD9452" w14:textId="77777777" w:rsidTr="00A3402E">
        <w:trPr>
          <w:trHeight w:val="20"/>
        </w:trPr>
        <w:tc>
          <w:tcPr>
            <w:tcW w:w="1727" w:type="pct"/>
            <w:tcBorders>
              <w:bottom w:val="single" w:sz="4" w:space="0" w:color="auto"/>
              <w:right w:val="single" w:sz="4" w:space="0" w:color="auto"/>
            </w:tcBorders>
            <w:shd w:val="clear" w:color="auto" w:fill="auto"/>
            <w:vAlign w:val="center"/>
          </w:tcPr>
          <w:p w14:paraId="0EA38783" w14:textId="77777777" w:rsidR="00D24261" w:rsidRPr="00330DAA" w:rsidRDefault="00D24261" w:rsidP="00361E49">
            <w:pPr>
              <w:pStyle w:val="TableText0"/>
              <w:keepLines/>
              <w:widowControl w:val="0"/>
            </w:pPr>
            <w:r w:rsidRPr="00330DAA">
              <w:t xml:space="preserve">% not progressed at </w:t>
            </w:r>
            <w:r>
              <w:t>12</w:t>
            </w:r>
            <w:r w:rsidRPr="00330DAA">
              <w:t xml:space="preserve"> months (95% CI)</w:t>
            </w:r>
          </w:p>
        </w:tc>
        <w:tc>
          <w:tcPr>
            <w:tcW w:w="943" w:type="pct"/>
            <w:tcBorders>
              <w:left w:val="single" w:sz="4" w:space="0" w:color="auto"/>
              <w:bottom w:val="single" w:sz="4" w:space="0" w:color="auto"/>
              <w:right w:val="single" w:sz="4" w:space="0" w:color="auto"/>
            </w:tcBorders>
            <w:shd w:val="clear" w:color="auto" w:fill="auto"/>
            <w:vAlign w:val="center"/>
          </w:tcPr>
          <w:p w14:paraId="32926CE1" w14:textId="77777777" w:rsidR="00D24261" w:rsidRDefault="00D24261" w:rsidP="00E730EF">
            <w:pPr>
              <w:pStyle w:val="TableText0"/>
              <w:keepLines/>
              <w:widowControl w:val="0"/>
              <w:jc w:val="center"/>
              <w:rPr>
                <w:rFonts w:cs="Times New Roman"/>
              </w:rPr>
            </w:pPr>
            <w:r w:rsidRPr="00245D4B">
              <w:rPr>
                <w:rFonts w:cs="Times New Roman"/>
              </w:rPr>
              <w:t>47.7</w:t>
            </w:r>
            <w:r>
              <w:rPr>
                <w:rFonts w:cs="Times New Roman"/>
              </w:rPr>
              <w:t>%</w:t>
            </w:r>
            <w:r w:rsidRPr="00245D4B">
              <w:rPr>
                <w:rFonts w:cs="Times New Roman"/>
              </w:rPr>
              <w:t xml:space="preserve"> </w:t>
            </w:r>
          </w:p>
          <w:p w14:paraId="3667C7BC" w14:textId="77777777" w:rsidR="00D24261" w:rsidRPr="00F815BD" w:rsidRDefault="00D24261" w:rsidP="00E730EF">
            <w:pPr>
              <w:pStyle w:val="TableText0"/>
              <w:keepLines/>
              <w:widowControl w:val="0"/>
              <w:jc w:val="center"/>
              <w:rPr>
                <w:rFonts w:cs="Times New Roman"/>
              </w:rPr>
            </w:pPr>
            <w:r w:rsidRPr="00245D4B">
              <w:rPr>
                <w:rFonts w:cs="Times New Roman"/>
              </w:rPr>
              <w:t>(41.8</w:t>
            </w:r>
            <w:r>
              <w:rPr>
                <w:rFonts w:cs="Times New Roman"/>
              </w:rPr>
              <w:t>%</w:t>
            </w:r>
            <w:r w:rsidRPr="00245D4B">
              <w:rPr>
                <w:rFonts w:cs="Times New Roman"/>
              </w:rPr>
              <w:t>, 53.2</w:t>
            </w:r>
            <w:r>
              <w:rPr>
                <w:rFonts w:cs="Times New Roman"/>
              </w:rPr>
              <w:t>%</w:t>
            </w:r>
            <w:r w:rsidRPr="00245D4B">
              <w:rPr>
                <w:rFonts w:cs="Times New Roman"/>
              </w:rPr>
              <w:t>)</w:t>
            </w:r>
          </w:p>
        </w:tc>
        <w:tc>
          <w:tcPr>
            <w:tcW w:w="944" w:type="pct"/>
            <w:tcBorders>
              <w:left w:val="single" w:sz="4" w:space="0" w:color="auto"/>
              <w:bottom w:val="single" w:sz="4" w:space="0" w:color="auto"/>
              <w:right w:val="single" w:sz="4" w:space="0" w:color="auto"/>
            </w:tcBorders>
            <w:shd w:val="clear" w:color="auto" w:fill="auto"/>
            <w:vAlign w:val="center"/>
          </w:tcPr>
          <w:p w14:paraId="46664286" w14:textId="77777777" w:rsidR="00D24261" w:rsidRDefault="00D24261" w:rsidP="00E730EF">
            <w:pPr>
              <w:pStyle w:val="TableText0"/>
              <w:keepLines/>
              <w:widowControl w:val="0"/>
              <w:jc w:val="center"/>
              <w:rPr>
                <w:rFonts w:cs="Times New Roman"/>
              </w:rPr>
            </w:pPr>
            <w:r w:rsidRPr="00245D4B">
              <w:rPr>
                <w:rFonts w:cs="Times New Roman"/>
              </w:rPr>
              <w:t>36.0</w:t>
            </w:r>
            <w:r>
              <w:rPr>
                <w:rFonts w:cs="Times New Roman"/>
              </w:rPr>
              <w:t>%</w:t>
            </w:r>
          </w:p>
          <w:p w14:paraId="5C12F69B" w14:textId="77777777" w:rsidR="00D24261" w:rsidRPr="00F815BD" w:rsidRDefault="00D24261" w:rsidP="00E730EF">
            <w:pPr>
              <w:pStyle w:val="TableText0"/>
              <w:keepLines/>
              <w:widowControl w:val="0"/>
              <w:jc w:val="center"/>
              <w:rPr>
                <w:rFonts w:cs="Times New Roman"/>
              </w:rPr>
            </w:pPr>
            <w:r w:rsidRPr="00245D4B">
              <w:rPr>
                <w:rFonts w:cs="Times New Roman"/>
              </w:rPr>
              <w:t>(30.5</w:t>
            </w:r>
            <w:r>
              <w:rPr>
                <w:rFonts w:cs="Times New Roman"/>
              </w:rPr>
              <w:t>%</w:t>
            </w:r>
            <w:r w:rsidRPr="00245D4B">
              <w:rPr>
                <w:rFonts w:cs="Times New Roman"/>
              </w:rPr>
              <w:t>, 41.6</w:t>
            </w:r>
            <w:r>
              <w:rPr>
                <w:rFonts w:cs="Times New Roman"/>
              </w:rPr>
              <w:t>%</w:t>
            </w:r>
            <w:r w:rsidRPr="00245D4B">
              <w:rPr>
                <w:rFonts w:cs="Times New Roman"/>
              </w:rPr>
              <w:t>)</w:t>
            </w:r>
          </w:p>
        </w:tc>
        <w:tc>
          <w:tcPr>
            <w:tcW w:w="628" w:type="pct"/>
            <w:tcBorders>
              <w:left w:val="single" w:sz="4" w:space="0" w:color="auto"/>
              <w:bottom w:val="single" w:sz="4" w:space="0" w:color="auto"/>
              <w:right w:val="single" w:sz="4" w:space="0" w:color="auto"/>
            </w:tcBorders>
            <w:shd w:val="clear" w:color="auto" w:fill="auto"/>
            <w:vAlign w:val="center"/>
          </w:tcPr>
          <w:p w14:paraId="5E8B6FAC" w14:textId="77777777" w:rsidR="00D24261" w:rsidRPr="00F815BD" w:rsidRDefault="00D24261" w:rsidP="00E730EF">
            <w:pPr>
              <w:pStyle w:val="TableText0"/>
              <w:keepLines/>
              <w:widowControl w:val="0"/>
              <w:jc w:val="center"/>
              <w:rPr>
                <w:rFonts w:cs="Times New Roman"/>
              </w:rPr>
            </w:pPr>
            <w:r>
              <w:rPr>
                <w:rFonts w:cs="Times New Roman"/>
              </w:rPr>
              <w:t>11.7%</w:t>
            </w:r>
          </w:p>
        </w:tc>
        <w:tc>
          <w:tcPr>
            <w:tcW w:w="758" w:type="pct"/>
            <w:vMerge/>
            <w:tcBorders>
              <w:left w:val="single" w:sz="4" w:space="0" w:color="auto"/>
              <w:bottom w:val="nil"/>
            </w:tcBorders>
            <w:shd w:val="clear" w:color="auto" w:fill="auto"/>
            <w:vAlign w:val="center"/>
          </w:tcPr>
          <w:p w14:paraId="264811BF" w14:textId="77777777" w:rsidR="00D24261" w:rsidRPr="00C67006" w:rsidRDefault="00D24261" w:rsidP="00E730EF">
            <w:pPr>
              <w:pStyle w:val="TableText0"/>
              <w:keepLines/>
              <w:widowControl w:val="0"/>
              <w:jc w:val="center"/>
              <w:rPr>
                <w:szCs w:val="20"/>
              </w:rPr>
            </w:pPr>
          </w:p>
        </w:tc>
      </w:tr>
      <w:tr w:rsidR="00D24261" w:rsidRPr="00511320" w14:paraId="781E068B" w14:textId="77777777" w:rsidTr="00993EEC">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08FCFA7" w14:textId="0613C2FE" w:rsidR="00D24261" w:rsidRPr="00330DAA" w:rsidRDefault="00D24261" w:rsidP="00E730EF">
            <w:pPr>
              <w:pStyle w:val="In-tableHeading"/>
            </w:pPr>
            <w:r w:rsidRPr="00330DAA">
              <w:t>Overall survival (median duration of follow</w:t>
            </w:r>
            <w:r w:rsidR="00292876">
              <w:t>-</w:t>
            </w:r>
            <w:r w:rsidRPr="00330DAA">
              <w:t xml:space="preserve">up </w:t>
            </w:r>
            <w:r>
              <w:t>19.27</w:t>
            </w:r>
            <w:r w:rsidRPr="00330DAA">
              <w:t xml:space="preserve"> months)</w:t>
            </w:r>
          </w:p>
        </w:tc>
      </w:tr>
      <w:tr w:rsidR="00361E49" w:rsidRPr="00511320" w14:paraId="6AC18C96" w14:textId="77777777" w:rsidTr="00A3402E">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32EDEA46" w14:textId="77777777" w:rsidR="00361E49" w:rsidRPr="00330DAA" w:rsidRDefault="00361E49" w:rsidP="00E730EF">
            <w:pPr>
              <w:pStyle w:val="TableText0"/>
              <w:keepLines/>
              <w:widowControl w:val="0"/>
            </w:pPr>
            <w:r w:rsidRPr="00330DAA">
              <w:t xml:space="preserve">Deaths, n/N (%) </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6C4148EF" w14:textId="77777777" w:rsidR="00361E49" w:rsidRPr="00330DAA" w:rsidRDefault="00361E49" w:rsidP="00E730EF">
            <w:pPr>
              <w:pStyle w:val="TableText0"/>
              <w:keepLines/>
              <w:widowControl w:val="0"/>
              <w:jc w:val="center"/>
            </w:pPr>
            <w:r w:rsidRPr="003774DC">
              <w:t>137/355 (38.6%)</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1F97D9EF" w14:textId="77777777" w:rsidR="00361E49" w:rsidRPr="00330DAA" w:rsidRDefault="00361E49" w:rsidP="00E730EF">
            <w:pPr>
              <w:pStyle w:val="TableText0"/>
              <w:keepLines/>
              <w:widowControl w:val="0"/>
              <w:jc w:val="center"/>
            </w:pPr>
            <w:r w:rsidRPr="003774DC">
              <w:t>160/359 (44.6%)</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F9068E3" w14:textId="50E2EAE2" w:rsidR="00361E49" w:rsidRPr="00330DAA" w:rsidRDefault="00361E49" w:rsidP="00E730EF">
            <w:pPr>
              <w:pStyle w:val="TableText0"/>
              <w:keepLines/>
              <w:widowControl w:val="0"/>
              <w:jc w:val="center"/>
            </w:pPr>
            <w:r>
              <w:t>-</w:t>
            </w:r>
          </w:p>
        </w:tc>
        <w:tc>
          <w:tcPr>
            <w:tcW w:w="758" w:type="pct"/>
            <w:vMerge w:val="restart"/>
            <w:tcBorders>
              <w:top w:val="single" w:sz="4" w:space="0" w:color="auto"/>
              <w:left w:val="single" w:sz="4" w:space="0" w:color="auto"/>
              <w:right w:val="single" w:sz="4" w:space="0" w:color="auto"/>
            </w:tcBorders>
            <w:shd w:val="clear" w:color="auto" w:fill="auto"/>
            <w:vAlign w:val="center"/>
          </w:tcPr>
          <w:p w14:paraId="021495C0" w14:textId="77C7C58D" w:rsidR="00361E49" w:rsidRPr="00511320" w:rsidRDefault="00361E49" w:rsidP="008122D1">
            <w:pPr>
              <w:pStyle w:val="TableText0"/>
              <w:keepLines/>
              <w:widowControl w:val="0"/>
              <w:jc w:val="center"/>
            </w:pPr>
            <w:r w:rsidRPr="004A0F2C">
              <w:t>0.8</w:t>
            </w:r>
            <w:r>
              <w:t>0</w:t>
            </w:r>
            <w:r w:rsidRPr="004A0F2C">
              <w:t xml:space="preserve"> (0.64, 1.01)</w:t>
            </w:r>
          </w:p>
        </w:tc>
      </w:tr>
      <w:tr w:rsidR="00361E49" w:rsidRPr="00C67006" w14:paraId="304DE215" w14:textId="77777777" w:rsidTr="00A3402E">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tcPr>
          <w:p w14:paraId="1E3B4C49" w14:textId="77777777" w:rsidR="00361E49" w:rsidRPr="00330DAA" w:rsidRDefault="00361E49" w:rsidP="00E730EF">
            <w:pPr>
              <w:pStyle w:val="TableText0"/>
              <w:keepLines/>
              <w:widowControl w:val="0"/>
            </w:pPr>
            <w:r>
              <w:t xml:space="preserve">Median OS, </w:t>
            </w:r>
            <w:r w:rsidRPr="00330DAA">
              <w:t>months</w:t>
            </w:r>
            <w:r>
              <w:t xml:space="preserve"> (95% CI)</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63EA4550" w14:textId="77777777" w:rsidR="00361E49" w:rsidRPr="00330DAA" w:rsidRDefault="00361E49" w:rsidP="00E730EF">
            <w:pPr>
              <w:pStyle w:val="TableText0"/>
              <w:keepLines/>
              <w:widowControl w:val="0"/>
              <w:jc w:val="center"/>
              <w:rPr>
                <w:rFonts w:cs="Times New Roman"/>
                <w:szCs w:val="20"/>
              </w:rPr>
            </w:pPr>
            <w:r w:rsidRPr="003774DC">
              <w:t>NA (32.2, NR)</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2D720221" w14:textId="77777777" w:rsidR="00361E49" w:rsidRPr="00330DAA" w:rsidRDefault="00361E49" w:rsidP="00E730EF">
            <w:pPr>
              <w:pStyle w:val="TableText0"/>
              <w:keepLines/>
              <w:widowControl w:val="0"/>
              <w:jc w:val="center"/>
              <w:rPr>
                <w:rFonts w:cs="Times New Roman"/>
                <w:szCs w:val="20"/>
              </w:rPr>
            </w:pPr>
            <w:r w:rsidRPr="003774DC">
              <w:t>34.1 (25.23, NR)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9C86D54" w14:textId="77777777" w:rsidR="00361E49" w:rsidRPr="00330DAA" w:rsidRDefault="00361E49" w:rsidP="00E730EF">
            <w:pPr>
              <w:pStyle w:val="TableText0"/>
              <w:keepLines/>
              <w:widowControl w:val="0"/>
              <w:jc w:val="center"/>
            </w:pPr>
            <w:r>
              <w:t>-</w:t>
            </w:r>
          </w:p>
        </w:tc>
        <w:tc>
          <w:tcPr>
            <w:tcW w:w="758" w:type="pct"/>
            <w:vMerge/>
            <w:tcBorders>
              <w:left w:val="single" w:sz="4" w:space="0" w:color="auto"/>
              <w:right w:val="single" w:sz="4" w:space="0" w:color="auto"/>
            </w:tcBorders>
            <w:shd w:val="clear" w:color="auto" w:fill="auto"/>
            <w:vAlign w:val="center"/>
          </w:tcPr>
          <w:p w14:paraId="6916F1FA" w14:textId="77777777" w:rsidR="00361E49" w:rsidRPr="00C67006" w:rsidRDefault="00361E49" w:rsidP="008122D1">
            <w:pPr>
              <w:pStyle w:val="TableText0"/>
              <w:keepLines/>
              <w:widowControl w:val="0"/>
              <w:jc w:val="center"/>
              <w:rPr>
                <w:szCs w:val="20"/>
              </w:rPr>
            </w:pPr>
          </w:p>
        </w:tc>
      </w:tr>
      <w:tr w:rsidR="00361E49" w:rsidRPr="00C67006" w14:paraId="1C795DC4" w14:textId="77777777" w:rsidTr="00A3402E">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vAlign w:val="center"/>
          </w:tcPr>
          <w:p w14:paraId="3EF57E06" w14:textId="48CA4E6D" w:rsidR="00361E49" w:rsidRDefault="00361E49" w:rsidP="00361E49">
            <w:pPr>
              <w:pStyle w:val="TableText0"/>
              <w:keepLines/>
              <w:widowControl w:val="0"/>
            </w:pPr>
            <w:r>
              <w:t>% alive at 12 months (95% CI)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6AF076CE" w14:textId="237FBC0C" w:rsidR="00361E49" w:rsidRPr="003774DC" w:rsidRDefault="00361E49" w:rsidP="00361E49">
            <w:pPr>
              <w:pStyle w:val="TableText0"/>
              <w:keepLines/>
              <w:widowControl w:val="0"/>
              <w:jc w:val="center"/>
            </w:pPr>
            <w:r>
              <w:t xml:space="preserve">77.0% </w:t>
            </w:r>
            <w:r>
              <w:br/>
              <w:t>(72.2%, 81.1%)</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60AB9BE" w14:textId="25899CC2" w:rsidR="00361E49" w:rsidRPr="003774DC" w:rsidRDefault="00361E49" w:rsidP="00361E49">
            <w:pPr>
              <w:pStyle w:val="TableText0"/>
              <w:keepLines/>
              <w:widowControl w:val="0"/>
              <w:jc w:val="center"/>
            </w:pPr>
            <w:r>
              <w:t>71.6%</w:t>
            </w:r>
            <w:r>
              <w:br/>
              <w:t>(66.6%, 76.0%)</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4848013" w14:textId="0949A437" w:rsidR="00361E49" w:rsidRDefault="00361E49" w:rsidP="00361E49">
            <w:pPr>
              <w:pStyle w:val="TableText0"/>
              <w:keepLines/>
              <w:widowControl w:val="0"/>
              <w:jc w:val="center"/>
            </w:pPr>
            <w:r>
              <w:t>5.4%</w:t>
            </w:r>
          </w:p>
        </w:tc>
        <w:tc>
          <w:tcPr>
            <w:tcW w:w="758" w:type="pct"/>
            <w:vMerge/>
            <w:tcBorders>
              <w:left w:val="single" w:sz="4" w:space="0" w:color="auto"/>
              <w:right w:val="single" w:sz="4" w:space="0" w:color="auto"/>
            </w:tcBorders>
            <w:shd w:val="clear" w:color="auto" w:fill="auto"/>
            <w:vAlign w:val="center"/>
          </w:tcPr>
          <w:p w14:paraId="6A320868" w14:textId="77777777" w:rsidR="00361E49" w:rsidRPr="00C67006" w:rsidRDefault="00361E49" w:rsidP="008122D1">
            <w:pPr>
              <w:pStyle w:val="TableText0"/>
              <w:keepLines/>
              <w:widowControl w:val="0"/>
              <w:jc w:val="center"/>
              <w:rPr>
                <w:szCs w:val="20"/>
              </w:rPr>
            </w:pPr>
          </w:p>
        </w:tc>
      </w:tr>
      <w:tr w:rsidR="00361E49" w:rsidRPr="00C67006" w14:paraId="657E8F5C" w14:textId="77777777" w:rsidTr="00A3402E">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vAlign w:val="center"/>
          </w:tcPr>
          <w:p w14:paraId="34706375" w14:textId="51C3DBBE" w:rsidR="00361E49" w:rsidRDefault="00361E49" w:rsidP="00361E49">
            <w:pPr>
              <w:pStyle w:val="TableText0"/>
              <w:keepLines/>
              <w:widowControl w:val="0"/>
            </w:pPr>
            <w:r>
              <w:t>% alive at 24 months (95% CI)</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56A45D2A" w14:textId="3DC2435D" w:rsidR="00361E49" w:rsidRPr="003774DC" w:rsidRDefault="00361E49" w:rsidP="00361E49">
            <w:pPr>
              <w:pStyle w:val="TableText0"/>
              <w:keepLines/>
              <w:widowControl w:val="0"/>
              <w:jc w:val="center"/>
            </w:pPr>
            <w:r>
              <w:t xml:space="preserve">63.7% </w:t>
            </w:r>
            <w:r>
              <w:br/>
              <w:t>(58.1%, 68.7%)</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A96F00B" w14:textId="19502DAB" w:rsidR="00361E49" w:rsidRPr="003774DC" w:rsidRDefault="00361E49" w:rsidP="00361E49">
            <w:pPr>
              <w:pStyle w:val="TableText0"/>
              <w:keepLines/>
              <w:widowControl w:val="0"/>
              <w:jc w:val="center"/>
            </w:pPr>
            <w:r>
              <w:t>58.3%</w:t>
            </w:r>
            <w:r>
              <w:br/>
              <w:t>(52.7%, 63.4%)</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B83C365" w14:textId="4442F457" w:rsidR="00361E49" w:rsidRDefault="00361E49" w:rsidP="00361E49">
            <w:pPr>
              <w:pStyle w:val="TableText0"/>
              <w:keepLines/>
              <w:widowControl w:val="0"/>
              <w:jc w:val="center"/>
            </w:pPr>
            <w:r>
              <w:t>5.4%</w:t>
            </w:r>
          </w:p>
        </w:tc>
        <w:tc>
          <w:tcPr>
            <w:tcW w:w="758" w:type="pct"/>
            <w:vMerge/>
            <w:tcBorders>
              <w:left w:val="single" w:sz="4" w:space="0" w:color="auto"/>
              <w:right w:val="single" w:sz="4" w:space="0" w:color="auto"/>
            </w:tcBorders>
            <w:shd w:val="clear" w:color="auto" w:fill="auto"/>
            <w:vAlign w:val="center"/>
          </w:tcPr>
          <w:p w14:paraId="58EBB4A9" w14:textId="77777777" w:rsidR="00361E49" w:rsidRPr="00C67006" w:rsidRDefault="00361E49" w:rsidP="008122D1">
            <w:pPr>
              <w:pStyle w:val="TableText0"/>
              <w:keepLines/>
              <w:widowControl w:val="0"/>
              <w:jc w:val="center"/>
              <w:rPr>
                <w:szCs w:val="20"/>
              </w:rPr>
            </w:pPr>
          </w:p>
        </w:tc>
      </w:tr>
    </w:tbl>
    <w:tbl>
      <w:tblPr>
        <w:tblW w:w="5000" w:type="pct"/>
        <w:tblCellMar>
          <w:left w:w="28" w:type="dxa"/>
          <w:right w:w="28" w:type="dxa"/>
        </w:tblCellMar>
        <w:tblLook w:val="04A0" w:firstRow="1" w:lastRow="0" w:firstColumn="1" w:lastColumn="0" w:noHBand="0" w:noVBand="1"/>
      </w:tblPr>
      <w:tblGrid>
        <w:gridCol w:w="1696"/>
        <w:gridCol w:w="1135"/>
        <w:gridCol w:w="1136"/>
        <w:gridCol w:w="1419"/>
        <w:gridCol w:w="1136"/>
        <w:gridCol w:w="1105"/>
        <w:gridCol w:w="1390"/>
      </w:tblGrid>
      <w:tr w:rsidR="00D24261" w:rsidRPr="00E2771E" w14:paraId="2CCC5A30" w14:textId="77777777" w:rsidTr="00993EEC">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66643183" w14:textId="77777777" w:rsidR="00D24261" w:rsidRPr="00E2771E" w:rsidRDefault="00D24261" w:rsidP="00E730EF">
            <w:pPr>
              <w:pStyle w:val="In-tableHeading"/>
            </w:pPr>
            <w:r w:rsidRPr="00E2771E">
              <w:t xml:space="preserve">Harms </w:t>
            </w:r>
          </w:p>
        </w:tc>
      </w:tr>
      <w:tr w:rsidR="00D24261" w:rsidRPr="00E2771E" w14:paraId="07761D98" w14:textId="77777777" w:rsidTr="00361E49">
        <w:trPr>
          <w:trHeight w:val="70"/>
        </w:trPr>
        <w:tc>
          <w:tcPr>
            <w:tcW w:w="9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CB6FC" w14:textId="77777777" w:rsidR="00D24261" w:rsidRPr="00E2771E" w:rsidRDefault="00D24261" w:rsidP="00E730EF">
            <w:pPr>
              <w:pStyle w:val="In-tableHeading"/>
            </w:pP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1AF4A955" w14:textId="77777777" w:rsidR="00D24261" w:rsidRDefault="00D24261" w:rsidP="00E730EF">
            <w:pPr>
              <w:pStyle w:val="In-tableHeading"/>
              <w:jc w:val="center"/>
            </w:pPr>
            <w:r>
              <w:t>RELA+NIVO</w:t>
            </w:r>
          </w:p>
          <w:p w14:paraId="3710D5CE" w14:textId="77777777" w:rsidR="00D24261" w:rsidRPr="00E2771E" w:rsidRDefault="00D24261" w:rsidP="00E730EF">
            <w:pPr>
              <w:pStyle w:val="In-tableHeading"/>
              <w:jc w:val="center"/>
            </w:pPr>
            <w:r w:rsidRPr="005A3BFC">
              <w:t>n/N (%)</w:t>
            </w:r>
          </w:p>
        </w:tc>
        <w:tc>
          <w:tcPr>
            <w:tcW w:w="630" w:type="pct"/>
            <w:vMerge w:val="restart"/>
            <w:tcBorders>
              <w:top w:val="single" w:sz="4" w:space="0" w:color="auto"/>
              <w:left w:val="single" w:sz="4" w:space="0" w:color="auto"/>
              <w:bottom w:val="single" w:sz="4" w:space="0" w:color="auto"/>
              <w:right w:val="single" w:sz="4" w:space="0" w:color="auto"/>
            </w:tcBorders>
            <w:vAlign w:val="center"/>
          </w:tcPr>
          <w:p w14:paraId="1BE714F5" w14:textId="77777777" w:rsidR="00D24261" w:rsidRDefault="00D24261" w:rsidP="00E730EF">
            <w:pPr>
              <w:pStyle w:val="In-tableHeading"/>
              <w:jc w:val="center"/>
            </w:pPr>
            <w:r>
              <w:t>Nivolumab</w:t>
            </w:r>
          </w:p>
          <w:p w14:paraId="0B1BBBAC" w14:textId="77777777" w:rsidR="00D24261" w:rsidRPr="00E2771E" w:rsidRDefault="00D24261" w:rsidP="00E730EF">
            <w:pPr>
              <w:pStyle w:val="In-tableHeading"/>
              <w:jc w:val="center"/>
            </w:pPr>
            <w:r w:rsidRPr="005A3BFC">
              <w:t>n/N (%)</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14:paraId="41FB5F98" w14:textId="77777777" w:rsidR="00D24261" w:rsidRPr="00E2771E" w:rsidRDefault="00D24261" w:rsidP="00E730EF">
            <w:pPr>
              <w:pStyle w:val="In-tableHeading"/>
              <w:jc w:val="center"/>
            </w:pPr>
            <w:r w:rsidRPr="00E2771E">
              <w:t>RR</w:t>
            </w:r>
          </w:p>
          <w:p w14:paraId="638F2734" w14:textId="77777777" w:rsidR="00D24261" w:rsidRPr="00E2771E" w:rsidRDefault="00D24261" w:rsidP="00E730EF">
            <w:pPr>
              <w:pStyle w:val="In-tableHeading"/>
              <w:jc w:val="center"/>
            </w:pPr>
            <w:r w:rsidRPr="00E2771E">
              <w:t>(95% CI)</w:t>
            </w:r>
          </w:p>
        </w:tc>
        <w:tc>
          <w:tcPr>
            <w:tcW w:w="1243" w:type="pct"/>
            <w:gridSpan w:val="2"/>
            <w:tcBorders>
              <w:top w:val="single" w:sz="4" w:space="0" w:color="auto"/>
              <w:left w:val="single" w:sz="4" w:space="0" w:color="auto"/>
              <w:bottom w:val="single" w:sz="4" w:space="0" w:color="auto"/>
              <w:right w:val="single" w:sz="4" w:space="0" w:color="auto"/>
            </w:tcBorders>
            <w:vAlign w:val="center"/>
          </w:tcPr>
          <w:p w14:paraId="05DFDFB1" w14:textId="77777777" w:rsidR="00D24261" w:rsidRPr="00E2771E" w:rsidRDefault="00D24261" w:rsidP="00E730EF">
            <w:pPr>
              <w:pStyle w:val="In-tableHeading"/>
              <w:jc w:val="center"/>
            </w:pPr>
            <w:r w:rsidRPr="00E2771E">
              <w:t>Event rate/100 patients*</w:t>
            </w:r>
          </w:p>
        </w:tc>
        <w:tc>
          <w:tcPr>
            <w:tcW w:w="771" w:type="pct"/>
            <w:vMerge w:val="restart"/>
            <w:tcBorders>
              <w:top w:val="single" w:sz="4" w:space="0" w:color="auto"/>
              <w:left w:val="single" w:sz="4" w:space="0" w:color="auto"/>
              <w:bottom w:val="single" w:sz="4" w:space="0" w:color="auto"/>
              <w:right w:val="single" w:sz="4" w:space="0" w:color="auto"/>
            </w:tcBorders>
            <w:vAlign w:val="center"/>
          </w:tcPr>
          <w:p w14:paraId="78954F0E" w14:textId="77777777" w:rsidR="00D24261" w:rsidRPr="00E2771E" w:rsidRDefault="00D24261" w:rsidP="00E730EF">
            <w:pPr>
              <w:pStyle w:val="In-tableHeading"/>
              <w:jc w:val="center"/>
            </w:pPr>
            <w:r w:rsidRPr="00E2771E">
              <w:t>RD</w:t>
            </w:r>
          </w:p>
          <w:p w14:paraId="1306D06A" w14:textId="77777777" w:rsidR="00D24261" w:rsidRPr="00E2771E" w:rsidRDefault="00D24261" w:rsidP="00E730EF">
            <w:pPr>
              <w:pStyle w:val="In-tableHeading"/>
              <w:jc w:val="center"/>
            </w:pPr>
            <w:r w:rsidRPr="00E2771E">
              <w:t>(95% CI)</w:t>
            </w:r>
          </w:p>
        </w:tc>
      </w:tr>
      <w:tr w:rsidR="00D24261" w:rsidRPr="00E2771E" w14:paraId="62A90EC1" w14:textId="77777777" w:rsidTr="00361E49">
        <w:trPr>
          <w:trHeight w:val="390"/>
        </w:trPr>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5A14B4" w14:textId="77777777" w:rsidR="00D24261" w:rsidRPr="00E2771E" w:rsidRDefault="00D24261" w:rsidP="00E730EF">
            <w:pPr>
              <w:pStyle w:val="In-tableHeading"/>
            </w:pPr>
          </w:p>
        </w:tc>
        <w:tc>
          <w:tcPr>
            <w:tcW w:w="629" w:type="pct"/>
            <w:vMerge/>
            <w:tcBorders>
              <w:top w:val="single" w:sz="4" w:space="0" w:color="auto"/>
              <w:left w:val="single" w:sz="4" w:space="0" w:color="auto"/>
              <w:bottom w:val="single" w:sz="4" w:space="0" w:color="auto"/>
              <w:right w:val="single" w:sz="4" w:space="0" w:color="auto"/>
            </w:tcBorders>
            <w:vAlign w:val="center"/>
          </w:tcPr>
          <w:p w14:paraId="6FD917FA" w14:textId="77777777" w:rsidR="00D24261" w:rsidRPr="00E2771E" w:rsidRDefault="00D24261" w:rsidP="00E730EF">
            <w:pPr>
              <w:pStyle w:val="In-tableHeading"/>
            </w:pPr>
          </w:p>
        </w:tc>
        <w:tc>
          <w:tcPr>
            <w:tcW w:w="630" w:type="pct"/>
            <w:vMerge/>
            <w:tcBorders>
              <w:top w:val="single" w:sz="4" w:space="0" w:color="auto"/>
              <w:left w:val="single" w:sz="4" w:space="0" w:color="auto"/>
              <w:bottom w:val="single" w:sz="4" w:space="0" w:color="auto"/>
              <w:right w:val="single" w:sz="4" w:space="0" w:color="auto"/>
            </w:tcBorders>
            <w:vAlign w:val="center"/>
          </w:tcPr>
          <w:p w14:paraId="7679C2CF" w14:textId="77777777" w:rsidR="00D24261" w:rsidRPr="00E2771E" w:rsidRDefault="00D24261" w:rsidP="00E730EF">
            <w:pPr>
              <w:pStyle w:val="In-tableHeading"/>
            </w:pPr>
          </w:p>
        </w:tc>
        <w:tc>
          <w:tcPr>
            <w:tcW w:w="787" w:type="pct"/>
            <w:vMerge/>
            <w:tcBorders>
              <w:top w:val="single" w:sz="4" w:space="0" w:color="auto"/>
              <w:left w:val="single" w:sz="4" w:space="0" w:color="auto"/>
              <w:bottom w:val="single" w:sz="4" w:space="0" w:color="auto"/>
              <w:right w:val="single" w:sz="4" w:space="0" w:color="auto"/>
            </w:tcBorders>
            <w:vAlign w:val="center"/>
          </w:tcPr>
          <w:p w14:paraId="38337C1B" w14:textId="77777777" w:rsidR="00D24261" w:rsidRPr="00E2771E" w:rsidRDefault="00D24261" w:rsidP="00E730EF">
            <w:pPr>
              <w:pStyle w:val="In-tableHeading"/>
            </w:pPr>
          </w:p>
        </w:tc>
        <w:tc>
          <w:tcPr>
            <w:tcW w:w="630" w:type="pct"/>
            <w:tcBorders>
              <w:top w:val="single" w:sz="4" w:space="0" w:color="auto"/>
              <w:left w:val="single" w:sz="4" w:space="0" w:color="auto"/>
              <w:bottom w:val="single" w:sz="4" w:space="0" w:color="auto"/>
              <w:right w:val="single" w:sz="4" w:space="0" w:color="auto"/>
            </w:tcBorders>
            <w:vAlign w:val="center"/>
          </w:tcPr>
          <w:p w14:paraId="2A2CE9DB" w14:textId="77777777" w:rsidR="00D24261" w:rsidRPr="00E2771E" w:rsidRDefault="00D24261" w:rsidP="00E730EF">
            <w:pPr>
              <w:pStyle w:val="In-tableHeading"/>
              <w:jc w:val="center"/>
            </w:pPr>
            <w:r>
              <w:t>RELA+NIVO</w:t>
            </w:r>
          </w:p>
        </w:tc>
        <w:tc>
          <w:tcPr>
            <w:tcW w:w="613" w:type="pct"/>
            <w:tcBorders>
              <w:top w:val="single" w:sz="4" w:space="0" w:color="auto"/>
              <w:left w:val="single" w:sz="4" w:space="0" w:color="auto"/>
              <w:bottom w:val="single" w:sz="4" w:space="0" w:color="auto"/>
              <w:right w:val="single" w:sz="4" w:space="0" w:color="auto"/>
            </w:tcBorders>
            <w:vAlign w:val="center"/>
          </w:tcPr>
          <w:p w14:paraId="18144C6E" w14:textId="77777777" w:rsidR="00D24261" w:rsidRPr="00E2771E" w:rsidRDefault="00D24261" w:rsidP="00E730EF">
            <w:pPr>
              <w:pStyle w:val="In-tableHeading"/>
              <w:jc w:val="center"/>
            </w:pPr>
            <w:r>
              <w:t>Nivolumab</w:t>
            </w:r>
          </w:p>
        </w:tc>
        <w:tc>
          <w:tcPr>
            <w:tcW w:w="771" w:type="pct"/>
            <w:vMerge/>
            <w:tcBorders>
              <w:top w:val="single" w:sz="4" w:space="0" w:color="auto"/>
              <w:left w:val="single" w:sz="4" w:space="0" w:color="auto"/>
              <w:bottom w:val="single" w:sz="4" w:space="0" w:color="auto"/>
              <w:right w:val="single" w:sz="4" w:space="0" w:color="auto"/>
            </w:tcBorders>
            <w:vAlign w:val="center"/>
          </w:tcPr>
          <w:p w14:paraId="5DC4D194" w14:textId="77777777" w:rsidR="00D24261" w:rsidRPr="00E2771E" w:rsidRDefault="00D24261" w:rsidP="00E730EF">
            <w:pPr>
              <w:pStyle w:val="In-tableHeading"/>
            </w:pPr>
          </w:p>
        </w:tc>
      </w:tr>
      <w:tr w:rsidR="00D24261" w:rsidRPr="00E2771E" w14:paraId="1C6D8073" w14:textId="77777777" w:rsidTr="00361E49">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15D7165" w14:textId="77777777" w:rsidR="00D24261" w:rsidRPr="00E2771E" w:rsidRDefault="00D24261" w:rsidP="00E730EF">
            <w:pPr>
              <w:pStyle w:val="TableText0"/>
            </w:pPr>
            <w:r w:rsidRPr="00AE758C">
              <w:rPr>
                <w:color w:val="000000"/>
                <w:lang w:val="en-US"/>
              </w:rPr>
              <w:t>Pruritus</w:t>
            </w:r>
          </w:p>
        </w:tc>
        <w:tc>
          <w:tcPr>
            <w:tcW w:w="629" w:type="pct"/>
            <w:tcBorders>
              <w:top w:val="single" w:sz="4" w:space="0" w:color="auto"/>
              <w:left w:val="single" w:sz="4" w:space="0" w:color="auto"/>
              <w:bottom w:val="single" w:sz="4" w:space="0" w:color="auto"/>
              <w:right w:val="single" w:sz="4" w:space="0" w:color="auto"/>
            </w:tcBorders>
            <w:vAlign w:val="center"/>
          </w:tcPr>
          <w:p w14:paraId="18D3FA06" w14:textId="77777777" w:rsidR="00D24261" w:rsidRPr="00E2771E" w:rsidRDefault="00D24261" w:rsidP="00E730EF">
            <w:pPr>
              <w:pStyle w:val="TableText0"/>
              <w:jc w:val="center"/>
            </w:pPr>
            <w:r w:rsidRPr="00C91F9E">
              <w:rPr>
                <w:bCs w:val="0"/>
                <w:snapToGrid w:val="0"/>
                <w:color w:val="000000"/>
                <w:lang w:val="en-US"/>
              </w:rPr>
              <w:t>83</w:t>
            </w:r>
            <w:r>
              <w:rPr>
                <w:bCs w:val="0"/>
                <w:color w:val="000000"/>
                <w:lang w:val="en-US"/>
              </w:rPr>
              <w:t xml:space="preserve"> </w:t>
            </w:r>
            <w:r w:rsidRPr="00AE758C">
              <w:rPr>
                <w:color w:val="000000"/>
                <w:lang w:val="en-US"/>
              </w:rPr>
              <w:t>(23.38%)</w:t>
            </w:r>
          </w:p>
        </w:tc>
        <w:tc>
          <w:tcPr>
            <w:tcW w:w="630" w:type="pct"/>
            <w:tcBorders>
              <w:top w:val="single" w:sz="4" w:space="0" w:color="auto"/>
              <w:left w:val="single" w:sz="4" w:space="0" w:color="auto"/>
              <w:bottom w:val="single" w:sz="4" w:space="0" w:color="auto"/>
              <w:right w:val="single" w:sz="4" w:space="0" w:color="auto"/>
            </w:tcBorders>
            <w:vAlign w:val="center"/>
          </w:tcPr>
          <w:p w14:paraId="172B72DA" w14:textId="77777777" w:rsidR="00D24261" w:rsidRPr="00E2771E" w:rsidRDefault="00D24261" w:rsidP="00E730EF">
            <w:pPr>
              <w:pStyle w:val="TableText0"/>
              <w:jc w:val="center"/>
            </w:pPr>
            <w:r w:rsidRPr="00AE758C">
              <w:rPr>
                <w:color w:val="000000"/>
                <w:lang w:val="en-US"/>
              </w:rPr>
              <w:t>57 (15.88%)</w:t>
            </w:r>
          </w:p>
        </w:tc>
        <w:tc>
          <w:tcPr>
            <w:tcW w:w="787" w:type="pct"/>
            <w:tcBorders>
              <w:top w:val="single" w:sz="4" w:space="0" w:color="auto"/>
              <w:left w:val="single" w:sz="4" w:space="0" w:color="auto"/>
              <w:bottom w:val="single" w:sz="4" w:space="0" w:color="auto"/>
              <w:right w:val="single" w:sz="4" w:space="0" w:color="auto"/>
            </w:tcBorders>
            <w:vAlign w:val="center"/>
          </w:tcPr>
          <w:p w14:paraId="78E1D149" w14:textId="77777777" w:rsidR="00D24261" w:rsidRPr="00E2771E" w:rsidRDefault="00D24261" w:rsidP="00E730EF">
            <w:pPr>
              <w:pStyle w:val="TableText0"/>
              <w:jc w:val="center"/>
            </w:pPr>
            <w:r w:rsidRPr="007F228A">
              <w:rPr>
                <w:b/>
              </w:rPr>
              <w:t xml:space="preserve">1.47 </w:t>
            </w:r>
            <w:r>
              <w:rPr>
                <w:b/>
              </w:rPr>
              <w:t>(</w:t>
            </w:r>
            <w:r w:rsidRPr="007F228A">
              <w:rPr>
                <w:b/>
              </w:rPr>
              <w:t>1.09, 1.99</w:t>
            </w:r>
            <w:r>
              <w:rPr>
                <w:b/>
              </w:rPr>
              <w:t>)</w:t>
            </w:r>
          </w:p>
        </w:tc>
        <w:tc>
          <w:tcPr>
            <w:tcW w:w="630" w:type="pct"/>
            <w:tcBorders>
              <w:top w:val="single" w:sz="4" w:space="0" w:color="auto"/>
              <w:left w:val="single" w:sz="4" w:space="0" w:color="auto"/>
              <w:bottom w:val="single" w:sz="4" w:space="0" w:color="auto"/>
              <w:right w:val="single" w:sz="4" w:space="0" w:color="auto"/>
            </w:tcBorders>
            <w:vAlign w:val="center"/>
          </w:tcPr>
          <w:p w14:paraId="0A26D14A" w14:textId="77777777" w:rsidR="00D24261" w:rsidRPr="00E2771E" w:rsidRDefault="00D24261" w:rsidP="00E730EF">
            <w:pPr>
              <w:pStyle w:val="TableText0"/>
              <w:jc w:val="center"/>
            </w:pPr>
            <w:r>
              <w:t>23.4</w:t>
            </w:r>
          </w:p>
        </w:tc>
        <w:tc>
          <w:tcPr>
            <w:tcW w:w="613" w:type="pct"/>
            <w:tcBorders>
              <w:top w:val="single" w:sz="4" w:space="0" w:color="auto"/>
              <w:left w:val="single" w:sz="4" w:space="0" w:color="auto"/>
              <w:bottom w:val="single" w:sz="4" w:space="0" w:color="auto"/>
              <w:right w:val="single" w:sz="4" w:space="0" w:color="auto"/>
            </w:tcBorders>
            <w:vAlign w:val="center"/>
          </w:tcPr>
          <w:p w14:paraId="0E37A96D" w14:textId="77777777" w:rsidR="00D24261" w:rsidRPr="00E2771E" w:rsidRDefault="00D24261" w:rsidP="00E730EF">
            <w:pPr>
              <w:pStyle w:val="TableText0"/>
              <w:jc w:val="center"/>
            </w:pPr>
            <w:r>
              <w:t>15.9</w:t>
            </w:r>
          </w:p>
        </w:tc>
        <w:tc>
          <w:tcPr>
            <w:tcW w:w="771" w:type="pct"/>
            <w:tcBorders>
              <w:top w:val="single" w:sz="4" w:space="0" w:color="auto"/>
              <w:left w:val="single" w:sz="4" w:space="0" w:color="auto"/>
              <w:bottom w:val="single" w:sz="4" w:space="0" w:color="auto"/>
              <w:right w:val="single" w:sz="4" w:space="0" w:color="auto"/>
            </w:tcBorders>
            <w:vAlign w:val="center"/>
          </w:tcPr>
          <w:p w14:paraId="086B6E27" w14:textId="77777777" w:rsidR="00D24261" w:rsidRPr="00E2771E" w:rsidRDefault="00D24261" w:rsidP="00E730EF">
            <w:pPr>
              <w:pStyle w:val="TableText0"/>
              <w:jc w:val="center"/>
            </w:pPr>
            <w:r w:rsidRPr="007F228A">
              <w:rPr>
                <w:b/>
              </w:rPr>
              <w:t xml:space="preserve">0.08 </w:t>
            </w:r>
            <w:r>
              <w:rPr>
                <w:b/>
              </w:rPr>
              <w:t>(</w:t>
            </w:r>
            <w:r w:rsidRPr="007F228A">
              <w:rPr>
                <w:b/>
              </w:rPr>
              <w:t>0.02, 0.13</w:t>
            </w:r>
            <w:r>
              <w:rPr>
                <w:b/>
              </w:rPr>
              <w:t>)</w:t>
            </w:r>
          </w:p>
        </w:tc>
      </w:tr>
      <w:tr w:rsidR="00D24261" w:rsidRPr="00E2771E" w14:paraId="1867FC36" w14:textId="77777777" w:rsidTr="00361E49">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FE56AAF" w14:textId="77777777" w:rsidR="00D24261" w:rsidRPr="00E2771E" w:rsidRDefault="00D24261" w:rsidP="00E730EF">
            <w:pPr>
              <w:pStyle w:val="TableText0"/>
            </w:pPr>
            <w:r w:rsidRPr="00AE758C">
              <w:rPr>
                <w:color w:val="000000"/>
                <w:lang w:val="en-US"/>
              </w:rPr>
              <w:t>Fatigue</w:t>
            </w:r>
          </w:p>
        </w:tc>
        <w:tc>
          <w:tcPr>
            <w:tcW w:w="629" w:type="pct"/>
            <w:tcBorders>
              <w:top w:val="single" w:sz="4" w:space="0" w:color="auto"/>
              <w:left w:val="single" w:sz="4" w:space="0" w:color="auto"/>
              <w:bottom w:val="single" w:sz="4" w:space="0" w:color="auto"/>
              <w:right w:val="single" w:sz="4" w:space="0" w:color="auto"/>
            </w:tcBorders>
            <w:vAlign w:val="center"/>
          </w:tcPr>
          <w:p w14:paraId="0F3A8A2D" w14:textId="77777777" w:rsidR="00D24261" w:rsidRPr="00E2771E" w:rsidRDefault="00D24261" w:rsidP="00E730EF">
            <w:pPr>
              <w:pStyle w:val="TableText0"/>
              <w:jc w:val="center"/>
            </w:pPr>
            <w:r w:rsidRPr="00C91F9E">
              <w:rPr>
                <w:bCs w:val="0"/>
                <w:snapToGrid w:val="0"/>
                <w:color w:val="000000"/>
                <w:lang w:val="en-US"/>
              </w:rPr>
              <w:t>82</w:t>
            </w:r>
            <w:r>
              <w:rPr>
                <w:bCs w:val="0"/>
                <w:color w:val="000000"/>
                <w:lang w:val="en-US"/>
              </w:rPr>
              <w:t xml:space="preserve"> </w:t>
            </w:r>
            <w:r w:rsidRPr="00AE758C">
              <w:rPr>
                <w:color w:val="000000"/>
                <w:lang w:val="en-US"/>
              </w:rPr>
              <w:t>(23.10%)</w:t>
            </w:r>
          </w:p>
        </w:tc>
        <w:tc>
          <w:tcPr>
            <w:tcW w:w="630" w:type="pct"/>
            <w:tcBorders>
              <w:top w:val="single" w:sz="4" w:space="0" w:color="auto"/>
              <w:left w:val="single" w:sz="4" w:space="0" w:color="auto"/>
              <w:bottom w:val="single" w:sz="4" w:space="0" w:color="auto"/>
              <w:right w:val="single" w:sz="4" w:space="0" w:color="auto"/>
            </w:tcBorders>
            <w:vAlign w:val="center"/>
          </w:tcPr>
          <w:p w14:paraId="53D3A894" w14:textId="77777777" w:rsidR="00D24261" w:rsidRPr="00E2771E" w:rsidRDefault="00D24261" w:rsidP="00E730EF">
            <w:pPr>
              <w:pStyle w:val="TableText0"/>
              <w:jc w:val="center"/>
            </w:pPr>
            <w:r w:rsidRPr="00AE758C">
              <w:rPr>
                <w:color w:val="000000"/>
                <w:lang w:val="en-US"/>
              </w:rPr>
              <w:t>46 (12.81%)</w:t>
            </w:r>
          </w:p>
        </w:tc>
        <w:tc>
          <w:tcPr>
            <w:tcW w:w="787" w:type="pct"/>
            <w:tcBorders>
              <w:top w:val="single" w:sz="4" w:space="0" w:color="auto"/>
              <w:left w:val="single" w:sz="4" w:space="0" w:color="auto"/>
              <w:bottom w:val="single" w:sz="4" w:space="0" w:color="auto"/>
              <w:right w:val="single" w:sz="4" w:space="0" w:color="auto"/>
            </w:tcBorders>
            <w:vAlign w:val="center"/>
          </w:tcPr>
          <w:p w14:paraId="79F7137F" w14:textId="77777777" w:rsidR="00D24261" w:rsidRPr="00E2771E" w:rsidRDefault="00D24261" w:rsidP="00E730EF">
            <w:pPr>
              <w:pStyle w:val="TableText0"/>
              <w:jc w:val="center"/>
            </w:pPr>
            <w:r w:rsidRPr="007F228A">
              <w:rPr>
                <w:b/>
              </w:rPr>
              <w:t xml:space="preserve">1.80 </w:t>
            </w:r>
            <w:r>
              <w:rPr>
                <w:b/>
              </w:rPr>
              <w:t>(</w:t>
            </w:r>
            <w:r w:rsidRPr="007F228A">
              <w:rPr>
                <w:b/>
              </w:rPr>
              <w:t>1.30, 2.51</w:t>
            </w:r>
            <w:r>
              <w:rPr>
                <w:b/>
              </w:rPr>
              <w:t>)</w:t>
            </w:r>
          </w:p>
        </w:tc>
        <w:tc>
          <w:tcPr>
            <w:tcW w:w="630" w:type="pct"/>
            <w:tcBorders>
              <w:top w:val="single" w:sz="4" w:space="0" w:color="auto"/>
              <w:left w:val="single" w:sz="4" w:space="0" w:color="auto"/>
              <w:bottom w:val="single" w:sz="4" w:space="0" w:color="auto"/>
              <w:right w:val="single" w:sz="4" w:space="0" w:color="auto"/>
            </w:tcBorders>
            <w:vAlign w:val="center"/>
          </w:tcPr>
          <w:p w14:paraId="16B3F842" w14:textId="77777777" w:rsidR="00D24261" w:rsidRPr="00E2771E" w:rsidRDefault="00D24261" w:rsidP="00E730EF">
            <w:pPr>
              <w:pStyle w:val="TableText0"/>
              <w:jc w:val="center"/>
            </w:pPr>
            <w:r>
              <w:t>23.1</w:t>
            </w:r>
          </w:p>
        </w:tc>
        <w:tc>
          <w:tcPr>
            <w:tcW w:w="613" w:type="pct"/>
            <w:tcBorders>
              <w:top w:val="single" w:sz="4" w:space="0" w:color="auto"/>
              <w:left w:val="single" w:sz="4" w:space="0" w:color="auto"/>
              <w:bottom w:val="single" w:sz="4" w:space="0" w:color="auto"/>
              <w:right w:val="single" w:sz="4" w:space="0" w:color="auto"/>
            </w:tcBorders>
            <w:vAlign w:val="center"/>
          </w:tcPr>
          <w:p w14:paraId="1147BF0A" w14:textId="77777777" w:rsidR="00D24261" w:rsidRPr="00E2771E" w:rsidRDefault="00D24261" w:rsidP="00E730EF">
            <w:pPr>
              <w:pStyle w:val="TableText0"/>
              <w:jc w:val="center"/>
            </w:pPr>
            <w:r>
              <w:t>12.8</w:t>
            </w:r>
          </w:p>
        </w:tc>
        <w:tc>
          <w:tcPr>
            <w:tcW w:w="771" w:type="pct"/>
            <w:tcBorders>
              <w:top w:val="single" w:sz="4" w:space="0" w:color="auto"/>
              <w:left w:val="single" w:sz="4" w:space="0" w:color="auto"/>
              <w:bottom w:val="single" w:sz="4" w:space="0" w:color="auto"/>
              <w:right w:val="single" w:sz="4" w:space="0" w:color="auto"/>
            </w:tcBorders>
            <w:vAlign w:val="center"/>
          </w:tcPr>
          <w:p w14:paraId="0878ABEB" w14:textId="77777777" w:rsidR="00D24261" w:rsidRPr="00E2771E" w:rsidRDefault="00D24261" w:rsidP="00E730EF">
            <w:pPr>
              <w:pStyle w:val="TableText0"/>
              <w:jc w:val="center"/>
            </w:pPr>
            <w:r w:rsidRPr="007F228A">
              <w:rPr>
                <w:b/>
              </w:rPr>
              <w:t xml:space="preserve">0.10 </w:t>
            </w:r>
            <w:r>
              <w:rPr>
                <w:b/>
              </w:rPr>
              <w:t>(</w:t>
            </w:r>
            <w:r w:rsidRPr="007F228A">
              <w:rPr>
                <w:b/>
              </w:rPr>
              <w:t>0.05, 0.16</w:t>
            </w:r>
            <w:r>
              <w:rPr>
                <w:b/>
              </w:rPr>
              <w:t>)</w:t>
            </w:r>
          </w:p>
        </w:tc>
      </w:tr>
      <w:tr w:rsidR="00D24261" w:rsidRPr="00E2771E" w14:paraId="7E6F5D6D" w14:textId="77777777" w:rsidTr="00361E49">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6843730A" w14:textId="77777777" w:rsidR="00D24261" w:rsidRPr="00E2771E" w:rsidRDefault="00D24261" w:rsidP="00E730EF">
            <w:pPr>
              <w:pStyle w:val="TableText0"/>
            </w:pPr>
            <w:r w:rsidRPr="00AE758C">
              <w:rPr>
                <w:color w:val="000000"/>
                <w:lang w:val="en-US"/>
              </w:rPr>
              <w:t>Rash</w:t>
            </w:r>
          </w:p>
        </w:tc>
        <w:tc>
          <w:tcPr>
            <w:tcW w:w="629" w:type="pct"/>
            <w:tcBorders>
              <w:top w:val="single" w:sz="4" w:space="0" w:color="auto"/>
              <w:left w:val="single" w:sz="4" w:space="0" w:color="auto"/>
              <w:bottom w:val="single" w:sz="4" w:space="0" w:color="auto"/>
              <w:right w:val="single" w:sz="4" w:space="0" w:color="auto"/>
            </w:tcBorders>
            <w:vAlign w:val="center"/>
          </w:tcPr>
          <w:p w14:paraId="7EA13526" w14:textId="77777777" w:rsidR="00D24261" w:rsidRPr="00E2771E" w:rsidRDefault="00D24261" w:rsidP="00E730EF">
            <w:pPr>
              <w:pStyle w:val="TableText0"/>
              <w:jc w:val="center"/>
            </w:pPr>
            <w:r w:rsidRPr="00C91F9E">
              <w:rPr>
                <w:bCs w:val="0"/>
                <w:snapToGrid w:val="0"/>
                <w:color w:val="000000"/>
                <w:lang w:val="en-US"/>
              </w:rPr>
              <w:t>55</w:t>
            </w:r>
            <w:r>
              <w:rPr>
                <w:bCs w:val="0"/>
                <w:color w:val="000000"/>
                <w:lang w:val="en-US"/>
              </w:rPr>
              <w:t xml:space="preserve"> </w:t>
            </w:r>
            <w:r w:rsidRPr="00AE758C">
              <w:rPr>
                <w:color w:val="000000"/>
                <w:lang w:val="en-US"/>
              </w:rPr>
              <w:t>(15.49%)</w:t>
            </w:r>
          </w:p>
        </w:tc>
        <w:tc>
          <w:tcPr>
            <w:tcW w:w="630" w:type="pct"/>
            <w:tcBorders>
              <w:top w:val="single" w:sz="4" w:space="0" w:color="auto"/>
              <w:left w:val="single" w:sz="4" w:space="0" w:color="auto"/>
              <w:bottom w:val="single" w:sz="4" w:space="0" w:color="auto"/>
              <w:right w:val="single" w:sz="4" w:space="0" w:color="auto"/>
            </w:tcBorders>
            <w:vAlign w:val="center"/>
          </w:tcPr>
          <w:p w14:paraId="0980EFF0" w14:textId="77777777" w:rsidR="00D24261" w:rsidRPr="00E2771E" w:rsidRDefault="00D24261" w:rsidP="00E730EF">
            <w:pPr>
              <w:pStyle w:val="TableText0"/>
              <w:jc w:val="center"/>
            </w:pPr>
            <w:r w:rsidRPr="00AE758C">
              <w:rPr>
                <w:color w:val="000000"/>
                <w:lang w:val="en-US"/>
              </w:rPr>
              <w:t>43 (11.98%)</w:t>
            </w:r>
          </w:p>
        </w:tc>
        <w:tc>
          <w:tcPr>
            <w:tcW w:w="787" w:type="pct"/>
            <w:tcBorders>
              <w:top w:val="single" w:sz="4" w:space="0" w:color="auto"/>
              <w:left w:val="single" w:sz="4" w:space="0" w:color="auto"/>
              <w:bottom w:val="single" w:sz="4" w:space="0" w:color="auto"/>
              <w:right w:val="single" w:sz="4" w:space="0" w:color="auto"/>
            </w:tcBorders>
            <w:vAlign w:val="center"/>
          </w:tcPr>
          <w:p w14:paraId="32818ADA" w14:textId="77777777" w:rsidR="00D24261" w:rsidRPr="00E2771E" w:rsidRDefault="00D24261" w:rsidP="00E730EF">
            <w:pPr>
              <w:pStyle w:val="TableText0"/>
              <w:jc w:val="center"/>
            </w:pPr>
            <w:r w:rsidRPr="007F228A">
              <w:t>1.29</w:t>
            </w:r>
            <w:r>
              <w:t xml:space="preserve"> (</w:t>
            </w:r>
            <w:r w:rsidRPr="007F228A">
              <w:t>0.89, 1.87</w:t>
            </w:r>
            <w:r>
              <w:t>)</w:t>
            </w:r>
          </w:p>
        </w:tc>
        <w:tc>
          <w:tcPr>
            <w:tcW w:w="630" w:type="pct"/>
            <w:tcBorders>
              <w:top w:val="single" w:sz="4" w:space="0" w:color="auto"/>
              <w:left w:val="single" w:sz="4" w:space="0" w:color="auto"/>
              <w:bottom w:val="single" w:sz="4" w:space="0" w:color="auto"/>
              <w:right w:val="single" w:sz="4" w:space="0" w:color="auto"/>
            </w:tcBorders>
            <w:vAlign w:val="center"/>
          </w:tcPr>
          <w:p w14:paraId="2EB89DAB" w14:textId="77777777" w:rsidR="00D24261" w:rsidRPr="00E2771E" w:rsidRDefault="00D24261" w:rsidP="00E730EF">
            <w:pPr>
              <w:pStyle w:val="TableText0"/>
              <w:jc w:val="center"/>
            </w:pPr>
            <w:r>
              <w:t>15.5</w:t>
            </w:r>
          </w:p>
        </w:tc>
        <w:tc>
          <w:tcPr>
            <w:tcW w:w="613" w:type="pct"/>
            <w:tcBorders>
              <w:top w:val="single" w:sz="4" w:space="0" w:color="auto"/>
              <w:left w:val="single" w:sz="4" w:space="0" w:color="auto"/>
              <w:bottom w:val="single" w:sz="4" w:space="0" w:color="auto"/>
              <w:right w:val="single" w:sz="4" w:space="0" w:color="auto"/>
            </w:tcBorders>
            <w:vAlign w:val="center"/>
          </w:tcPr>
          <w:p w14:paraId="7B85861B" w14:textId="77777777" w:rsidR="00D24261" w:rsidRPr="00E2771E" w:rsidRDefault="00D24261" w:rsidP="00E730EF">
            <w:pPr>
              <w:pStyle w:val="TableText0"/>
              <w:jc w:val="center"/>
            </w:pPr>
            <w:r>
              <w:t>12</w:t>
            </w:r>
          </w:p>
        </w:tc>
        <w:tc>
          <w:tcPr>
            <w:tcW w:w="771" w:type="pct"/>
            <w:tcBorders>
              <w:top w:val="single" w:sz="4" w:space="0" w:color="auto"/>
              <w:left w:val="single" w:sz="4" w:space="0" w:color="auto"/>
              <w:bottom w:val="single" w:sz="4" w:space="0" w:color="auto"/>
              <w:right w:val="single" w:sz="4" w:space="0" w:color="auto"/>
            </w:tcBorders>
            <w:vAlign w:val="center"/>
          </w:tcPr>
          <w:p w14:paraId="4C76A39B" w14:textId="77777777" w:rsidR="00D24261" w:rsidRPr="00E2771E" w:rsidRDefault="00D24261" w:rsidP="00E730EF">
            <w:pPr>
              <w:pStyle w:val="TableText0"/>
              <w:jc w:val="center"/>
            </w:pPr>
            <w:r w:rsidRPr="007F228A">
              <w:t>0.04</w:t>
            </w:r>
            <w:r>
              <w:t xml:space="preserve"> (</w:t>
            </w:r>
            <w:r w:rsidRPr="007F228A">
              <w:t>-0.02, 0.09</w:t>
            </w:r>
            <w:r>
              <w:t>)</w:t>
            </w:r>
          </w:p>
        </w:tc>
      </w:tr>
      <w:tr w:rsidR="00D24261" w:rsidRPr="00E2771E" w14:paraId="425B9E4D" w14:textId="77777777" w:rsidTr="00361E49">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116022ED" w14:textId="77777777" w:rsidR="00D24261" w:rsidRPr="00E2771E" w:rsidRDefault="00D24261" w:rsidP="00E730EF">
            <w:pPr>
              <w:pStyle w:val="TableText0"/>
            </w:pPr>
            <w:r w:rsidRPr="00AE758C">
              <w:rPr>
                <w:color w:val="000000"/>
                <w:lang w:val="en-US"/>
              </w:rPr>
              <w:t>Arthralgia</w:t>
            </w:r>
          </w:p>
        </w:tc>
        <w:tc>
          <w:tcPr>
            <w:tcW w:w="629" w:type="pct"/>
            <w:tcBorders>
              <w:top w:val="single" w:sz="4" w:space="0" w:color="auto"/>
              <w:left w:val="single" w:sz="4" w:space="0" w:color="auto"/>
              <w:bottom w:val="single" w:sz="4" w:space="0" w:color="auto"/>
              <w:right w:val="single" w:sz="4" w:space="0" w:color="auto"/>
            </w:tcBorders>
            <w:vAlign w:val="center"/>
          </w:tcPr>
          <w:p w14:paraId="3028892F" w14:textId="77777777" w:rsidR="00D24261" w:rsidRPr="00E2771E" w:rsidRDefault="00D24261" w:rsidP="00E730EF">
            <w:pPr>
              <w:pStyle w:val="TableText0"/>
              <w:jc w:val="center"/>
            </w:pPr>
            <w:r w:rsidRPr="00C91F9E">
              <w:rPr>
                <w:bCs w:val="0"/>
                <w:snapToGrid w:val="0"/>
                <w:color w:val="000000"/>
                <w:lang w:val="en-US"/>
              </w:rPr>
              <w:t>51</w:t>
            </w:r>
            <w:r>
              <w:rPr>
                <w:bCs w:val="0"/>
                <w:color w:val="000000"/>
                <w:lang w:val="en-US"/>
              </w:rPr>
              <w:t xml:space="preserve"> </w:t>
            </w:r>
            <w:r w:rsidRPr="00AE758C">
              <w:rPr>
                <w:color w:val="000000"/>
                <w:lang w:val="en-US"/>
              </w:rPr>
              <w:t>(14.37%)</w:t>
            </w:r>
          </w:p>
        </w:tc>
        <w:tc>
          <w:tcPr>
            <w:tcW w:w="630" w:type="pct"/>
            <w:tcBorders>
              <w:top w:val="single" w:sz="4" w:space="0" w:color="auto"/>
              <w:left w:val="single" w:sz="4" w:space="0" w:color="auto"/>
              <w:bottom w:val="single" w:sz="4" w:space="0" w:color="auto"/>
              <w:right w:val="single" w:sz="4" w:space="0" w:color="auto"/>
            </w:tcBorders>
            <w:vAlign w:val="center"/>
          </w:tcPr>
          <w:p w14:paraId="1E239490" w14:textId="77777777" w:rsidR="00D24261" w:rsidRPr="00E2771E" w:rsidRDefault="00D24261" w:rsidP="00E730EF">
            <w:pPr>
              <w:pStyle w:val="TableText0"/>
              <w:jc w:val="center"/>
            </w:pPr>
            <w:r w:rsidRPr="00AE758C">
              <w:rPr>
                <w:color w:val="000000"/>
                <w:lang w:val="en-US"/>
              </w:rPr>
              <w:t>26 (7.24%)</w:t>
            </w:r>
          </w:p>
        </w:tc>
        <w:tc>
          <w:tcPr>
            <w:tcW w:w="787" w:type="pct"/>
            <w:tcBorders>
              <w:top w:val="single" w:sz="4" w:space="0" w:color="auto"/>
              <w:left w:val="single" w:sz="4" w:space="0" w:color="auto"/>
              <w:bottom w:val="single" w:sz="4" w:space="0" w:color="auto"/>
              <w:right w:val="single" w:sz="4" w:space="0" w:color="auto"/>
            </w:tcBorders>
            <w:vAlign w:val="center"/>
          </w:tcPr>
          <w:p w14:paraId="56070C89" w14:textId="77777777" w:rsidR="00D24261" w:rsidRPr="00E2771E" w:rsidRDefault="00D24261" w:rsidP="00E730EF">
            <w:pPr>
              <w:pStyle w:val="TableText0"/>
              <w:jc w:val="center"/>
            </w:pPr>
            <w:r w:rsidRPr="007F228A">
              <w:rPr>
                <w:b/>
              </w:rPr>
              <w:t xml:space="preserve">1.98 </w:t>
            </w:r>
            <w:r>
              <w:rPr>
                <w:b/>
              </w:rPr>
              <w:t>(</w:t>
            </w:r>
            <w:r w:rsidRPr="007F228A">
              <w:rPr>
                <w:b/>
              </w:rPr>
              <w:t>1.27, 3.11</w:t>
            </w:r>
            <w:r>
              <w:rPr>
                <w:b/>
              </w:rPr>
              <w:t>)</w:t>
            </w:r>
          </w:p>
        </w:tc>
        <w:tc>
          <w:tcPr>
            <w:tcW w:w="630" w:type="pct"/>
            <w:tcBorders>
              <w:top w:val="single" w:sz="4" w:space="0" w:color="auto"/>
              <w:left w:val="single" w:sz="4" w:space="0" w:color="auto"/>
              <w:bottom w:val="single" w:sz="4" w:space="0" w:color="auto"/>
              <w:right w:val="single" w:sz="4" w:space="0" w:color="auto"/>
            </w:tcBorders>
            <w:vAlign w:val="center"/>
          </w:tcPr>
          <w:p w14:paraId="6778D4C2" w14:textId="77777777" w:rsidR="00D24261" w:rsidRPr="00E2771E" w:rsidRDefault="00D24261" w:rsidP="00E730EF">
            <w:pPr>
              <w:pStyle w:val="TableText0"/>
              <w:jc w:val="center"/>
            </w:pPr>
            <w:r>
              <w:t>14.4</w:t>
            </w:r>
          </w:p>
        </w:tc>
        <w:tc>
          <w:tcPr>
            <w:tcW w:w="613" w:type="pct"/>
            <w:tcBorders>
              <w:top w:val="single" w:sz="4" w:space="0" w:color="auto"/>
              <w:left w:val="single" w:sz="4" w:space="0" w:color="auto"/>
              <w:bottom w:val="single" w:sz="4" w:space="0" w:color="auto"/>
              <w:right w:val="single" w:sz="4" w:space="0" w:color="auto"/>
            </w:tcBorders>
            <w:vAlign w:val="center"/>
          </w:tcPr>
          <w:p w14:paraId="21871362" w14:textId="77777777" w:rsidR="00D24261" w:rsidRPr="00E2771E" w:rsidRDefault="00D24261" w:rsidP="00E730EF">
            <w:pPr>
              <w:pStyle w:val="TableText0"/>
              <w:jc w:val="center"/>
            </w:pPr>
            <w:r>
              <w:t>7.2</w:t>
            </w:r>
          </w:p>
        </w:tc>
        <w:tc>
          <w:tcPr>
            <w:tcW w:w="771" w:type="pct"/>
            <w:tcBorders>
              <w:top w:val="single" w:sz="4" w:space="0" w:color="auto"/>
              <w:left w:val="single" w:sz="4" w:space="0" w:color="auto"/>
              <w:bottom w:val="single" w:sz="4" w:space="0" w:color="auto"/>
              <w:right w:val="single" w:sz="4" w:space="0" w:color="auto"/>
            </w:tcBorders>
            <w:vAlign w:val="center"/>
          </w:tcPr>
          <w:p w14:paraId="55FF6892" w14:textId="77777777" w:rsidR="00D24261" w:rsidRPr="00E2771E" w:rsidRDefault="00D24261" w:rsidP="00E730EF">
            <w:pPr>
              <w:pStyle w:val="TableText0"/>
              <w:jc w:val="center"/>
            </w:pPr>
            <w:r w:rsidRPr="007F228A">
              <w:rPr>
                <w:b/>
              </w:rPr>
              <w:t xml:space="preserve">0.07 </w:t>
            </w:r>
            <w:r>
              <w:rPr>
                <w:b/>
              </w:rPr>
              <w:t>(</w:t>
            </w:r>
            <w:r w:rsidRPr="007F228A">
              <w:rPr>
                <w:b/>
              </w:rPr>
              <w:t>0.03, 0.12</w:t>
            </w:r>
            <w:r>
              <w:rPr>
                <w:b/>
              </w:rPr>
              <w:t>)</w:t>
            </w:r>
          </w:p>
        </w:tc>
      </w:tr>
      <w:tr w:rsidR="00D24261" w:rsidRPr="00E2771E" w14:paraId="740F75EE" w14:textId="77777777" w:rsidTr="00361E49">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4FD4D414" w14:textId="77777777" w:rsidR="00D24261" w:rsidRPr="00E2771E" w:rsidRDefault="00D24261" w:rsidP="00E730EF">
            <w:pPr>
              <w:pStyle w:val="TableText0"/>
            </w:pPr>
            <w:r w:rsidRPr="00AE758C">
              <w:rPr>
                <w:color w:val="000000"/>
                <w:lang w:val="en-US"/>
              </w:rPr>
              <w:t>Hypothyroidism</w:t>
            </w:r>
          </w:p>
        </w:tc>
        <w:tc>
          <w:tcPr>
            <w:tcW w:w="629" w:type="pct"/>
            <w:tcBorders>
              <w:top w:val="single" w:sz="4" w:space="0" w:color="auto"/>
              <w:left w:val="single" w:sz="4" w:space="0" w:color="auto"/>
              <w:bottom w:val="single" w:sz="4" w:space="0" w:color="auto"/>
              <w:right w:val="single" w:sz="4" w:space="0" w:color="auto"/>
            </w:tcBorders>
            <w:vAlign w:val="center"/>
          </w:tcPr>
          <w:p w14:paraId="32D8D085" w14:textId="77777777" w:rsidR="00D24261" w:rsidRPr="00E2771E" w:rsidRDefault="00D24261" w:rsidP="00E730EF">
            <w:pPr>
              <w:pStyle w:val="TableText0"/>
              <w:jc w:val="center"/>
            </w:pPr>
            <w:r w:rsidRPr="00C91F9E">
              <w:rPr>
                <w:bCs w:val="0"/>
                <w:snapToGrid w:val="0"/>
                <w:color w:val="000000"/>
                <w:lang w:val="en-US"/>
              </w:rPr>
              <w:t>51</w:t>
            </w:r>
            <w:r>
              <w:rPr>
                <w:bCs w:val="0"/>
                <w:color w:val="000000"/>
                <w:lang w:val="en-US"/>
              </w:rPr>
              <w:t xml:space="preserve"> </w:t>
            </w:r>
            <w:r w:rsidRPr="00AE758C">
              <w:rPr>
                <w:color w:val="000000"/>
                <w:lang w:val="en-US"/>
              </w:rPr>
              <w:t>(14.37%)</w:t>
            </w:r>
          </w:p>
        </w:tc>
        <w:tc>
          <w:tcPr>
            <w:tcW w:w="630" w:type="pct"/>
            <w:tcBorders>
              <w:top w:val="single" w:sz="4" w:space="0" w:color="auto"/>
              <w:left w:val="single" w:sz="4" w:space="0" w:color="auto"/>
              <w:bottom w:val="single" w:sz="4" w:space="0" w:color="auto"/>
              <w:right w:val="single" w:sz="4" w:space="0" w:color="auto"/>
            </w:tcBorders>
            <w:vAlign w:val="center"/>
          </w:tcPr>
          <w:p w14:paraId="42C43C35" w14:textId="77777777" w:rsidR="00D24261" w:rsidRPr="00E2771E" w:rsidRDefault="00D24261" w:rsidP="00E730EF">
            <w:pPr>
              <w:pStyle w:val="TableText0"/>
              <w:jc w:val="center"/>
            </w:pPr>
            <w:r w:rsidRPr="00AE758C">
              <w:rPr>
                <w:color w:val="000000"/>
                <w:lang w:val="en-US"/>
              </w:rPr>
              <w:t>43 (11.98%)</w:t>
            </w:r>
          </w:p>
        </w:tc>
        <w:tc>
          <w:tcPr>
            <w:tcW w:w="787" w:type="pct"/>
            <w:tcBorders>
              <w:top w:val="single" w:sz="4" w:space="0" w:color="auto"/>
              <w:left w:val="single" w:sz="4" w:space="0" w:color="auto"/>
              <w:bottom w:val="single" w:sz="4" w:space="0" w:color="auto"/>
              <w:right w:val="single" w:sz="4" w:space="0" w:color="auto"/>
            </w:tcBorders>
            <w:vAlign w:val="center"/>
          </w:tcPr>
          <w:p w14:paraId="7D469870" w14:textId="77777777" w:rsidR="00D24261" w:rsidRPr="00E2771E" w:rsidRDefault="00D24261" w:rsidP="00E730EF">
            <w:pPr>
              <w:pStyle w:val="TableText0"/>
              <w:jc w:val="center"/>
            </w:pPr>
            <w:r w:rsidRPr="007F228A">
              <w:t>1.20</w:t>
            </w:r>
            <w:r>
              <w:t xml:space="preserve"> (</w:t>
            </w:r>
            <w:r w:rsidRPr="007F228A">
              <w:t>0.82, 1.75</w:t>
            </w:r>
            <w:r>
              <w:t>)</w:t>
            </w:r>
          </w:p>
        </w:tc>
        <w:tc>
          <w:tcPr>
            <w:tcW w:w="630" w:type="pct"/>
            <w:tcBorders>
              <w:top w:val="single" w:sz="4" w:space="0" w:color="auto"/>
              <w:left w:val="single" w:sz="4" w:space="0" w:color="auto"/>
              <w:bottom w:val="single" w:sz="4" w:space="0" w:color="auto"/>
              <w:right w:val="single" w:sz="4" w:space="0" w:color="auto"/>
            </w:tcBorders>
            <w:vAlign w:val="center"/>
          </w:tcPr>
          <w:p w14:paraId="18530311" w14:textId="77777777" w:rsidR="00D24261" w:rsidRPr="00E2771E" w:rsidRDefault="00D24261" w:rsidP="00E730EF">
            <w:pPr>
              <w:pStyle w:val="TableText0"/>
              <w:jc w:val="center"/>
            </w:pPr>
            <w:r>
              <w:t>14.3</w:t>
            </w:r>
          </w:p>
        </w:tc>
        <w:tc>
          <w:tcPr>
            <w:tcW w:w="613" w:type="pct"/>
            <w:tcBorders>
              <w:top w:val="single" w:sz="4" w:space="0" w:color="auto"/>
              <w:left w:val="single" w:sz="4" w:space="0" w:color="auto"/>
              <w:bottom w:val="single" w:sz="4" w:space="0" w:color="auto"/>
              <w:right w:val="single" w:sz="4" w:space="0" w:color="auto"/>
            </w:tcBorders>
            <w:vAlign w:val="center"/>
          </w:tcPr>
          <w:p w14:paraId="43A958C0" w14:textId="77777777" w:rsidR="00D24261" w:rsidRPr="00E2771E" w:rsidRDefault="00D24261" w:rsidP="00E730EF">
            <w:pPr>
              <w:pStyle w:val="TableText0"/>
              <w:jc w:val="center"/>
            </w:pPr>
            <w:r>
              <w:t>12.0</w:t>
            </w:r>
          </w:p>
        </w:tc>
        <w:tc>
          <w:tcPr>
            <w:tcW w:w="771" w:type="pct"/>
            <w:tcBorders>
              <w:top w:val="single" w:sz="4" w:space="0" w:color="auto"/>
              <w:left w:val="single" w:sz="4" w:space="0" w:color="auto"/>
              <w:bottom w:val="single" w:sz="4" w:space="0" w:color="auto"/>
              <w:right w:val="single" w:sz="4" w:space="0" w:color="auto"/>
            </w:tcBorders>
            <w:vAlign w:val="center"/>
          </w:tcPr>
          <w:p w14:paraId="52BE92B8" w14:textId="77777777" w:rsidR="00D24261" w:rsidRPr="00E2771E" w:rsidRDefault="00D24261" w:rsidP="00E730EF">
            <w:pPr>
              <w:pStyle w:val="TableText0"/>
              <w:jc w:val="center"/>
            </w:pPr>
            <w:r w:rsidRPr="007F228A">
              <w:t>0.02</w:t>
            </w:r>
            <w:r>
              <w:t xml:space="preserve"> (</w:t>
            </w:r>
            <w:r w:rsidRPr="007F228A">
              <w:t>-0.03, 0.07</w:t>
            </w:r>
            <w:r>
              <w:t>)</w:t>
            </w:r>
          </w:p>
        </w:tc>
      </w:tr>
      <w:tr w:rsidR="00D24261" w:rsidRPr="00E2771E" w14:paraId="7820F65F" w14:textId="77777777" w:rsidTr="00361E49">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102C2A8B" w14:textId="77777777" w:rsidR="00D24261" w:rsidRPr="00E2771E" w:rsidRDefault="00D24261" w:rsidP="00E730EF">
            <w:pPr>
              <w:pStyle w:val="TableText0"/>
            </w:pPr>
            <w:r w:rsidRPr="00AE758C">
              <w:rPr>
                <w:color w:val="000000"/>
                <w:lang w:val="en-US"/>
              </w:rPr>
              <w:t>Diarrhoea</w:t>
            </w:r>
          </w:p>
        </w:tc>
        <w:tc>
          <w:tcPr>
            <w:tcW w:w="629" w:type="pct"/>
            <w:tcBorders>
              <w:top w:val="single" w:sz="4" w:space="0" w:color="auto"/>
              <w:left w:val="single" w:sz="4" w:space="0" w:color="auto"/>
              <w:bottom w:val="single" w:sz="4" w:space="0" w:color="auto"/>
              <w:right w:val="single" w:sz="4" w:space="0" w:color="auto"/>
            </w:tcBorders>
            <w:vAlign w:val="center"/>
          </w:tcPr>
          <w:p w14:paraId="0968CC60" w14:textId="77777777" w:rsidR="00D24261" w:rsidRPr="00E2771E" w:rsidRDefault="00D24261" w:rsidP="00E730EF">
            <w:pPr>
              <w:pStyle w:val="TableText0"/>
              <w:jc w:val="center"/>
            </w:pPr>
            <w:r w:rsidRPr="00C91F9E">
              <w:rPr>
                <w:bCs w:val="0"/>
                <w:snapToGrid w:val="0"/>
                <w:color w:val="000000"/>
                <w:lang w:val="en-US"/>
              </w:rPr>
              <w:t>48</w:t>
            </w:r>
            <w:r>
              <w:rPr>
                <w:bCs w:val="0"/>
                <w:color w:val="000000"/>
                <w:lang w:val="en-US"/>
              </w:rPr>
              <w:t xml:space="preserve"> </w:t>
            </w:r>
            <w:r w:rsidRPr="00AE758C">
              <w:rPr>
                <w:color w:val="000000"/>
                <w:lang w:val="en-US"/>
              </w:rPr>
              <w:t>(13.52%)</w:t>
            </w:r>
          </w:p>
        </w:tc>
        <w:tc>
          <w:tcPr>
            <w:tcW w:w="630" w:type="pct"/>
            <w:tcBorders>
              <w:top w:val="single" w:sz="4" w:space="0" w:color="auto"/>
              <w:left w:val="single" w:sz="4" w:space="0" w:color="auto"/>
              <w:bottom w:val="single" w:sz="4" w:space="0" w:color="auto"/>
              <w:right w:val="single" w:sz="4" w:space="0" w:color="auto"/>
            </w:tcBorders>
            <w:vAlign w:val="center"/>
          </w:tcPr>
          <w:p w14:paraId="147522FE" w14:textId="77777777" w:rsidR="00D24261" w:rsidRPr="00E2771E" w:rsidRDefault="00D24261" w:rsidP="00E730EF">
            <w:pPr>
              <w:pStyle w:val="TableText0"/>
              <w:jc w:val="center"/>
            </w:pPr>
            <w:r w:rsidRPr="00AE758C">
              <w:rPr>
                <w:color w:val="000000"/>
                <w:lang w:val="en-US"/>
              </w:rPr>
              <w:t>33 (9.19%)</w:t>
            </w:r>
          </w:p>
        </w:tc>
        <w:tc>
          <w:tcPr>
            <w:tcW w:w="787" w:type="pct"/>
            <w:tcBorders>
              <w:top w:val="single" w:sz="4" w:space="0" w:color="auto"/>
              <w:left w:val="single" w:sz="4" w:space="0" w:color="auto"/>
              <w:bottom w:val="single" w:sz="4" w:space="0" w:color="auto"/>
              <w:right w:val="single" w:sz="4" w:space="0" w:color="auto"/>
            </w:tcBorders>
            <w:vAlign w:val="center"/>
          </w:tcPr>
          <w:p w14:paraId="6CCC32E0" w14:textId="77777777" w:rsidR="00D24261" w:rsidRPr="00E2771E" w:rsidRDefault="00D24261" w:rsidP="00E730EF">
            <w:pPr>
              <w:pStyle w:val="TableText0"/>
              <w:jc w:val="center"/>
            </w:pPr>
            <w:r w:rsidRPr="007F228A">
              <w:t>1.47</w:t>
            </w:r>
            <w:r>
              <w:t xml:space="preserve"> (</w:t>
            </w:r>
            <w:r w:rsidRPr="007F228A">
              <w:t>0.97, 2.23</w:t>
            </w:r>
            <w:r>
              <w:t>)</w:t>
            </w:r>
          </w:p>
        </w:tc>
        <w:tc>
          <w:tcPr>
            <w:tcW w:w="630" w:type="pct"/>
            <w:tcBorders>
              <w:top w:val="single" w:sz="4" w:space="0" w:color="auto"/>
              <w:left w:val="single" w:sz="4" w:space="0" w:color="auto"/>
              <w:bottom w:val="single" w:sz="4" w:space="0" w:color="auto"/>
              <w:right w:val="single" w:sz="4" w:space="0" w:color="auto"/>
            </w:tcBorders>
            <w:vAlign w:val="center"/>
          </w:tcPr>
          <w:p w14:paraId="70C8BBF3" w14:textId="77777777" w:rsidR="00D24261" w:rsidRPr="00E2771E" w:rsidRDefault="00D24261" w:rsidP="00E730EF">
            <w:pPr>
              <w:pStyle w:val="TableText0"/>
              <w:jc w:val="center"/>
            </w:pPr>
            <w:r>
              <w:t>13.5</w:t>
            </w:r>
          </w:p>
        </w:tc>
        <w:tc>
          <w:tcPr>
            <w:tcW w:w="613" w:type="pct"/>
            <w:tcBorders>
              <w:top w:val="single" w:sz="4" w:space="0" w:color="auto"/>
              <w:left w:val="single" w:sz="4" w:space="0" w:color="auto"/>
              <w:bottom w:val="single" w:sz="4" w:space="0" w:color="auto"/>
              <w:right w:val="single" w:sz="4" w:space="0" w:color="auto"/>
            </w:tcBorders>
            <w:vAlign w:val="center"/>
          </w:tcPr>
          <w:p w14:paraId="5FDF4DCA" w14:textId="77777777" w:rsidR="00D24261" w:rsidRPr="00E2771E" w:rsidRDefault="00D24261" w:rsidP="00E730EF">
            <w:pPr>
              <w:pStyle w:val="TableText0"/>
              <w:jc w:val="center"/>
            </w:pPr>
            <w:r>
              <w:t>9.2</w:t>
            </w:r>
          </w:p>
        </w:tc>
        <w:tc>
          <w:tcPr>
            <w:tcW w:w="771" w:type="pct"/>
            <w:tcBorders>
              <w:top w:val="single" w:sz="4" w:space="0" w:color="auto"/>
              <w:left w:val="single" w:sz="4" w:space="0" w:color="auto"/>
              <w:bottom w:val="single" w:sz="4" w:space="0" w:color="auto"/>
              <w:right w:val="single" w:sz="4" w:space="0" w:color="auto"/>
            </w:tcBorders>
            <w:vAlign w:val="center"/>
          </w:tcPr>
          <w:p w14:paraId="14B8299C" w14:textId="77777777" w:rsidR="00D24261" w:rsidRPr="00E2771E" w:rsidRDefault="00D24261" w:rsidP="00E730EF">
            <w:pPr>
              <w:pStyle w:val="TableText0"/>
              <w:jc w:val="center"/>
            </w:pPr>
            <w:r w:rsidRPr="007F228A">
              <w:t>0.04</w:t>
            </w:r>
            <w:r>
              <w:t xml:space="preserve"> (</w:t>
            </w:r>
            <w:r w:rsidRPr="007F228A">
              <w:t>0.00, 0.09</w:t>
            </w:r>
            <w:r>
              <w:t>)</w:t>
            </w:r>
          </w:p>
        </w:tc>
      </w:tr>
      <w:tr w:rsidR="00D24261" w:rsidRPr="00E2771E" w14:paraId="7ADD0EF4" w14:textId="77777777" w:rsidTr="00361E49">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23989D43" w14:textId="38E5D91A" w:rsidR="00D24261" w:rsidRDefault="00AB006C" w:rsidP="00E730EF">
            <w:pPr>
              <w:pStyle w:val="TableText0"/>
              <w:rPr>
                <w:color w:val="000000"/>
                <w:lang w:val="en-US"/>
              </w:rPr>
            </w:pPr>
            <w:r>
              <w:rPr>
                <w:color w:val="000000"/>
                <w:lang w:val="en-US"/>
              </w:rPr>
              <w:t>Any cause TE</w:t>
            </w:r>
            <w:r w:rsidR="00D24261">
              <w:rPr>
                <w:color w:val="000000"/>
                <w:lang w:val="en-US"/>
              </w:rPr>
              <w:t>AE leading to Discontinuation</w:t>
            </w:r>
          </w:p>
        </w:tc>
        <w:tc>
          <w:tcPr>
            <w:tcW w:w="629" w:type="pct"/>
            <w:tcBorders>
              <w:top w:val="single" w:sz="4" w:space="0" w:color="auto"/>
              <w:left w:val="single" w:sz="4" w:space="0" w:color="auto"/>
              <w:bottom w:val="single" w:sz="4" w:space="0" w:color="auto"/>
              <w:right w:val="single" w:sz="4" w:space="0" w:color="auto"/>
            </w:tcBorders>
            <w:vAlign w:val="center"/>
          </w:tcPr>
          <w:p w14:paraId="30D5EBD5" w14:textId="77777777" w:rsidR="00D24261" w:rsidRDefault="00D24261" w:rsidP="00E730EF">
            <w:pPr>
              <w:pStyle w:val="Tabletext"/>
              <w:jc w:val="center"/>
              <w:rPr>
                <w:szCs w:val="20"/>
              </w:rPr>
            </w:pPr>
            <w:r>
              <w:rPr>
                <w:szCs w:val="20"/>
              </w:rPr>
              <w:t>69 (19.44%)</w:t>
            </w:r>
          </w:p>
        </w:tc>
        <w:tc>
          <w:tcPr>
            <w:tcW w:w="630" w:type="pct"/>
            <w:tcBorders>
              <w:top w:val="single" w:sz="4" w:space="0" w:color="auto"/>
              <w:left w:val="single" w:sz="4" w:space="0" w:color="auto"/>
              <w:bottom w:val="single" w:sz="4" w:space="0" w:color="auto"/>
              <w:right w:val="single" w:sz="4" w:space="0" w:color="auto"/>
            </w:tcBorders>
            <w:vAlign w:val="center"/>
          </w:tcPr>
          <w:p w14:paraId="19C511B7" w14:textId="77777777" w:rsidR="00D24261" w:rsidRDefault="00D24261" w:rsidP="00E730EF">
            <w:pPr>
              <w:pStyle w:val="Tabletext"/>
              <w:jc w:val="center"/>
              <w:rPr>
                <w:szCs w:val="20"/>
              </w:rPr>
            </w:pPr>
            <w:r>
              <w:rPr>
                <w:szCs w:val="20"/>
              </w:rPr>
              <w:t>41 (11.42%)</w:t>
            </w:r>
          </w:p>
        </w:tc>
        <w:tc>
          <w:tcPr>
            <w:tcW w:w="787" w:type="pct"/>
            <w:tcBorders>
              <w:top w:val="single" w:sz="4" w:space="0" w:color="auto"/>
              <w:left w:val="single" w:sz="4" w:space="0" w:color="auto"/>
              <w:bottom w:val="single" w:sz="4" w:space="0" w:color="auto"/>
              <w:right w:val="single" w:sz="4" w:space="0" w:color="auto"/>
            </w:tcBorders>
            <w:vAlign w:val="center"/>
          </w:tcPr>
          <w:p w14:paraId="384549F6" w14:textId="77777777" w:rsidR="00D24261" w:rsidRDefault="00D24261" w:rsidP="00E730EF">
            <w:pPr>
              <w:pStyle w:val="TableText0"/>
              <w:jc w:val="center"/>
            </w:pPr>
            <w:r>
              <w:rPr>
                <w:b/>
              </w:rPr>
              <w:t>1.87 (1.23, 2.84)</w:t>
            </w:r>
          </w:p>
        </w:tc>
        <w:tc>
          <w:tcPr>
            <w:tcW w:w="630" w:type="pct"/>
            <w:tcBorders>
              <w:top w:val="single" w:sz="4" w:space="0" w:color="auto"/>
              <w:left w:val="single" w:sz="4" w:space="0" w:color="auto"/>
              <w:bottom w:val="single" w:sz="4" w:space="0" w:color="auto"/>
              <w:right w:val="single" w:sz="4" w:space="0" w:color="auto"/>
            </w:tcBorders>
            <w:vAlign w:val="center"/>
          </w:tcPr>
          <w:p w14:paraId="553329D9" w14:textId="77777777" w:rsidR="00D24261" w:rsidRDefault="00D24261" w:rsidP="00E730EF">
            <w:pPr>
              <w:pStyle w:val="TableText0"/>
              <w:jc w:val="center"/>
            </w:pPr>
            <w:r>
              <w:t>19.4</w:t>
            </w:r>
          </w:p>
        </w:tc>
        <w:tc>
          <w:tcPr>
            <w:tcW w:w="613" w:type="pct"/>
            <w:tcBorders>
              <w:top w:val="single" w:sz="4" w:space="0" w:color="auto"/>
              <w:left w:val="single" w:sz="4" w:space="0" w:color="auto"/>
              <w:bottom w:val="single" w:sz="4" w:space="0" w:color="auto"/>
              <w:right w:val="single" w:sz="4" w:space="0" w:color="auto"/>
            </w:tcBorders>
            <w:vAlign w:val="center"/>
          </w:tcPr>
          <w:p w14:paraId="26D94E9D" w14:textId="77777777" w:rsidR="00D24261" w:rsidRDefault="00D24261" w:rsidP="00E730EF">
            <w:pPr>
              <w:pStyle w:val="TableText0"/>
              <w:jc w:val="center"/>
            </w:pPr>
            <w:r>
              <w:t>11.4</w:t>
            </w:r>
          </w:p>
        </w:tc>
        <w:tc>
          <w:tcPr>
            <w:tcW w:w="771" w:type="pct"/>
            <w:tcBorders>
              <w:top w:val="single" w:sz="4" w:space="0" w:color="auto"/>
              <w:left w:val="single" w:sz="4" w:space="0" w:color="auto"/>
              <w:bottom w:val="single" w:sz="4" w:space="0" w:color="auto"/>
              <w:right w:val="single" w:sz="4" w:space="0" w:color="auto"/>
            </w:tcBorders>
            <w:vAlign w:val="center"/>
          </w:tcPr>
          <w:p w14:paraId="79A99C45" w14:textId="77777777" w:rsidR="00D24261" w:rsidRDefault="00D24261" w:rsidP="00E730EF">
            <w:pPr>
              <w:pStyle w:val="TableText0"/>
              <w:jc w:val="center"/>
            </w:pPr>
            <w:r>
              <w:rPr>
                <w:b/>
              </w:rPr>
              <w:t>0.08 (0.03, 0.13)</w:t>
            </w:r>
          </w:p>
        </w:tc>
      </w:tr>
      <w:tr w:rsidR="00D24261" w:rsidRPr="00E2771E" w14:paraId="57CB2F18" w14:textId="77777777" w:rsidTr="00361E49">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14:paraId="0D93ABA4" w14:textId="77777777" w:rsidR="00D24261" w:rsidRPr="00AE758C" w:rsidRDefault="00D24261" w:rsidP="00E730EF">
            <w:pPr>
              <w:pStyle w:val="TableText0"/>
              <w:rPr>
                <w:color w:val="000000"/>
                <w:lang w:val="en-US"/>
              </w:rPr>
            </w:pPr>
            <w:r>
              <w:rPr>
                <w:color w:val="000000"/>
                <w:lang w:val="en-US"/>
              </w:rPr>
              <w:t>Death due to study drug toxicity</w:t>
            </w:r>
          </w:p>
        </w:tc>
        <w:tc>
          <w:tcPr>
            <w:tcW w:w="629" w:type="pct"/>
            <w:tcBorders>
              <w:top w:val="single" w:sz="4" w:space="0" w:color="auto"/>
              <w:left w:val="single" w:sz="4" w:space="0" w:color="auto"/>
              <w:bottom w:val="single" w:sz="4" w:space="0" w:color="auto"/>
              <w:right w:val="single" w:sz="4" w:space="0" w:color="auto"/>
            </w:tcBorders>
            <w:vAlign w:val="center"/>
          </w:tcPr>
          <w:p w14:paraId="752C75F0" w14:textId="77777777" w:rsidR="00D24261" w:rsidRPr="00C91F9E" w:rsidRDefault="00D24261" w:rsidP="00E730EF">
            <w:pPr>
              <w:pStyle w:val="Tabletext"/>
              <w:jc w:val="center"/>
              <w:rPr>
                <w:bCs/>
                <w:color w:val="000000"/>
                <w:lang w:val="en-US"/>
              </w:rPr>
            </w:pPr>
            <w:r>
              <w:rPr>
                <w:szCs w:val="20"/>
              </w:rPr>
              <w:t>3 (0.85%)</w:t>
            </w:r>
          </w:p>
        </w:tc>
        <w:tc>
          <w:tcPr>
            <w:tcW w:w="630" w:type="pct"/>
            <w:tcBorders>
              <w:top w:val="single" w:sz="4" w:space="0" w:color="auto"/>
              <w:left w:val="single" w:sz="4" w:space="0" w:color="auto"/>
              <w:bottom w:val="single" w:sz="4" w:space="0" w:color="auto"/>
              <w:right w:val="single" w:sz="4" w:space="0" w:color="auto"/>
            </w:tcBorders>
            <w:vAlign w:val="center"/>
          </w:tcPr>
          <w:p w14:paraId="45B55D57" w14:textId="77777777" w:rsidR="00D24261" w:rsidRPr="00AE758C" w:rsidRDefault="00D24261" w:rsidP="00E730EF">
            <w:pPr>
              <w:pStyle w:val="Tabletext"/>
              <w:jc w:val="center"/>
              <w:rPr>
                <w:color w:val="000000"/>
                <w:lang w:val="en-US"/>
              </w:rPr>
            </w:pPr>
            <w:r>
              <w:rPr>
                <w:szCs w:val="20"/>
              </w:rPr>
              <w:t>2 (0.56%)</w:t>
            </w:r>
          </w:p>
        </w:tc>
        <w:tc>
          <w:tcPr>
            <w:tcW w:w="787" w:type="pct"/>
            <w:tcBorders>
              <w:top w:val="single" w:sz="4" w:space="0" w:color="auto"/>
              <w:left w:val="single" w:sz="4" w:space="0" w:color="auto"/>
              <w:bottom w:val="single" w:sz="4" w:space="0" w:color="auto"/>
              <w:right w:val="single" w:sz="4" w:space="0" w:color="auto"/>
            </w:tcBorders>
            <w:vAlign w:val="center"/>
          </w:tcPr>
          <w:p w14:paraId="59CAB4D6" w14:textId="77777777" w:rsidR="00D24261" w:rsidRPr="007F228A" w:rsidRDefault="00D24261" w:rsidP="00E730EF">
            <w:pPr>
              <w:pStyle w:val="TableText0"/>
              <w:jc w:val="center"/>
            </w:pPr>
            <w:r>
              <w:t>1.52 (0.25, 9.02)</w:t>
            </w:r>
          </w:p>
        </w:tc>
        <w:tc>
          <w:tcPr>
            <w:tcW w:w="630" w:type="pct"/>
            <w:tcBorders>
              <w:top w:val="single" w:sz="4" w:space="0" w:color="auto"/>
              <w:left w:val="single" w:sz="4" w:space="0" w:color="auto"/>
              <w:bottom w:val="single" w:sz="4" w:space="0" w:color="auto"/>
              <w:right w:val="single" w:sz="4" w:space="0" w:color="auto"/>
            </w:tcBorders>
            <w:vAlign w:val="center"/>
          </w:tcPr>
          <w:p w14:paraId="5088549A" w14:textId="77777777" w:rsidR="00D24261" w:rsidRDefault="00D24261" w:rsidP="00E730EF">
            <w:pPr>
              <w:pStyle w:val="TableText0"/>
              <w:jc w:val="center"/>
            </w:pPr>
            <w:r>
              <w:t>0.8</w:t>
            </w:r>
          </w:p>
        </w:tc>
        <w:tc>
          <w:tcPr>
            <w:tcW w:w="613" w:type="pct"/>
            <w:tcBorders>
              <w:top w:val="single" w:sz="4" w:space="0" w:color="auto"/>
              <w:left w:val="single" w:sz="4" w:space="0" w:color="auto"/>
              <w:bottom w:val="single" w:sz="4" w:space="0" w:color="auto"/>
              <w:right w:val="single" w:sz="4" w:space="0" w:color="auto"/>
            </w:tcBorders>
            <w:vAlign w:val="center"/>
          </w:tcPr>
          <w:p w14:paraId="19227023" w14:textId="77777777" w:rsidR="00D24261" w:rsidRDefault="00D24261" w:rsidP="00E730EF">
            <w:pPr>
              <w:pStyle w:val="TableText0"/>
              <w:jc w:val="center"/>
            </w:pPr>
            <w:r>
              <w:t>0.6</w:t>
            </w:r>
          </w:p>
        </w:tc>
        <w:tc>
          <w:tcPr>
            <w:tcW w:w="771" w:type="pct"/>
            <w:tcBorders>
              <w:top w:val="single" w:sz="4" w:space="0" w:color="auto"/>
              <w:left w:val="single" w:sz="4" w:space="0" w:color="auto"/>
              <w:bottom w:val="single" w:sz="4" w:space="0" w:color="auto"/>
              <w:right w:val="single" w:sz="4" w:space="0" w:color="auto"/>
            </w:tcBorders>
            <w:vAlign w:val="center"/>
          </w:tcPr>
          <w:p w14:paraId="5934C089" w14:textId="77777777" w:rsidR="00D24261" w:rsidRPr="007F228A" w:rsidRDefault="00D24261" w:rsidP="00E730EF">
            <w:pPr>
              <w:pStyle w:val="TableText0"/>
              <w:jc w:val="center"/>
            </w:pPr>
            <w:r>
              <w:t>0.00 (-0.01, 0.02)</w:t>
            </w:r>
          </w:p>
        </w:tc>
      </w:tr>
    </w:tbl>
    <w:p w14:paraId="28DA9811" w14:textId="434FAF3C" w:rsidR="00D24261" w:rsidRDefault="00D24261" w:rsidP="00D24261">
      <w:pPr>
        <w:pStyle w:val="TableFigureFooter"/>
      </w:pPr>
      <w:r>
        <w:t xml:space="preserve">Source: </w:t>
      </w:r>
      <w:r w:rsidRPr="00F815BD">
        <w:t>Table 2</w:t>
      </w:r>
      <w:r>
        <w:t>5</w:t>
      </w:r>
      <w:r w:rsidRPr="00F815BD">
        <w:t>, p</w:t>
      </w:r>
      <w:r>
        <w:t xml:space="preserve">87, </w:t>
      </w:r>
      <w:r w:rsidRPr="005A3BFC">
        <w:t>Table 26, p90</w:t>
      </w:r>
      <w:r w:rsidR="00AB006C">
        <w:t>, Table 31, p108,</w:t>
      </w:r>
      <w:r>
        <w:t xml:space="preserve"> Table 33, pp113-114 of the submission.</w:t>
      </w:r>
    </w:p>
    <w:p w14:paraId="650890AD" w14:textId="446F2A1C" w:rsidR="00D24261" w:rsidRDefault="00D24261" w:rsidP="00D24261">
      <w:pPr>
        <w:pStyle w:val="TableFigureFooter"/>
      </w:pPr>
      <w:r>
        <w:lastRenderedPageBreak/>
        <w:t>AE = adverse event,</w:t>
      </w:r>
      <w:r w:rsidR="008122D1">
        <w:t xml:space="preserve"> CI = confidence interval, </w:t>
      </w:r>
      <w:r w:rsidR="008122D1">
        <w:rPr>
          <w:rFonts w:eastAsia="Calibri"/>
        </w:rPr>
        <w:t xml:space="preserve">n = number of participants reporting data, N = total participants in group, </w:t>
      </w:r>
      <w:r w:rsidR="008122D1">
        <w:t>NIVO = nivolumab, OS = overall survival,</w:t>
      </w:r>
      <w:r>
        <w:t xml:space="preserve"> HR = hazard ratio, PBO</w:t>
      </w:r>
      <w:r w:rsidRPr="0072416F">
        <w:t xml:space="preserve"> = placebo</w:t>
      </w:r>
      <w:r>
        <w:t>,</w:t>
      </w:r>
      <w:r w:rsidR="008122D1">
        <w:t xml:space="preserve"> PFS = progression-free survival,</w:t>
      </w:r>
      <w:r>
        <w:t xml:space="preserve"> </w:t>
      </w:r>
      <w:r w:rsidRPr="0072416F">
        <w:t>RD = risk difference</w:t>
      </w:r>
      <w:r>
        <w:t>,</w:t>
      </w:r>
      <w:r w:rsidRPr="0072416F">
        <w:t xml:space="preserve"> </w:t>
      </w:r>
      <w:r w:rsidR="008122D1">
        <w:t xml:space="preserve">RELA = relatlimab, </w:t>
      </w:r>
      <w:r w:rsidRPr="0072416F">
        <w:t>RR = risk ratio</w:t>
      </w:r>
      <w:r>
        <w:t>, TEAE = treatment emergent adverse event.</w:t>
      </w:r>
    </w:p>
    <w:p w14:paraId="14A32826" w14:textId="77777777" w:rsidR="00D24261" w:rsidRPr="00CA0E6B" w:rsidRDefault="00D24261" w:rsidP="00D24261">
      <w:pPr>
        <w:pStyle w:val="TableFigureFooter"/>
      </w:pPr>
      <w:r w:rsidRPr="00F815BD">
        <w:rPr>
          <w:rFonts w:eastAsia="Calibri"/>
          <w:b/>
        </w:rPr>
        <w:t>Bold</w:t>
      </w:r>
      <w:r w:rsidRPr="00F815BD">
        <w:rPr>
          <w:rFonts w:eastAsia="Calibri"/>
        </w:rPr>
        <w:t xml:space="preserve"> indicates statistically significant results.</w:t>
      </w:r>
    </w:p>
    <w:p w14:paraId="5247F17A" w14:textId="23BB7CA0" w:rsidR="00D24261" w:rsidRDefault="00D24261" w:rsidP="008F3CB7">
      <w:pPr>
        <w:pStyle w:val="3-BodyText"/>
        <w:numPr>
          <w:ilvl w:val="1"/>
          <w:numId w:val="1"/>
        </w:numPr>
      </w:pPr>
      <w:r>
        <w:t xml:space="preserve">On the basis of direct evidence presented by the submission, for every 100 patients treated with RELA+NIVO </w:t>
      </w:r>
      <w:r w:rsidR="008122D1">
        <w:t xml:space="preserve">in comparison to </w:t>
      </w:r>
      <w:r>
        <w:t>nivolumab monotherapy:</w:t>
      </w:r>
    </w:p>
    <w:p w14:paraId="2D07AD96" w14:textId="7B92F68D" w:rsidR="00D24261" w:rsidRDefault="00D24261" w:rsidP="008F3CB7">
      <w:pPr>
        <w:pStyle w:val="3-BodyText"/>
        <w:numPr>
          <w:ilvl w:val="1"/>
          <w:numId w:val="10"/>
        </w:numPr>
        <w:ind w:left="993" w:hanging="284"/>
      </w:pPr>
      <w:r w:rsidRPr="00EB6C7C">
        <w:t xml:space="preserve">Approximately </w:t>
      </w:r>
      <w:r w:rsidR="00361E49">
        <w:t>5</w:t>
      </w:r>
      <w:r w:rsidR="008122D1" w:rsidRPr="00EB6C7C">
        <w:t xml:space="preserve"> </w:t>
      </w:r>
      <w:r w:rsidRPr="00EB6C7C">
        <w:t xml:space="preserve">additional patients will remain </w:t>
      </w:r>
      <w:r w:rsidR="008122D1">
        <w:t>alive</w:t>
      </w:r>
      <w:r w:rsidRPr="00EB6C7C">
        <w:t xml:space="preserve"> after </w:t>
      </w:r>
      <w:r w:rsidR="00361E49">
        <w:t xml:space="preserve">24 </w:t>
      </w:r>
      <w:r w:rsidRPr="00EB6C7C">
        <w:t>months</w:t>
      </w:r>
      <w:r>
        <w:t>.</w:t>
      </w:r>
    </w:p>
    <w:p w14:paraId="1A9B2C49" w14:textId="7C19C4F6" w:rsidR="00D24261" w:rsidRDefault="00D24261" w:rsidP="008F3CB7">
      <w:pPr>
        <w:pStyle w:val="3-BodyText"/>
        <w:numPr>
          <w:ilvl w:val="1"/>
          <w:numId w:val="10"/>
        </w:numPr>
        <w:ind w:left="993" w:hanging="284"/>
      </w:pPr>
      <w:r>
        <w:t xml:space="preserve">Approximately 12 additional patients will remain </w:t>
      </w:r>
      <w:r w:rsidRPr="00EB6C7C">
        <w:t xml:space="preserve">progression-free </w:t>
      </w:r>
      <w:r>
        <w:t>after 12 months</w:t>
      </w:r>
      <w:r w:rsidR="00C15429">
        <w:t>.</w:t>
      </w:r>
    </w:p>
    <w:p w14:paraId="4DFEA95C" w14:textId="77777777" w:rsidR="00D24261" w:rsidRPr="00B50DB8" w:rsidRDefault="00D24261" w:rsidP="008F3CB7">
      <w:pPr>
        <w:pStyle w:val="3-BodyText"/>
        <w:numPr>
          <w:ilvl w:val="1"/>
          <w:numId w:val="1"/>
        </w:numPr>
      </w:pPr>
      <w:r>
        <w:t>F</w:t>
      </w:r>
      <w:r w:rsidRPr="00CF6EE4">
        <w:t xml:space="preserve">or every 100 patients treated with </w:t>
      </w:r>
      <w:r>
        <w:t>RELA+NIVO</w:t>
      </w:r>
      <w:r w:rsidRPr="00CF6EE4">
        <w:t xml:space="preserve"> in comparison </w:t>
      </w:r>
      <w:r>
        <w:t>with</w:t>
      </w:r>
      <w:r w:rsidRPr="00CF6EE4">
        <w:t xml:space="preserve"> </w:t>
      </w:r>
      <w:r>
        <w:t>nivolumab over a median duration of follow-up of 13.21 months:</w:t>
      </w:r>
    </w:p>
    <w:p w14:paraId="3DB41B25" w14:textId="77777777" w:rsidR="00D24261" w:rsidRDefault="00D24261" w:rsidP="008F3CB7">
      <w:pPr>
        <w:pStyle w:val="3-BodyText"/>
        <w:numPr>
          <w:ilvl w:val="1"/>
          <w:numId w:val="11"/>
        </w:numPr>
        <w:ind w:left="993" w:hanging="284"/>
      </w:pPr>
      <w:r w:rsidRPr="00CF6EE4">
        <w:t xml:space="preserve">Approximately </w:t>
      </w:r>
      <w:r>
        <w:t>8</w:t>
      </w:r>
      <w:r w:rsidRPr="00CF6EE4">
        <w:t xml:space="preserve"> additional patients would </w:t>
      </w:r>
      <w:r>
        <w:t>experience</w:t>
      </w:r>
      <w:r w:rsidRPr="00CF6EE4">
        <w:t xml:space="preserve"> </w:t>
      </w:r>
      <w:r>
        <w:t>pruritus.</w:t>
      </w:r>
    </w:p>
    <w:p w14:paraId="4182236C" w14:textId="3D5045FF" w:rsidR="00D24261" w:rsidRDefault="00D24261" w:rsidP="008F3CB7">
      <w:pPr>
        <w:pStyle w:val="3-BodyText"/>
        <w:numPr>
          <w:ilvl w:val="1"/>
          <w:numId w:val="11"/>
        </w:numPr>
        <w:ind w:left="993" w:hanging="284"/>
      </w:pPr>
      <w:r>
        <w:t>Approximately 1</w:t>
      </w:r>
      <w:r w:rsidR="00385182">
        <w:t>0</w:t>
      </w:r>
      <w:r>
        <w:t xml:space="preserve"> additional patients would experience fatigue.</w:t>
      </w:r>
    </w:p>
    <w:p w14:paraId="3895BCED" w14:textId="4C7DD562" w:rsidR="00D24261" w:rsidRDefault="00D24261" w:rsidP="008F3CB7">
      <w:pPr>
        <w:pStyle w:val="3-BodyText"/>
        <w:numPr>
          <w:ilvl w:val="1"/>
          <w:numId w:val="11"/>
        </w:numPr>
        <w:ind w:left="993" w:hanging="284"/>
      </w:pPr>
      <w:r>
        <w:t xml:space="preserve">Approximate </w:t>
      </w:r>
      <w:r w:rsidR="00EE5050">
        <w:t xml:space="preserve">7 </w:t>
      </w:r>
      <w:r>
        <w:t xml:space="preserve">additional patients would experience </w:t>
      </w:r>
      <w:r w:rsidR="00FD5201">
        <w:t>arthralgia</w:t>
      </w:r>
      <w:r>
        <w:t>.</w:t>
      </w:r>
    </w:p>
    <w:p w14:paraId="637DB001" w14:textId="77777777" w:rsidR="00D24261" w:rsidRDefault="00D24261" w:rsidP="008F3CB7">
      <w:pPr>
        <w:pStyle w:val="3-BodyText"/>
        <w:numPr>
          <w:ilvl w:val="1"/>
          <w:numId w:val="11"/>
        </w:numPr>
        <w:ind w:left="993" w:hanging="284"/>
      </w:pPr>
      <w:r>
        <w:t>Approximately 8 additional patients would discontinue treatment due to AEs.</w:t>
      </w:r>
    </w:p>
    <w:p w14:paraId="67D60362" w14:textId="77777777" w:rsidR="00D24261" w:rsidRPr="006421D0" w:rsidRDefault="00D24261" w:rsidP="0074263A">
      <w:pPr>
        <w:pStyle w:val="4-SubsectionHeading"/>
        <w:rPr>
          <w:sz w:val="28"/>
          <w:szCs w:val="28"/>
        </w:rPr>
      </w:pPr>
      <w:bookmarkStart w:id="70" w:name="_Toc22897644"/>
      <w:bookmarkStart w:id="71" w:name="_Toc103768658"/>
      <w:r w:rsidRPr="006421D0">
        <w:rPr>
          <w:sz w:val="28"/>
          <w:szCs w:val="28"/>
        </w:rPr>
        <w:t>Clinical claim</w:t>
      </w:r>
      <w:bookmarkEnd w:id="70"/>
      <w:bookmarkEnd w:id="71"/>
    </w:p>
    <w:p w14:paraId="54B525EE" w14:textId="02232752" w:rsidR="0053543A" w:rsidRPr="0053543A" w:rsidRDefault="00D24261" w:rsidP="0053543A">
      <w:pPr>
        <w:pStyle w:val="3-BodyText"/>
        <w:numPr>
          <w:ilvl w:val="1"/>
          <w:numId w:val="1"/>
        </w:numPr>
        <w:rPr>
          <w:color w:val="0066FF"/>
        </w:rPr>
      </w:pPr>
      <w:bookmarkStart w:id="72" w:name="_Toc22897645"/>
      <w:r w:rsidRPr="006421D0">
        <w:t xml:space="preserve">The submission described RELA+NIVO as superior in terms of effectiveness and inferior in terms of safety compared to nivolumab monotherapy. </w:t>
      </w:r>
      <w:r w:rsidR="0053543A">
        <w:t>The ESC considered that nivolumab monotherapy was not the appropriate primary comparator.</w:t>
      </w:r>
    </w:p>
    <w:p w14:paraId="184CAB75" w14:textId="7BBEEE69" w:rsidR="00D24261" w:rsidRPr="0053543A" w:rsidRDefault="00D24261" w:rsidP="0053543A">
      <w:pPr>
        <w:pStyle w:val="3-BodyText"/>
        <w:numPr>
          <w:ilvl w:val="1"/>
          <w:numId w:val="1"/>
        </w:numPr>
        <w:rPr>
          <w:color w:val="0066FF"/>
        </w:rPr>
      </w:pPr>
      <w:r w:rsidRPr="006421D0">
        <w:t>Th</w:t>
      </w:r>
      <w:r w:rsidR="00007A3C" w:rsidRPr="006421D0">
        <w:t xml:space="preserve">e ESC </w:t>
      </w:r>
      <w:r w:rsidR="009B2A9F">
        <w:t xml:space="preserve">and PBAC </w:t>
      </w:r>
      <w:r w:rsidR="00007A3C" w:rsidRPr="006421D0">
        <w:t>considered that the</w:t>
      </w:r>
      <w:r w:rsidR="0053543A">
        <w:t xml:space="preserve"> efficacy</w:t>
      </w:r>
      <w:r w:rsidRPr="006421D0">
        <w:t xml:space="preserve"> claim w</w:t>
      </w:r>
      <w:r w:rsidR="0053543A">
        <w:t>as</w:t>
      </w:r>
      <w:r w:rsidRPr="006421D0">
        <w:t xml:space="preserve"> supported</w:t>
      </w:r>
      <w:r w:rsidR="00930047">
        <w:t>; however, the magnitude of the treatment effect was uncertain as</w:t>
      </w:r>
      <w:r w:rsidR="00007A3C" w:rsidRPr="006421D0">
        <w:t>:</w:t>
      </w:r>
      <w:r w:rsidRPr="006421D0">
        <w:t xml:space="preserve"> </w:t>
      </w:r>
    </w:p>
    <w:p w14:paraId="451D1CEE" w14:textId="77777777" w:rsidR="0053543A" w:rsidRPr="006421D0" w:rsidRDefault="0053543A" w:rsidP="0053543A">
      <w:pPr>
        <w:pStyle w:val="ListParagraph"/>
        <w:widowControl w:val="0"/>
        <w:numPr>
          <w:ilvl w:val="0"/>
          <w:numId w:val="43"/>
        </w:numPr>
        <w:snapToGrid w:val="0"/>
        <w:ind w:left="1077" w:hanging="357"/>
      </w:pPr>
      <w:r w:rsidRPr="006421D0">
        <w:t xml:space="preserve">there was no statistically significant difference in the OS benefit observed between RELA+NIVO and nivolumab monotherapy (HR = 0.80; 95% CI: 0.64, 1.01); and </w:t>
      </w:r>
    </w:p>
    <w:p w14:paraId="08EB9F4C" w14:textId="5EB15D66" w:rsidR="0053543A" w:rsidRPr="006421D0" w:rsidRDefault="0053543A" w:rsidP="0053543A">
      <w:pPr>
        <w:pStyle w:val="ListParagraph"/>
        <w:widowControl w:val="0"/>
        <w:numPr>
          <w:ilvl w:val="0"/>
          <w:numId w:val="43"/>
        </w:numPr>
        <w:snapToGrid w:val="0"/>
        <w:ind w:left="1077" w:hanging="357"/>
      </w:pPr>
      <w:r w:rsidRPr="006421D0">
        <w:t xml:space="preserve">the </w:t>
      </w:r>
      <w:r w:rsidR="00930047">
        <w:t xml:space="preserve">CA224047 trial data were </w:t>
      </w:r>
      <w:r w:rsidRPr="006421D0">
        <w:t>immatur</w:t>
      </w:r>
      <w:r w:rsidR="00930047">
        <w:t>e as median OS for the RELA+NIVO arm had not been reached at the October 2021 data cut</w:t>
      </w:r>
      <w:r w:rsidRPr="006421D0">
        <w:t>.</w:t>
      </w:r>
    </w:p>
    <w:p w14:paraId="468BD4E5" w14:textId="7EB88EC1" w:rsidR="0053543A" w:rsidRPr="00930047" w:rsidRDefault="0053543A" w:rsidP="0053543A">
      <w:pPr>
        <w:pStyle w:val="3-BodyText"/>
        <w:numPr>
          <w:ilvl w:val="1"/>
          <w:numId w:val="1"/>
        </w:numPr>
        <w:rPr>
          <w:color w:val="0066FF"/>
        </w:rPr>
      </w:pPr>
      <w:r>
        <w:t xml:space="preserve">The PBAC considered that the claim of inferior safety </w:t>
      </w:r>
      <w:r w:rsidR="00C44598">
        <w:t xml:space="preserve">versus nivolumab monotherapy </w:t>
      </w:r>
      <w:r>
        <w:t>was supported by the data presented.</w:t>
      </w:r>
    </w:p>
    <w:p w14:paraId="5BFCB405" w14:textId="08931C3B" w:rsidR="00930047" w:rsidRPr="006421D0" w:rsidRDefault="00930047" w:rsidP="0053543A">
      <w:pPr>
        <w:pStyle w:val="3-BodyText"/>
        <w:numPr>
          <w:ilvl w:val="1"/>
          <w:numId w:val="1"/>
        </w:numPr>
        <w:rPr>
          <w:color w:val="0066FF"/>
        </w:rPr>
      </w:pPr>
      <w:r w:rsidRPr="006421D0">
        <w:t>The submission described RELA+NIVO as non-inferior in terms of effectiveness and superior in terms of safety compared to NIVO+IPI based on the results of the ITC between RELA+NIVO and NIVO+IPI, using nivolumab monotherapy as a common reference arm.  The ESC noted that this was the more relevant clinical comparison</w:t>
      </w:r>
      <w:r>
        <w:t>.</w:t>
      </w:r>
    </w:p>
    <w:p w14:paraId="26A47663" w14:textId="4105974D" w:rsidR="00930047" w:rsidRDefault="002470CB" w:rsidP="0053543A">
      <w:pPr>
        <w:pStyle w:val="ListBullet"/>
        <w:spacing w:after="120"/>
        <w:ind w:left="709" w:hanging="709"/>
      </w:pPr>
      <w:r w:rsidRPr="006421D0">
        <w:t>6.</w:t>
      </w:r>
      <w:r w:rsidR="00052A13">
        <w:t>54</w:t>
      </w:r>
      <w:r w:rsidRPr="006421D0">
        <w:tab/>
      </w:r>
      <w:r w:rsidR="00930047">
        <w:t xml:space="preserve">The ESC and PBAC considered </w:t>
      </w:r>
      <w:r w:rsidR="00930047" w:rsidRPr="006421D0">
        <w:t>that the clinical claim that RELA+NIVO was non-inferior in terms of effectiveness was uncertain as:</w:t>
      </w:r>
    </w:p>
    <w:p w14:paraId="4616D57C" w14:textId="5C4F3114" w:rsidR="004D1CCC" w:rsidRPr="006421D0" w:rsidRDefault="00B36581" w:rsidP="008F3CB7">
      <w:pPr>
        <w:pStyle w:val="ListParagraph"/>
        <w:ind w:left="1077" w:hanging="357"/>
      </w:pPr>
      <w:r w:rsidRPr="006421D0">
        <w:t>t</w:t>
      </w:r>
      <w:r w:rsidR="00B24B74" w:rsidRPr="006421D0">
        <w:t>here were t</w:t>
      </w:r>
      <w:r w:rsidR="00D24261" w:rsidRPr="006421D0">
        <w:t xml:space="preserve">ransitivity issues between the CA224047 and CA209067 trials used in the </w:t>
      </w:r>
      <w:r w:rsidR="00054CE4" w:rsidRPr="006421D0">
        <w:t>ITC</w:t>
      </w:r>
      <w:r w:rsidR="00D24261" w:rsidRPr="006421D0">
        <w:t xml:space="preserve"> including differences in PD-L1 status and BRAF mutation status</w:t>
      </w:r>
      <w:r w:rsidRPr="006421D0">
        <w:t>; and</w:t>
      </w:r>
      <w:r w:rsidR="00D24261" w:rsidRPr="006421D0">
        <w:t xml:space="preserve"> </w:t>
      </w:r>
    </w:p>
    <w:p w14:paraId="0330E28F" w14:textId="77777777" w:rsidR="00052A13" w:rsidRDefault="00B36581" w:rsidP="00052A13">
      <w:pPr>
        <w:pStyle w:val="ListParagraph"/>
        <w:ind w:left="1077" w:hanging="357"/>
      </w:pPr>
      <w:r w:rsidRPr="00F97A01">
        <w:lastRenderedPageBreak/>
        <w:t>the</w:t>
      </w:r>
      <w:r w:rsidR="00D24261" w:rsidRPr="00F97A01">
        <w:t xml:space="preserve"> use of different data cut-offs and truncation with censoring to align follow</w:t>
      </w:r>
      <w:r w:rsidR="00292876" w:rsidRPr="00F97A01">
        <w:t>-</w:t>
      </w:r>
      <w:r w:rsidR="00D24261" w:rsidRPr="00F97A01">
        <w:t>up durations across trials in the adjusted ITC</w:t>
      </w:r>
      <w:r w:rsidR="00B24B74" w:rsidRPr="00F97A01">
        <w:t xml:space="preserve"> </w:t>
      </w:r>
      <w:r w:rsidR="00744D3B" w:rsidRPr="00F97A01">
        <w:t xml:space="preserve">may not have been </w:t>
      </w:r>
      <w:r w:rsidR="00B24B74" w:rsidRPr="00F97A01">
        <w:t>appropriate</w:t>
      </w:r>
      <w:r w:rsidR="00D24261" w:rsidRPr="00F97A01">
        <w:t>.</w:t>
      </w:r>
      <w:r w:rsidR="00E72CF2" w:rsidRPr="00F97A01">
        <w:t xml:space="preserve"> The submission could have used the data from the 2017 cut-off data (3 years median follow-up) in the MAIC. </w:t>
      </w:r>
    </w:p>
    <w:p w14:paraId="20BCFCA4" w14:textId="40C5E6B7" w:rsidR="00581916" w:rsidRPr="004C001F" w:rsidRDefault="009F2CA8" w:rsidP="00052A13">
      <w:pPr>
        <w:pStyle w:val="ListParagraph"/>
        <w:numPr>
          <w:ilvl w:val="1"/>
          <w:numId w:val="22"/>
        </w:numPr>
        <w:ind w:left="709" w:hanging="709"/>
      </w:pPr>
      <w:r w:rsidRPr="00052A13">
        <w:rPr>
          <w:snapToGrid/>
          <w:lang w:eastAsia="en-US"/>
        </w:rPr>
        <w:t xml:space="preserve">The </w:t>
      </w:r>
      <w:r w:rsidR="00581916" w:rsidRPr="00052A13">
        <w:rPr>
          <w:snapToGrid/>
          <w:lang w:eastAsia="en-US"/>
        </w:rPr>
        <w:t xml:space="preserve">ESC considered the </w:t>
      </w:r>
      <w:r w:rsidRPr="00052A13">
        <w:rPr>
          <w:snapToGrid/>
          <w:lang w:eastAsia="en-US"/>
        </w:rPr>
        <w:t>claim of a superior safety profile for RELA+NIVO</w:t>
      </w:r>
      <w:r w:rsidR="00581916" w:rsidRPr="00F97A01">
        <w:t xml:space="preserve"> (trial CA224047)</w:t>
      </w:r>
      <w:r w:rsidRPr="00052A13">
        <w:rPr>
          <w:snapToGrid/>
          <w:lang w:eastAsia="en-US"/>
        </w:rPr>
        <w:t xml:space="preserve"> compared to </w:t>
      </w:r>
      <w:r w:rsidR="00581916" w:rsidRPr="00052A13">
        <w:rPr>
          <w:snapToGrid/>
          <w:lang w:eastAsia="en-US"/>
        </w:rPr>
        <w:t xml:space="preserve">NIVO+IPI (trial </w:t>
      </w:r>
      <w:r w:rsidR="00581916" w:rsidRPr="00F97A01">
        <w:t xml:space="preserve">CA209067) </w:t>
      </w:r>
      <w:r w:rsidRPr="00052A13">
        <w:rPr>
          <w:snapToGrid/>
          <w:lang w:eastAsia="en-US"/>
        </w:rPr>
        <w:t>was also uncertain</w:t>
      </w:r>
      <w:r w:rsidR="00B36581" w:rsidRPr="00052A13">
        <w:rPr>
          <w:snapToGrid/>
          <w:lang w:eastAsia="en-US"/>
        </w:rPr>
        <w:t xml:space="preserve"> noting </w:t>
      </w:r>
      <w:r w:rsidR="00581916" w:rsidRPr="00F97A01">
        <w:t xml:space="preserve">that </w:t>
      </w:r>
      <w:r w:rsidR="00B36581" w:rsidRPr="00F97A01">
        <w:t xml:space="preserve">there were potential transitivity issues between the trials as </w:t>
      </w:r>
      <w:r w:rsidR="00581916" w:rsidRPr="00F97A01">
        <w:t xml:space="preserve">there were more Grade 3 </w:t>
      </w:r>
      <w:r w:rsidR="00581916" w:rsidRPr="004C001F">
        <w:t xml:space="preserve">or higher AEs in </w:t>
      </w:r>
      <w:r w:rsidR="00B36581" w:rsidRPr="004C001F">
        <w:t xml:space="preserve">the nivolumab </w:t>
      </w:r>
      <w:r w:rsidR="006D5F90" w:rsidRPr="004C001F">
        <w:t xml:space="preserve">monotherapy </w:t>
      </w:r>
      <w:r w:rsidR="00B36581" w:rsidRPr="004C001F">
        <w:t xml:space="preserve">arm of </w:t>
      </w:r>
      <w:r w:rsidR="00581916" w:rsidRPr="004C001F">
        <w:t xml:space="preserve">CA209067 (43%) than </w:t>
      </w:r>
      <w:r w:rsidR="00B36581" w:rsidRPr="004C001F">
        <w:t>in</w:t>
      </w:r>
      <w:r w:rsidR="00581916" w:rsidRPr="004C001F">
        <w:t xml:space="preserve"> CA224047 (33%)</w:t>
      </w:r>
      <w:r w:rsidR="00CC2017" w:rsidRPr="004C001F">
        <w:t>.</w:t>
      </w:r>
      <w:r w:rsidR="00354716" w:rsidRPr="004C001F">
        <w:t xml:space="preserve"> </w:t>
      </w:r>
    </w:p>
    <w:p w14:paraId="1F989E42" w14:textId="42A3092C" w:rsidR="00FB018E" w:rsidRPr="004C001F" w:rsidRDefault="00FB018E" w:rsidP="00F97A01">
      <w:pPr>
        <w:widowControl w:val="0"/>
        <w:numPr>
          <w:ilvl w:val="1"/>
          <w:numId w:val="22"/>
        </w:numPr>
        <w:spacing w:after="120"/>
        <w:ind w:left="720" w:hanging="720"/>
        <w:rPr>
          <w:rFonts w:asciiTheme="minorHAnsi" w:hAnsiTheme="minorHAnsi"/>
          <w:snapToGrid w:val="0"/>
          <w:szCs w:val="20"/>
        </w:rPr>
      </w:pPr>
      <w:bookmarkStart w:id="73" w:name="_Hlk76376200"/>
      <w:r w:rsidRPr="004C001F">
        <w:rPr>
          <w:rFonts w:asciiTheme="minorHAnsi" w:hAnsiTheme="minorHAnsi"/>
          <w:snapToGrid w:val="0"/>
          <w:szCs w:val="20"/>
        </w:rPr>
        <w:t xml:space="preserve">The PBAC considered that the claim of superior comparative safety </w:t>
      </w:r>
      <w:r w:rsidR="004C001F" w:rsidRPr="004C001F">
        <w:rPr>
          <w:rFonts w:asciiTheme="minorHAnsi" w:hAnsiTheme="minorHAnsi"/>
          <w:snapToGrid w:val="0"/>
          <w:szCs w:val="20"/>
        </w:rPr>
        <w:t xml:space="preserve">versus NIVO+IPI </w:t>
      </w:r>
      <w:r w:rsidRPr="004C001F">
        <w:rPr>
          <w:rFonts w:asciiTheme="minorHAnsi" w:hAnsiTheme="minorHAnsi"/>
          <w:snapToGrid w:val="0"/>
          <w:szCs w:val="20"/>
        </w:rPr>
        <w:t>was not adequately supported by the data.</w:t>
      </w:r>
    </w:p>
    <w:p w14:paraId="640196BF" w14:textId="5931D503" w:rsidR="00D24261" w:rsidRPr="004C001F" w:rsidRDefault="00D24261" w:rsidP="0074263A">
      <w:pPr>
        <w:pStyle w:val="4-SubsectionHeading"/>
        <w:rPr>
          <w:i/>
          <w:iCs/>
          <w:sz w:val="28"/>
          <w:szCs w:val="28"/>
        </w:rPr>
      </w:pPr>
      <w:bookmarkStart w:id="74" w:name="_Toc103768659"/>
      <w:bookmarkEnd w:id="73"/>
      <w:r w:rsidRPr="004C001F">
        <w:rPr>
          <w:i/>
          <w:iCs/>
          <w:sz w:val="28"/>
          <w:szCs w:val="28"/>
        </w:rPr>
        <w:t>Economic analysis</w:t>
      </w:r>
      <w:bookmarkEnd w:id="72"/>
      <w:bookmarkEnd w:id="74"/>
      <w:r w:rsidRPr="004C001F">
        <w:rPr>
          <w:i/>
          <w:iCs/>
          <w:sz w:val="28"/>
          <w:szCs w:val="28"/>
        </w:rPr>
        <w:t xml:space="preserve"> </w:t>
      </w:r>
    </w:p>
    <w:p w14:paraId="2C0103AA" w14:textId="52E96946" w:rsidR="00D24261" w:rsidRPr="004C001F" w:rsidRDefault="00D24261" w:rsidP="00A23598">
      <w:pPr>
        <w:pStyle w:val="3-BodyText"/>
        <w:numPr>
          <w:ilvl w:val="1"/>
          <w:numId w:val="22"/>
        </w:numPr>
        <w:ind w:left="709" w:hanging="709"/>
      </w:pPr>
      <w:r w:rsidRPr="004C001F">
        <w:t xml:space="preserve">The submission presented a cost-utility analysis (CUA) of RELA+NIVO compared to nivolumab monotherapy based on </w:t>
      </w:r>
      <w:r w:rsidR="006206B7" w:rsidRPr="004C001F">
        <w:t>the results of the</w:t>
      </w:r>
      <w:r w:rsidRPr="004C001F">
        <w:t xml:space="preserve"> direct randomised trial</w:t>
      </w:r>
      <w:r w:rsidR="006206B7" w:rsidRPr="004C001F">
        <w:t>,</w:t>
      </w:r>
      <w:r w:rsidRPr="004C001F">
        <w:t xml:space="preserve"> CA224047. Key components of the economic evaluation are presented in</w:t>
      </w:r>
      <w:r w:rsidR="002B65B0" w:rsidRPr="004C001F">
        <w:t xml:space="preserve"> </w:t>
      </w:r>
      <w:r w:rsidR="002B65B0" w:rsidRPr="004C001F">
        <w:fldChar w:fldCharType="begin"/>
      </w:r>
      <w:r w:rsidR="002B65B0" w:rsidRPr="004C001F">
        <w:instrText xml:space="preserve"> REF _Ref103244061 \h  \* MERGEFORMAT </w:instrText>
      </w:r>
      <w:r w:rsidR="002B65B0" w:rsidRPr="004C001F">
        <w:fldChar w:fldCharType="separate"/>
      </w:r>
      <w:r w:rsidR="00633460" w:rsidRPr="00633460">
        <w:t>Table 10</w:t>
      </w:r>
      <w:r w:rsidR="002B65B0" w:rsidRPr="004C001F">
        <w:fldChar w:fldCharType="end"/>
      </w:r>
      <w:r w:rsidRPr="004C001F">
        <w:t>.</w:t>
      </w:r>
    </w:p>
    <w:p w14:paraId="7305AD3E" w14:textId="6DB6D467" w:rsidR="00B36581" w:rsidRPr="006421D0" w:rsidRDefault="00366F53" w:rsidP="00A23598">
      <w:pPr>
        <w:pStyle w:val="ListParagraph"/>
        <w:numPr>
          <w:ilvl w:val="1"/>
          <w:numId w:val="22"/>
        </w:numPr>
        <w:ind w:left="709" w:hanging="709"/>
      </w:pPr>
      <w:r w:rsidRPr="004C001F">
        <w:t xml:space="preserve">The </w:t>
      </w:r>
      <w:r w:rsidR="006D5F90" w:rsidRPr="004C001F">
        <w:t>ESC noted</w:t>
      </w:r>
      <w:r w:rsidR="006D5F90" w:rsidRPr="006421D0">
        <w:t xml:space="preserve"> that the </w:t>
      </w:r>
      <w:r w:rsidRPr="006421D0">
        <w:t xml:space="preserve">submission did not present an economic evaluation of RELA+NIVO compared with NIVO+IPI, </w:t>
      </w:r>
      <w:r w:rsidR="006D5F90" w:rsidRPr="006421D0">
        <w:t>b</w:t>
      </w:r>
      <w:r w:rsidR="00137DE0" w:rsidRPr="006421D0">
        <w:t xml:space="preserve">ased on the </w:t>
      </w:r>
      <w:r w:rsidR="000115BD" w:rsidRPr="006421D0">
        <w:t xml:space="preserve">claim of </w:t>
      </w:r>
      <w:r w:rsidR="00137DE0" w:rsidRPr="006421D0">
        <w:t>non-inferior eff</w:t>
      </w:r>
      <w:r w:rsidR="000115BD" w:rsidRPr="006421D0">
        <w:t xml:space="preserve">icacy. </w:t>
      </w:r>
    </w:p>
    <w:p w14:paraId="32AB8C92" w14:textId="532AD054" w:rsidR="00DF151C" w:rsidRPr="006421D0" w:rsidRDefault="00DF151C" w:rsidP="00A23598">
      <w:pPr>
        <w:pStyle w:val="ListParagraph"/>
        <w:numPr>
          <w:ilvl w:val="1"/>
          <w:numId w:val="22"/>
        </w:numPr>
        <w:ind w:left="709" w:hanging="709"/>
      </w:pPr>
      <w:r w:rsidRPr="006421D0">
        <w:t xml:space="preserve">The PSCR argued (p4) </w:t>
      </w:r>
      <w:r w:rsidR="0029460A">
        <w:t xml:space="preserve">and the </w:t>
      </w:r>
      <w:r w:rsidR="002D336A">
        <w:t>p</w:t>
      </w:r>
      <w:r w:rsidR="0029460A">
        <w:t>re-PBAC response (</w:t>
      </w:r>
      <w:r w:rsidR="00F97A01">
        <w:t>p</w:t>
      </w:r>
      <w:r w:rsidR="0029460A">
        <w:t xml:space="preserve">2) reiterated </w:t>
      </w:r>
      <w:r w:rsidRPr="006421D0">
        <w:t xml:space="preserve">that it was reasonable to present only an economic evaluation of RELA+NIVO versus </w:t>
      </w:r>
      <w:r w:rsidR="00B36581" w:rsidRPr="006421D0">
        <w:t>nivolumab monotherapy</w:t>
      </w:r>
      <w:r w:rsidRPr="006421D0">
        <w:t xml:space="preserve"> as it allowed for the assessment of the cost-effectiveness of RELA+NIVO to be based on direct RCT evidence. </w:t>
      </w:r>
      <w:r w:rsidR="009D2E69" w:rsidRPr="006421D0">
        <w:t>T</w:t>
      </w:r>
      <w:r w:rsidR="006D5F90" w:rsidRPr="006421D0">
        <w:t xml:space="preserve">he ESC considered that the CUA analysis presented in the submission was not informative as </w:t>
      </w:r>
      <w:r w:rsidR="009D2E69" w:rsidRPr="006421D0">
        <w:t>nivolumab monotherapy was not the appropriate comparator. Overall, the ESC</w:t>
      </w:r>
      <w:r w:rsidR="009D2E69" w:rsidRPr="00DF151C">
        <w:rPr>
          <w:i/>
          <w:iCs/>
        </w:rPr>
        <w:t xml:space="preserve"> </w:t>
      </w:r>
      <w:r w:rsidR="009D2E69" w:rsidRPr="006421D0">
        <w:t xml:space="preserve">considered that a cost minimisation </w:t>
      </w:r>
      <w:r w:rsidR="00C44598">
        <w:t>approach for</w:t>
      </w:r>
      <w:r w:rsidR="009D2E69" w:rsidRPr="006421D0">
        <w:t xml:space="preserve"> NIVO+RELA versus NIVO+IPI for the main economic </w:t>
      </w:r>
      <w:r w:rsidR="00C44598">
        <w:t>evaluation</w:t>
      </w:r>
      <w:r w:rsidR="00C44598" w:rsidRPr="006421D0">
        <w:t xml:space="preserve"> </w:t>
      </w:r>
      <w:r w:rsidR="009D2E69" w:rsidRPr="006421D0">
        <w:t xml:space="preserve">would be more appropriate as NIVO+IPI was considered to be the </w:t>
      </w:r>
      <w:r w:rsidR="00C44598">
        <w:t>more</w:t>
      </w:r>
      <w:r w:rsidR="00C44598" w:rsidRPr="006421D0">
        <w:t xml:space="preserve"> </w:t>
      </w:r>
      <w:r w:rsidR="009D2E69" w:rsidRPr="006421D0">
        <w:t>appropriate comparator.</w:t>
      </w:r>
      <w:r w:rsidR="0029460A">
        <w:t xml:space="preserve"> </w:t>
      </w:r>
    </w:p>
    <w:p w14:paraId="354EEA25" w14:textId="2C86F9C3" w:rsidR="00366F53" w:rsidRPr="0091283E" w:rsidRDefault="00046622" w:rsidP="00A23598">
      <w:pPr>
        <w:pStyle w:val="ListParagraph"/>
        <w:numPr>
          <w:ilvl w:val="1"/>
          <w:numId w:val="22"/>
        </w:numPr>
        <w:ind w:left="709" w:hanging="709"/>
      </w:pPr>
      <w:r w:rsidRPr="0091283E">
        <w:t>NIVO+IPI was recommended by the PBAC in July 2018 for the treatment of unresectable Stage III or IV malignant melanoma on the basis of cost neutrality to the PBS, that is, that the total sum of expenditure by the Australian Government for PD-1 inhibitors plus ipilimumab would not increase following the listing of NIVO+IPI compared to nivolumab monotherapy (paragraphs</w:t>
      </w:r>
      <w:r w:rsidR="00F97A01">
        <w:t xml:space="preserve"> </w:t>
      </w:r>
      <w:r w:rsidRPr="0091283E">
        <w:t xml:space="preserve">7.1 and 7.09, NIVO+IPI PSD, July 2018). </w:t>
      </w:r>
    </w:p>
    <w:p w14:paraId="3DF66846" w14:textId="14D54FA1" w:rsidR="00D24261" w:rsidRPr="00DD2139" w:rsidRDefault="00D24261" w:rsidP="00335139">
      <w:pPr>
        <w:pStyle w:val="Caption"/>
        <w:keepNext/>
        <w:spacing w:after="0"/>
        <w:rPr>
          <w:rStyle w:val="CommentReference"/>
          <w:b/>
          <w:bCs w:val="0"/>
          <w:color w:val="000000" w:themeColor="text1"/>
        </w:rPr>
      </w:pPr>
      <w:bookmarkStart w:id="75" w:name="_Ref103244061"/>
      <w:bookmarkStart w:id="76" w:name="_Ref100930536"/>
      <w:r w:rsidRPr="00DD2139">
        <w:rPr>
          <w:rStyle w:val="CommentReference"/>
          <w:b/>
          <w:bCs w:val="0"/>
          <w:color w:val="000000" w:themeColor="text1"/>
        </w:rPr>
        <w:lastRenderedPageBreak/>
        <w:t xml:space="preserve">Table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10</w:t>
      </w:r>
      <w:r>
        <w:rPr>
          <w:rStyle w:val="CommentReference"/>
          <w:b/>
          <w:bCs w:val="0"/>
          <w:color w:val="000000" w:themeColor="text1"/>
        </w:rPr>
        <w:fldChar w:fldCharType="end"/>
      </w:r>
      <w:bookmarkEnd w:id="75"/>
      <w:r w:rsidRPr="00DD2139">
        <w:rPr>
          <w:rStyle w:val="CommentReference"/>
          <w:b/>
          <w:bCs w:val="0"/>
          <w:color w:val="000000" w:themeColor="text1"/>
        </w:rPr>
        <w:t>: Summary of model structure, key inputs and rationale</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Summary of model structure, key inputs and rationale"/>
      </w:tblPr>
      <w:tblGrid>
        <w:gridCol w:w="2518"/>
        <w:gridCol w:w="6499"/>
      </w:tblGrid>
      <w:tr w:rsidR="00D24261" w:rsidRPr="003D1DE4" w14:paraId="3122224E" w14:textId="77777777" w:rsidTr="00993EEC">
        <w:trPr>
          <w:tblHeader/>
        </w:trPr>
        <w:tc>
          <w:tcPr>
            <w:tcW w:w="1396" w:type="pct"/>
            <w:shd w:val="clear" w:color="auto" w:fill="auto"/>
            <w:vAlign w:val="center"/>
          </w:tcPr>
          <w:p w14:paraId="310B2544" w14:textId="77777777" w:rsidR="00D24261" w:rsidRPr="00641FB3" w:rsidRDefault="00D24261" w:rsidP="00335139">
            <w:pPr>
              <w:pStyle w:val="In-tableHeading"/>
            </w:pPr>
            <w:r w:rsidRPr="00641FB3">
              <w:t>Component</w:t>
            </w:r>
          </w:p>
        </w:tc>
        <w:tc>
          <w:tcPr>
            <w:tcW w:w="3604" w:type="pct"/>
            <w:shd w:val="clear" w:color="auto" w:fill="auto"/>
            <w:vAlign w:val="center"/>
          </w:tcPr>
          <w:p w14:paraId="13A16165" w14:textId="77777777" w:rsidR="00D24261" w:rsidRPr="00641FB3" w:rsidRDefault="00D24261" w:rsidP="00335139">
            <w:pPr>
              <w:pStyle w:val="In-tableHeading"/>
            </w:pPr>
            <w:r w:rsidRPr="00641FB3">
              <w:t>Summary</w:t>
            </w:r>
          </w:p>
        </w:tc>
      </w:tr>
      <w:tr w:rsidR="00D24261" w:rsidRPr="00E2771E" w14:paraId="55797C66" w14:textId="77777777" w:rsidTr="00993EEC">
        <w:tc>
          <w:tcPr>
            <w:tcW w:w="1396" w:type="pct"/>
            <w:shd w:val="clear" w:color="auto" w:fill="auto"/>
            <w:vAlign w:val="center"/>
          </w:tcPr>
          <w:p w14:paraId="058AD02C" w14:textId="77777777" w:rsidR="00D24261" w:rsidRPr="00E2771E" w:rsidRDefault="00D24261" w:rsidP="00E730EF">
            <w:pPr>
              <w:pStyle w:val="TableText0"/>
            </w:pPr>
            <w:r>
              <w:t>Treatments</w:t>
            </w:r>
          </w:p>
        </w:tc>
        <w:tc>
          <w:tcPr>
            <w:tcW w:w="3604" w:type="pct"/>
            <w:shd w:val="clear" w:color="auto" w:fill="auto"/>
          </w:tcPr>
          <w:p w14:paraId="3960E68D" w14:textId="77777777" w:rsidR="00D24261" w:rsidRPr="00E2771E" w:rsidRDefault="00D24261" w:rsidP="00E730EF">
            <w:pPr>
              <w:pStyle w:val="TableText0"/>
            </w:pPr>
            <w:r w:rsidRPr="00EA1EA3">
              <w:t>RELA+NIVO vs nivolumab</w:t>
            </w:r>
          </w:p>
        </w:tc>
      </w:tr>
      <w:tr w:rsidR="00D24261" w:rsidRPr="00E2771E" w14:paraId="7F7076A4" w14:textId="77777777" w:rsidTr="00993EEC">
        <w:tc>
          <w:tcPr>
            <w:tcW w:w="1396" w:type="pct"/>
            <w:shd w:val="clear" w:color="auto" w:fill="auto"/>
            <w:vAlign w:val="center"/>
          </w:tcPr>
          <w:p w14:paraId="30A63257" w14:textId="77777777" w:rsidR="00D24261" w:rsidRPr="00E2771E" w:rsidRDefault="00D24261" w:rsidP="00E730EF">
            <w:pPr>
              <w:pStyle w:val="TableText0"/>
            </w:pPr>
            <w:r w:rsidRPr="00E2771E">
              <w:t>Time horizon</w:t>
            </w:r>
          </w:p>
        </w:tc>
        <w:tc>
          <w:tcPr>
            <w:tcW w:w="3604" w:type="pct"/>
            <w:shd w:val="clear" w:color="auto" w:fill="auto"/>
          </w:tcPr>
          <w:p w14:paraId="72E612E9" w14:textId="77777777" w:rsidR="00D24261" w:rsidRPr="00E2771E" w:rsidRDefault="00D24261" w:rsidP="00E730EF">
            <w:pPr>
              <w:pStyle w:val="TableText0"/>
            </w:pPr>
            <w:r w:rsidRPr="00EA1EA3">
              <w:t>20 years in the model base case versus 19 months in trial</w:t>
            </w:r>
          </w:p>
        </w:tc>
      </w:tr>
      <w:tr w:rsidR="00D24261" w:rsidRPr="00E2771E" w14:paraId="66F4DA77" w14:textId="77777777" w:rsidTr="00993EEC">
        <w:tc>
          <w:tcPr>
            <w:tcW w:w="1396" w:type="pct"/>
            <w:shd w:val="clear" w:color="auto" w:fill="auto"/>
            <w:vAlign w:val="center"/>
          </w:tcPr>
          <w:p w14:paraId="1884777A" w14:textId="77777777" w:rsidR="00D24261" w:rsidRPr="00E2771E" w:rsidRDefault="00D24261" w:rsidP="00E730EF">
            <w:pPr>
              <w:pStyle w:val="TableText0"/>
            </w:pPr>
            <w:r w:rsidRPr="00E2771E">
              <w:t>Outcomes</w:t>
            </w:r>
          </w:p>
        </w:tc>
        <w:tc>
          <w:tcPr>
            <w:tcW w:w="3604" w:type="pct"/>
            <w:shd w:val="clear" w:color="auto" w:fill="auto"/>
          </w:tcPr>
          <w:p w14:paraId="2CE84D93" w14:textId="77777777" w:rsidR="00D24261" w:rsidRPr="00E2771E" w:rsidRDefault="00D24261" w:rsidP="00E730EF">
            <w:pPr>
              <w:pStyle w:val="TableText0"/>
            </w:pPr>
            <w:r w:rsidRPr="00EA1EA3">
              <w:t>Life years and Quality-adjusted life years</w:t>
            </w:r>
          </w:p>
        </w:tc>
      </w:tr>
      <w:tr w:rsidR="00D24261" w:rsidRPr="00E2771E" w14:paraId="7674DF6B" w14:textId="77777777" w:rsidTr="00993EEC">
        <w:tc>
          <w:tcPr>
            <w:tcW w:w="1396" w:type="pct"/>
            <w:shd w:val="clear" w:color="auto" w:fill="auto"/>
            <w:vAlign w:val="center"/>
          </w:tcPr>
          <w:p w14:paraId="5A6DEDCE" w14:textId="77777777" w:rsidR="00D24261" w:rsidRPr="00E2771E" w:rsidRDefault="00D24261" w:rsidP="00E730EF">
            <w:pPr>
              <w:pStyle w:val="TableText0"/>
            </w:pPr>
            <w:r w:rsidRPr="00E2771E">
              <w:t>Methods used to generate results</w:t>
            </w:r>
          </w:p>
        </w:tc>
        <w:tc>
          <w:tcPr>
            <w:tcW w:w="3604" w:type="pct"/>
            <w:shd w:val="clear" w:color="auto" w:fill="auto"/>
          </w:tcPr>
          <w:p w14:paraId="4648EB3A" w14:textId="77777777" w:rsidR="00D24261" w:rsidRPr="00E2771E" w:rsidRDefault="00D24261" w:rsidP="00E730EF">
            <w:pPr>
              <w:pStyle w:val="TableText0"/>
            </w:pPr>
            <w:r w:rsidRPr="00EA1EA3">
              <w:t>Cohort analysis of partitioned survival (i.e., area under the curve);</w:t>
            </w:r>
          </w:p>
        </w:tc>
      </w:tr>
      <w:tr w:rsidR="00D24261" w:rsidRPr="00E2771E" w14:paraId="6688B894" w14:textId="77777777" w:rsidTr="00993EEC">
        <w:tc>
          <w:tcPr>
            <w:tcW w:w="1396" w:type="pct"/>
            <w:shd w:val="clear" w:color="auto" w:fill="auto"/>
            <w:vAlign w:val="center"/>
          </w:tcPr>
          <w:p w14:paraId="7CABF36B" w14:textId="77777777" w:rsidR="00D24261" w:rsidRPr="00E2771E" w:rsidRDefault="00D24261" w:rsidP="00E730EF">
            <w:pPr>
              <w:pStyle w:val="TableText0"/>
            </w:pPr>
            <w:r w:rsidRPr="00E2771E">
              <w:t>Health states</w:t>
            </w:r>
          </w:p>
        </w:tc>
        <w:tc>
          <w:tcPr>
            <w:tcW w:w="3604" w:type="pct"/>
            <w:shd w:val="clear" w:color="auto" w:fill="auto"/>
          </w:tcPr>
          <w:p w14:paraId="6BA65145" w14:textId="77777777" w:rsidR="00D24261" w:rsidRPr="00E2771E" w:rsidRDefault="00D24261" w:rsidP="00E730EF">
            <w:pPr>
              <w:pStyle w:val="TableText0"/>
            </w:pPr>
            <w:r w:rsidRPr="00EA1EA3">
              <w:t>Pre-progression, Post-progression and Death</w:t>
            </w:r>
          </w:p>
        </w:tc>
      </w:tr>
      <w:tr w:rsidR="00D24261" w:rsidRPr="00E2771E" w14:paraId="1CD38336" w14:textId="77777777" w:rsidTr="00993EEC">
        <w:tc>
          <w:tcPr>
            <w:tcW w:w="1396" w:type="pct"/>
            <w:shd w:val="clear" w:color="auto" w:fill="auto"/>
            <w:vAlign w:val="center"/>
          </w:tcPr>
          <w:p w14:paraId="261DF0FD" w14:textId="77777777" w:rsidR="00D24261" w:rsidRPr="00E2771E" w:rsidRDefault="00D24261" w:rsidP="00E730EF">
            <w:pPr>
              <w:pStyle w:val="TableText0"/>
            </w:pPr>
            <w:r w:rsidRPr="00E2771E">
              <w:t>Cycle length</w:t>
            </w:r>
          </w:p>
        </w:tc>
        <w:tc>
          <w:tcPr>
            <w:tcW w:w="3604" w:type="pct"/>
            <w:shd w:val="clear" w:color="auto" w:fill="auto"/>
          </w:tcPr>
          <w:p w14:paraId="65B2F0FA" w14:textId="0490A7B7" w:rsidR="00D24261" w:rsidRPr="00E2771E" w:rsidRDefault="00D24261" w:rsidP="00E730EF">
            <w:pPr>
              <w:pStyle w:val="TableText0"/>
            </w:pPr>
            <w:r w:rsidRPr="00EA1EA3">
              <w:t>1 month</w:t>
            </w:r>
          </w:p>
        </w:tc>
      </w:tr>
      <w:tr w:rsidR="00D24261" w:rsidRPr="00E2771E" w14:paraId="34DEBE34" w14:textId="77777777" w:rsidTr="00993EEC">
        <w:tc>
          <w:tcPr>
            <w:tcW w:w="1396" w:type="pct"/>
            <w:shd w:val="clear" w:color="auto" w:fill="auto"/>
            <w:vAlign w:val="center"/>
          </w:tcPr>
          <w:p w14:paraId="0E5266DA" w14:textId="77777777" w:rsidR="00D24261" w:rsidRPr="00E2771E" w:rsidRDefault="00D24261" w:rsidP="00E730EF">
            <w:pPr>
              <w:pStyle w:val="TableText0"/>
            </w:pPr>
            <w:r>
              <w:t>Allocation to health states (if partitioned survival model)</w:t>
            </w:r>
          </w:p>
        </w:tc>
        <w:tc>
          <w:tcPr>
            <w:tcW w:w="3604" w:type="pct"/>
            <w:shd w:val="clear" w:color="auto" w:fill="auto"/>
          </w:tcPr>
          <w:p w14:paraId="64C3D216" w14:textId="77777777" w:rsidR="00D24261" w:rsidRDefault="00D24261" w:rsidP="00E730EF">
            <w:pPr>
              <w:pStyle w:val="TableText0"/>
            </w:pPr>
            <w:r>
              <w:t>Health state over time was determined by PFS and OS KM data based on the CA224047 trial extrapolated using parametric curve fitting.</w:t>
            </w:r>
          </w:p>
          <w:p w14:paraId="475F7A2C" w14:textId="77777777" w:rsidR="00D24261" w:rsidRPr="00E2771E" w:rsidRDefault="00D24261" w:rsidP="00E730EF">
            <w:pPr>
              <w:pStyle w:val="TableText0"/>
            </w:pPr>
            <w:r>
              <w:t>Allocation of treatment and AE costs and disutilities were determined by time-to-treatment discontinuation data based on the CA224047 trial extrapolated using parametric curve fitting.</w:t>
            </w:r>
          </w:p>
        </w:tc>
      </w:tr>
      <w:tr w:rsidR="00D24261" w:rsidRPr="00E2771E" w14:paraId="25BCFA49" w14:textId="77777777" w:rsidTr="00993EEC">
        <w:tc>
          <w:tcPr>
            <w:tcW w:w="1396" w:type="pct"/>
            <w:shd w:val="clear" w:color="auto" w:fill="auto"/>
            <w:vAlign w:val="center"/>
          </w:tcPr>
          <w:p w14:paraId="6033B106" w14:textId="77777777" w:rsidR="00D24261" w:rsidRPr="00E2771E" w:rsidRDefault="00D24261" w:rsidP="00E730EF">
            <w:pPr>
              <w:pStyle w:val="TableText0"/>
            </w:pPr>
            <w:r>
              <w:t>Extrapolation method</w:t>
            </w:r>
          </w:p>
        </w:tc>
        <w:tc>
          <w:tcPr>
            <w:tcW w:w="3604" w:type="pct"/>
            <w:shd w:val="clear" w:color="auto" w:fill="auto"/>
          </w:tcPr>
          <w:p w14:paraId="3A1B0EBE" w14:textId="77777777" w:rsidR="00D24261" w:rsidRDefault="00D24261" w:rsidP="00E730EF">
            <w:pPr>
              <w:pStyle w:val="TableText0"/>
              <w:keepNext w:val="0"/>
            </w:pPr>
            <w:r>
              <w:t xml:space="preserve">Parametric model fitted to each treatment arm with log-normal distribution selected in base case for OS, generalised gamma distribution selected in base case for PFS, and Weibull distribution selected in base case for TTD based on goodness of fit and visual inspection. </w:t>
            </w:r>
          </w:p>
          <w:p w14:paraId="3B116784" w14:textId="40938EC9" w:rsidR="00D24261" w:rsidRPr="00E2771E" w:rsidRDefault="002E2A91" w:rsidP="00E730EF">
            <w:pPr>
              <w:pStyle w:val="TableText0"/>
            </w:pPr>
            <w:r>
              <w:t xml:space="preserve">92% of the life-years gained, </w:t>
            </w:r>
            <w:r w:rsidR="00B01047">
              <w:t>91</w:t>
            </w:r>
            <w:r w:rsidR="00D24261">
              <w:t xml:space="preserve">% of the </w:t>
            </w:r>
            <w:r w:rsidR="00B01047">
              <w:t xml:space="preserve">incremental </w:t>
            </w:r>
            <w:r w:rsidR="00D24261">
              <w:t xml:space="preserve">QALYs (discounted) and </w:t>
            </w:r>
            <w:r w:rsidR="00B01047">
              <w:t>26</w:t>
            </w:r>
            <w:r w:rsidR="00D24261">
              <w:t xml:space="preserve">% of </w:t>
            </w:r>
            <w:r w:rsidR="00B01047">
              <w:t xml:space="preserve">incremental </w:t>
            </w:r>
            <w:r w:rsidR="00D24261">
              <w:t>costs (discounted) occurred in the extrapolated period.</w:t>
            </w:r>
          </w:p>
        </w:tc>
      </w:tr>
      <w:tr w:rsidR="00D24261" w:rsidRPr="00E2771E" w14:paraId="0515530D" w14:textId="77777777" w:rsidTr="00993EEC">
        <w:tc>
          <w:tcPr>
            <w:tcW w:w="1396" w:type="pct"/>
            <w:shd w:val="clear" w:color="auto" w:fill="auto"/>
            <w:vAlign w:val="center"/>
          </w:tcPr>
          <w:p w14:paraId="5DDA995C" w14:textId="77777777" w:rsidR="00D24261" w:rsidRPr="001F4081" w:rsidRDefault="00D24261" w:rsidP="00E730EF">
            <w:pPr>
              <w:pStyle w:val="TableText0"/>
            </w:pPr>
            <w:r>
              <w:t>Health related quality of life</w:t>
            </w:r>
          </w:p>
        </w:tc>
        <w:tc>
          <w:tcPr>
            <w:tcW w:w="3604" w:type="pct"/>
            <w:shd w:val="clear" w:color="auto" w:fill="auto"/>
          </w:tcPr>
          <w:p w14:paraId="263A4C45" w14:textId="77777777" w:rsidR="00D24261" w:rsidRDefault="00D24261" w:rsidP="00E730EF">
            <w:pPr>
              <w:pStyle w:val="TableText0"/>
              <w:keepNext w:val="0"/>
            </w:pPr>
            <w:r>
              <w:t>Trial-based</w:t>
            </w:r>
          </w:p>
          <w:p w14:paraId="258CB17C" w14:textId="77777777" w:rsidR="00D24261" w:rsidRDefault="00D24261" w:rsidP="00E730EF">
            <w:pPr>
              <w:pStyle w:val="TableText0"/>
              <w:keepNext w:val="0"/>
            </w:pPr>
            <w:r>
              <w:t>Progression-free = 0.80</w:t>
            </w:r>
          </w:p>
          <w:p w14:paraId="2181A14A" w14:textId="77777777" w:rsidR="00D24261" w:rsidRPr="00E2771E" w:rsidRDefault="00D24261" w:rsidP="00E730EF">
            <w:pPr>
              <w:pStyle w:val="TableText0"/>
            </w:pPr>
            <w:r>
              <w:t>Progressed = 0.75</w:t>
            </w:r>
          </w:p>
        </w:tc>
      </w:tr>
    </w:tbl>
    <w:p w14:paraId="1E1FD1EC" w14:textId="207B88B4" w:rsidR="00D24261" w:rsidRDefault="00D24261" w:rsidP="00D24261">
      <w:pPr>
        <w:pStyle w:val="TableFigureFooter"/>
      </w:pPr>
      <w:r>
        <w:t>Source: Table 59, p200 and Table 65, p21</w:t>
      </w:r>
      <w:r w:rsidR="00B66DD9">
        <w:t>7</w:t>
      </w:r>
      <w:r>
        <w:t xml:space="preserve"> of the submission; ‘NIVO_RELA</w:t>
      </w:r>
      <w:r w:rsidRPr="006D5F90">
        <w:t>_Section3model’</w:t>
      </w:r>
      <w:r>
        <w:t xml:space="preserve"> workbook</w:t>
      </w:r>
    </w:p>
    <w:p w14:paraId="45C5070D" w14:textId="6E18B2E1" w:rsidR="00D24261" w:rsidRPr="00DD2139" w:rsidRDefault="00D24261" w:rsidP="00D24261">
      <w:pPr>
        <w:pStyle w:val="TableFigureFooter"/>
      </w:pPr>
      <w:r>
        <w:t>AE = adverse event,</w:t>
      </w:r>
      <w:r w:rsidR="002B65B0">
        <w:t xml:space="preserve"> KM = Kaplan-Meier,</w:t>
      </w:r>
      <w:r>
        <w:t xml:space="preserve"> NIVO = nivolumab, OS = overall survival, PFS = progression-free survival, QALY = Quality-adjusted life years, RELA = relatlimab, TTD = time-to treatment discontinuation.</w:t>
      </w:r>
    </w:p>
    <w:p w14:paraId="32AC6008" w14:textId="77777777" w:rsidR="00D24261" w:rsidRPr="008854F2" w:rsidRDefault="00D24261" w:rsidP="00A23598">
      <w:pPr>
        <w:pStyle w:val="3-BodyText"/>
        <w:numPr>
          <w:ilvl w:val="1"/>
          <w:numId w:val="22"/>
        </w:numPr>
        <w:ind w:left="709" w:hanging="709"/>
        <w:rPr>
          <w:color w:val="0066FF"/>
        </w:rPr>
      </w:pPr>
      <w:bookmarkStart w:id="77" w:name="_Hlk100806759"/>
      <w:r>
        <w:t xml:space="preserve">The submission presented a partitioned survival model with three mutually exclusive health states: pre-progression, post-progression, and death to model the costs and health outcomes for RELA+NIVO versus nivolumab monotherapy for the treatment of unresectable Stage III or IV malignant melanoma. </w:t>
      </w:r>
    </w:p>
    <w:p w14:paraId="19ECD260" w14:textId="528C1FA1" w:rsidR="00D24261" w:rsidRPr="006B1B06" w:rsidRDefault="00D24261" w:rsidP="00A23598">
      <w:pPr>
        <w:pStyle w:val="3-BodyText"/>
        <w:numPr>
          <w:ilvl w:val="1"/>
          <w:numId w:val="22"/>
        </w:numPr>
        <w:ind w:left="709" w:hanging="709"/>
        <w:rPr>
          <w:i/>
          <w:iCs/>
          <w:color w:val="0066FF"/>
        </w:rPr>
      </w:pPr>
      <w:r>
        <w:t xml:space="preserve">The median duration of follow-up was 19 months for both </w:t>
      </w:r>
      <w:r w:rsidR="00D047BF">
        <w:t xml:space="preserve">the </w:t>
      </w:r>
      <w:r>
        <w:t>RELA+NIVO and nivolumab monotherapy</w:t>
      </w:r>
      <w:r w:rsidR="00D047BF">
        <w:t xml:space="preserve"> arms</w:t>
      </w:r>
      <w:r>
        <w:t>, based on the CA224047 trial. Parametric distributions with best relative fit according to Akaike's Information Criteria (AIC) and Bayesian Information Criteria (BIC) were used to extrapolate the KM function curves (OS, PFS, TTD) from the median follow-up time over a time horizon of 20 years.</w:t>
      </w:r>
      <w:r w:rsidR="00064DF3">
        <w:t xml:space="preserve"> </w:t>
      </w:r>
    </w:p>
    <w:p w14:paraId="070D80D8" w14:textId="24C309BE" w:rsidR="004E319D" w:rsidRPr="006421D0" w:rsidRDefault="00D24261" w:rsidP="00A23598">
      <w:pPr>
        <w:pStyle w:val="3-BodyText"/>
        <w:numPr>
          <w:ilvl w:val="1"/>
          <w:numId w:val="22"/>
        </w:numPr>
        <w:ind w:left="709" w:hanging="709"/>
        <w:rPr>
          <w:rFonts w:eastAsia="Calibri"/>
        </w:rPr>
      </w:pPr>
      <w:r w:rsidRPr="006421D0">
        <w:t xml:space="preserve">A 20-year time horizon may be too long in the population of advanced melanoma. Of note, the PBAC </w:t>
      </w:r>
      <w:r w:rsidR="00F926FD" w:rsidRPr="006421D0">
        <w:t>has</w:t>
      </w:r>
      <w:r w:rsidRPr="006421D0">
        <w:t xml:space="preserve"> previously accepted a five-year time horizon in the context of recommending PBS listing of pembrolizumab for melanoma (March 2015 PBAC meeting). The PBAC had also noted that a time horizon of ten years was not supported by the clinical evidence and favoured nivolumab significantly in its consideration of nivolumab (July 2015 PBAC meeting) and NIVO+IPI in melanoma (November 2015 PBAC meeting). </w:t>
      </w:r>
      <w:r w:rsidR="003E1601" w:rsidRPr="006421D0">
        <w:rPr>
          <w:rFonts w:eastAsia="Calibri"/>
        </w:rPr>
        <w:t>The PSCR (p</w:t>
      </w:r>
      <w:r w:rsidR="005700BF" w:rsidRPr="006421D0">
        <w:rPr>
          <w:rFonts w:eastAsia="Calibri"/>
        </w:rPr>
        <w:t>3)</w:t>
      </w:r>
      <w:r w:rsidR="003E1601" w:rsidRPr="006421D0">
        <w:rPr>
          <w:rFonts w:eastAsia="Calibri"/>
        </w:rPr>
        <w:t xml:space="preserve"> argued that the </w:t>
      </w:r>
      <w:r w:rsidR="005700BF" w:rsidRPr="006421D0">
        <w:rPr>
          <w:rFonts w:eastAsia="Calibri"/>
        </w:rPr>
        <w:t xml:space="preserve">20-year </w:t>
      </w:r>
      <w:r w:rsidR="003E1601" w:rsidRPr="006421D0">
        <w:rPr>
          <w:rFonts w:eastAsia="Calibri"/>
        </w:rPr>
        <w:t xml:space="preserve">time horizon was appropriate as treatment </w:t>
      </w:r>
      <w:r w:rsidR="006D5F90" w:rsidRPr="006421D0">
        <w:rPr>
          <w:rFonts w:eastAsia="Calibri"/>
        </w:rPr>
        <w:t xml:space="preserve">with RELA+NIVO </w:t>
      </w:r>
      <w:r w:rsidR="003E1601" w:rsidRPr="006421D0">
        <w:rPr>
          <w:rFonts w:eastAsia="Calibri"/>
        </w:rPr>
        <w:t>affects the long-term/ongoing quality of life of patients</w:t>
      </w:r>
      <w:r w:rsidR="006D5F90" w:rsidRPr="006421D0">
        <w:rPr>
          <w:rFonts w:eastAsia="Calibri"/>
        </w:rPr>
        <w:t xml:space="preserve"> and the </w:t>
      </w:r>
      <w:r w:rsidR="005700BF" w:rsidRPr="006421D0">
        <w:rPr>
          <w:rFonts w:eastAsia="Calibri"/>
        </w:rPr>
        <w:t xml:space="preserve">starting age of the modelled cohort </w:t>
      </w:r>
      <w:r w:rsidR="002E2868" w:rsidRPr="006421D0">
        <w:rPr>
          <w:rFonts w:eastAsia="Calibri"/>
        </w:rPr>
        <w:t xml:space="preserve">was </w:t>
      </w:r>
      <w:r w:rsidR="005700BF" w:rsidRPr="006421D0">
        <w:rPr>
          <w:rFonts w:eastAsia="Calibri"/>
        </w:rPr>
        <w:t>61 years, consistent with the baseline characteristics of trial CA224047 and the target population.</w:t>
      </w:r>
      <w:r w:rsidR="005700BF" w:rsidRPr="006421D0">
        <w:rPr>
          <w:sz w:val="22"/>
          <w:szCs w:val="22"/>
        </w:rPr>
        <w:t xml:space="preserve"> </w:t>
      </w:r>
      <w:r w:rsidR="002E2868" w:rsidRPr="006421D0">
        <w:rPr>
          <w:rFonts w:eastAsia="Calibri"/>
        </w:rPr>
        <w:t xml:space="preserve">The ESC noted the inconsistency of the </w:t>
      </w:r>
      <w:r w:rsidR="006D5F90" w:rsidRPr="006421D0">
        <w:rPr>
          <w:rFonts w:eastAsia="Calibri"/>
        </w:rPr>
        <w:t xml:space="preserve">proposed </w:t>
      </w:r>
      <w:r w:rsidR="002E2868" w:rsidRPr="006421D0">
        <w:rPr>
          <w:rFonts w:eastAsia="Calibri"/>
        </w:rPr>
        <w:t xml:space="preserve">time horizon </w:t>
      </w:r>
      <w:r w:rsidR="00E23D5C" w:rsidRPr="006421D0">
        <w:rPr>
          <w:rFonts w:eastAsia="Calibri"/>
        </w:rPr>
        <w:t xml:space="preserve">with previously </w:t>
      </w:r>
      <w:r w:rsidR="00094AC0" w:rsidRPr="006421D0">
        <w:rPr>
          <w:rFonts w:eastAsia="Calibri"/>
        </w:rPr>
        <w:t xml:space="preserve">PBAC </w:t>
      </w:r>
      <w:r w:rsidR="00E23D5C" w:rsidRPr="006421D0">
        <w:rPr>
          <w:rFonts w:eastAsia="Calibri"/>
        </w:rPr>
        <w:t>accepted time horizons for immunotherapy</w:t>
      </w:r>
      <w:r w:rsidR="00094AC0" w:rsidRPr="006421D0">
        <w:rPr>
          <w:rFonts w:eastAsia="Calibri"/>
        </w:rPr>
        <w:t xml:space="preserve"> in </w:t>
      </w:r>
      <w:r w:rsidR="00BF266C" w:rsidRPr="006421D0">
        <w:rPr>
          <w:rFonts w:eastAsia="Calibri"/>
        </w:rPr>
        <w:t xml:space="preserve">a population with advanced </w:t>
      </w:r>
      <w:r w:rsidR="00094AC0" w:rsidRPr="006421D0">
        <w:rPr>
          <w:rFonts w:eastAsia="Calibri"/>
        </w:rPr>
        <w:t>melanoma</w:t>
      </w:r>
      <w:r w:rsidR="00BF266C" w:rsidRPr="006421D0">
        <w:rPr>
          <w:rFonts w:eastAsia="Calibri"/>
        </w:rPr>
        <w:t>.</w:t>
      </w:r>
      <w:r w:rsidR="00C467BC" w:rsidRPr="006421D0">
        <w:rPr>
          <w:rFonts w:eastAsia="Calibri"/>
        </w:rPr>
        <w:t xml:space="preserve"> The ESC </w:t>
      </w:r>
      <w:r w:rsidR="00C467BC" w:rsidRPr="006421D0">
        <w:rPr>
          <w:rFonts w:eastAsia="Calibri"/>
        </w:rPr>
        <w:lastRenderedPageBreak/>
        <w:t>acknowledged th</w:t>
      </w:r>
      <w:r w:rsidR="002E2868" w:rsidRPr="006421D0">
        <w:rPr>
          <w:rFonts w:eastAsia="Calibri"/>
        </w:rPr>
        <w:t xml:space="preserve">at immunotherapy is continuing to evolve and that </w:t>
      </w:r>
      <w:r w:rsidR="00C467BC" w:rsidRPr="006421D0">
        <w:rPr>
          <w:rFonts w:eastAsia="Calibri"/>
        </w:rPr>
        <w:t xml:space="preserve">historically accepted </w:t>
      </w:r>
      <w:r w:rsidR="00BF266C" w:rsidRPr="006421D0">
        <w:rPr>
          <w:rFonts w:eastAsia="Calibri"/>
        </w:rPr>
        <w:t>time horizons may no longer be reasonable</w:t>
      </w:r>
      <w:r w:rsidR="006D5F90" w:rsidRPr="006421D0">
        <w:rPr>
          <w:rFonts w:eastAsia="Calibri"/>
        </w:rPr>
        <w:t xml:space="preserve">; however, </w:t>
      </w:r>
      <w:r w:rsidR="008B38CB" w:rsidRPr="006421D0">
        <w:rPr>
          <w:rFonts w:eastAsia="Calibri"/>
        </w:rPr>
        <w:t>the</w:t>
      </w:r>
      <w:r w:rsidR="00CC2017" w:rsidRPr="006421D0">
        <w:rPr>
          <w:rFonts w:eastAsia="Calibri"/>
        </w:rPr>
        <w:t xml:space="preserve"> ESC </w:t>
      </w:r>
      <w:r w:rsidR="008B38CB" w:rsidRPr="006421D0">
        <w:rPr>
          <w:rFonts w:eastAsia="Calibri"/>
        </w:rPr>
        <w:t>remained uncertain as</w:t>
      </w:r>
      <w:r w:rsidR="00CC2017" w:rsidRPr="006421D0">
        <w:rPr>
          <w:rFonts w:eastAsia="Calibri"/>
        </w:rPr>
        <w:t xml:space="preserve"> </w:t>
      </w:r>
      <w:r w:rsidR="00C467BC" w:rsidRPr="006421D0">
        <w:rPr>
          <w:rFonts w:eastAsia="Calibri"/>
        </w:rPr>
        <w:t xml:space="preserve">to whether </w:t>
      </w:r>
      <w:r w:rsidR="002E2868" w:rsidRPr="006421D0">
        <w:rPr>
          <w:rFonts w:eastAsia="Calibri"/>
        </w:rPr>
        <w:t xml:space="preserve">immunotherapy is achieving </w:t>
      </w:r>
      <w:r w:rsidR="00C467BC" w:rsidRPr="006421D0">
        <w:rPr>
          <w:rFonts w:eastAsia="Calibri"/>
        </w:rPr>
        <w:t>a cure or a significant delay in disease recurrence</w:t>
      </w:r>
      <w:r w:rsidR="002E2868" w:rsidRPr="006421D0">
        <w:rPr>
          <w:rFonts w:eastAsia="Calibri"/>
        </w:rPr>
        <w:t xml:space="preserve">. </w:t>
      </w:r>
      <w:r w:rsidR="004E319D" w:rsidRPr="006421D0">
        <w:rPr>
          <w:rFonts w:eastAsia="Calibri"/>
        </w:rPr>
        <w:t xml:space="preserve">The ESC considered a </w:t>
      </w:r>
      <w:r w:rsidR="002E2868" w:rsidRPr="006421D0">
        <w:rPr>
          <w:rFonts w:eastAsia="Calibri"/>
        </w:rPr>
        <w:t xml:space="preserve">modelled </w:t>
      </w:r>
      <w:r w:rsidR="007A5D06" w:rsidRPr="006421D0">
        <w:rPr>
          <w:rFonts w:eastAsia="Calibri"/>
        </w:rPr>
        <w:t>10–15-year</w:t>
      </w:r>
      <w:r w:rsidR="004E319D" w:rsidRPr="006421D0">
        <w:rPr>
          <w:rFonts w:eastAsia="Calibri"/>
        </w:rPr>
        <w:t xml:space="preserve"> time horizon would be more appropriate</w:t>
      </w:r>
      <w:r w:rsidR="008B38CB" w:rsidRPr="006421D0">
        <w:rPr>
          <w:rFonts w:eastAsia="Calibri"/>
        </w:rPr>
        <w:t>.</w:t>
      </w:r>
      <w:r w:rsidR="004E319D" w:rsidRPr="006421D0">
        <w:rPr>
          <w:rFonts w:eastAsia="Calibri"/>
        </w:rPr>
        <w:t xml:space="preserve"> </w:t>
      </w:r>
      <w:r w:rsidR="0029460A">
        <w:rPr>
          <w:rFonts w:eastAsia="Calibri"/>
        </w:rPr>
        <w:t xml:space="preserve">The </w:t>
      </w:r>
      <w:r w:rsidR="002D336A">
        <w:rPr>
          <w:rFonts w:eastAsia="Calibri"/>
        </w:rPr>
        <w:t>p</w:t>
      </w:r>
      <w:r w:rsidR="0029460A">
        <w:rPr>
          <w:rFonts w:eastAsia="Calibri"/>
        </w:rPr>
        <w:t xml:space="preserve">re-PBAC response (p2) argued that the modelled </w:t>
      </w:r>
      <w:r w:rsidR="00F97A01">
        <w:rPr>
          <w:rFonts w:eastAsia="Calibri"/>
        </w:rPr>
        <w:t xml:space="preserve">20 year </w:t>
      </w:r>
      <w:r w:rsidR="0029460A">
        <w:rPr>
          <w:rFonts w:eastAsia="Calibri"/>
        </w:rPr>
        <w:t xml:space="preserve">time horizon </w:t>
      </w:r>
      <w:r w:rsidR="00F97A01">
        <w:rPr>
          <w:rFonts w:eastAsia="Calibri"/>
        </w:rPr>
        <w:t>wa</w:t>
      </w:r>
      <w:r w:rsidR="0029460A">
        <w:rPr>
          <w:rFonts w:eastAsia="Calibri"/>
        </w:rPr>
        <w:t>s potentially conservative.</w:t>
      </w:r>
    </w:p>
    <w:p w14:paraId="2D4F5A95" w14:textId="73F89B10" w:rsidR="00D24261" w:rsidRPr="00590A54" w:rsidRDefault="00D24261" w:rsidP="00A23598">
      <w:pPr>
        <w:pStyle w:val="3-BodyText"/>
        <w:numPr>
          <w:ilvl w:val="1"/>
          <w:numId w:val="22"/>
        </w:numPr>
        <w:ind w:left="709" w:hanging="709"/>
        <w:rPr>
          <w:color w:val="0066FF"/>
        </w:rPr>
      </w:pPr>
      <w:r w:rsidRPr="0091283E">
        <w:t>The results of sensitivity analyses indicate that the model was sensitive to a reduction in the time horizon</w:t>
      </w:r>
      <w:r w:rsidR="002D023D" w:rsidRPr="0091283E">
        <w:t xml:space="preserve"> (the ICER </w:t>
      </w:r>
      <w:r w:rsidR="00877886">
        <w:t>increased</w:t>
      </w:r>
      <w:r w:rsidR="00877886" w:rsidRPr="0091283E">
        <w:t xml:space="preserve"> </w:t>
      </w:r>
      <w:r w:rsidR="002D023D" w:rsidRPr="0091283E">
        <w:t>by 16% when the time horizon was reduced to 15 years)</w:t>
      </w:r>
      <w:r w:rsidRPr="0091283E">
        <w:t>. A graph plotting the estimated incremental cost-effectiveness ratio against changes in the time horizon is presented</w:t>
      </w:r>
      <w:r w:rsidR="00C86777" w:rsidRPr="0091283E">
        <w:t xml:space="preserve"> in Figure 8</w:t>
      </w:r>
      <w:r w:rsidRPr="0091283E">
        <w:t>.</w:t>
      </w:r>
    </w:p>
    <w:p w14:paraId="5852D853" w14:textId="6967CD37" w:rsidR="00D24261" w:rsidRPr="009737D3" w:rsidRDefault="00D24261" w:rsidP="00D24261">
      <w:pPr>
        <w:pStyle w:val="TableFigureHeading"/>
      </w:pPr>
      <w:bookmarkStart w:id="78" w:name="_Ref100930698"/>
      <w:r w:rsidRPr="009737D3">
        <w:t xml:space="preserve">Figure </w:t>
      </w:r>
      <w:fldSimple w:instr=" SEQ Figure \* ARABIC ">
        <w:r w:rsidR="00633460">
          <w:rPr>
            <w:noProof/>
          </w:rPr>
          <w:t>8</w:t>
        </w:r>
      </w:fldSimple>
      <w:r w:rsidRPr="009737D3">
        <w:t>: A trace of ICER over time</w:t>
      </w:r>
      <w:bookmarkEnd w:id="78"/>
    </w:p>
    <w:p w14:paraId="7F4E929E" w14:textId="14BA10D2" w:rsidR="004E423C" w:rsidRPr="004E423C" w:rsidRDefault="004E423C" w:rsidP="004E423C">
      <w:pPr>
        <w:pStyle w:val="3-BodyText"/>
        <w:spacing w:after="0"/>
      </w:pPr>
      <w:r w:rsidRPr="0077732D">
        <w:rPr>
          <w:noProof/>
          <w:color w:val="000000"/>
          <w:w w:val="63"/>
          <w:shd w:val="solid" w:color="000000" w:fill="000000"/>
          <w:fitText w:val="630" w:id="-1435825918"/>
          <w14:textFill>
            <w14:solidFill>
              <w14:srgbClr w14:val="000000">
                <w14:alpha w14:val="100000"/>
              </w14:srgbClr>
            </w14:solidFill>
          </w14:textFill>
        </w:rPr>
        <w:t>||||  ||||</w:t>
      </w:r>
    </w:p>
    <w:p w14:paraId="603A4DBE" w14:textId="74CC80D0" w:rsidR="00D24261" w:rsidRDefault="004E423C" w:rsidP="004E423C">
      <w:pPr>
        <w:pStyle w:val="TableFigureFooter"/>
        <w:spacing w:after="0"/>
      </w:pPr>
      <w:r w:rsidRPr="004E423C">
        <w:rPr>
          <w:color w:val="000000"/>
          <w:spacing w:val="16"/>
          <w:shd w:val="solid" w:color="000000" w:fill="000000"/>
          <w:fitText w:val="430" w:id="-1435825917"/>
          <w14:textFill>
            <w14:solidFill>
              <w14:srgbClr w14:val="000000">
                <w14:alpha w14:val="100000"/>
              </w14:srgbClr>
            </w14:solidFill>
          </w14:textFill>
        </w:rPr>
        <w:t>|||  ||</w:t>
      </w:r>
      <w:r w:rsidRPr="004E423C">
        <w:rPr>
          <w:color w:val="000000"/>
          <w:spacing w:val="6"/>
          <w:shd w:val="solid" w:color="000000" w:fill="000000"/>
          <w:fitText w:val="430" w:id="-1435825917"/>
          <w14:textFill>
            <w14:solidFill>
              <w14:srgbClr w14:val="000000">
                <w14:alpha w14:val="100000"/>
              </w14:srgbClr>
            </w14:solidFill>
          </w14:textFill>
        </w:rPr>
        <w:t>|</w:t>
      </w:r>
      <w:r w:rsidRPr="004E423C">
        <w:t xml:space="preserve"> </w:t>
      </w:r>
      <w:r w:rsidRPr="004E423C">
        <w:rPr>
          <w:color w:val="000000"/>
          <w:spacing w:val="16"/>
          <w:shd w:val="solid" w:color="000000" w:fill="000000"/>
          <w:fitText w:val="430" w:id="-1435825916"/>
          <w14:textFill>
            <w14:solidFill>
              <w14:srgbClr w14:val="000000">
                <w14:alpha w14:val="100000"/>
              </w14:srgbClr>
            </w14:solidFill>
          </w14:textFill>
        </w:rPr>
        <w:t>|||  ||</w:t>
      </w:r>
      <w:r w:rsidRPr="004E423C">
        <w:rPr>
          <w:color w:val="000000"/>
          <w:spacing w:val="6"/>
          <w:shd w:val="solid" w:color="000000" w:fill="000000"/>
          <w:fitText w:val="430" w:id="-1435825916"/>
          <w14:textFill>
            <w14:solidFill>
              <w14:srgbClr w14:val="000000">
                <w14:alpha w14:val="100000"/>
              </w14:srgbClr>
            </w14:solidFill>
          </w14:textFill>
        </w:rPr>
        <w:t>|</w:t>
      </w:r>
      <w:r w:rsidRPr="004E423C">
        <w:t xml:space="preserve"> </w:t>
      </w:r>
      <w:r w:rsidRPr="004E423C">
        <w:rPr>
          <w:color w:val="000000"/>
          <w:spacing w:val="16"/>
          <w:shd w:val="solid" w:color="000000" w:fill="000000"/>
          <w:fitText w:val="430" w:id="-1435825915"/>
          <w14:textFill>
            <w14:solidFill>
              <w14:srgbClr w14:val="000000">
                <w14:alpha w14:val="100000"/>
              </w14:srgbClr>
            </w14:solidFill>
          </w14:textFill>
        </w:rPr>
        <w:t>|||  ||</w:t>
      </w:r>
      <w:r w:rsidRPr="004E423C">
        <w:rPr>
          <w:color w:val="000000"/>
          <w:spacing w:val="6"/>
          <w:shd w:val="solid" w:color="000000" w:fill="000000"/>
          <w:fitText w:val="430" w:id="-1435825915"/>
          <w14:textFill>
            <w14:solidFill>
              <w14:srgbClr w14:val="000000">
                <w14:alpha w14:val="100000"/>
              </w14:srgbClr>
            </w14:solidFill>
          </w14:textFill>
        </w:rPr>
        <w:t>|</w:t>
      </w:r>
      <w:r w:rsidRPr="004E423C">
        <w:t xml:space="preserve"> </w:t>
      </w:r>
      <w:r w:rsidRPr="004E423C">
        <w:rPr>
          <w:color w:val="000000"/>
          <w:spacing w:val="16"/>
          <w:shd w:val="solid" w:color="000000" w:fill="000000"/>
          <w:fitText w:val="430" w:id="-1435825914"/>
          <w14:textFill>
            <w14:solidFill>
              <w14:srgbClr w14:val="000000">
                <w14:alpha w14:val="100000"/>
              </w14:srgbClr>
            </w14:solidFill>
          </w14:textFill>
        </w:rPr>
        <w:t>|||  ||</w:t>
      </w:r>
      <w:r w:rsidRPr="004E423C">
        <w:rPr>
          <w:color w:val="000000"/>
          <w:spacing w:val="6"/>
          <w:shd w:val="solid" w:color="000000" w:fill="000000"/>
          <w:fitText w:val="430" w:id="-1435825914"/>
          <w14:textFill>
            <w14:solidFill>
              <w14:srgbClr w14:val="000000">
                <w14:alpha w14:val="100000"/>
              </w14:srgbClr>
            </w14:solidFill>
          </w14:textFill>
        </w:rPr>
        <w:t>|</w:t>
      </w:r>
      <w:r w:rsidRPr="004E423C">
        <w:t xml:space="preserve"> </w:t>
      </w:r>
      <w:r w:rsidRPr="004E423C">
        <w:rPr>
          <w:color w:val="000000"/>
          <w:spacing w:val="16"/>
          <w:shd w:val="solid" w:color="000000" w:fill="000000"/>
          <w:fitText w:val="430" w:id="-1435825913"/>
          <w14:textFill>
            <w14:solidFill>
              <w14:srgbClr w14:val="000000">
                <w14:alpha w14:val="100000"/>
              </w14:srgbClr>
            </w14:solidFill>
          </w14:textFill>
        </w:rPr>
        <w:t>|||  ||</w:t>
      </w:r>
      <w:r w:rsidRPr="004E423C">
        <w:rPr>
          <w:color w:val="000000"/>
          <w:spacing w:val="6"/>
          <w:shd w:val="solid" w:color="000000" w:fill="000000"/>
          <w:fitText w:val="430" w:id="-1435825913"/>
          <w14:textFill>
            <w14:solidFill>
              <w14:srgbClr w14:val="000000">
                <w14:alpha w14:val="100000"/>
              </w14:srgbClr>
            </w14:solidFill>
          </w14:textFill>
        </w:rPr>
        <w:t>|</w:t>
      </w:r>
      <w:r w:rsidRPr="004E423C">
        <w:t xml:space="preserve"> </w:t>
      </w:r>
      <w:r w:rsidRPr="004E423C">
        <w:rPr>
          <w:color w:val="000000"/>
          <w:spacing w:val="15"/>
          <w:shd w:val="solid" w:color="000000" w:fill="000000"/>
          <w:fitText w:val="420" w:id="-1435825912"/>
          <w14:textFill>
            <w14:solidFill>
              <w14:srgbClr w14:val="000000">
                <w14:alpha w14:val="100000"/>
              </w14:srgbClr>
            </w14:solidFill>
          </w14:textFill>
        </w:rPr>
        <w:t>|||  ||</w:t>
      </w:r>
      <w:r w:rsidRPr="004E423C">
        <w:rPr>
          <w:color w:val="000000"/>
          <w:spacing w:val="3"/>
          <w:shd w:val="solid" w:color="000000" w:fill="000000"/>
          <w:fitText w:val="420" w:id="-1435825912"/>
          <w14:textFill>
            <w14:solidFill>
              <w14:srgbClr w14:val="000000">
                <w14:alpha w14:val="100000"/>
              </w14:srgbClr>
            </w14:solidFill>
          </w14:textFill>
        </w:rPr>
        <w:t>|</w:t>
      </w:r>
      <w:r w:rsidRPr="004E423C">
        <w:t xml:space="preserve"> </w:t>
      </w:r>
      <w:r w:rsidRPr="004E423C">
        <w:rPr>
          <w:color w:val="000000"/>
          <w:spacing w:val="16"/>
          <w:shd w:val="solid" w:color="000000" w:fill="000000"/>
          <w:fitText w:val="430" w:id="-1435825911"/>
          <w14:textFill>
            <w14:solidFill>
              <w14:srgbClr w14:val="000000">
                <w14:alpha w14:val="100000"/>
              </w14:srgbClr>
            </w14:solidFill>
          </w14:textFill>
        </w:rPr>
        <w:t>|||  ||</w:t>
      </w:r>
      <w:r w:rsidRPr="004E423C">
        <w:rPr>
          <w:color w:val="000000"/>
          <w:spacing w:val="6"/>
          <w:shd w:val="solid" w:color="000000" w:fill="000000"/>
          <w:fitText w:val="430" w:id="-1435825911"/>
          <w14:textFill>
            <w14:solidFill>
              <w14:srgbClr w14:val="000000">
                <w14:alpha w14:val="100000"/>
              </w14:srgbClr>
            </w14:solidFill>
          </w14:textFill>
        </w:rPr>
        <w:t>|</w:t>
      </w:r>
      <w:r w:rsidRPr="004E423C">
        <w:t xml:space="preserve"> </w:t>
      </w:r>
      <w:r w:rsidRPr="004E423C">
        <w:rPr>
          <w:color w:val="000000"/>
          <w:spacing w:val="16"/>
          <w:shd w:val="solid" w:color="000000" w:fill="000000"/>
          <w:fitText w:val="430" w:id="-1435825910"/>
          <w14:textFill>
            <w14:solidFill>
              <w14:srgbClr w14:val="000000">
                <w14:alpha w14:val="100000"/>
              </w14:srgbClr>
            </w14:solidFill>
          </w14:textFill>
        </w:rPr>
        <w:t>|||  ||</w:t>
      </w:r>
      <w:r w:rsidRPr="004E423C">
        <w:rPr>
          <w:color w:val="000000"/>
          <w:spacing w:val="6"/>
          <w:shd w:val="solid" w:color="000000" w:fill="000000"/>
          <w:fitText w:val="430" w:id="-1435825910"/>
          <w14:textFill>
            <w14:solidFill>
              <w14:srgbClr w14:val="000000">
                <w14:alpha w14:val="100000"/>
              </w14:srgbClr>
            </w14:solidFill>
          </w14:textFill>
        </w:rPr>
        <w:t>|</w:t>
      </w:r>
      <w:r w:rsidRPr="004E423C">
        <w:t xml:space="preserve"> </w:t>
      </w:r>
      <w:r w:rsidRPr="004E423C">
        <w:rPr>
          <w:color w:val="000000"/>
          <w:spacing w:val="16"/>
          <w:shd w:val="solid" w:color="000000" w:fill="000000"/>
          <w:fitText w:val="430" w:id="-1435825909"/>
          <w14:textFill>
            <w14:solidFill>
              <w14:srgbClr w14:val="000000">
                <w14:alpha w14:val="100000"/>
              </w14:srgbClr>
            </w14:solidFill>
          </w14:textFill>
        </w:rPr>
        <w:t>|||  ||</w:t>
      </w:r>
      <w:r w:rsidRPr="004E423C">
        <w:rPr>
          <w:color w:val="000000"/>
          <w:spacing w:val="6"/>
          <w:shd w:val="solid" w:color="000000" w:fill="000000"/>
          <w:fitText w:val="430" w:id="-1435825909"/>
          <w14:textFill>
            <w14:solidFill>
              <w14:srgbClr w14:val="000000">
                <w14:alpha w14:val="100000"/>
              </w14:srgbClr>
            </w14:solidFill>
          </w14:textFill>
        </w:rPr>
        <w:t>|</w:t>
      </w:r>
    </w:p>
    <w:p w14:paraId="37C566D6" w14:textId="77777777" w:rsidR="00D24261" w:rsidRDefault="00D24261" w:rsidP="00D24261">
      <w:pPr>
        <w:pStyle w:val="3-BodyText"/>
        <w:spacing w:after="0"/>
        <w:ind w:left="720" w:hanging="720"/>
        <w:rPr>
          <w:i/>
        </w:rPr>
      </w:pPr>
    </w:p>
    <w:p w14:paraId="2B070067" w14:textId="6CACE4B0" w:rsidR="00D24261" w:rsidRPr="00077250" w:rsidRDefault="00D24261" w:rsidP="00A23598">
      <w:pPr>
        <w:pStyle w:val="3-BodyText"/>
        <w:numPr>
          <w:ilvl w:val="1"/>
          <w:numId w:val="22"/>
        </w:numPr>
        <w:ind w:left="709" w:hanging="709"/>
        <w:rPr>
          <w:rFonts w:ascii="Arial Narrow" w:hAnsi="Arial Narrow"/>
          <w:b/>
          <w:sz w:val="20"/>
          <w:szCs w:val="16"/>
        </w:rPr>
      </w:pPr>
      <w:r>
        <w:fldChar w:fldCharType="begin"/>
      </w:r>
      <w:r>
        <w:instrText xml:space="preserve"> REF _Ref101108483 \h </w:instrText>
      </w:r>
      <w:r>
        <w:fldChar w:fldCharType="separate"/>
      </w:r>
      <w:r w:rsidR="00633460" w:rsidRPr="00634D43">
        <w:t xml:space="preserve">Figure </w:t>
      </w:r>
      <w:r w:rsidR="00633460">
        <w:rPr>
          <w:noProof/>
        </w:rPr>
        <w:t>9</w:t>
      </w:r>
      <w:r>
        <w:fldChar w:fldCharType="end"/>
      </w:r>
      <w:r>
        <w:t xml:space="preserve"> summarises the </w:t>
      </w:r>
      <w:r w:rsidR="00DA28A0">
        <w:t>extrapolated</w:t>
      </w:r>
      <w:r w:rsidR="004D1CCC">
        <w:t xml:space="preserve"> </w:t>
      </w:r>
      <w:r>
        <w:t>curves for RELA+NIVO and nivolumab monotherapy used in the economic evaluation.</w:t>
      </w:r>
    </w:p>
    <w:p w14:paraId="46A72F08" w14:textId="2C40B59F" w:rsidR="00D24261" w:rsidRPr="00634D43" w:rsidRDefault="00D24261" w:rsidP="00D24261">
      <w:pPr>
        <w:pStyle w:val="Tableheadingrow"/>
        <w:rPr>
          <w:b w:val="0"/>
          <w:bCs/>
        </w:rPr>
      </w:pPr>
      <w:bookmarkStart w:id="79" w:name="_Ref101108483"/>
      <w:r w:rsidRPr="00634D43">
        <w:t xml:space="preserve">Figure </w:t>
      </w:r>
      <w:r w:rsidRPr="00634D43">
        <w:fldChar w:fldCharType="begin"/>
      </w:r>
      <w:r w:rsidRPr="00634D43">
        <w:instrText xml:space="preserve"> SEQ Figure \* ARABIC </w:instrText>
      </w:r>
      <w:r w:rsidRPr="00634D43">
        <w:fldChar w:fldCharType="separate"/>
      </w:r>
      <w:r w:rsidR="00633460">
        <w:rPr>
          <w:noProof/>
        </w:rPr>
        <w:t>9</w:t>
      </w:r>
      <w:r w:rsidRPr="00634D43">
        <w:fldChar w:fldCharType="end"/>
      </w:r>
      <w:bookmarkEnd w:id="79"/>
      <w:r w:rsidRPr="00634D43">
        <w:t xml:space="preserve">: </w:t>
      </w:r>
      <w:r w:rsidRPr="00634D43">
        <w:rPr>
          <w:rStyle w:val="CommentReference"/>
          <w:b/>
          <w:bCs/>
        </w:rPr>
        <w:t>Partitioned survival model curves</w:t>
      </w:r>
    </w:p>
    <w:p w14:paraId="16C427EA" w14:textId="36CFF644" w:rsidR="00D24261" w:rsidRDefault="00D24261" w:rsidP="00D24261">
      <w:pPr>
        <w:pStyle w:val="3-BodyText"/>
        <w:spacing w:after="0"/>
        <w:ind w:left="720" w:hanging="720"/>
        <w:rPr>
          <w:i/>
          <w:iCs/>
        </w:rPr>
      </w:pPr>
      <w:r>
        <w:rPr>
          <w:noProof/>
        </w:rPr>
        <w:drawing>
          <wp:inline distT="0" distB="0" distL="0" distR="0" wp14:anchorId="1E871A8D" wp14:editId="77D24925">
            <wp:extent cx="5676900" cy="3149600"/>
            <wp:effectExtent l="0" t="0" r="0" b="0"/>
            <wp:docPr id="3" name="Chart 3" descr="The extrapolated OS curves for NIVO + RELA and NIVO monotherapy separate at about 1 year and separation is maintained to 20 years. Similar for extrapolated PFS.&#10;OS NIVO and PFS NIVO+ RELA curves cross at approximately 13 months">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3C05F5" w14:textId="77777777" w:rsidR="00D24261" w:rsidRDefault="00D24261" w:rsidP="00D24261">
      <w:pPr>
        <w:rPr>
          <w:rFonts w:ascii="Arial Narrow" w:hAnsi="Arial Narrow"/>
          <w:sz w:val="18"/>
          <w:lang w:val="en-US"/>
        </w:rPr>
      </w:pPr>
      <w:r>
        <w:rPr>
          <w:rFonts w:ascii="Arial Narrow" w:hAnsi="Arial Narrow"/>
          <w:sz w:val="18"/>
          <w:lang w:val="en-US"/>
        </w:rPr>
        <w:t>Source: Figure 51, p201 of the submission.</w:t>
      </w:r>
    </w:p>
    <w:p w14:paraId="5FBD92EB" w14:textId="77777777" w:rsidR="00D24261" w:rsidRDefault="00D24261" w:rsidP="00D24261">
      <w:pPr>
        <w:rPr>
          <w:rFonts w:ascii="Arial Narrow" w:hAnsi="Arial Narrow"/>
          <w:sz w:val="18"/>
          <w:lang w:val="en-US"/>
        </w:rPr>
      </w:pPr>
      <w:r>
        <w:rPr>
          <w:rFonts w:ascii="Arial Narrow" w:hAnsi="Arial Narrow"/>
          <w:sz w:val="18"/>
          <w:lang w:val="en-US"/>
        </w:rPr>
        <w:t>NIVO = nivolumab, OS = overall survival, PFS = progression-free survival, RELA = relatlimab.</w:t>
      </w:r>
    </w:p>
    <w:p w14:paraId="06BA3896" w14:textId="77777777" w:rsidR="00D24261" w:rsidRPr="00634D43" w:rsidRDefault="00D24261" w:rsidP="00D24261">
      <w:pPr>
        <w:rPr>
          <w:rFonts w:ascii="Arial Narrow" w:hAnsi="Arial Narrow"/>
          <w:sz w:val="18"/>
          <w:lang w:val="en-US"/>
        </w:rPr>
      </w:pPr>
    </w:p>
    <w:p w14:paraId="6EA4A361" w14:textId="6EAB02B5" w:rsidR="000C59AD" w:rsidRPr="008B38CB" w:rsidRDefault="002E2A91" w:rsidP="00A23598">
      <w:pPr>
        <w:pStyle w:val="3-BodyText"/>
        <w:numPr>
          <w:ilvl w:val="1"/>
          <w:numId w:val="22"/>
        </w:numPr>
        <w:ind w:left="709" w:hanging="709"/>
      </w:pPr>
      <w:r w:rsidRPr="008B38CB">
        <w:t>In the partitioned model, extrapolation of the hazard was based only on the time trend in the hazard observed for the within-trial period (up until 19 months in this model) which was unrealistically assumed to generalise throughout the extrapolation period (up to 20 years</w:t>
      </w:r>
      <w:r w:rsidR="008C288E" w:rsidRPr="008B38CB">
        <w:t>). The</w:t>
      </w:r>
      <w:r w:rsidR="00D24261" w:rsidRPr="008B38CB">
        <w:t xml:space="preserve"> relative treatment effect </w:t>
      </w:r>
      <w:r w:rsidR="008C288E" w:rsidRPr="008B38CB">
        <w:t xml:space="preserve">was maintained </w:t>
      </w:r>
      <w:r w:rsidR="00D24261" w:rsidRPr="008B38CB">
        <w:t>beyond the trial duration</w:t>
      </w:r>
      <w:r w:rsidR="008C288E" w:rsidRPr="008B38CB">
        <w:t>, and hence</w:t>
      </w:r>
      <w:r w:rsidR="002D023D" w:rsidRPr="008B38CB">
        <w:t>,</w:t>
      </w:r>
      <w:r w:rsidR="008C288E" w:rsidRPr="008B38CB">
        <w:t xml:space="preserve"> the survival curves did not converge. </w:t>
      </w:r>
      <w:r w:rsidR="00DE21E1" w:rsidRPr="0029460A">
        <w:t>The ESC considered that</w:t>
      </w:r>
      <w:r w:rsidR="00DE21E1">
        <w:t xml:space="preserve"> m</w:t>
      </w:r>
      <w:r w:rsidR="008C288E" w:rsidRPr="008B38CB">
        <w:t xml:space="preserve">aintaining </w:t>
      </w:r>
      <w:r w:rsidR="00DE21E1">
        <w:t xml:space="preserve">a </w:t>
      </w:r>
      <w:r w:rsidR="008C288E" w:rsidRPr="008B38CB">
        <w:t xml:space="preserve">survival benefit based on the non-statistically significant </w:t>
      </w:r>
      <w:r w:rsidR="00CF17D5" w:rsidRPr="008B38CB">
        <w:t xml:space="preserve">difference in </w:t>
      </w:r>
      <w:r w:rsidR="00CF17D5" w:rsidRPr="008B38CB">
        <w:lastRenderedPageBreak/>
        <w:t xml:space="preserve">the observed </w:t>
      </w:r>
      <w:r w:rsidR="008C288E" w:rsidRPr="008B38CB">
        <w:t xml:space="preserve">OS </w:t>
      </w:r>
      <w:r w:rsidR="00DB0FA2">
        <w:t xml:space="preserve">was inappropriate and resulted in </w:t>
      </w:r>
      <w:r w:rsidR="008C288E" w:rsidRPr="008B38CB">
        <w:t>highly uncertain</w:t>
      </w:r>
      <w:r w:rsidR="00DB0FA2">
        <w:t xml:space="preserve"> outcomes</w:t>
      </w:r>
      <w:r w:rsidR="00D24261" w:rsidRPr="008B38CB">
        <w:t>.</w:t>
      </w:r>
      <w:r w:rsidR="00DA64F6" w:rsidRPr="008B38CB">
        <w:t xml:space="preserve"> </w:t>
      </w:r>
      <w:r w:rsidR="00FF50A4" w:rsidRPr="008B38CB">
        <w:t>Notably</w:t>
      </w:r>
      <w:r w:rsidRPr="008B38CB">
        <w:t xml:space="preserve">, </w:t>
      </w:r>
      <w:r w:rsidR="00DA64F6" w:rsidRPr="008B38CB">
        <w:t xml:space="preserve">92% of the incremental life-years </w:t>
      </w:r>
      <w:r w:rsidRPr="008B38CB">
        <w:t xml:space="preserve">gained </w:t>
      </w:r>
      <w:r w:rsidR="00DA64F6" w:rsidRPr="008B38CB">
        <w:t>and 91% of the QALYs</w:t>
      </w:r>
      <w:r w:rsidRPr="008B38CB">
        <w:t xml:space="preserve"> gained</w:t>
      </w:r>
      <w:r w:rsidR="00DA64F6" w:rsidRPr="008B38CB">
        <w:t xml:space="preserve"> </w:t>
      </w:r>
      <w:r w:rsidRPr="008B38CB">
        <w:t>occurred</w:t>
      </w:r>
      <w:r w:rsidR="00DA64F6" w:rsidRPr="008B38CB">
        <w:t xml:space="preserve"> </w:t>
      </w:r>
      <w:r w:rsidRPr="008B38CB">
        <w:t xml:space="preserve">in the extrapolation period. </w:t>
      </w:r>
      <w:r w:rsidR="00A95A37">
        <w:t xml:space="preserve">The </w:t>
      </w:r>
      <w:r w:rsidR="002D336A">
        <w:t>p</w:t>
      </w:r>
      <w:r w:rsidR="00A95A37">
        <w:t xml:space="preserve">re-PBAC response </w:t>
      </w:r>
      <w:r w:rsidR="00F97A01">
        <w:t xml:space="preserve">stated </w:t>
      </w:r>
      <w:r w:rsidR="00A95A37">
        <w:t xml:space="preserve">that the modelled </w:t>
      </w:r>
      <w:r w:rsidR="00A95A37" w:rsidRPr="002D336A">
        <w:t>incremental PFS benefit in favour of RELA+NIVO peak</w:t>
      </w:r>
      <w:r w:rsidR="00F97A01">
        <w:t>ed</w:t>
      </w:r>
      <w:r w:rsidR="00A95A37" w:rsidRPr="002D336A">
        <w:t xml:space="preserve"> at 19 months and gradually decrease</w:t>
      </w:r>
      <w:r w:rsidR="00F97A01">
        <w:t>d</w:t>
      </w:r>
      <w:r w:rsidR="00A95A37" w:rsidRPr="002D336A">
        <w:t xml:space="preserve"> during the extrapolation phase, similar to the modelled OS benefit. </w:t>
      </w:r>
      <w:r w:rsidR="00F97A01">
        <w:t>The pre-PBAC response</w:t>
      </w:r>
      <w:r w:rsidR="00400083">
        <w:t xml:space="preserve"> further stated </w:t>
      </w:r>
      <w:r w:rsidR="0041216B">
        <w:t xml:space="preserve">that </w:t>
      </w:r>
      <w:r w:rsidR="00400083" w:rsidRPr="0041216B">
        <w:t xml:space="preserve">the modelled OS benefit </w:t>
      </w:r>
      <w:r w:rsidR="00F97A01">
        <w:t>wa</w:t>
      </w:r>
      <w:r w:rsidR="00400083" w:rsidRPr="0041216B">
        <w:t>s conservative</w:t>
      </w:r>
      <w:r w:rsidR="0041216B" w:rsidRPr="0041216B">
        <w:t>,</w:t>
      </w:r>
      <w:r w:rsidR="00400083" w:rsidRPr="0041216B">
        <w:t xml:space="preserve"> given the incremental OS benefit of NIVO+IPI over </w:t>
      </w:r>
      <w:r w:rsidR="00F97A01">
        <w:t>nivolumab monotherapy</w:t>
      </w:r>
      <w:r w:rsidR="00400083" w:rsidRPr="0041216B">
        <w:t xml:space="preserve"> in the CA209067 trial at 5 and 6 years was approximately 7.4% and 8.1%, respectively, compared to an incremental OS benefit of RELA+NIVO over </w:t>
      </w:r>
      <w:r w:rsidR="00F97A01">
        <w:t>nivolumab monotherapy</w:t>
      </w:r>
      <w:r w:rsidR="00400083" w:rsidRPr="0041216B">
        <w:t xml:space="preserve"> equal to 6.7% and 6.6%, respectively, in the base case model.</w:t>
      </w:r>
    </w:p>
    <w:p w14:paraId="31198598" w14:textId="63DBB1D1" w:rsidR="00D24261" w:rsidRPr="006421D0" w:rsidRDefault="00D24261" w:rsidP="00A23598">
      <w:pPr>
        <w:pStyle w:val="3-BodyText"/>
        <w:numPr>
          <w:ilvl w:val="1"/>
          <w:numId w:val="22"/>
        </w:numPr>
        <w:ind w:left="709" w:hanging="709"/>
      </w:pPr>
      <w:r w:rsidRPr="0091283E">
        <w:t xml:space="preserve">Furthermore, OS and PFS curves generated for </w:t>
      </w:r>
      <w:r w:rsidR="00E3615B" w:rsidRPr="0091283E">
        <w:t xml:space="preserve">the </w:t>
      </w:r>
      <w:r w:rsidRPr="0091283E">
        <w:t>nivolumab arm may have been underestimated compared with OS and PFS curves observed in the nivolumab arm in the extended follow-up (data cut-off: October 2020; 6.5-years follow-up) of the CA209067 trial.</w:t>
      </w:r>
      <w:r w:rsidR="000C59AD" w:rsidRPr="0091283E">
        <w:t xml:space="preserve"> At 6.5-years follow-up, PFS curve for nivolumab plateaued</w:t>
      </w:r>
      <w:r w:rsidR="002D023D" w:rsidRPr="0091283E">
        <w:t>,</w:t>
      </w:r>
      <w:r w:rsidR="000C59AD" w:rsidRPr="0091283E">
        <w:t xml:space="preserve"> with PFS rate of 29% at Year 5 and Year 6. This was different from the PFS probabilities generated by the economic model, which were approximately 16.7% at Year 5 and 15.1% at Year 6. Similarly, at 6.5-years follow-up, </w:t>
      </w:r>
      <w:r w:rsidR="00DA28A0" w:rsidRPr="0091283E">
        <w:t xml:space="preserve">the </w:t>
      </w:r>
      <w:r w:rsidR="000C59AD" w:rsidRPr="0091283E">
        <w:t xml:space="preserve">OS curve for nivolumab plateaued, with OS rate of 44% at Year 5 and 43% at Year 6. This was different from </w:t>
      </w:r>
      <w:r w:rsidR="000C59AD" w:rsidRPr="006421D0">
        <w:t>the OS probabilities generated by the economic model, which were approximately 36% at Year 5 and 31% at Year 6.</w:t>
      </w:r>
      <w:r w:rsidR="00AC34BB" w:rsidRPr="006421D0">
        <w:t xml:space="preserve"> The ESC </w:t>
      </w:r>
      <w:r w:rsidR="008B38CB" w:rsidRPr="006421D0">
        <w:t>considered</w:t>
      </w:r>
      <w:r w:rsidR="00AC34BB" w:rsidRPr="006421D0">
        <w:t xml:space="preserve"> that the model likely underestimated the OS and PFS outcomes for the </w:t>
      </w:r>
      <w:r w:rsidR="008B38CB" w:rsidRPr="006421D0">
        <w:t>nivolumab monotherapy arm</w:t>
      </w:r>
      <w:r w:rsidR="00DB0FA2" w:rsidRPr="006421D0">
        <w:t xml:space="preserve">, </w:t>
      </w:r>
      <w:r w:rsidR="00AC34BB" w:rsidRPr="006421D0">
        <w:t>overestimat</w:t>
      </w:r>
      <w:r w:rsidR="00DB0FA2" w:rsidRPr="006421D0">
        <w:t>ing</w:t>
      </w:r>
      <w:r w:rsidR="00AC34BB" w:rsidRPr="006421D0">
        <w:t xml:space="preserve"> the incremental benefit of NIVO+RELA.</w:t>
      </w:r>
      <w:r w:rsidR="006C07A2" w:rsidRPr="006421D0">
        <w:t xml:space="preserve"> The ESC </w:t>
      </w:r>
      <w:r w:rsidR="008B38CB" w:rsidRPr="006421D0">
        <w:t xml:space="preserve">also </w:t>
      </w:r>
      <w:r w:rsidR="006C07A2" w:rsidRPr="006421D0">
        <w:t xml:space="preserve">considered that the modelled 15% survival at 20 years </w:t>
      </w:r>
      <w:r w:rsidR="008B38CB" w:rsidRPr="006421D0">
        <w:t xml:space="preserve">in the RELA+NIVO arm and 11% survival in the nivolumab monotherapy arm </w:t>
      </w:r>
      <w:r w:rsidR="006C07A2" w:rsidRPr="006421D0">
        <w:t xml:space="preserve">was </w:t>
      </w:r>
      <w:r w:rsidR="008B38CB" w:rsidRPr="006421D0">
        <w:t xml:space="preserve">highly </w:t>
      </w:r>
      <w:r w:rsidR="006C07A2" w:rsidRPr="006421D0">
        <w:t>optimistic for a population of advanced cancer patients.</w:t>
      </w:r>
      <w:r w:rsidR="00A95A37">
        <w:t xml:space="preserve"> </w:t>
      </w:r>
    </w:p>
    <w:p w14:paraId="3B26ED6A" w14:textId="1BB85FA0" w:rsidR="00D24261" w:rsidRPr="006421D0" w:rsidRDefault="00D24261" w:rsidP="00A23598">
      <w:pPr>
        <w:pStyle w:val="3-BodyText"/>
        <w:numPr>
          <w:ilvl w:val="1"/>
          <w:numId w:val="22"/>
        </w:numPr>
        <w:ind w:left="709" w:hanging="709"/>
      </w:pPr>
      <w:r w:rsidRPr="006421D0">
        <w:t xml:space="preserve">With immunotherapy, complex hazard function shapes can arise both within and beyond the trial period because of delayed responses to treatment and the existence of long-term survivors (plateaued survival curves). The submission did not plot the assumed long-term hazard in each trial arm and the assumed treatment effect in the short and long-term, which made it difficult to assess the suitability of the parametric models used. The submission </w:t>
      </w:r>
      <w:r w:rsidR="009F23C4" w:rsidRPr="006421D0">
        <w:t xml:space="preserve">also </w:t>
      </w:r>
      <w:r w:rsidRPr="006421D0">
        <w:t xml:space="preserve">did not consider flexible parametric survival methods along </w:t>
      </w:r>
      <w:r w:rsidR="009F23C4" w:rsidRPr="006421D0">
        <w:t xml:space="preserve">with </w:t>
      </w:r>
      <w:r w:rsidRPr="006421D0">
        <w:t xml:space="preserve">the standard parametric models presented. </w:t>
      </w:r>
      <w:r w:rsidR="00931AE1" w:rsidRPr="006421D0">
        <w:t>The PSCR (p</w:t>
      </w:r>
      <w:r w:rsidR="006408A3" w:rsidRPr="006421D0">
        <w:t>3</w:t>
      </w:r>
      <w:r w:rsidR="00931AE1" w:rsidRPr="006421D0">
        <w:t>) disagreed that the extrapolation of survival curves was uncertain and claimed that the base case economic evaluation used conservative extrapolations of the survival curves</w:t>
      </w:r>
      <w:r w:rsidR="00DB0FA2" w:rsidRPr="006421D0">
        <w:t xml:space="preserve">, noting that the </w:t>
      </w:r>
      <w:r w:rsidR="006408A3" w:rsidRPr="006421D0">
        <w:t xml:space="preserve">sensitivity analyses </w:t>
      </w:r>
      <w:r w:rsidR="00DB0FA2" w:rsidRPr="006421D0">
        <w:t xml:space="preserve">using the </w:t>
      </w:r>
      <w:r w:rsidR="006408A3" w:rsidRPr="006421D0">
        <w:t>generalised gamma and Gompertz parametric distribution for OS</w:t>
      </w:r>
      <w:r w:rsidR="00DB0FA2" w:rsidRPr="006421D0">
        <w:t xml:space="preserve"> resulted in lower base case ICERs. </w:t>
      </w:r>
      <w:r w:rsidR="0041216B">
        <w:t>T</w:t>
      </w:r>
      <w:r w:rsidR="00131A39">
        <w:t xml:space="preserve">he </w:t>
      </w:r>
      <w:r w:rsidR="0041216B">
        <w:t>p</w:t>
      </w:r>
      <w:r w:rsidR="00131A39">
        <w:t>re-</w:t>
      </w:r>
      <w:r w:rsidR="0041216B">
        <w:t> </w:t>
      </w:r>
      <w:r w:rsidR="00131A39">
        <w:t xml:space="preserve">PBAC response (p3) noted that </w:t>
      </w:r>
      <w:r w:rsidR="00131A39" w:rsidRPr="0041216B">
        <w:t xml:space="preserve">extrapolation of OS also incorporated Australian life table data and applied the higher of the mortality rates at each time point between the parametric model and the lifetable data. </w:t>
      </w:r>
      <w:r w:rsidR="00253942" w:rsidRPr="006421D0">
        <w:t xml:space="preserve">The </w:t>
      </w:r>
      <w:r w:rsidR="00931AE1" w:rsidRPr="006421D0">
        <w:t xml:space="preserve">ESC considered that application of more complex/flexible parametric functions </w:t>
      </w:r>
      <w:r w:rsidR="00C02DDE" w:rsidRPr="006421D0">
        <w:t xml:space="preserve">to the trial data </w:t>
      </w:r>
      <w:r w:rsidR="00931AE1" w:rsidRPr="006421D0">
        <w:t xml:space="preserve">may </w:t>
      </w:r>
      <w:r w:rsidR="00DE21E1" w:rsidRPr="006421D0">
        <w:t xml:space="preserve">have </w:t>
      </w:r>
      <w:r w:rsidR="00931AE1" w:rsidRPr="006421D0">
        <w:t>improve</w:t>
      </w:r>
      <w:r w:rsidR="00DE21E1" w:rsidRPr="006421D0">
        <w:t>d</w:t>
      </w:r>
      <w:r w:rsidR="00C02DDE" w:rsidRPr="006421D0">
        <w:t xml:space="preserve"> the plausibility and credibility of the extrapolation to inform decision making.</w:t>
      </w:r>
      <w:r w:rsidR="00253942" w:rsidRPr="006421D0">
        <w:t xml:space="preserve"> </w:t>
      </w:r>
      <w:r w:rsidR="003E1601" w:rsidRPr="006421D0">
        <w:t xml:space="preserve">The ESC </w:t>
      </w:r>
      <w:r w:rsidR="003E1601" w:rsidRPr="006421D0">
        <w:lastRenderedPageBreak/>
        <w:t xml:space="preserve">agreed with the evaluation that the extrapolations conducted in the model should be validated using external data, such as </w:t>
      </w:r>
      <w:r w:rsidR="006C07A2" w:rsidRPr="006421D0">
        <w:t xml:space="preserve">the </w:t>
      </w:r>
      <w:r w:rsidR="003E1601" w:rsidRPr="006421D0">
        <w:t>extended follow up of the CA 209067 trial.</w:t>
      </w:r>
      <w:r w:rsidR="0029460A">
        <w:t xml:space="preserve"> </w:t>
      </w:r>
    </w:p>
    <w:p w14:paraId="25EAC585" w14:textId="77777777" w:rsidR="009D2E69" w:rsidRPr="009D2E69" w:rsidRDefault="00D24261" w:rsidP="00A23598">
      <w:pPr>
        <w:pStyle w:val="3-BodyText"/>
        <w:numPr>
          <w:ilvl w:val="1"/>
          <w:numId w:val="22"/>
        </w:numPr>
        <w:ind w:left="709" w:hanging="709"/>
        <w:rPr>
          <w:color w:val="0066FF"/>
        </w:rPr>
      </w:pPr>
      <w:r w:rsidRPr="0091283E">
        <w:t xml:space="preserve">Based on the CA224047 trial, the submission estimated a utility of 0.80 in the progression-free state and 0.75 in the progressive disease state. </w:t>
      </w:r>
      <w:r w:rsidR="00F34DFC" w:rsidRPr="0091283E">
        <w:t>Although these values were similar to those presented previously for nivolumab monotherapy (July 2015) and NIVO+IPI (November 2015), t</w:t>
      </w:r>
      <w:r w:rsidR="00F46F83" w:rsidRPr="0091283E">
        <w:t xml:space="preserve">he PBAC has previously considered that </w:t>
      </w:r>
      <w:r w:rsidR="002D023D" w:rsidRPr="0091283E">
        <w:t xml:space="preserve">the application of </w:t>
      </w:r>
      <w:r w:rsidR="00F46F83" w:rsidRPr="0091283E">
        <w:t xml:space="preserve">absolute utility values </w:t>
      </w:r>
      <w:r w:rsidR="002D023D" w:rsidRPr="0091283E">
        <w:t xml:space="preserve">of approximately </w:t>
      </w:r>
      <w:r w:rsidR="00F46F83" w:rsidRPr="0091283E">
        <w:t xml:space="preserve">0.8 for non-progressive and progressive disease states appeared to be high for a population with advanced cancer (paragraph 6.49, Nivolumab plus Ipilimumab, </w:t>
      </w:r>
      <w:r w:rsidR="002D023D" w:rsidRPr="0091283E">
        <w:t>PSD</w:t>
      </w:r>
      <w:r w:rsidR="00F46F83" w:rsidRPr="0091283E">
        <w:t>, November 2015 PBAC meeting</w:t>
      </w:r>
      <w:r w:rsidR="00EE78D3" w:rsidRPr="0091283E">
        <w:t>). The</w:t>
      </w:r>
      <w:r w:rsidRPr="0091283E">
        <w:t xml:space="preserve"> trial-based utility values for the progression health state appeared high for a population with advanced cancer. This may be due to collection of EQ-5D data during the earlier stages of progressive disease rather than across the entire period from disease progression to palliative care and death.</w:t>
      </w:r>
      <w:r w:rsidRPr="005942D6">
        <w:rPr>
          <w:i/>
          <w:iCs/>
        </w:rPr>
        <w:tab/>
      </w:r>
      <w:bookmarkEnd w:id="77"/>
    </w:p>
    <w:p w14:paraId="3741086E" w14:textId="4C2012A7" w:rsidR="00D24261" w:rsidRPr="00930079" w:rsidRDefault="00D24261" w:rsidP="00A23598">
      <w:pPr>
        <w:pStyle w:val="3-BodyText"/>
        <w:numPr>
          <w:ilvl w:val="1"/>
          <w:numId w:val="22"/>
        </w:numPr>
        <w:ind w:left="709" w:hanging="709"/>
        <w:rPr>
          <w:color w:val="0066FF"/>
        </w:rPr>
      </w:pPr>
      <w:r w:rsidRPr="007912DD">
        <w:rPr>
          <w:color w:val="000000" w:themeColor="text1"/>
        </w:rPr>
        <w:t xml:space="preserve">A summary of the key </w:t>
      </w:r>
      <w:r w:rsidRPr="007912DD">
        <w:t xml:space="preserve">drivers of the model is presented in </w:t>
      </w:r>
      <w:r w:rsidRPr="007912DD">
        <w:fldChar w:fldCharType="begin"/>
      </w:r>
      <w:r w:rsidRPr="007912DD">
        <w:instrText xml:space="preserve"> REF _Ref100930910 \h </w:instrText>
      </w:r>
      <w:r>
        <w:instrText xml:space="preserve"> \* MERGEFORMAT </w:instrText>
      </w:r>
      <w:r w:rsidRPr="007912DD">
        <w:fldChar w:fldCharType="separate"/>
      </w:r>
      <w:r w:rsidR="00633460" w:rsidRPr="00633460">
        <w:t>Table 11</w:t>
      </w:r>
      <w:r w:rsidRPr="007912DD">
        <w:fldChar w:fldCharType="end"/>
      </w:r>
      <w:r w:rsidRPr="007912DD">
        <w:t>.</w:t>
      </w:r>
    </w:p>
    <w:p w14:paraId="54ED4152" w14:textId="642B4A1C" w:rsidR="00D24261" w:rsidRPr="00930079" w:rsidRDefault="00D24261" w:rsidP="00D24261">
      <w:pPr>
        <w:pStyle w:val="TableFigureHeading"/>
        <w:rPr>
          <w:rStyle w:val="CommentReference"/>
          <w:b/>
          <w:bCs w:val="0"/>
          <w:szCs w:val="24"/>
        </w:rPr>
      </w:pPr>
      <w:bookmarkStart w:id="80" w:name="_Ref100930910"/>
      <w:r w:rsidRPr="00930079">
        <w:rPr>
          <w:rStyle w:val="CommentReference"/>
          <w:b/>
          <w:bCs w:val="0"/>
          <w:szCs w:val="24"/>
        </w:rPr>
        <w:t xml:space="preserve">Table </w:t>
      </w:r>
      <w:r>
        <w:rPr>
          <w:rStyle w:val="CommentReference"/>
          <w:b/>
          <w:bCs w:val="0"/>
          <w:szCs w:val="24"/>
        </w:rPr>
        <w:fldChar w:fldCharType="begin"/>
      </w:r>
      <w:r>
        <w:rPr>
          <w:rStyle w:val="CommentReference"/>
          <w:b/>
          <w:bCs w:val="0"/>
          <w:szCs w:val="24"/>
        </w:rPr>
        <w:instrText xml:space="preserve"> SEQ Table \* ARABIC \s 1 </w:instrText>
      </w:r>
      <w:r>
        <w:rPr>
          <w:rStyle w:val="CommentReference"/>
          <w:b/>
          <w:bCs w:val="0"/>
          <w:szCs w:val="24"/>
        </w:rPr>
        <w:fldChar w:fldCharType="separate"/>
      </w:r>
      <w:r w:rsidR="00633460">
        <w:rPr>
          <w:rStyle w:val="CommentReference"/>
          <w:b/>
          <w:bCs w:val="0"/>
          <w:noProof/>
          <w:szCs w:val="24"/>
        </w:rPr>
        <w:t>11</w:t>
      </w:r>
      <w:r>
        <w:rPr>
          <w:rStyle w:val="CommentReference"/>
          <w:b/>
          <w:bCs w:val="0"/>
          <w:szCs w:val="24"/>
        </w:rPr>
        <w:fldChar w:fldCharType="end"/>
      </w:r>
      <w:bookmarkStart w:id="81" w:name="_Ref100930900"/>
      <w:bookmarkEnd w:id="80"/>
      <w:r w:rsidRPr="00930079">
        <w:rPr>
          <w:rStyle w:val="CommentReference"/>
          <w:b/>
          <w:bCs w:val="0"/>
          <w:szCs w:val="24"/>
        </w:rPr>
        <w:t>: Key drivers of the model</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drivers of the model"/>
      </w:tblPr>
      <w:tblGrid>
        <w:gridCol w:w="1129"/>
        <w:gridCol w:w="3515"/>
        <w:gridCol w:w="4373"/>
      </w:tblGrid>
      <w:tr w:rsidR="00D24261" w:rsidRPr="0091283E" w14:paraId="0F7D008C" w14:textId="77777777" w:rsidTr="00993EEC">
        <w:trPr>
          <w:tblHeader/>
        </w:trPr>
        <w:tc>
          <w:tcPr>
            <w:tcW w:w="626" w:type="pct"/>
            <w:shd w:val="clear" w:color="auto" w:fill="auto"/>
            <w:vAlign w:val="center"/>
          </w:tcPr>
          <w:p w14:paraId="2CEFCD11" w14:textId="77777777" w:rsidR="00D24261" w:rsidRPr="0091283E" w:rsidRDefault="00D24261" w:rsidP="00E730EF">
            <w:pPr>
              <w:pStyle w:val="In-tableHeading"/>
              <w:jc w:val="center"/>
            </w:pPr>
            <w:r w:rsidRPr="0091283E">
              <w:t>Description</w:t>
            </w:r>
          </w:p>
        </w:tc>
        <w:tc>
          <w:tcPr>
            <w:tcW w:w="1949" w:type="pct"/>
            <w:shd w:val="clear" w:color="auto" w:fill="auto"/>
            <w:vAlign w:val="center"/>
          </w:tcPr>
          <w:p w14:paraId="069ADCB2" w14:textId="77777777" w:rsidR="00D24261" w:rsidRPr="0091283E" w:rsidRDefault="00D24261" w:rsidP="00E730EF">
            <w:pPr>
              <w:pStyle w:val="In-tableHeading"/>
              <w:jc w:val="center"/>
            </w:pPr>
            <w:r w:rsidRPr="0091283E">
              <w:t>Method/Value</w:t>
            </w:r>
          </w:p>
        </w:tc>
        <w:tc>
          <w:tcPr>
            <w:tcW w:w="2425" w:type="pct"/>
            <w:shd w:val="clear" w:color="auto" w:fill="auto"/>
            <w:vAlign w:val="center"/>
          </w:tcPr>
          <w:p w14:paraId="7E115221" w14:textId="77777777" w:rsidR="00D24261" w:rsidRPr="0091283E" w:rsidRDefault="00D24261" w:rsidP="00E730EF">
            <w:pPr>
              <w:pStyle w:val="In-tableHeading"/>
              <w:jc w:val="center"/>
            </w:pPr>
            <w:r w:rsidRPr="0091283E">
              <w:t>Impact</w:t>
            </w:r>
          </w:p>
          <w:p w14:paraId="7988C867" w14:textId="5D8C11F9" w:rsidR="00D24261" w:rsidRPr="0091283E" w:rsidRDefault="00D24261" w:rsidP="00E730EF">
            <w:pPr>
              <w:pStyle w:val="TableText0"/>
              <w:keepNext w:val="0"/>
              <w:jc w:val="center"/>
            </w:pPr>
            <w:r w:rsidRPr="0091283E">
              <w:rPr>
                <w:rFonts w:cs="Arial"/>
                <w:color w:val="000000" w:themeColor="text1"/>
                <w:szCs w:val="20"/>
              </w:rPr>
              <w:t xml:space="preserve">Base case: </w:t>
            </w:r>
            <w:r w:rsidRPr="0091283E">
              <w:rPr>
                <w:color w:val="000000" w:themeColor="text1"/>
              </w:rPr>
              <w:t>$</w:t>
            </w:r>
            <w:r w:rsidR="004E423C" w:rsidRPr="004E423C">
              <w:rPr>
                <w:color w:val="000000"/>
                <w:shd w:val="solid" w:color="000000" w:fill="000000"/>
                <w14:textFill>
                  <w14:solidFill>
                    <w14:srgbClr w14:val="000000">
                      <w14:alpha w14:val="100000"/>
                    </w14:srgbClr>
                  </w14:solidFill>
                </w14:textFill>
              </w:rPr>
              <w:t>|</w:t>
            </w:r>
            <w:r w:rsidR="007D28F0">
              <w:rPr>
                <w:color w:val="000000" w:themeColor="text1"/>
                <w:vertAlign w:val="superscript"/>
              </w:rPr>
              <w:t>1</w:t>
            </w:r>
            <w:r w:rsidRPr="0091283E">
              <w:rPr>
                <w:rFonts w:cs="Arial"/>
                <w:color w:val="000000" w:themeColor="text1"/>
                <w:szCs w:val="20"/>
              </w:rPr>
              <w:t>/QALY gained.</w:t>
            </w:r>
          </w:p>
        </w:tc>
      </w:tr>
      <w:tr w:rsidR="00D24261" w:rsidRPr="0091283E" w14:paraId="4F1EC30F" w14:textId="77777777" w:rsidTr="00993EEC">
        <w:tc>
          <w:tcPr>
            <w:tcW w:w="626" w:type="pct"/>
            <w:shd w:val="clear" w:color="auto" w:fill="auto"/>
            <w:vAlign w:val="center"/>
          </w:tcPr>
          <w:p w14:paraId="498AA857" w14:textId="77777777" w:rsidR="00D24261" w:rsidRPr="0091283E" w:rsidRDefault="00D24261" w:rsidP="00E730EF">
            <w:pPr>
              <w:pStyle w:val="TableText0"/>
              <w:rPr>
                <w:lang w:val="en-US"/>
              </w:rPr>
            </w:pPr>
            <w:r w:rsidRPr="0091283E">
              <w:rPr>
                <w:lang w:val="en-US"/>
              </w:rPr>
              <w:t>Time horizon</w:t>
            </w:r>
          </w:p>
        </w:tc>
        <w:tc>
          <w:tcPr>
            <w:tcW w:w="1949" w:type="pct"/>
            <w:shd w:val="clear" w:color="auto" w:fill="auto"/>
            <w:vAlign w:val="center"/>
          </w:tcPr>
          <w:p w14:paraId="6768F542" w14:textId="77777777" w:rsidR="00D24261" w:rsidRPr="0091283E" w:rsidRDefault="00D24261" w:rsidP="00E730EF">
            <w:pPr>
              <w:pStyle w:val="TableText0"/>
              <w:rPr>
                <w:lang w:val="en-US"/>
              </w:rPr>
            </w:pPr>
            <w:r w:rsidRPr="0091283E">
              <w:t>20 years in the model base case versus 19 months in trial.</w:t>
            </w:r>
          </w:p>
        </w:tc>
        <w:tc>
          <w:tcPr>
            <w:tcW w:w="2425" w:type="pct"/>
            <w:shd w:val="clear" w:color="auto" w:fill="auto"/>
            <w:vAlign w:val="center"/>
          </w:tcPr>
          <w:p w14:paraId="4095D525" w14:textId="2A86247D" w:rsidR="00D24261" w:rsidRPr="0091283E" w:rsidRDefault="00D24261" w:rsidP="00E730EF">
            <w:pPr>
              <w:pStyle w:val="TableText0"/>
              <w:rPr>
                <w:lang w:val="en-US"/>
              </w:rPr>
            </w:pPr>
            <w:r w:rsidRPr="0091283E">
              <w:rPr>
                <w:lang w:val="en-US"/>
              </w:rPr>
              <w:t xml:space="preserve">High, favours RELA+NIVO. Decreasing </w:t>
            </w:r>
            <w:r w:rsidRPr="0091283E">
              <w:t>the time horizon from 20 years to 10 years increased the ICER by</w:t>
            </w:r>
            <w:r w:rsidR="001D264B" w:rsidRPr="0091283E">
              <w:t xml:space="preserve"> 53.6% to $</w:t>
            </w:r>
            <w:r w:rsidR="004E423C" w:rsidRPr="004E423C">
              <w:rPr>
                <w:color w:val="000000"/>
                <w:spacing w:val="48"/>
                <w:shd w:val="solid" w:color="000000" w:fill="000000"/>
                <w:fitText w:val="500" w:id="-1435825908"/>
                <w14:textFill>
                  <w14:solidFill>
                    <w14:srgbClr w14:val="000000">
                      <w14:alpha w14:val="100000"/>
                    </w14:srgbClr>
                  </w14:solidFill>
                </w14:textFill>
              </w:rPr>
              <w:t>|||||</w:t>
            </w:r>
            <w:r w:rsidR="004E423C" w:rsidRPr="004E423C">
              <w:rPr>
                <w:color w:val="000000"/>
                <w:spacing w:val="5"/>
                <w:shd w:val="solid" w:color="000000" w:fill="000000"/>
                <w:fitText w:val="500" w:id="-1435825908"/>
                <w14:textFill>
                  <w14:solidFill>
                    <w14:srgbClr w14:val="000000">
                      <w14:alpha w14:val="100000"/>
                    </w14:srgbClr>
                  </w14:solidFill>
                </w14:textFill>
              </w:rPr>
              <w:t>|</w:t>
            </w:r>
            <w:r w:rsidR="007D28F0">
              <w:rPr>
                <w:vertAlign w:val="superscript"/>
              </w:rPr>
              <w:t>2</w:t>
            </w:r>
            <w:r w:rsidR="001D264B" w:rsidRPr="0091283E">
              <w:t>/QALY.</w:t>
            </w:r>
          </w:p>
        </w:tc>
      </w:tr>
      <w:tr w:rsidR="00D24261" w:rsidRPr="0091283E" w14:paraId="2A36FAB0" w14:textId="77777777" w:rsidTr="00993EEC">
        <w:tc>
          <w:tcPr>
            <w:tcW w:w="626" w:type="pct"/>
            <w:shd w:val="clear" w:color="auto" w:fill="auto"/>
            <w:vAlign w:val="center"/>
          </w:tcPr>
          <w:p w14:paraId="6A2DEF63" w14:textId="77777777" w:rsidR="00D24261" w:rsidRPr="0091283E" w:rsidRDefault="00D24261" w:rsidP="00E730EF">
            <w:pPr>
              <w:pStyle w:val="TableText0"/>
              <w:rPr>
                <w:lang w:val="en-US"/>
              </w:rPr>
            </w:pPr>
            <w:r w:rsidRPr="0091283E">
              <w:rPr>
                <w:lang w:val="en-US"/>
              </w:rPr>
              <w:t>Extrapolation</w:t>
            </w:r>
          </w:p>
        </w:tc>
        <w:tc>
          <w:tcPr>
            <w:tcW w:w="1949" w:type="pct"/>
            <w:shd w:val="clear" w:color="auto" w:fill="auto"/>
            <w:vAlign w:val="center"/>
          </w:tcPr>
          <w:p w14:paraId="7F459A1A" w14:textId="77777777" w:rsidR="00D24261" w:rsidRPr="0091283E" w:rsidRDefault="00D24261" w:rsidP="00E730EF">
            <w:pPr>
              <w:pStyle w:val="TableText0"/>
              <w:rPr>
                <w:lang w:val="en-US"/>
              </w:rPr>
            </w:pPr>
            <w:r w:rsidRPr="0091283E">
              <w:t>Parametric model fitted to each treatment arm with log-normal distribution selected in base case for OS, generalised gamma distribution selected in base case for PFS, and Weibull distribution selected in base case for TTD based on goodness of fit and visual inspection.</w:t>
            </w:r>
          </w:p>
        </w:tc>
        <w:tc>
          <w:tcPr>
            <w:tcW w:w="2425" w:type="pct"/>
            <w:shd w:val="clear" w:color="auto" w:fill="auto"/>
            <w:vAlign w:val="center"/>
          </w:tcPr>
          <w:p w14:paraId="2C35E24A" w14:textId="0C860901" w:rsidR="00D24261" w:rsidRPr="0091283E" w:rsidRDefault="00D24261" w:rsidP="00E730EF">
            <w:pPr>
              <w:pStyle w:val="TableText0"/>
              <w:rPr>
                <w:lang w:val="en-US"/>
              </w:rPr>
            </w:pPr>
            <w:r w:rsidRPr="0091283E">
              <w:rPr>
                <w:lang w:val="en-US"/>
              </w:rPr>
              <w:t xml:space="preserve">Moderate. The submission did not consider flexible parametric survival methods and did not validate the model using external data. </w:t>
            </w:r>
            <w:r w:rsidR="00CF17D5" w:rsidRPr="0091283E">
              <w:t xml:space="preserve">The submission </w:t>
            </w:r>
            <w:r w:rsidR="004D1CCC" w:rsidRPr="0091283E">
              <w:t>tested</w:t>
            </w:r>
            <w:r w:rsidR="00CF17D5" w:rsidRPr="0091283E">
              <w:t xml:space="preserve"> </w:t>
            </w:r>
            <w:r w:rsidRPr="0091283E">
              <w:t>generalised gamma and Gompertz parametric distribution for overall survival</w:t>
            </w:r>
            <w:r w:rsidR="00AD7065" w:rsidRPr="0091283E">
              <w:t xml:space="preserve"> (the next best fits according to AIC and BIC values)</w:t>
            </w:r>
            <w:r w:rsidR="004D1CCC" w:rsidRPr="0091283E">
              <w:t>, this decreased</w:t>
            </w:r>
            <w:r w:rsidRPr="0091283E">
              <w:t xml:space="preserve"> the ICER by </w:t>
            </w:r>
            <w:r w:rsidR="001D264B" w:rsidRPr="0091283E">
              <w:t>21.5% and 18.3%</w:t>
            </w:r>
            <w:r w:rsidRPr="0091283E">
              <w:t>, respectively.</w:t>
            </w:r>
          </w:p>
        </w:tc>
      </w:tr>
      <w:tr w:rsidR="00D24261" w:rsidRPr="0091283E" w14:paraId="2F5D820A" w14:textId="77777777" w:rsidTr="00993EEC">
        <w:tc>
          <w:tcPr>
            <w:tcW w:w="626" w:type="pct"/>
            <w:shd w:val="clear" w:color="auto" w:fill="auto"/>
            <w:vAlign w:val="center"/>
          </w:tcPr>
          <w:p w14:paraId="1B72D04C" w14:textId="77777777" w:rsidR="00D24261" w:rsidRPr="0091283E" w:rsidRDefault="00D24261" w:rsidP="00E730EF">
            <w:pPr>
              <w:pStyle w:val="TableText0"/>
              <w:rPr>
                <w:lang w:val="en-US"/>
              </w:rPr>
            </w:pPr>
            <w:r w:rsidRPr="0091283E">
              <w:rPr>
                <w:lang w:val="en-US"/>
              </w:rPr>
              <w:t>Subsequent treatment</w:t>
            </w:r>
          </w:p>
        </w:tc>
        <w:tc>
          <w:tcPr>
            <w:tcW w:w="1949" w:type="pct"/>
            <w:shd w:val="clear" w:color="auto" w:fill="auto"/>
            <w:vAlign w:val="center"/>
          </w:tcPr>
          <w:p w14:paraId="1EADC343" w14:textId="03D750E1" w:rsidR="00D24261" w:rsidRPr="0091283E" w:rsidRDefault="00D24261" w:rsidP="00E730EF">
            <w:pPr>
              <w:pStyle w:val="TableText0"/>
            </w:pPr>
            <w:r w:rsidRPr="0091283E">
              <w:t>A one-off subsequent cost of $</w:t>
            </w:r>
            <w:r w:rsidR="004E423C" w:rsidRPr="004E423C">
              <w:rPr>
                <w:color w:val="000000"/>
                <w:spacing w:val="48"/>
                <w:shd w:val="solid" w:color="000000" w:fill="000000"/>
                <w:fitText w:val="500" w:id="-1435825907"/>
                <w14:textFill>
                  <w14:solidFill>
                    <w14:srgbClr w14:val="000000">
                      <w14:alpha w14:val="100000"/>
                    </w14:srgbClr>
                  </w14:solidFill>
                </w14:textFill>
              </w:rPr>
              <w:t>|||||</w:t>
            </w:r>
            <w:r w:rsidR="004E423C" w:rsidRPr="004E423C">
              <w:rPr>
                <w:color w:val="000000"/>
                <w:spacing w:val="5"/>
                <w:shd w:val="solid" w:color="000000" w:fill="000000"/>
                <w:fitText w:val="500" w:id="-1435825907"/>
                <w14:textFill>
                  <w14:solidFill>
                    <w14:srgbClr w14:val="000000">
                      <w14:alpha w14:val="100000"/>
                    </w14:srgbClr>
                  </w14:solidFill>
                </w14:textFill>
              </w:rPr>
              <w:t>|</w:t>
            </w:r>
            <w:r w:rsidRPr="0091283E">
              <w:t xml:space="preserve"> for RELA+NIVO and $25,290.10 for nivolumab </w:t>
            </w:r>
            <w:r w:rsidR="00AD7065" w:rsidRPr="0091283E">
              <w:t xml:space="preserve">was applied </w:t>
            </w:r>
            <w:r w:rsidRPr="0091283E">
              <w:t>when a patient discontinue</w:t>
            </w:r>
            <w:r w:rsidR="00AD7065" w:rsidRPr="0091283E">
              <w:t>d</w:t>
            </w:r>
            <w:r w:rsidRPr="0091283E">
              <w:t xml:space="preserve"> treatment.</w:t>
            </w:r>
          </w:p>
        </w:tc>
        <w:tc>
          <w:tcPr>
            <w:tcW w:w="2425" w:type="pct"/>
            <w:shd w:val="clear" w:color="auto" w:fill="auto"/>
            <w:vAlign w:val="center"/>
          </w:tcPr>
          <w:p w14:paraId="0B28980B" w14:textId="74757840" w:rsidR="00D24261" w:rsidRPr="0091283E" w:rsidRDefault="00D24261" w:rsidP="00E730EF">
            <w:pPr>
              <w:jc w:val="left"/>
              <w:rPr>
                <w:rFonts w:ascii="Arial Narrow" w:eastAsiaTheme="majorEastAsia" w:hAnsi="Arial Narrow" w:cstheme="majorBidi"/>
                <w:bCs/>
                <w:sz w:val="20"/>
              </w:rPr>
            </w:pPr>
            <w:r w:rsidRPr="0091283E">
              <w:rPr>
                <w:rFonts w:ascii="Arial Narrow" w:eastAsiaTheme="majorEastAsia" w:hAnsi="Arial Narrow" w:cstheme="majorBidi"/>
                <w:bCs/>
                <w:sz w:val="20"/>
              </w:rPr>
              <w:t>Low. Assuming no difference in the subsequent treatment received by patients in</w:t>
            </w:r>
            <w:r w:rsidR="00DE37BB" w:rsidRPr="0091283E">
              <w:rPr>
                <w:rFonts w:ascii="Arial Narrow" w:eastAsiaTheme="majorEastAsia" w:hAnsi="Arial Narrow" w:cstheme="majorBidi"/>
                <w:bCs/>
                <w:sz w:val="20"/>
              </w:rPr>
              <w:t xml:space="preserve"> the</w:t>
            </w:r>
            <w:r w:rsidRPr="0091283E">
              <w:rPr>
                <w:rFonts w:ascii="Arial Narrow" w:eastAsiaTheme="majorEastAsia" w:hAnsi="Arial Narrow" w:cstheme="majorBidi"/>
                <w:bCs/>
                <w:sz w:val="20"/>
              </w:rPr>
              <w:t xml:space="preserve"> RELA+NIVO arm and </w:t>
            </w:r>
            <w:r w:rsidR="00DE37BB" w:rsidRPr="0091283E">
              <w:rPr>
                <w:rFonts w:ascii="Arial Narrow" w:eastAsiaTheme="majorEastAsia" w:hAnsi="Arial Narrow" w:cstheme="majorBidi"/>
                <w:bCs/>
                <w:sz w:val="20"/>
              </w:rPr>
              <w:t xml:space="preserve">the </w:t>
            </w:r>
            <w:r w:rsidRPr="0091283E">
              <w:rPr>
                <w:rFonts w:ascii="Arial Narrow" w:eastAsiaTheme="majorEastAsia" w:hAnsi="Arial Narrow" w:cstheme="majorBidi"/>
                <w:bCs/>
                <w:sz w:val="20"/>
              </w:rPr>
              <w:t>nivolumab arm, the ICER increase</w:t>
            </w:r>
            <w:r w:rsidR="00DE37BB" w:rsidRPr="0091283E">
              <w:rPr>
                <w:rFonts w:ascii="Arial Narrow" w:eastAsiaTheme="majorEastAsia" w:hAnsi="Arial Narrow" w:cstheme="majorBidi"/>
                <w:bCs/>
                <w:sz w:val="20"/>
              </w:rPr>
              <w:t>d</w:t>
            </w:r>
            <w:r w:rsidRPr="0091283E">
              <w:rPr>
                <w:rFonts w:ascii="Arial Narrow" w:eastAsiaTheme="majorEastAsia" w:hAnsi="Arial Narrow" w:cstheme="majorBidi"/>
                <w:bCs/>
                <w:sz w:val="20"/>
              </w:rPr>
              <w:t xml:space="preserve"> by </w:t>
            </w:r>
            <w:r w:rsidR="001D264B" w:rsidRPr="0091283E">
              <w:rPr>
                <w:rFonts w:ascii="Arial Narrow" w:eastAsiaTheme="majorEastAsia" w:hAnsi="Arial Narrow" w:cstheme="majorBidi"/>
                <w:bCs/>
                <w:sz w:val="20"/>
              </w:rPr>
              <w:t>10.05</w:t>
            </w:r>
            <w:r w:rsidRPr="0091283E">
              <w:rPr>
                <w:rFonts w:ascii="Arial Narrow" w:eastAsiaTheme="majorEastAsia" w:hAnsi="Arial Narrow" w:cstheme="majorBidi"/>
                <w:bCs/>
                <w:sz w:val="20"/>
              </w:rPr>
              <w:t>% to $</w:t>
            </w:r>
            <w:r w:rsidR="004E423C" w:rsidRPr="004E423C">
              <w:rPr>
                <w:rFonts w:ascii="Arial Narrow" w:eastAsiaTheme="majorEastAsia" w:hAnsi="Arial Narrow" w:cstheme="majorBidi"/>
                <w:bCs/>
                <w:color w:val="000000"/>
                <w:spacing w:val="48"/>
                <w:sz w:val="20"/>
                <w:shd w:val="solid" w:color="000000" w:fill="000000"/>
                <w:fitText w:val="500" w:id="-1435825906"/>
                <w14:textFill>
                  <w14:solidFill>
                    <w14:srgbClr w14:val="000000">
                      <w14:alpha w14:val="100000"/>
                    </w14:srgbClr>
                  </w14:solidFill>
                </w14:textFill>
              </w:rPr>
              <w:t>|||||</w:t>
            </w:r>
            <w:r w:rsidR="004E423C" w:rsidRPr="004E423C">
              <w:rPr>
                <w:rFonts w:ascii="Arial Narrow" w:eastAsiaTheme="majorEastAsia" w:hAnsi="Arial Narrow" w:cstheme="majorBidi"/>
                <w:bCs/>
                <w:color w:val="000000"/>
                <w:spacing w:val="5"/>
                <w:sz w:val="20"/>
                <w:shd w:val="solid" w:color="000000" w:fill="000000"/>
                <w:fitText w:val="500" w:id="-1435825906"/>
                <w14:textFill>
                  <w14:solidFill>
                    <w14:srgbClr w14:val="000000">
                      <w14:alpha w14:val="100000"/>
                    </w14:srgbClr>
                  </w14:solidFill>
                </w14:textFill>
              </w:rPr>
              <w:t>|</w:t>
            </w:r>
            <w:r w:rsidR="007D28F0">
              <w:rPr>
                <w:rFonts w:ascii="Arial Narrow" w:eastAsiaTheme="majorEastAsia" w:hAnsi="Arial Narrow" w:cstheme="majorBidi"/>
                <w:bCs/>
                <w:sz w:val="20"/>
                <w:vertAlign w:val="superscript"/>
              </w:rPr>
              <w:t>3</w:t>
            </w:r>
            <w:r w:rsidRPr="0091283E">
              <w:rPr>
                <w:rFonts w:ascii="Arial Narrow" w:eastAsiaTheme="majorEastAsia" w:hAnsi="Arial Narrow" w:cstheme="majorBidi"/>
                <w:bCs/>
                <w:sz w:val="20"/>
              </w:rPr>
              <w:t>/QALY.</w:t>
            </w:r>
          </w:p>
        </w:tc>
      </w:tr>
    </w:tbl>
    <w:p w14:paraId="31527B45" w14:textId="16975A44" w:rsidR="00D24261" w:rsidRPr="0091283E" w:rsidRDefault="00D24261" w:rsidP="00D24261">
      <w:pPr>
        <w:pStyle w:val="TableFigureFooter"/>
      </w:pPr>
      <w:r w:rsidRPr="0091283E">
        <w:t>Source: Table 59, p200 and Table 60, p205</w:t>
      </w:r>
      <w:r w:rsidR="00B66DD9" w:rsidRPr="0091283E">
        <w:t xml:space="preserve">, Table 80, pp236-237 </w:t>
      </w:r>
      <w:r w:rsidRPr="0091283E">
        <w:t>of the submission.</w:t>
      </w:r>
    </w:p>
    <w:p w14:paraId="444FE467" w14:textId="26D64890" w:rsidR="00D24261" w:rsidRDefault="00D24261" w:rsidP="00D24261">
      <w:pPr>
        <w:pStyle w:val="TableFigureFooter"/>
      </w:pPr>
      <w:r w:rsidRPr="0091283E">
        <w:rPr>
          <w:sz w:val="20"/>
        </w:rPr>
        <w:t xml:space="preserve">EQ-5D = </w:t>
      </w:r>
      <w:r w:rsidRPr="0091283E">
        <w:t>EuroQol five-dimensional instrument, ICER = incremental cost-effectiveness ratio, NIVO = nivolumab, OS = overall survival, PFS = progression-free survival, QALY =quality-adjusted life years, RELA = relatlimab, TTD = time-to treatment disc</w:t>
      </w:r>
      <w:r>
        <w:t>ontinuation.</w:t>
      </w:r>
    </w:p>
    <w:p w14:paraId="05AA8D3D" w14:textId="32436D9A" w:rsidR="007D28F0" w:rsidRDefault="007D28F0" w:rsidP="00D24261">
      <w:pPr>
        <w:pStyle w:val="TableFigureFooter"/>
      </w:pPr>
    </w:p>
    <w:p w14:paraId="5FD07001" w14:textId="766D779E" w:rsidR="007D28F0" w:rsidRPr="007D28F0" w:rsidRDefault="007D28F0" w:rsidP="007D28F0">
      <w:pPr>
        <w:pStyle w:val="TableFigureFooter"/>
        <w:keepNext/>
        <w:spacing w:after="0"/>
        <w:contextualSpacing w:val="0"/>
        <w:rPr>
          <w:i/>
        </w:rPr>
      </w:pPr>
      <w:bookmarkStart w:id="82" w:name="_Hlk112839435"/>
      <w:r w:rsidRPr="00987870">
        <w:rPr>
          <w:i/>
        </w:rPr>
        <w:t>The redacted values correspond to the following ranges:</w:t>
      </w:r>
      <w:bookmarkEnd w:id="82"/>
    </w:p>
    <w:p w14:paraId="40FD0382" w14:textId="4306123A" w:rsidR="007D28F0" w:rsidRPr="007D28F0" w:rsidRDefault="007D28F0" w:rsidP="00D24261">
      <w:pPr>
        <w:pStyle w:val="TableFigureFooter"/>
        <w:rPr>
          <w:i/>
          <w:iCs/>
        </w:rPr>
      </w:pPr>
      <w:r w:rsidRPr="007D28F0">
        <w:rPr>
          <w:i/>
          <w:iCs/>
          <w:vertAlign w:val="superscript"/>
        </w:rPr>
        <w:t>1</w:t>
      </w:r>
      <w:r w:rsidRPr="007D28F0">
        <w:rPr>
          <w:i/>
          <w:iCs/>
        </w:rPr>
        <w:t>$55,000 to &lt; $75,000</w:t>
      </w:r>
    </w:p>
    <w:p w14:paraId="5AF60C72" w14:textId="160C66EA" w:rsidR="007D28F0" w:rsidRDefault="007D28F0" w:rsidP="00D24261">
      <w:pPr>
        <w:pStyle w:val="TableFigureFooter"/>
        <w:rPr>
          <w:i/>
          <w:iCs/>
        </w:rPr>
      </w:pPr>
      <w:r w:rsidRPr="007D28F0">
        <w:rPr>
          <w:i/>
          <w:iCs/>
          <w:vertAlign w:val="superscript"/>
        </w:rPr>
        <w:t>2</w:t>
      </w:r>
      <w:r w:rsidRPr="007D28F0">
        <w:rPr>
          <w:i/>
          <w:iCs/>
        </w:rPr>
        <w:t>$95,000 to &lt; $115,000</w:t>
      </w:r>
    </w:p>
    <w:p w14:paraId="74D4EC7B" w14:textId="54F6F9DF" w:rsidR="007D28F0" w:rsidRPr="007D28F0" w:rsidRDefault="007D28F0" w:rsidP="00D24261">
      <w:pPr>
        <w:pStyle w:val="TableFigureFooter"/>
        <w:rPr>
          <w:i/>
          <w:iCs/>
        </w:rPr>
      </w:pPr>
      <w:r>
        <w:rPr>
          <w:i/>
          <w:iCs/>
          <w:vertAlign w:val="superscript"/>
        </w:rPr>
        <w:t>3</w:t>
      </w:r>
      <w:r w:rsidRPr="007D28F0">
        <w:rPr>
          <w:i/>
          <w:iCs/>
        </w:rPr>
        <w:t>$75,000 to &lt; $95,000</w:t>
      </w:r>
    </w:p>
    <w:p w14:paraId="47FA1132" w14:textId="7DE442EC" w:rsidR="00D24261" w:rsidRPr="0091283E" w:rsidRDefault="00D24261" w:rsidP="00A23598">
      <w:pPr>
        <w:pStyle w:val="3-BodyText"/>
        <w:numPr>
          <w:ilvl w:val="1"/>
          <w:numId w:val="22"/>
        </w:numPr>
        <w:ind w:left="709" w:hanging="709"/>
      </w:pPr>
      <w:r w:rsidRPr="0091283E">
        <w:t>The total health care resource use cost</w:t>
      </w:r>
      <w:r w:rsidR="00DA64F6" w:rsidRPr="0091283E">
        <w:t xml:space="preserve">, consisting of hospital-based costs and </w:t>
      </w:r>
      <w:r w:rsidR="009A5081" w:rsidRPr="0091283E">
        <w:t>medical benefits schedule (</w:t>
      </w:r>
      <w:r w:rsidR="00DA64F6" w:rsidRPr="0091283E">
        <w:t>MBS</w:t>
      </w:r>
      <w:r w:rsidR="009A5081" w:rsidRPr="0091283E">
        <w:t>)</w:t>
      </w:r>
      <w:r w:rsidR="00DA64F6" w:rsidRPr="0091283E">
        <w:t xml:space="preserve"> cost of care,</w:t>
      </w:r>
      <w:r w:rsidRPr="0091283E">
        <w:t xml:space="preserve"> applied to the economic model for both pre-progression and post-progression health state</w:t>
      </w:r>
      <w:r w:rsidR="00E15888" w:rsidRPr="0091283E">
        <w:t>s</w:t>
      </w:r>
      <w:r w:rsidR="009A5081" w:rsidRPr="0091283E">
        <w:t>,</w:t>
      </w:r>
      <w:r w:rsidRPr="0091283E">
        <w:t xml:space="preserve"> was $</w:t>
      </w:r>
      <w:r w:rsidR="004E423C" w:rsidRPr="003252E1">
        <w:rPr>
          <w:color w:val="000000"/>
          <w:w w:val="15"/>
          <w:shd w:val="solid" w:color="000000" w:fill="000000"/>
          <w:fitText w:val="-20" w:id="-1435825905"/>
          <w14:textFill>
            <w14:solidFill>
              <w14:srgbClr w14:val="000000">
                <w14:alpha w14:val="100000"/>
              </w14:srgbClr>
            </w14:solidFill>
          </w14:textFill>
        </w:rPr>
        <w:t xml:space="preserve">|  </w:t>
      </w:r>
      <w:r w:rsidR="004E423C" w:rsidRPr="003252E1">
        <w:rPr>
          <w:color w:val="000000"/>
          <w:spacing w:val="-69"/>
          <w:w w:val="15"/>
          <w:shd w:val="solid" w:color="000000" w:fill="000000"/>
          <w:fitText w:val="-20" w:id="-1435825905"/>
          <w14:textFill>
            <w14:solidFill>
              <w14:srgbClr w14:val="000000">
                <w14:alpha w14:val="100000"/>
              </w14:srgbClr>
            </w14:solidFill>
          </w14:textFill>
        </w:rPr>
        <w:t>|</w:t>
      </w:r>
      <w:r w:rsidRPr="0091283E">
        <w:t>.</w:t>
      </w:r>
      <w:r w:rsidRPr="0091283E" w:rsidDel="00092F7F">
        <w:t xml:space="preserve"> </w:t>
      </w:r>
      <w:r w:rsidRPr="0091283E">
        <w:t>This cost is based on 2013 data and was not adjusted to 2022 prices</w:t>
      </w:r>
      <w:r w:rsidR="0038007B" w:rsidRPr="0091283E">
        <w:t xml:space="preserve"> </w:t>
      </w:r>
      <w:r w:rsidR="009A5081" w:rsidRPr="0091283E">
        <w:t>but</w:t>
      </w:r>
      <w:r w:rsidR="00822C28" w:rsidRPr="0091283E">
        <w:t xml:space="preserve"> is not expected to significant</w:t>
      </w:r>
      <w:r w:rsidR="009A5081" w:rsidRPr="0091283E">
        <w:t xml:space="preserve">ly </w:t>
      </w:r>
      <w:r w:rsidR="00822C28" w:rsidRPr="0091283E">
        <w:t>impact the results</w:t>
      </w:r>
      <w:r w:rsidR="009A5081" w:rsidRPr="0091283E">
        <w:t xml:space="preserve"> of the economic evaluation</w:t>
      </w:r>
      <w:r w:rsidR="00822C28" w:rsidRPr="0091283E">
        <w:t>.</w:t>
      </w:r>
    </w:p>
    <w:p w14:paraId="5F727378" w14:textId="3C547EC8" w:rsidR="00CA192B" w:rsidRDefault="00D24261" w:rsidP="00A23598">
      <w:pPr>
        <w:pStyle w:val="3-BodyText"/>
        <w:numPr>
          <w:ilvl w:val="1"/>
          <w:numId w:val="22"/>
        </w:numPr>
        <w:ind w:left="709" w:hanging="709"/>
      </w:pPr>
      <w:r w:rsidRPr="00061B12">
        <w:t>The results of the modelled economic evaluation are summarised</w:t>
      </w:r>
      <w:r>
        <w:t xml:space="preserve"> in</w:t>
      </w:r>
      <w:r w:rsidRPr="00D23D11">
        <w:t xml:space="preserve"> </w:t>
      </w:r>
      <w:r>
        <w:fldChar w:fldCharType="begin"/>
      </w:r>
      <w:r>
        <w:instrText xml:space="preserve"> REF _Ref100933035 \h  \* MERGEFORMAT </w:instrText>
      </w:r>
      <w:r>
        <w:fldChar w:fldCharType="separate"/>
      </w:r>
      <w:r w:rsidR="00633460" w:rsidRPr="00633460">
        <w:t>Table 12</w:t>
      </w:r>
      <w:r>
        <w:fldChar w:fldCharType="end"/>
      </w:r>
      <w:r>
        <w:t>.</w:t>
      </w:r>
    </w:p>
    <w:p w14:paraId="4214476D" w14:textId="47DEDC34" w:rsidR="00D30028" w:rsidRDefault="00D24261" w:rsidP="00D30028">
      <w:pPr>
        <w:pStyle w:val="Caption"/>
        <w:keepNext/>
        <w:spacing w:after="0"/>
      </w:pPr>
      <w:bookmarkStart w:id="83" w:name="_Ref100933035"/>
      <w:r w:rsidRPr="00630ACF">
        <w:rPr>
          <w:rStyle w:val="CommentReference"/>
          <w:rFonts w:eastAsiaTheme="majorEastAsia" w:cstheme="majorBidi"/>
          <w:b/>
          <w:color w:val="auto"/>
          <w:szCs w:val="24"/>
        </w:rPr>
        <w:lastRenderedPageBreak/>
        <w:t>Table</w:t>
      </w:r>
      <w:r>
        <w:rPr>
          <w:rStyle w:val="CommentReference"/>
          <w:rFonts w:eastAsiaTheme="majorEastAsia" w:cstheme="majorBidi"/>
          <w:b/>
          <w:color w:val="auto"/>
          <w:szCs w:val="24"/>
        </w:rPr>
        <w:t xml:space="preserve"> </w:t>
      </w:r>
      <w:r>
        <w:rPr>
          <w:rStyle w:val="CommentReference"/>
          <w:rFonts w:eastAsiaTheme="majorEastAsia" w:cstheme="majorBidi"/>
          <w:b/>
          <w:szCs w:val="24"/>
        </w:rPr>
        <w:fldChar w:fldCharType="begin"/>
      </w:r>
      <w:r>
        <w:rPr>
          <w:rStyle w:val="CommentReference"/>
          <w:rFonts w:eastAsiaTheme="majorEastAsia" w:cstheme="majorBidi"/>
          <w:b/>
          <w:color w:val="auto"/>
          <w:szCs w:val="24"/>
        </w:rPr>
        <w:instrText xml:space="preserve"> SEQ Table \* ARABIC \s 1 </w:instrText>
      </w:r>
      <w:r>
        <w:rPr>
          <w:rStyle w:val="CommentReference"/>
          <w:rFonts w:eastAsiaTheme="majorEastAsia" w:cstheme="majorBidi"/>
          <w:b/>
          <w:szCs w:val="24"/>
        </w:rPr>
        <w:fldChar w:fldCharType="separate"/>
      </w:r>
      <w:r w:rsidR="00633460">
        <w:rPr>
          <w:rStyle w:val="CommentReference"/>
          <w:rFonts w:eastAsiaTheme="majorEastAsia" w:cstheme="majorBidi"/>
          <w:b/>
          <w:noProof/>
          <w:color w:val="auto"/>
          <w:szCs w:val="24"/>
        </w:rPr>
        <w:t>12</w:t>
      </w:r>
      <w:r>
        <w:rPr>
          <w:rStyle w:val="CommentReference"/>
          <w:rFonts w:eastAsiaTheme="majorEastAsia" w:cstheme="majorBidi"/>
          <w:b/>
          <w:szCs w:val="24"/>
        </w:rPr>
        <w:fldChar w:fldCharType="end"/>
      </w:r>
      <w:bookmarkEnd w:id="83"/>
      <w:r w:rsidRPr="00630ACF">
        <w:rPr>
          <w:rStyle w:val="CommentReference"/>
          <w:rFonts w:eastAsiaTheme="majorEastAsia" w:cstheme="majorBidi"/>
          <w:b/>
          <w:color w:val="auto"/>
          <w:szCs w:val="24"/>
        </w:rPr>
        <w:t>: Results of the stepped economic evaluation</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w:tblPr>
      <w:tblGrid>
        <w:gridCol w:w="2859"/>
        <w:gridCol w:w="2542"/>
        <w:gridCol w:w="2383"/>
        <w:gridCol w:w="1567"/>
      </w:tblGrid>
      <w:tr w:rsidR="00CF17D5" w:rsidRPr="005E6CBC" w14:paraId="52987F5C" w14:textId="77777777" w:rsidTr="00D30028">
        <w:trPr>
          <w:tblHeader/>
        </w:trPr>
        <w:tc>
          <w:tcPr>
            <w:tcW w:w="1529" w:type="pct"/>
            <w:vAlign w:val="center"/>
          </w:tcPr>
          <w:p w14:paraId="2E1730D2" w14:textId="77777777" w:rsidR="00D30028" w:rsidRPr="005E6CBC" w:rsidRDefault="00D30028" w:rsidP="00D30028">
            <w:pPr>
              <w:pStyle w:val="In-tableHeading"/>
            </w:pPr>
            <w:r w:rsidRPr="005E6CBC">
              <w:t>Step and component</w:t>
            </w:r>
          </w:p>
        </w:tc>
        <w:tc>
          <w:tcPr>
            <w:tcW w:w="1359" w:type="pct"/>
            <w:vAlign w:val="center"/>
          </w:tcPr>
          <w:p w14:paraId="4AB8ADBF" w14:textId="77777777" w:rsidR="00D30028" w:rsidRPr="005E6CBC" w:rsidRDefault="00D30028" w:rsidP="00D30028">
            <w:pPr>
              <w:pStyle w:val="In-tableHeading"/>
              <w:jc w:val="center"/>
            </w:pPr>
            <w:r>
              <w:t>RELA+NIVO</w:t>
            </w:r>
          </w:p>
        </w:tc>
        <w:tc>
          <w:tcPr>
            <w:tcW w:w="1274" w:type="pct"/>
            <w:vAlign w:val="center"/>
          </w:tcPr>
          <w:p w14:paraId="29EE60D7" w14:textId="77777777" w:rsidR="00D30028" w:rsidRPr="005E6CBC" w:rsidRDefault="00D30028" w:rsidP="00D30028">
            <w:pPr>
              <w:pStyle w:val="In-tableHeading"/>
              <w:jc w:val="center"/>
            </w:pPr>
            <w:r>
              <w:t xml:space="preserve">Nivolumab </w:t>
            </w:r>
          </w:p>
        </w:tc>
        <w:tc>
          <w:tcPr>
            <w:tcW w:w="838" w:type="pct"/>
            <w:vAlign w:val="center"/>
          </w:tcPr>
          <w:p w14:paraId="3905D386" w14:textId="77777777" w:rsidR="00D30028" w:rsidRPr="005E6CBC" w:rsidRDefault="00D30028" w:rsidP="00D30028">
            <w:pPr>
              <w:pStyle w:val="In-tableHeading"/>
              <w:jc w:val="center"/>
            </w:pPr>
            <w:r w:rsidRPr="005E6CBC">
              <w:t>Increment</w:t>
            </w:r>
          </w:p>
        </w:tc>
      </w:tr>
      <w:tr w:rsidR="00827A31" w:rsidRPr="003D5C02" w14:paraId="07CCAB4E" w14:textId="77777777" w:rsidTr="00D30028">
        <w:tc>
          <w:tcPr>
            <w:tcW w:w="5000" w:type="pct"/>
            <w:gridSpan w:val="4"/>
            <w:vAlign w:val="center"/>
          </w:tcPr>
          <w:p w14:paraId="59013E45" w14:textId="77777777" w:rsidR="00D30028" w:rsidRPr="004B7C50" w:rsidRDefault="00D30028" w:rsidP="00D30028">
            <w:pPr>
              <w:pStyle w:val="TableText0"/>
              <w:rPr>
                <w:b/>
                <w:bCs w:val="0"/>
              </w:rPr>
            </w:pPr>
            <w:r w:rsidRPr="004B7C50">
              <w:rPr>
                <w:b/>
                <w:bCs w:val="0"/>
              </w:rPr>
              <w:t>Step 1: trial-based costs and outcomes</w:t>
            </w:r>
            <w:r>
              <w:rPr>
                <w:b/>
                <w:bCs w:val="0"/>
              </w:rPr>
              <w:t xml:space="preserve"> (drug acquisition cost)</w:t>
            </w:r>
          </w:p>
        </w:tc>
      </w:tr>
      <w:tr w:rsidR="00CF17D5" w:rsidRPr="00E2771E" w14:paraId="75A39ECC" w14:textId="77777777" w:rsidTr="004E423C">
        <w:tc>
          <w:tcPr>
            <w:tcW w:w="1529" w:type="pct"/>
            <w:vAlign w:val="center"/>
          </w:tcPr>
          <w:p w14:paraId="76B1A374" w14:textId="479897AC" w:rsidR="00D30028" w:rsidRPr="002F3BC0" w:rsidRDefault="00D30028" w:rsidP="00D30028">
            <w:pPr>
              <w:pStyle w:val="TableText0"/>
            </w:pPr>
            <w:r w:rsidRPr="002F3BC0">
              <w:t>Costs</w:t>
            </w:r>
            <w:r w:rsidR="007D28F0">
              <w:t xml:space="preserve"> ($)</w:t>
            </w:r>
          </w:p>
        </w:tc>
        <w:tc>
          <w:tcPr>
            <w:tcW w:w="1359" w:type="pct"/>
            <w:shd w:val="solid" w:color="000000" w:fill="000000"/>
          </w:tcPr>
          <w:p w14:paraId="17D88E08" w14:textId="33F9C4F8" w:rsidR="00D30028" w:rsidRPr="007D28F0"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1274" w:type="pct"/>
            <w:shd w:val="solid" w:color="000000" w:fill="000000"/>
            <w:vAlign w:val="bottom"/>
          </w:tcPr>
          <w:p w14:paraId="69CD8A2B" w14:textId="2F3FDE3B" w:rsidR="00D30028" w:rsidRPr="007D28F0"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838" w:type="pct"/>
            <w:shd w:val="solid" w:color="000000" w:fill="000000"/>
            <w:vAlign w:val="bottom"/>
          </w:tcPr>
          <w:p w14:paraId="0D3A757B" w14:textId="00C26527" w:rsidR="00D30028" w:rsidRPr="007D28F0" w:rsidRDefault="004E423C" w:rsidP="00D30028">
            <w:pPr>
              <w:pStyle w:val="TableText0"/>
              <w:jc w:val="center"/>
              <w:rPr>
                <w:highlight w:val="lightGray"/>
              </w:rPr>
            </w:pPr>
            <w:r w:rsidRPr="004E423C">
              <w:rPr>
                <w:rFonts w:hint="eastAsia"/>
                <w:color w:val="000000"/>
                <w:w w:val="18"/>
                <w:fitText w:val="80" w:id="-1435825904"/>
                <w14:textFill>
                  <w14:solidFill>
                    <w14:srgbClr w14:val="000000">
                      <w14:alpha w14:val="100000"/>
                    </w14:srgbClr>
                  </w14:solidFill>
                </w14:textFill>
              </w:rPr>
              <w:t xml:space="preserve">　</w:t>
            </w:r>
            <w:r w:rsidRPr="004E423C">
              <w:rPr>
                <w:color w:val="000000"/>
                <w:w w:val="18"/>
                <w:fitText w:val="80" w:id="-1435825904"/>
                <w14:textFill>
                  <w14:solidFill>
                    <w14:srgbClr w14:val="000000">
                      <w14:alpha w14:val="100000"/>
                    </w14:srgbClr>
                  </w14:solidFill>
                </w14:textFill>
              </w:rPr>
              <w:t>|</w:t>
            </w:r>
            <w:r w:rsidRPr="004E423C">
              <w:rPr>
                <w:rFonts w:hint="eastAsia"/>
                <w:color w:val="000000"/>
                <w:w w:val="18"/>
                <w:fitText w:val="80" w:id="-1435825904"/>
                <w14:textFill>
                  <w14:solidFill>
                    <w14:srgbClr w14:val="000000">
                      <w14:alpha w14:val="100000"/>
                    </w14:srgbClr>
                  </w14:solidFill>
                </w14:textFill>
              </w:rPr>
              <w:t xml:space="preserve">　</w:t>
            </w:r>
          </w:p>
        </w:tc>
      </w:tr>
      <w:tr w:rsidR="00CF17D5" w:rsidRPr="00E2771E" w14:paraId="4179DEC2" w14:textId="77777777" w:rsidTr="00D30028">
        <w:tc>
          <w:tcPr>
            <w:tcW w:w="1529" w:type="pct"/>
            <w:vAlign w:val="center"/>
          </w:tcPr>
          <w:p w14:paraId="6BFCDED2" w14:textId="77777777" w:rsidR="00D30028" w:rsidRPr="00E2771E" w:rsidRDefault="00D30028" w:rsidP="00D30028">
            <w:pPr>
              <w:pStyle w:val="TableText0"/>
              <w:rPr>
                <w:rFonts w:ascii="Times" w:hAnsi="Times"/>
              </w:rPr>
            </w:pPr>
            <w:r>
              <w:t>LYG</w:t>
            </w:r>
          </w:p>
        </w:tc>
        <w:tc>
          <w:tcPr>
            <w:tcW w:w="1359" w:type="pct"/>
            <w:vAlign w:val="bottom"/>
          </w:tcPr>
          <w:p w14:paraId="5EFD1499" w14:textId="77777777" w:rsidR="00D30028" w:rsidRPr="00DE21E1" w:rsidRDefault="00D30028" w:rsidP="00D30028">
            <w:pPr>
              <w:pStyle w:val="TableText0"/>
              <w:jc w:val="center"/>
            </w:pPr>
            <w:r w:rsidRPr="00DE21E1">
              <w:t>1.326</w:t>
            </w:r>
          </w:p>
        </w:tc>
        <w:tc>
          <w:tcPr>
            <w:tcW w:w="1274" w:type="pct"/>
            <w:vAlign w:val="bottom"/>
          </w:tcPr>
          <w:p w14:paraId="2E0C2A98" w14:textId="77777777" w:rsidR="00D30028" w:rsidRPr="00DE21E1" w:rsidRDefault="00D30028" w:rsidP="00D30028">
            <w:pPr>
              <w:pStyle w:val="TableText0"/>
              <w:jc w:val="center"/>
            </w:pPr>
            <w:r w:rsidRPr="00DE21E1">
              <w:t>1.263</w:t>
            </w:r>
          </w:p>
        </w:tc>
        <w:tc>
          <w:tcPr>
            <w:tcW w:w="838" w:type="pct"/>
            <w:vAlign w:val="bottom"/>
          </w:tcPr>
          <w:p w14:paraId="23CACA1C" w14:textId="77777777" w:rsidR="00D30028" w:rsidRPr="00DE21E1" w:rsidRDefault="00D30028" w:rsidP="00D30028">
            <w:pPr>
              <w:pStyle w:val="TableText0"/>
              <w:jc w:val="center"/>
            </w:pPr>
            <w:r w:rsidRPr="00DE21E1">
              <w:t>0.063</w:t>
            </w:r>
          </w:p>
        </w:tc>
      </w:tr>
      <w:tr w:rsidR="00827A31" w:rsidRPr="00E2771E" w14:paraId="22308E4D" w14:textId="77777777" w:rsidTr="00D30028">
        <w:tc>
          <w:tcPr>
            <w:tcW w:w="4162" w:type="pct"/>
            <w:gridSpan w:val="3"/>
            <w:vAlign w:val="center"/>
          </w:tcPr>
          <w:p w14:paraId="7B5C290F" w14:textId="77777777" w:rsidR="00D30028" w:rsidRPr="00DE21E1" w:rsidRDefault="00D30028" w:rsidP="00D30028">
            <w:pPr>
              <w:pStyle w:val="TableText0"/>
            </w:pPr>
            <w:r w:rsidRPr="00DE21E1">
              <w:t>Incremental cost/extra LYG gained</w:t>
            </w:r>
          </w:p>
        </w:tc>
        <w:tc>
          <w:tcPr>
            <w:tcW w:w="838" w:type="pct"/>
            <w:vAlign w:val="center"/>
          </w:tcPr>
          <w:p w14:paraId="19A00F60" w14:textId="0D321A0E" w:rsidR="00D30028" w:rsidRPr="00695565" w:rsidRDefault="00D30028" w:rsidP="00D30028">
            <w:pPr>
              <w:jc w:val="center"/>
              <w:rPr>
                <w:rFonts w:cs="Calibri"/>
                <w:color w:val="000000"/>
                <w:sz w:val="22"/>
                <w:szCs w:val="22"/>
                <w:vertAlign w:val="superscript"/>
              </w:rPr>
            </w:pPr>
            <w:r w:rsidRPr="00DE21E1">
              <w:rPr>
                <w:rFonts w:ascii="Arial Narrow" w:eastAsiaTheme="majorEastAsia" w:hAnsi="Arial Narrow" w:cstheme="majorBidi"/>
                <w:bCs/>
                <w:sz w:val="20"/>
              </w:rPr>
              <w:t>$</w:t>
            </w:r>
            <w:r w:rsidR="004E423C" w:rsidRPr="004E423C">
              <w:rPr>
                <w:rFonts w:ascii="Arial Narrow" w:eastAsiaTheme="majorEastAsia" w:hAnsi="Arial Narrow" w:cstheme="majorBidi" w:hint="eastAsia"/>
                <w:bCs/>
                <w:color w:val="000000"/>
                <w:w w:val="31"/>
                <w:sz w:val="20"/>
                <w:shd w:val="solid" w:color="000000" w:fill="000000"/>
                <w:fitText w:val="140" w:id="-1435825920"/>
                <w14:textFill>
                  <w14:solidFill>
                    <w14:srgbClr w14:val="000000">
                      <w14:alpha w14:val="100000"/>
                    </w14:srgbClr>
                  </w14:solidFill>
                </w14:textFill>
              </w:rPr>
              <w:t xml:space="preserve">　</w:t>
            </w:r>
            <w:r w:rsidR="004E423C" w:rsidRPr="004E423C">
              <w:rPr>
                <w:rFonts w:ascii="Arial Narrow" w:eastAsiaTheme="majorEastAsia" w:hAnsi="Arial Narrow" w:cstheme="majorBidi"/>
                <w:bCs/>
                <w:color w:val="000000"/>
                <w:w w:val="31"/>
                <w:sz w:val="20"/>
                <w:shd w:val="solid" w:color="000000" w:fill="000000"/>
                <w:fitText w:val="140" w:id="-1435825920"/>
                <w14:textFill>
                  <w14:solidFill>
                    <w14:srgbClr w14:val="000000">
                      <w14:alpha w14:val="100000"/>
                    </w14:srgbClr>
                  </w14:solidFill>
                </w14:textFill>
              </w:rPr>
              <w:t>|</w:t>
            </w:r>
            <w:r w:rsidR="004E423C" w:rsidRPr="004E423C">
              <w:rPr>
                <w:rFonts w:ascii="Arial Narrow" w:eastAsiaTheme="majorEastAsia" w:hAnsi="Arial Narrow" w:cstheme="majorBidi" w:hint="eastAsia"/>
                <w:bCs/>
                <w:color w:val="000000"/>
                <w:spacing w:val="4"/>
                <w:w w:val="31"/>
                <w:sz w:val="20"/>
                <w:shd w:val="solid" w:color="000000" w:fill="000000"/>
                <w:fitText w:val="140" w:id="-1435825920"/>
                <w14:textFill>
                  <w14:solidFill>
                    <w14:srgbClr w14:val="000000">
                      <w14:alpha w14:val="100000"/>
                    </w14:srgbClr>
                  </w14:solidFill>
                </w14:textFill>
              </w:rPr>
              <w:t xml:space="preserve">　</w:t>
            </w:r>
            <w:r w:rsidR="00695565">
              <w:rPr>
                <w:rFonts w:ascii="Arial Narrow" w:eastAsiaTheme="majorEastAsia" w:hAnsi="Arial Narrow" w:cstheme="majorBidi"/>
                <w:bCs/>
                <w:sz w:val="20"/>
                <w:vertAlign w:val="superscript"/>
              </w:rPr>
              <w:t>1</w:t>
            </w:r>
          </w:p>
        </w:tc>
      </w:tr>
      <w:tr w:rsidR="00827A31" w:rsidRPr="003D5C02" w14:paraId="33E07B8C" w14:textId="77777777" w:rsidTr="00D30028">
        <w:tc>
          <w:tcPr>
            <w:tcW w:w="5000" w:type="pct"/>
            <w:gridSpan w:val="4"/>
            <w:vAlign w:val="center"/>
          </w:tcPr>
          <w:p w14:paraId="751F05EA" w14:textId="77777777" w:rsidR="00D30028" w:rsidRPr="00DE21E1" w:rsidRDefault="00D30028" w:rsidP="00D30028">
            <w:pPr>
              <w:pStyle w:val="TableText0"/>
              <w:rPr>
                <w:b/>
                <w:bCs w:val="0"/>
              </w:rPr>
            </w:pPr>
            <w:r w:rsidRPr="00DE21E1">
              <w:rPr>
                <w:b/>
                <w:bCs w:val="0"/>
              </w:rPr>
              <w:t>Step 2: time horizon extended to 20 years</w:t>
            </w:r>
          </w:p>
        </w:tc>
      </w:tr>
      <w:tr w:rsidR="00CF17D5" w:rsidRPr="00E2771E" w14:paraId="49AAE7CB" w14:textId="77777777" w:rsidTr="004E423C">
        <w:tc>
          <w:tcPr>
            <w:tcW w:w="1529" w:type="pct"/>
            <w:vAlign w:val="center"/>
          </w:tcPr>
          <w:p w14:paraId="340ECF86" w14:textId="02BD5FDB" w:rsidR="00D30028" w:rsidRPr="00E2771E" w:rsidRDefault="00D30028" w:rsidP="00D30028">
            <w:pPr>
              <w:pStyle w:val="TableText0"/>
            </w:pPr>
            <w:r w:rsidRPr="00E2771E">
              <w:t>Costs</w:t>
            </w:r>
            <w:r w:rsidR="007D28F0">
              <w:t xml:space="preserve"> ($)</w:t>
            </w:r>
          </w:p>
        </w:tc>
        <w:tc>
          <w:tcPr>
            <w:tcW w:w="1359" w:type="pct"/>
            <w:shd w:val="solid" w:color="000000" w:fill="000000"/>
          </w:tcPr>
          <w:p w14:paraId="373C056C" w14:textId="45721F4D" w:rsidR="00D30028" w:rsidRPr="007D28F0"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1274" w:type="pct"/>
            <w:shd w:val="solid" w:color="000000" w:fill="000000"/>
          </w:tcPr>
          <w:p w14:paraId="14A8CD7D" w14:textId="70A3AAC9" w:rsidR="00D30028" w:rsidRPr="007D28F0"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838" w:type="pct"/>
            <w:shd w:val="solid" w:color="000000" w:fill="000000"/>
          </w:tcPr>
          <w:p w14:paraId="2ADFF24D" w14:textId="2226A035" w:rsidR="00D30028" w:rsidRPr="007D28F0" w:rsidRDefault="004E423C" w:rsidP="00D30028">
            <w:pPr>
              <w:pStyle w:val="TableText0"/>
              <w:jc w:val="center"/>
              <w:rPr>
                <w:highlight w:val="lightGray"/>
              </w:rPr>
            </w:pPr>
            <w:r w:rsidRPr="004E423C">
              <w:rPr>
                <w:rFonts w:hint="eastAsia"/>
                <w:color w:val="000000"/>
                <w:w w:val="18"/>
                <w:fitText w:val="80" w:id="-1435825919"/>
                <w14:textFill>
                  <w14:solidFill>
                    <w14:srgbClr w14:val="000000">
                      <w14:alpha w14:val="100000"/>
                    </w14:srgbClr>
                  </w14:solidFill>
                </w14:textFill>
              </w:rPr>
              <w:t xml:space="preserve">　</w:t>
            </w:r>
            <w:r w:rsidRPr="004E423C">
              <w:rPr>
                <w:color w:val="000000"/>
                <w:w w:val="18"/>
                <w:fitText w:val="80" w:id="-1435825919"/>
                <w14:textFill>
                  <w14:solidFill>
                    <w14:srgbClr w14:val="000000">
                      <w14:alpha w14:val="100000"/>
                    </w14:srgbClr>
                  </w14:solidFill>
                </w14:textFill>
              </w:rPr>
              <w:t>|</w:t>
            </w:r>
            <w:r w:rsidRPr="004E423C">
              <w:rPr>
                <w:rFonts w:hint="eastAsia"/>
                <w:color w:val="000000"/>
                <w:w w:val="18"/>
                <w:fitText w:val="80" w:id="-1435825919"/>
                <w14:textFill>
                  <w14:solidFill>
                    <w14:srgbClr w14:val="000000">
                      <w14:alpha w14:val="100000"/>
                    </w14:srgbClr>
                  </w14:solidFill>
                </w14:textFill>
              </w:rPr>
              <w:t xml:space="preserve">　</w:t>
            </w:r>
          </w:p>
        </w:tc>
      </w:tr>
      <w:tr w:rsidR="00CF17D5" w:rsidRPr="00E2771E" w14:paraId="398A1E11" w14:textId="77777777" w:rsidTr="00D30028">
        <w:tc>
          <w:tcPr>
            <w:tcW w:w="1529" w:type="pct"/>
            <w:vAlign w:val="center"/>
          </w:tcPr>
          <w:p w14:paraId="1F6CB3E9" w14:textId="77777777" w:rsidR="00D30028" w:rsidRPr="00E2771E" w:rsidRDefault="00D30028" w:rsidP="00D30028">
            <w:pPr>
              <w:pStyle w:val="TableText0"/>
              <w:rPr>
                <w:rFonts w:ascii="Times" w:hAnsi="Times"/>
              </w:rPr>
            </w:pPr>
            <w:r>
              <w:t>LYG</w:t>
            </w:r>
          </w:p>
        </w:tc>
        <w:tc>
          <w:tcPr>
            <w:tcW w:w="1359" w:type="pct"/>
            <w:vAlign w:val="bottom"/>
          </w:tcPr>
          <w:p w14:paraId="283EA738" w14:textId="77777777" w:rsidR="00D30028" w:rsidRPr="00DE21E1" w:rsidRDefault="00D30028" w:rsidP="00D30028">
            <w:pPr>
              <w:pStyle w:val="TableText0"/>
              <w:jc w:val="center"/>
            </w:pPr>
            <w:r w:rsidRPr="00DE21E1">
              <w:t>6.777</w:t>
            </w:r>
          </w:p>
        </w:tc>
        <w:tc>
          <w:tcPr>
            <w:tcW w:w="1274" w:type="pct"/>
            <w:vAlign w:val="bottom"/>
          </w:tcPr>
          <w:p w14:paraId="06A1E451" w14:textId="77777777" w:rsidR="00D30028" w:rsidRPr="00DE21E1" w:rsidRDefault="00D30028" w:rsidP="00D30028">
            <w:pPr>
              <w:pStyle w:val="TableText0"/>
              <w:jc w:val="center"/>
            </w:pPr>
            <w:r w:rsidRPr="00DE21E1">
              <w:t>5.681</w:t>
            </w:r>
          </w:p>
        </w:tc>
        <w:tc>
          <w:tcPr>
            <w:tcW w:w="838" w:type="pct"/>
            <w:vAlign w:val="bottom"/>
          </w:tcPr>
          <w:p w14:paraId="0BC0AA28" w14:textId="77777777" w:rsidR="00D30028" w:rsidRPr="00DE21E1" w:rsidRDefault="00D30028" w:rsidP="00D30028">
            <w:pPr>
              <w:pStyle w:val="TableText0"/>
              <w:jc w:val="center"/>
            </w:pPr>
            <w:r w:rsidRPr="00DE21E1">
              <w:t>1.097</w:t>
            </w:r>
          </w:p>
        </w:tc>
      </w:tr>
      <w:tr w:rsidR="00827A31" w:rsidRPr="00EE64D8" w14:paraId="2E880E18" w14:textId="77777777" w:rsidTr="00D30028">
        <w:tc>
          <w:tcPr>
            <w:tcW w:w="4162" w:type="pct"/>
            <w:gridSpan w:val="3"/>
            <w:vAlign w:val="center"/>
          </w:tcPr>
          <w:p w14:paraId="04E02458" w14:textId="77777777" w:rsidR="00D30028" w:rsidRPr="00DE21E1" w:rsidRDefault="00D30028" w:rsidP="00D30028">
            <w:pPr>
              <w:pStyle w:val="TableText0"/>
            </w:pPr>
            <w:r w:rsidRPr="00DE21E1">
              <w:t>Incremental cost/extra LYG gained</w:t>
            </w:r>
          </w:p>
        </w:tc>
        <w:tc>
          <w:tcPr>
            <w:tcW w:w="838" w:type="pct"/>
            <w:vAlign w:val="center"/>
          </w:tcPr>
          <w:p w14:paraId="25DEE829" w14:textId="34183B61" w:rsidR="00D30028" w:rsidRPr="00695565" w:rsidRDefault="00D30028" w:rsidP="00D30028">
            <w:pPr>
              <w:pStyle w:val="TableText0"/>
              <w:jc w:val="center"/>
            </w:pPr>
            <w:r w:rsidRPr="00DE21E1">
              <w:t>$</w:t>
            </w:r>
            <w:r w:rsidR="004E423C" w:rsidRPr="004E423C">
              <w:rPr>
                <w:rFonts w:hint="eastAsia"/>
                <w:color w:val="000000"/>
                <w:w w:val="31"/>
                <w:shd w:val="solid" w:color="000000" w:fill="000000"/>
                <w:fitText w:val="140" w:id="-1435825918"/>
                <w14:textFill>
                  <w14:solidFill>
                    <w14:srgbClr w14:val="000000">
                      <w14:alpha w14:val="100000"/>
                    </w14:srgbClr>
                  </w14:solidFill>
                </w14:textFill>
              </w:rPr>
              <w:t xml:space="preserve">　</w:t>
            </w:r>
            <w:r w:rsidR="004E423C" w:rsidRPr="004E423C">
              <w:rPr>
                <w:color w:val="000000"/>
                <w:w w:val="31"/>
                <w:shd w:val="solid" w:color="000000" w:fill="000000"/>
                <w:fitText w:val="140" w:id="-1435825918"/>
                <w14:textFill>
                  <w14:solidFill>
                    <w14:srgbClr w14:val="000000">
                      <w14:alpha w14:val="100000"/>
                    </w14:srgbClr>
                  </w14:solidFill>
                </w14:textFill>
              </w:rPr>
              <w:t>|</w:t>
            </w:r>
            <w:r w:rsidR="004E423C" w:rsidRPr="004E423C">
              <w:rPr>
                <w:rFonts w:hint="eastAsia"/>
                <w:color w:val="000000"/>
                <w:spacing w:val="4"/>
                <w:w w:val="31"/>
                <w:shd w:val="solid" w:color="000000" w:fill="000000"/>
                <w:fitText w:val="140" w:id="-1435825918"/>
                <w14:textFill>
                  <w14:solidFill>
                    <w14:srgbClr w14:val="000000">
                      <w14:alpha w14:val="100000"/>
                    </w14:srgbClr>
                  </w14:solidFill>
                </w14:textFill>
              </w:rPr>
              <w:t xml:space="preserve">　</w:t>
            </w:r>
            <w:r w:rsidR="00695565">
              <w:rPr>
                <w:vertAlign w:val="superscript"/>
              </w:rPr>
              <w:t>2</w:t>
            </w:r>
          </w:p>
        </w:tc>
      </w:tr>
      <w:tr w:rsidR="00827A31" w:rsidRPr="00EE64D8" w14:paraId="4ED48040" w14:textId="77777777" w:rsidTr="00D30028">
        <w:tc>
          <w:tcPr>
            <w:tcW w:w="5000" w:type="pct"/>
            <w:gridSpan w:val="4"/>
            <w:vAlign w:val="center"/>
          </w:tcPr>
          <w:p w14:paraId="26859DB0" w14:textId="77777777" w:rsidR="00D30028" w:rsidRPr="00DE21E1" w:rsidRDefault="00D30028" w:rsidP="00D30028">
            <w:pPr>
              <w:pStyle w:val="In-tableHeading"/>
            </w:pPr>
            <w:r w:rsidRPr="00DE21E1">
              <w:t>Step 3: discounting (5%) included</w:t>
            </w:r>
          </w:p>
        </w:tc>
      </w:tr>
      <w:tr w:rsidR="00CF17D5" w:rsidRPr="00E2771E" w14:paraId="363C9622" w14:textId="77777777" w:rsidTr="004E423C">
        <w:tc>
          <w:tcPr>
            <w:tcW w:w="1529" w:type="pct"/>
            <w:vAlign w:val="center"/>
          </w:tcPr>
          <w:p w14:paraId="5002715D" w14:textId="5A2A2C33" w:rsidR="00D30028" w:rsidRPr="00E2771E" w:rsidRDefault="00D30028" w:rsidP="00D30028">
            <w:pPr>
              <w:pStyle w:val="TableText0"/>
            </w:pPr>
            <w:r w:rsidRPr="00E2771E">
              <w:t>Costs</w:t>
            </w:r>
            <w:r w:rsidR="007D28F0">
              <w:t xml:space="preserve"> ($)</w:t>
            </w:r>
          </w:p>
        </w:tc>
        <w:tc>
          <w:tcPr>
            <w:tcW w:w="1359" w:type="pct"/>
            <w:shd w:val="solid" w:color="000000" w:fill="000000"/>
          </w:tcPr>
          <w:p w14:paraId="08C3DA86" w14:textId="6A5E5C7B" w:rsidR="00D30028" w:rsidRPr="007D28F0"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1274" w:type="pct"/>
            <w:shd w:val="solid" w:color="000000" w:fill="000000"/>
          </w:tcPr>
          <w:p w14:paraId="5CA30312" w14:textId="0F04AF1B" w:rsidR="00D30028" w:rsidRPr="007D28F0"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838" w:type="pct"/>
            <w:shd w:val="solid" w:color="000000" w:fill="000000"/>
          </w:tcPr>
          <w:p w14:paraId="74B9B2CF" w14:textId="22CAB6C7" w:rsidR="00D30028" w:rsidRPr="007D28F0" w:rsidRDefault="004E423C" w:rsidP="00D30028">
            <w:pPr>
              <w:pStyle w:val="TableText0"/>
              <w:jc w:val="center"/>
              <w:rPr>
                <w:highlight w:val="lightGray"/>
              </w:rPr>
            </w:pPr>
            <w:r w:rsidRPr="004E423C">
              <w:rPr>
                <w:rFonts w:hint="eastAsia"/>
                <w:color w:val="000000"/>
                <w:w w:val="18"/>
                <w:fitText w:val="80" w:id="-1435825917"/>
                <w14:textFill>
                  <w14:solidFill>
                    <w14:srgbClr w14:val="000000">
                      <w14:alpha w14:val="100000"/>
                    </w14:srgbClr>
                  </w14:solidFill>
                </w14:textFill>
              </w:rPr>
              <w:t xml:space="preserve">　</w:t>
            </w:r>
            <w:r w:rsidRPr="004E423C">
              <w:rPr>
                <w:color w:val="000000"/>
                <w:w w:val="18"/>
                <w:fitText w:val="80" w:id="-1435825917"/>
                <w14:textFill>
                  <w14:solidFill>
                    <w14:srgbClr w14:val="000000">
                      <w14:alpha w14:val="100000"/>
                    </w14:srgbClr>
                  </w14:solidFill>
                </w14:textFill>
              </w:rPr>
              <w:t>|</w:t>
            </w:r>
            <w:r w:rsidRPr="004E423C">
              <w:rPr>
                <w:rFonts w:hint="eastAsia"/>
                <w:color w:val="000000"/>
                <w:w w:val="18"/>
                <w:fitText w:val="80" w:id="-1435825917"/>
                <w14:textFill>
                  <w14:solidFill>
                    <w14:srgbClr w14:val="000000">
                      <w14:alpha w14:val="100000"/>
                    </w14:srgbClr>
                  </w14:solidFill>
                </w14:textFill>
              </w:rPr>
              <w:t xml:space="preserve">　</w:t>
            </w:r>
          </w:p>
        </w:tc>
      </w:tr>
      <w:tr w:rsidR="00CF17D5" w:rsidRPr="00E2771E" w14:paraId="78162916" w14:textId="77777777" w:rsidTr="00D30028">
        <w:tc>
          <w:tcPr>
            <w:tcW w:w="1529" w:type="pct"/>
            <w:vAlign w:val="center"/>
          </w:tcPr>
          <w:p w14:paraId="103CA684" w14:textId="77777777" w:rsidR="00D30028" w:rsidRPr="00E2771E" w:rsidRDefault="00D30028" w:rsidP="00D30028">
            <w:pPr>
              <w:pStyle w:val="TableText0"/>
              <w:rPr>
                <w:rFonts w:ascii="Times" w:hAnsi="Times"/>
              </w:rPr>
            </w:pPr>
            <w:r>
              <w:t>LYG</w:t>
            </w:r>
          </w:p>
        </w:tc>
        <w:tc>
          <w:tcPr>
            <w:tcW w:w="1359" w:type="pct"/>
            <w:vAlign w:val="bottom"/>
          </w:tcPr>
          <w:p w14:paraId="01CCBE45" w14:textId="77777777" w:rsidR="00D30028" w:rsidRPr="00DE21E1" w:rsidRDefault="00D30028" w:rsidP="00D30028">
            <w:pPr>
              <w:pStyle w:val="TableText0"/>
              <w:jc w:val="center"/>
            </w:pPr>
            <w:r w:rsidRPr="00DE21E1">
              <w:t>4.962</w:t>
            </w:r>
          </w:p>
        </w:tc>
        <w:tc>
          <w:tcPr>
            <w:tcW w:w="1274" w:type="pct"/>
            <w:vAlign w:val="bottom"/>
          </w:tcPr>
          <w:p w14:paraId="26AC05E7" w14:textId="77777777" w:rsidR="00D30028" w:rsidRPr="00DE21E1" w:rsidRDefault="00D30028" w:rsidP="00D30028">
            <w:pPr>
              <w:pStyle w:val="TableText0"/>
              <w:jc w:val="center"/>
            </w:pPr>
            <w:r w:rsidRPr="00DE21E1">
              <w:t>4.249</w:t>
            </w:r>
          </w:p>
        </w:tc>
        <w:tc>
          <w:tcPr>
            <w:tcW w:w="838" w:type="pct"/>
            <w:vAlign w:val="bottom"/>
          </w:tcPr>
          <w:p w14:paraId="306B4889" w14:textId="77777777" w:rsidR="00D30028" w:rsidRPr="00DE21E1" w:rsidRDefault="00D30028" w:rsidP="00D30028">
            <w:pPr>
              <w:pStyle w:val="TableText0"/>
              <w:jc w:val="center"/>
            </w:pPr>
            <w:r w:rsidRPr="00DE21E1">
              <w:t>0.713</w:t>
            </w:r>
          </w:p>
        </w:tc>
      </w:tr>
      <w:tr w:rsidR="00827A31" w:rsidRPr="00E2771E" w14:paraId="4ED29F55" w14:textId="77777777" w:rsidTr="00D30028">
        <w:tc>
          <w:tcPr>
            <w:tcW w:w="4162" w:type="pct"/>
            <w:gridSpan w:val="3"/>
            <w:vAlign w:val="center"/>
          </w:tcPr>
          <w:p w14:paraId="5A2521D1" w14:textId="77777777" w:rsidR="00D30028" w:rsidRPr="00DE21E1" w:rsidRDefault="00D30028" w:rsidP="00D30028">
            <w:pPr>
              <w:pStyle w:val="TableText0"/>
            </w:pPr>
            <w:r w:rsidRPr="00DE21E1">
              <w:t>Incremental cost/extra LYG gained</w:t>
            </w:r>
          </w:p>
        </w:tc>
        <w:tc>
          <w:tcPr>
            <w:tcW w:w="838" w:type="pct"/>
            <w:vAlign w:val="center"/>
          </w:tcPr>
          <w:p w14:paraId="5D8F4337" w14:textId="218946CB" w:rsidR="00D30028" w:rsidRPr="00695565" w:rsidRDefault="004E423C" w:rsidP="00D30028">
            <w:pPr>
              <w:pStyle w:val="TableText0"/>
              <w:jc w:val="center"/>
            </w:pPr>
            <w:r w:rsidRPr="004E423C">
              <w:rPr>
                <w:rFonts w:hint="eastAsia"/>
                <w:color w:val="000000"/>
                <w:w w:val="24"/>
                <w:shd w:val="solid" w:color="000000" w:fill="000000"/>
                <w:fitText w:val="110" w:id="-1435825916"/>
                <w14:textFill>
                  <w14:solidFill>
                    <w14:srgbClr w14:val="000000">
                      <w14:alpha w14:val="100000"/>
                    </w14:srgbClr>
                  </w14:solidFill>
                </w14:textFill>
              </w:rPr>
              <w:t xml:space="preserve">　</w:t>
            </w:r>
            <w:r w:rsidRPr="004E423C">
              <w:rPr>
                <w:color w:val="000000"/>
                <w:w w:val="24"/>
                <w:shd w:val="solid" w:color="000000" w:fill="000000"/>
                <w:fitText w:val="110" w:id="-1435825916"/>
                <w14:textFill>
                  <w14:solidFill>
                    <w14:srgbClr w14:val="000000">
                      <w14:alpha w14:val="100000"/>
                    </w14:srgbClr>
                  </w14:solidFill>
                </w14:textFill>
              </w:rPr>
              <w:t>|</w:t>
            </w:r>
            <w:r w:rsidRPr="004E423C">
              <w:rPr>
                <w:rFonts w:hint="eastAsia"/>
                <w:color w:val="000000"/>
                <w:spacing w:val="6"/>
                <w:w w:val="24"/>
                <w:shd w:val="solid" w:color="000000" w:fill="000000"/>
                <w:fitText w:val="110" w:id="-1435825916"/>
                <w14:textFill>
                  <w14:solidFill>
                    <w14:srgbClr w14:val="000000">
                      <w14:alpha w14:val="100000"/>
                    </w14:srgbClr>
                  </w14:solidFill>
                </w14:textFill>
              </w:rPr>
              <w:t xml:space="preserve">　</w:t>
            </w:r>
            <w:r w:rsidR="00695565">
              <w:rPr>
                <w:vertAlign w:val="superscript"/>
              </w:rPr>
              <w:t>3</w:t>
            </w:r>
          </w:p>
        </w:tc>
      </w:tr>
      <w:tr w:rsidR="00827A31" w:rsidRPr="00EE64D8" w14:paraId="4293C3DD" w14:textId="77777777" w:rsidTr="00D30028">
        <w:tc>
          <w:tcPr>
            <w:tcW w:w="5000" w:type="pct"/>
            <w:gridSpan w:val="4"/>
            <w:vAlign w:val="center"/>
          </w:tcPr>
          <w:p w14:paraId="49A8462B" w14:textId="77777777" w:rsidR="00D30028" w:rsidRPr="00DE21E1" w:rsidRDefault="00D30028" w:rsidP="00D30028">
            <w:pPr>
              <w:pStyle w:val="In-tableHeading"/>
            </w:pPr>
            <w:r w:rsidRPr="00DE21E1">
              <w:t>Step 4: incorporation of medical resource costs (health care resource use, drug administration, subsequent treatment and AEs)</w:t>
            </w:r>
          </w:p>
        </w:tc>
      </w:tr>
      <w:tr w:rsidR="00CF17D5" w:rsidRPr="00E2771E" w14:paraId="4B1F4A21" w14:textId="77777777" w:rsidTr="004E423C">
        <w:tc>
          <w:tcPr>
            <w:tcW w:w="1529" w:type="pct"/>
            <w:vAlign w:val="center"/>
          </w:tcPr>
          <w:p w14:paraId="19E46BF9" w14:textId="67C27AD6" w:rsidR="00D30028" w:rsidRPr="00E2771E" w:rsidRDefault="00D30028" w:rsidP="00D30028">
            <w:pPr>
              <w:pStyle w:val="TableText0"/>
            </w:pPr>
            <w:r w:rsidRPr="00E2771E">
              <w:t>Costs</w:t>
            </w:r>
            <w:r w:rsidR="00695565">
              <w:t xml:space="preserve"> ($)</w:t>
            </w:r>
          </w:p>
        </w:tc>
        <w:tc>
          <w:tcPr>
            <w:tcW w:w="1359" w:type="pct"/>
            <w:shd w:val="solid" w:color="000000" w:fill="000000"/>
          </w:tcPr>
          <w:p w14:paraId="6B0EE46E" w14:textId="39C8D173" w:rsidR="00D30028" w:rsidRPr="00695565"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1274" w:type="pct"/>
            <w:shd w:val="solid" w:color="000000" w:fill="000000"/>
          </w:tcPr>
          <w:p w14:paraId="355E39E9" w14:textId="1AA16CD4" w:rsidR="00D30028" w:rsidRPr="00695565"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838" w:type="pct"/>
            <w:shd w:val="solid" w:color="000000" w:fill="000000"/>
          </w:tcPr>
          <w:p w14:paraId="7AE0737C" w14:textId="78846B5C" w:rsidR="00D30028" w:rsidRPr="00695565" w:rsidRDefault="004E423C" w:rsidP="00D30028">
            <w:pPr>
              <w:pStyle w:val="TableText0"/>
              <w:jc w:val="center"/>
              <w:rPr>
                <w:highlight w:val="lightGray"/>
              </w:rPr>
            </w:pPr>
            <w:r w:rsidRPr="004E423C">
              <w:rPr>
                <w:rFonts w:hint="eastAsia"/>
                <w:color w:val="000000"/>
                <w:w w:val="18"/>
                <w:fitText w:val="80" w:id="-1435825915"/>
                <w14:textFill>
                  <w14:solidFill>
                    <w14:srgbClr w14:val="000000">
                      <w14:alpha w14:val="100000"/>
                    </w14:srgbClr>
                  </w14:solidFill>
                </w14:textFill>
              </w:rPr>
              <w:t xml:space="preserve">　</w:t>
            </w:r>
            <w:r w:rsidRPr="004E423C">
              <w:rPr>
                <w:color w:val="000000"/>
                <w:w w:val="18"/>
                <w:fitText w:val="80" w:id="-1435825915"/>
                <w14:textFill>
                  <w14:solidFill>
                    <w14:srgbClr w14:val="000000">
                      <w14:alpha w14:val="100000"/>
                    </w14:srgbClr>
                  </w14:solidFill>
                </w14:textFill>
              </w:rPr>
              <w:t>|</w:t>
            </w:r>
            <w:r w:rsidRPr="004E423C">
              <w:rPr>
                <w:rFonts w:hint="eastAsia"/>
                <w:color w:val="000000"/>
                <w:w w:val="18"/>
                <w:fitText w:val="80" w:id="-1435825915"/>
                <w14:textFill>
                  <w14:solidFill>
                    <w14:srgbClr w14:val="000000">
                      <w14:alpha w14:val="100000"/>
                    </w14:srgbClr>
                  </w14:solidFill>
                </w14:textFill>
              </w:rPr>
              <w:t xml:space="preserve">　</w:t>
            </w:r>
          </w:p>
        </w:tc>
      </w:tr>
      <w:tr w:rsidR="00CF17D5" w:rsidRPr="00E2771E" w14:paraId="66AF4500" w14:textId="77777777" w:rsidTr="00D30028">
        <w:tc>
          <w:tcPr>
            <w:tcW w:w="1529" w:type="pct"/>
            <w:vAlign w:val="center"/>
          </w:tcPr>
          <w:p w14:paraId="23476422" w14:textId="77777777" w:rsidR="00D30028" w:rsidRPr="00E2771E" w:rsidRDefault="00D30028" w:rsidP="00D30028">
            <w:pPr>
              <w:pStyle w:val="TableText0"/>
              <w:rPr>
                <w:rFonts w:ascii="Times" w:hAnsi="Times"/>
              </w:rPr>
            </w:pPr>
            <w:r>
              <w:t>LYG</w:t>
            </w:r>
          </w:p>
        </w:tc>
        <w:tc>
          <w:tcPr>
            <w:tcW w:w="1359" w:type="pct"/>
            <w:vAlign w:val="bottom"/>
          </w:tcPr>
          <w:p w14:paraId="04D92A8C" w14:textId="77777777" w:rsidR="00D30028" w:rsidRPr="00DE21E1" w:rsidRDefault="00D30028" w:rsidP="00D30028">
            <w:pPr>
              <w:pStyle w:val="TableText0"/>
              <w:jc w:val="center"/>
            </w:pPr>
            <w:r w:rsidRPr="00DE21E1">
              <w:t>4.962</w:t>
            </w:r>
          </w:p>
        </w:tc>
        <w:tc>
          <w:tcPr>
            <w:tcW w:w="1274" w:type="pct"/>
            <w:vAlign w:val="bottom"/>
          </w:tcPr>
          <w:p w14:paraId="1A41E732" w14:textId="77777777" w:rsidR="00D30028" w:rsidRPr="00DE21E1" w:rsidRDefault="00D30028" w:rsidP="00D30028">
            <w:pPr>
              <w:pStyle w:val="TableText0"/>
              <w:jc w:val="center"/>
            </w:pPr>
            <w:r w:rsidRPr="00DE21E1">
              <w:t>4.249</w:t>
            </w:r>
          </w:p>
        </w:tc>
        <w:tc>
          <w:tcPr>
            <w:tcW w:w="838" w:type="pct"/>
            <w:vAlign w:val="bottom"/>
          </w:tcPr>
          <w:p w14:paraId="6D4F34B0" w14:textId="77777777" w:rsidR="00D30028" w:rsidRPr="00DE21E1" w:rsidRDefault="00D30028" w:rsidP="00D30028">
            <w:pPr>
              <w:pStyle w:val="TableText0"/>
              <w:jc w:val="center"/>
            </w:pPr>
            <w:r w:rsidRPr="00DE21E1">
              <w:t>0.713</w:t>
            </w:r>
          </w:p>
        </w:tc>
      </w:tr>
      <w:tr w:rsidR="00827A31" w:rsidRPr="00E2771E" w14:paraId="4F0468C1" w14:textId="77777777" w:rsidTr="00D30028">
        <w:tc>
          <w:tcPr>
            <w:tcW w:w="4162" w:type="pct"/>
            <w:gridSpan w:val="3"/>
            <w:vAlign w:val="center"/>
          </w:tcPr>
          <w:p w14:paraId="69BDE49D" w14:textId="77777777" w:rsidR="00D30028" w:rsidRPr="00DE21E1" w:rsidRDefault="00D30028" w:rsidP="00D30028">
            <w:pPr>
              <w:pStyle w:val="TableText0"/>
            </w:pPr>
            <w:r w:rsidRPr="00DE21E1">
              <w:t>Incremental cost/extra LYG gained</w:t>
            </w:r>
          </w:p>
        </w:tc>
        <w:tc>
          <w:tcPr>
            <w:tcW w:w="838" w:type="pct"/>
            <w:vAlign w:val="center"/>
          </w:tcPr>
          <w:p w14:paraId="34F85BC3" w14:textId="2E79AB09" w:rsidR="00D30028" w:rsidRPr="00695565" w:rsidRDefault="004E423C" w:rsidP="00D30028">
            <w:pPr>
              <w:jc w:val="center"/>
              <w:rPr>
                <w:rFonts w:ascii="Arial Narrow" w:eastAsiaTheme="majorEastAsia" w:hAnsi="Arial Narrow" w:cstheme="majorBidi"/>
                <w:bCs/>
                <w:sz w:val="20"/>
                <w:vertAlign w:val="superscript"/>
              </w:rPr>
            </w:pPr>
            <w:r w:rsidRPr="004E423C">
              <w:rPr>
                <w:rFonts w:ascii="Arial Narrow" w:eastAsiaTheme="majorEastAsia" w:hAnsi="Arial Narrow" w:cstheme="majorBidi" w:hint="eastAsia"/>
                <w:bCs/>
                <w:color w:val="000000"/>
                <w:w w:val="24"/>
                <w:sz w:val="20"/>
                <w:shd w:val="solid" w:color="000000" w:fill="000000"/>
                <w:fitText w:val="110" w:id="-1435825914"/>
                <w14:textFill>
                  <w14:solidFill>
                    <w14:srgbClr w14:val="000000">
                      <w14:alpha w14:val="100000"/>
                    </w14:srgbClr>
                  </w14:solidFill>
                </w14:textFill>
              </w:rPr>
              <w:t xml:space="preserve">　</w:t>
            </w:r>
            <w:r w:rsidRPr="004E423C">
              <w:rPr>
                <w:rFonts w:ascii="Arial Narrow" w:eastAsiaTheme="majorEastAsia" w:hAnsi="Arial Narrow" w:cstheme="majorBidi"/>
                <w:bCs/>
                <w:color w:val="000000"/>
                <w:w w:val="24"/>
                <w:sz w:val="20"/>
                <w:shd w:val="solid" w:color="000000" w:fill="000000"/>
                <w:fitText w:val="110" w:id="-1435825914"/>
                <w14:textFill>
                  <w14:solidFill>
                    <w14:srgbClr w14:val="000000">
                      <w14:alpha w14:val="100000"/>
                    </w14:srgbClr>
                  </w14:solidFill>
                </w14:textFill>
              </w:rPr>
              <w:t>|</w:t>
            </w:r>
            <w:r w:rsidRPr="004E423C">
              <w:rPr>
                <w:rFonts w:ascii="Arial Narrow" w:eastAsiaTheme="majorEastAsia" w:hAnsi="Arial Narrow" w:cstheme="majorBidi" w:hint="eastAsia"/>
                <w:bCs/>
                <w:color w:val="000000"/>
                <w:spacing w:val="6"/>
                <w:w w:val="24"/>
                <w:sz w:val="20"/>
                <w:shd w:val="solid" w:color="000000" w:fill="000000"/>
                <w:fitText w:val="110" w:id="-1435825914"/>
                <w14:textFill>
                  <w14:solidFill>
                    <w14:srgbClr w14:val="000000">
                      <w14:alpha w14:val="100000"/>
                    </w14:srgbClr>
                  </w14:solidFill>
                </w14:textFill>
              </w:rPr>
              <w:t xml:space="preserve">　</w:t>
            </w:r>
            <w:r w:rsidR="00695565">
              <w:rPr>
                <w:rFonts w:ascii="Arial Narrow" w:eastAsiaTheme="majorEastAsia" w:hAnsi="Arial Narrow" w:cstheme="majorBidi"/>
                <w:bCs/>
                <w:sz w:val="20"/>
                <w:vertAlign w:val="superscript"/>
              </w:rPr>
              <w:t>3</w:t>
            </w:r>
          </w:p>
        </w:tc>
      </w:tr>
      <w:tr w:rsidR="00827A31" w:rsidRPr="00EE64D8" w14:paraId="1015F89A" w14:textId="77777777" w:rsidTr="00D30028">
        <w:tc>
          <w:tcPr>
            <w:tcW w:w="5000" w:type="pct"/>
            <w:gridSpan w:val="4"/>
            <w:vAlign w:val="center"/>
          </w:tcPr>
          <w:p w14:paraId="0FA01E02" w14:textId="77777777" w:rsidR="00D30028" w:rsidRPr="00DE21E1" w:rsidRDefault="00D30028" w:rsidP="00D30028">
            <w:pPr>
              <w:pStyle w:val="In-tableHeading"/>
            </w:pPr>
            <w:r w:rsidRPr="00DE21E1">
              <w:t>Step 5: utility weights applied</w:t>
            </w:r>
          </w:p>
        </w:tc>
      </w:tr>
      <w:tr w:rsidR="00CF17D5" w:rsidRPr="00E2771E" w14:paraId="5CBB19BE" w14:textId="77777777" w:rsidTr="004E423C">
        <w:tc>
          <w:tcPr>
            <w:tcW w:w="1529" w:type="pct"/>
            <w:vAlign w:val="center"/>
          </w:tcPr>
          <w:p w14:paraId="38523A15" w14:textId="15301AD0" w:rsidR="00D30028" w:rsidRPr="00E2771E" w:rsidRDefault="00D30028" w:rsidP="00D30028">
            <w:pPr>
              <w:pStyle w:val="TableText0"/>
            </w:pPr>
            <w:r w:rsidRPr="00E2771E">
              <w:t>Costs</w:t>
            </w:r>
            <w:r w:rsidR="00695565">
              <w:t xml:space="preserve"> ($)</w:t>
            </w:r>
          </w:p>
        </w:tc>
        <w:tc>
          <w:tcPr>
            <w:tcW w:w="1359" w:type="pct"/>
            <w:shd w:val="solid" w:color="000000" w:fill="000000"/>
          </w:tcPr>
          <w:p w14:paraId="458B0CD3" w14:textId="09739BFA" w:rsidR="00D30028" w:rsidRPr="00695565"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1274" w:type="pct"/>
            <w:shd w:val="solid" w:color="000000" w:fill="000000"/>
          </w:tcPr>
          <w:p w14:paraId="0277C24A" w14:textId="50ADD5BE" w:rsidR="00D30028" w:rsidRPr="00695565" w:rsidRDefault="004E423C" w:rsidP="00D30028">
            <w:pPr>
              <w:pStyle w:val="TableText0"/>
              <w:jc w:val="center"/>
              <w:rPr>
                <w:highlight w:val="lightGray"/>
              </w:rPr>
            </w:pPr>
            <w:r w:rsidRPr="004E423C">
              <w:rPr>
                <w:color w:val="000000"/>
                <w14:textFill>
                  <w14:solidFill>
                    <w14:srgbClr w14:val="000000">
                      <w14:alpha w14:val="100000"/>
                    </w14:srgbClr>
                  </w14:solidFill>
                </w14:textFill>
              </w:rPr>
              <w:t>|</w:t>
            </w:r>
          </w:p>
        </w:tc>
        <w:tc>
          <w:tcPr>
            <w:tcW w:w="838" w:type="pct"/>
            <w:shd w:val="solid" w:color="000000" w:fill="000000"/>
          </w:tcPr>
          <w:p w14:paraId="476536DF" w14:textId="5808FD61" w:rsidR="00D30028" w:rsidRPr="00695565" w:rsidRDefault="004E423C" w:rsidP="00D30028">
            <w:pPr>
              <w:pStyle w:val="TableText0"/>
              <w:jc w:val="center"/>
              <w:rPr>
                <w:highlight w:val="lightGray"/>
              </w:rPr>
            </w:pPr>
            <w:r w:rsidRPr="004E423C">
              <w:rPr>
                <w:rFonts w:hint="eastAsia"/>
                <w:color w:val="000000"/>
                <w:w w:val="18"/>
                <w:fitText w:val="80" w:id="-1435825913"/>
                <w14:textFill>
                  <w14:solidFill>
                    <w14:srgbClr w14:val="000000">
                      <w14:alpha w14:val="100000"/>
                    </w14:srgbClr>
                  </w14:solidFill>
                </w14:textFill>
              </w:rPr>
              <w:t xml:space="preserve">　</w:t>
            </w:r>
            <w:r w:rsidRPr="004E423C">
              <w:rPr>
                <w:color w:val="000000"/>
                <w:w w:val="18"/>
                <w:fitText w:val="80" w:id="-1435825913"/>
                <w14:textFill>
                  <w14:solidFill>
                    <w14:srgbClr w14:val="000000">
                      <w14:alpha w14:val="100000"/>
                    </w14:srgbClr>
                  </w14:solidFill>
                </w14:textFill>
              </w:rPr>
              <w:t>|</w:t>
            </w:r>
            <w:r w:rsidRPr="004E423C">
              <w:rPr>
                <w:rFonts w:hint="eastAsia"/>
                <w:color w:val="000000"/>
                <w:w w:val="18"/>
                <w:fitText w:val="80" w:id="-1435825913"/>
                <w14:textFill>
                  <w14:solidFill>
                    <w14:srgbClr w14:val="000000">
                      <w14:alpha w14:val="100000"/>
                    </w14:srgbClr>
                  </w14:solidFill>
                </w14:textFill>
              </w:rPr>
              <w:t xml:space="preserve">　</w:t>
            </w:r>
          </w:p>
        </w:tc>
      </w:tr>
      <w:tr w:rsidR="00CF17D5" w:rsidRPr="00E2771E" w14:paraId="2E6C6755" w14:textId="77777777" w:rsidTr="00D30028">
        <w:tc>
          <w:tcPr>
            <w:tcW w:w="1529" w:type="pct"/>
            <w:vAlign w:val="center"/>
          </w:tcPr>
          <w:p w14:paraId="6AF0C7CA" w14:textId="77777777" w:rsidR="00D30028" w:rsidRPr="00E2771E" w:rsidRDefault="00D30028" w:rsidP="00D30028">
            <w:pPr>
              <w:pStyle w:val="TableText0"/>
              <w:rPr>
                <w:rFonts w:ascii="Times" w:hAnsi="Times"/>
              </w:rPr>
            </w:pPr>
            <w:r>
              <w:t>QALYs</w:t>
            </w:r>
          </w:p>
        </w:tc>
        <w:tc>
          <w:tcPr>
            <w:tcW w:w="1359" w:type="pct"/>
            <w:vAlign w:val="bottom"/>
          </w:tcPr>
          <w:p w14:paraId="322D8532" w14:textId="77777777" w:rsidR="00D30028" w:rsidRPr="00DE21E1" w:rsidRDefault="00D30028" w:rsidP="00D30028">
            <w:pPr>
              <w:pStyle w:val="TableText0"/>
              <w:jc w:val="center"/>
            </w:pPr>
            <w:r w:rsidRPr="00DE21E1">
              <w:t>3.880</w:t>
            </w:r>
          </w:p>
        </w:tc>
        <w:tc>
          <w:tcPr>
            <w:tcW w:w="1274" w:type="pct"/>
            <w:vAlign w:val="bottom"/>
          </w:tcPr>
          <w:p w14:paraId="175BAFE6" w14:textId="77777777" w:rsidR="00D30028" w:rsidRPr="00DE21E1" w:rsidRDefault="00D30028" w:rsidP="00D30028">
            <w:pPr>
              <w:pStyle w:val="TableText0"/>
              <w:jc w:val="center"/>
            </w:pPr>
            <w:r w:rsidRPr="00DE21E1">
              <w:t>3.299</w:t>
            </w:r>
          </w:p>
        </w:tc>
        <w:tc>
          <w:tcPr>
            <w:tcW w:w="838" w:type="pct"/>
            <w:vAlign w:val="bottom"/>
          </w:tcPr>
          <w:p w14:paraId="3377D123" w14:textId="77777777" w:rsidR="00D30028" w:rsidRPr="00DE21E1" w:rsidRDefault="00D30028" w:rsidP="00D30028">
            <w:pPr>
              <w:pStyle w:val="TableText0"/>
              <w:jc w:val="center"/>
            </w:pPr>
            <w:r w:rsidRPr="00DE21E1">
              <w:t>0.582</w:t>
            </w:r>
          </w:p>
        </w:tc>
      </w:tr>
      <w:tr w:rsidR="00827A31" w:rsidRPr="0017537B" w14:paraId="77F3822E" w14:textId="77777777" w:rsidTr="00D30028">
        <w:tc>
          <w:tcPr>
            <w:tcW w:w="4162" w:type="pct"/>
            <w:gridSpan w:val="3"/>
            <w:vAlign w:val="center"/>
          </w:tcPr>
          <w:p w14:paraId="6E402346" w14:textId="77777777" w:rsidR="00D30028" w:rsidRPr="00DE21E1" w:rsidRDefault="00D30028" w:rsidP="00262BAC">
            <w:pPr>
              <w:pStyle w:val="TableText0"/>
              <w:rPr>
                <w:b/>
                <w:bCs w:val="0"/>
              </w:rPr>
            </w:pPr>
            <w:r w:rsidRPr="00DE21E1">
              <w:rPr>
                <w:b/>
                <w:bCs w:val="0"/>
              </w:rPr>
              <w:t>Incremental cost/extra QALY gained (base case)</w:t>
            </w:r>
          </w:p>
        </w:tc>
        <w:tc>
          <w:tcPr>
            <w:tcW w:w="838" w:type="pct"/>
            <w:vAlign w:val="center"/>
          </w:tcPr>
          <w:p w14:paraId="2D961577" w14:textId="42411306" w:rsidR="00D30028" w:rsidRPr="00695565" w:rsidRDefault="004E423C" w:rsidP="00262BAC">
            <w:pPr>
              <w:jc w:val="center"/>
              <w:rPr>
                <w:rFonts w:ascii="Arial Narrow" w:eastAsiaTheme="majorEastAsia" w:hAnsi="Arial Narrow" w:cstheme="majorBidi"/>
                <w:bCs/>
                <w:sz w:val="20"/>
                <w:highlight w:val="lightGray"/>
                <w:vertAlign w:val="superscript"/>
              </w:rPr>
            </w:pPr>
            <w:r w:rsidRPr="004E423C">
              <w:rPr>
                <w:rFonts w:ascii="Arial Narrow" w:eastAsiaTheme="majorEastAsia" w:hAnsi="Arial Narrow" w:cstheme="majorBidi" w:hint="eastAsia"/>
                <w:bCs/>
                <w:color w:val="000000"/>
                <w:w w:val="24"/>
                <w:sz w:val="20"/>
                <w:shd w:val="solid" w:color="000000" w:fill="000000"/>
                <w:fitText w:val="110" w:id="-1435825912"/>
                <w14:textFill>
                  <w14:solidFill>
                    <w14:srgbClr w14:val="000000">
                      <w14:alpha w14:val="100000"/>
                    </w14:srgbClr>
                  </w14:solidFill>
                </w14:textFill>
              </w:rPr>
              <w:t xml:space="preserve">　</w:t>
            </w:r>
            <w:r w:rsidRPr="004E423C">
              <w:rPr>
                <w:rFonts w:ascii="Arial Narrow" w:eastAsiaTheme="majorEastAsia" w:hAnsi="Arial Narrow" w:cstheme="majorBidi"/>
                <w:bCs/>
                <w:color w:val="000000"/>
                <w:w w:val="24"/>
                <w:sz w:val="20"/>
                <w:shd w:val="solid" w:color="000000" w:fill="000000"/>
                <w:fitText w:val="110" w:id="-1435825912"/>
                <w14:textFill>
                  <w14:solidFill>
                    <w14:srgbClr w14:val="000000">
                      <w14:alpha w14:val="100000"/>
                    </w14:srgbClr>
                  </w14:solidFill>
                </w14:textFill>
              </w:rPr>
              <w:t>|</w:t>
            </w:r>
            <w:r w:rsidRPr="004E423C">
              <w:rPr>
                <w:rFonts w:ascii="Arial Narrow" w:eastAsiaTheme="majorEastAsia" w:hAnsi="Arial Narrow" w:cstheme="majorBidi" w:hint="eastAsia"/>
                <w:bCs/>
                <w:color w:val="000000"/>
                <w:spacing w:val="6"/>
                <w:w w:val="24"/>
                <w:sz w:val="20"/>
                <w:shd w:val="solid" w:color="000000" w:fill="000000"/>
                <w:fitText w:val="110" w:id="-1435825912"/>
                <w14:textFill>
                  <w14:solidFill>
                    <w14:srgbClr w14:val="000000">
                      <w14:alpha w14:val="100000"/>
                    </w14:srgbClr>
                  </w14:solidFill>
                </w14:textFill>
              </w:rPr>
              <w:t xml:space="preserve">　</w:t>
            </w:r>
            <w:r w:rsidR="00695565" w:rsidRPr="00695565">
              <w:rPr>
                <w:rFonts w:ascii="Arial Narrow" w:eastAsiaTheme="majorEastAsia" w:hAnsi="Arial Narrow" w:cstheme="majorBidi"/>
                <w:bCs/>
                <w:sz w:val="20"/>
                <w:vertAlign w:val="superscript"/>
              </w:rPr>
              <w:t>3</w:t>
            </w:r>
          </w:p>
        </w:tc>
      </w:tr>
    </w:tbl>
    <w:p w14:paraId="0DBC5EDB" w14:textId="77777777" w:rsidR="00D24261" w:rsidRDefault="00D24261" w:rsidP="00D24261">
      <w:pPr>
        <w:pStyle w:val="TableFigureFooter"/>
      </w:pPr>
      <w:r>
        <w:t>Source: NIVO_RELA_</w:t>
      </w:r>
      <w:r w:rsidRPr="009D2E69">
        <w:t>Section3</w:t>
      </w:r>
      <w:r>
        <w:t>model economics workbook.</w:t>
      </w:r>
    </w:p>
    <w:p w14:paraId="0E8FAEEF" w14:textId="0C477623" w:rsidR="00D24261" w:rsidRDefault="00D24261" w:rsidP="00D24261">
      <w:pPr>
        <w:pStyle w:val="TableFigureFooter"/>
      </w:pPr>
      <w:r>
        <w:t>LYG = life-years gained, NIVO = nivolumab, QALY = quality-adjusted life years, RELA = relatlimab.</w:t>
      </w:r>
    </w:p>
    <w:p w14:paraId="2C8BC913" w14:textId="04061070" w:rsidR="005B6EDF" w:rsidRDefault="005B6EDF" w:rsidP="00D24261">
      <w:pPr>
        <w:pStyle w:val="TableFigureFooter"/>
      </w:pPr>
      <w:r>
        <w:rPr>
          <w:i/>
          <w:iCs/>
        </w:rPr>
        <w:t xml:space="preserve">Italics </w:t>
      </w:r>
      <w:r>
        <w:t>corrected during evaluation (using correct AEMP for RELA+NIVO ($</w:t>
      </w:r>
      <w:r w:rsidR="004E423C" w:rsidRPr="004E423C">
        <w:rPr>
          <w:color w:val="000000"/>
          <w:spacing w:val="15"/>
          <w:shd w:val="solid" w:color="000000" w:fill="000000"/>
          <w:fitText w:val="420" w:id="-1435825911"/>
          <w14:textFill>
            <w14:solidFill>
              <w14:srgbClr w14:val="000000">
                <w14:alpha w14:val="100000"/>
              </w14:srgbClr>
            </w14:solidFill>
          </w14:textFill>
        </w:rPr>
        <w:t>|||  ||</w:t>
      </w:r>
      <w:r w:rsidR="004E423C" w:rsidRPr="004E423C">
        <w:rPr>
          <w:color w:val="000000"/>
          <w:spacing w:val="3"/>
          <w:shd w:val="solid" w:color="000000" w:fill="000000"/>
          <w:fitText w:val="420" w:id="-1435825911"/>
          <w14:textFill>
            <w14:solidFill>
              <w14:srgbClr w14:val="000000">
                <w14:alpha w14:val="100000"/>
              </w14:srgbClr>
            </w14:solidFill>
          </w14:textFill>
        </w:rPr>
        <w:t>|</w:t>
      </w:r>
      <w:r>
        <w:t xml:space="preserve"> instead of $</w:t>
      </w:r>
      <w:r w:rsidR="004E423C" w:rsidRPr="004E423C">
        <w:rPr>
          <w:color w:val="000000"/>
          <w:spacing w:val="16"/>
          <w:shd w:val="solid" w:color="000000" w:fill="000000"/>
          <w:fitText w:val="430" w:id="-1435825910"/>
          <w14:textFill>
            <w14:solidFill>
              <w14:srgbClr w14:val="000000">
                <w14:alpha w14:val="100000"/>
              </w14:srgbClr>
            </w14:solidFill>
          </w14:textFill>
        </w:rPr>
        <w:t>|||  ||</w:t>
      </w:r>
      <w:r w:rsidR="004E423C" w:rsidRPr="004E423C">
        <w:rPr>
          <w:color w:val="000000"/>
          <w:spacing w:val="6"/>
          <w:shd w:val="solid" w:color="000000" w:fill="000000"/>
          <w:fitText w:val="430" w:id="-1435825910"/>
          <w14:textFill>
            <w14:solidFill>
              <w14:srgbClr w14:val="000000">
                <w14:alpha w14:val="100000"/>
              </w14:srgbClr>
            </w14:solidFill>
          </w14:textFill>
        </w:rPr>
        <w:t>|</w:t>
      </w:r>
      <w:r>
        <w:t xml:space="preserve">), private hospital mark-up fee for RELA+NIVO ($108.62 instead of $68.21) and public weighting of 32.01% for RELA+NIVO and nivolumab. </w:t>
      </w:r>
      <w:r w:rsidRPr="00D06337">
        <w:t>DPMA of $</w:t>
      </w:r>
      <w:r w:rsidR="004E423C" w:rsidRPr="004E423C">
        <w:rPr>
          <w:color w:val="000000"/>
          <w:spacing w:val="16"/>
          <w:shd w:val="solid" w:color="000000" w:fill="000000"/>
          <w:fitText w:val="430" w:id="-1435825909"/>
          <w14:textFill>
            <w14:solidFill>
              <w14:srgbClr w14:val="000000">
                <w14:alpha w14:val="100000"/>
              </w14:srgbClr>
            </w14:solidFill>
          </w14:textFill>
        </w:rPr>
        <w:t>|||  ||</w:t>
      </w:r>
      <w:r w:rsidR="004E423C" w:rsidRPr="004E423C">
        <w:rPr>
          <w:color w:val="000000"/>
          <w:spacing w:val="6"/>
          <w:shd w:val="solid" w:color="000000" w:fill="000000"/>
          <w:fitText w:val="430" w:id="-1435825909"/>
          <w14:textFill>
            <w14:solidFill>
              <w14:srgbClr w14:val="000000">
                <w14:alpha w14:val="100000"/>
              </w14:srgbClr>
            </w14:solidFill>
          </w14:textFill>
        </w:rPr>
        <w:t>|</w:t>
      </w:r>
      <w:r w:rsidRPr="00D06337">
        <w:t xml:space="preserve"> (inclusive of </w:t>
      </w:r>
      <w:r w:rsidR="004E423C" w:rsidRPr="004E423C">
        <w:rPr>
          <w:color w:val="000000"/>
          <w:spacing w:val="16"/>
          <w:shd w:val="solid" w:color="000000" w:fill="000000"/>
          <w:fitText w:val="430" w:id="-1435825908"/>
          <w14:textFill>
            <w14:solidFill>
              <w14:srgbClr w14:val="000000">
                <w14:alpha w14:val="100000"/>
              </w14:srgbClr>
            </w14:solidFill>
          </w14:textFill>
        </w:rPr>
        <w:t>|||  ||</w:t>
      </w:r>
      <w:r w:rsidR="004E423C" w:rsidRPr="004E423C">
        <w:rPr>
          <w:color w:val="000000"/>
          <w:spacing w:val="6"/>
          <w:shd w:val="solid" w:color="000000" w:fill="000000"/>
          <w:fitText w:val="430" w:id="-1435825908"/>
          <w14:textFill>
            <w14:solidFill>
              <w14:srgbClr w14:val="000000">
                <w14:alpha w14:val="100000"/>
              </w14:srgbClr>
            </w14:solidFill>
          </w14:textFill>
        </w:rPr>
        <w:t>|</w:t>
      </w:r>
      <w:r w:rsidRPr="00D06337">
        <w:t>% SPR) for nivolumab.</w:t>
      </w:r>
    </w:p>
    <w:p w14:paraId="23090B63" w14:textId="2D06A72A" w:rsidR="00695565" w:rsidRDefault="00695565" w:rsidP="00D24261">
      <w:pPr>
        <w:pStyle w:val="TableFigureFooter"/>
      </w:pPr>
    </w:p>
    <w:p w14:paraId="20C5B1C5" w14:textId="77777777" w:rsidR="00695565" w:rsidRPr="00987870" w:rsidRDefault="00695565" w:rsidP="00695565">
      <w:pPr>
        <w:pStyle w:val="TableFigureFooter"/>
        <w:keepNext/>
        <w:spacing w:after="0"/>
        <w:contextualSpacing w:val="0"/>
        <w:rPr>
          <w:i/>
        </w:rPr>
      </w:pPr>
      <w:r w:rsidRPr="00987870">
        <w:rPr>
          <w:i/>
        </w:rPr>
        <w:t>The redacted values correspond to the following ranges:</w:t>
      </w:r>
    </w:p>
    <w:p w14:paraId="7347B3B2" w14:textId="7564E389" w:rsidR="00695565" w:rsidRDefault="00695565" w:rsidP="00D24261">
      <w:pPr>
        <w:pStyle w:val="TableFigureFooter"/>
        <w:rPr>
          <w:i/>
          <w:iCs/>
        </w:rPr>
      </w:pPr>
      <w:r>
        <w:rPr>
          <w:vertAlign w:val="superscript"/>
        </w:rPr>
        <w:t>1</w:t>
      </w:r>
      <w:r w:rsidRPr="00695565">
        <w:rPr>
          <w:i/>
          <w:iCs/>
        </w:rPr>
        <w:t>$455,000 to &lt; $555,000</w:t>
      </w:r>
    </w:p>
    <w:p w14:paraId="3A79EE30" w14:textId="41594E43" w:rsidR="00695565" w:rsidRDefault="00695565" w:rsidP="00D24261">
      <w:pPr>
        <w:pStyle w:val="TableFigureFooter"/>
        <w:rPr>
          <w:i/>
          <w:iCs/>
        </w:rPr>
      </w:pPr>
      <w:r>
        <w:rPr>
          <w:i/>
          <w:iCs/>
          <w:vertAlign w:val="superscript"/>
        </w:rPr>
        <w:t>2</w:t>
      </w:r>
      <w:r w:rsidRPr="00695565">
        <w:rPr>
          <w:i/>
          <w:iCs/>
        </w:rPr>
        <w:t>$45,000 to &lt; $55,000</w:t>
      </w:r>
    </w:p>
    <w:p w14:paraId="1A1C2726" w14:textId="217C3CB3" w:rsidR="00695565" w:rsidRPr="00695565" w:rsidRDefault="00695565" w:rsidP="00D24261">
      <w:pPr>
        <w:pStyle w:val="TableFigureFooter"/>
      </w:pPr>
      <w:r>
        <w:rPr>
          <w:i/>
          <w:iCs/>
          <w:vertAlign w:val="superscript"/>
        </w:rPr>
        <w:t>3</w:t>
      </w:r>
      <w:r>
        <w:rPr>
          <w:i/>
          <w:iCs/>
        </w:rPr>
        <w:t>$55,000 to &lt; $75,000</w:t>
      </w:r>
    </w:p>
    <w:p w14:paraId="04EBFE42" w14:textId="43F60AC0" w:rsidR="00D24261" w:rsidRDefault="00D24261" w:rsidP="008F3CB7">
      <w:pPr>
        <w:pStyle w:val="3-BodyText"/>
        <w:numPr>
          <w:ilvl w:val="1"/>
          <w:numId w:val="22"/>
        </w:numPr>
        <w:spacing w:before="240"/>
        <w:ind w:left="709" w:hanging="709"/>
      </w:pPr>
      <w:r w:rsidRPr="009A763A">
        <w:t>For patients treated with</w:t>
      </w:r>
      <w:r>
        <w:t xml:space="preserve"> RELA+NIVO</w:t>
      </w:r>
      <w:r w:rsidRPr="009A763A">
        <w:t xml:space="preserve">, the economic evaluation estimated </w:t>
      </w:r>
      <w:r>
        <w:t>the following</w:t>
      </w:r>
      <w:r w:rsidR="002F3BC0">
        <w:t xml:space="preserve"> when a </w:t>
      </w:r>
      <w:r w:rsidR="00AC7464">
        <w:t>20-year</w:t>
      </w:r>
      <w:r w:rsidR="002F3BC0">
        <w:t xml:space="preserve"> time horizon was applied</w:t>
      </w:r>
      <w:r>
        <w:t>:</w:t>
      </w:r>
    </w:p>
    <w:p w14:paraId="1BFC144D" w14:textId="4879526F" w:rsidR="00F103A2" w:rsidRDefault="00D24261" w:rsidP="008F3CB7">
      <w:pPr>
        <w:pStyle w:val="3-BodyText"/>
        <w:numPr>
          <w:ilvl w:val="1"/>
          <w:numId w:val="14"/>
        </w:numPr>
        <w:ind w:left="993" w:hanging="284"/>
      </w:pPr>
      <w:r>
        <w:t>Cost of RELA+NIVO drug was</w:t>
      </w:r>
      <w:r w:rsidR="006C5541">
        <w:t xml:space="preserve"> $</w:t>
      </w:r>
      <w:r w:rsidR="004E423C" w:rsidRPr="003252E1">
        <w:rPr>
          <w:color w:val="000000"/>
          <w:w w:val="15"/>
          <w:shd w:val="solid" w:color="000000" w:fill="000000"/>
          <w:fitText w:val="-20" w:id="-1435825907"/>
          <w14:textFill>
            <w14:solidFill>
              <w14:srgbClr w14:val="000000">
                <w14:alpha w14:val="100000"/>
              </w14:srgbClr>
            </w14:solidFill>
          </w14:textFill>
        </w:rPr>
        <w:t xml:space="preserve">|  </w:t>
      </w:r>
      <w:r w:rsidR="004E423C" w:rsidRPr="003252E1">
        <w:rPr>
          <w:color w:val="000000"/>
          <w:spacing w:val="-69"/>
          <w:w w:val="15"/>
          <w:shd w:val="solid" w:color="000000" w:fill="000000"/>
          <w:fitText w:val="-20" w:id="-1435825907"/>
          <w14:textFill>
            <w14:solidFill>
              <w14:srgbClr w14:val="000000">
                <w14:alpha w14:val="100000"/>
              </w14:srgbClr>
            </w14:solidFill>
          </w14:textFill>
        </w:rPr>
        <w:t>|</w:t>
      </w:r>
      <w:r w:rsidRPr="00BF0EA7">
        <w:t xml:space="preserve"> </w:t>
      </w:r>
      <w:r>
        <w:t>(undiscounted)</w:t>
      </w:r>
      <w:r w:rsidR="00F103A2">
        <w:t>, resulting in an additional cost of</w:t>
      </w:r>
      <w:r w:rsidR="006C5541">
        <w:t xml:space="preserve"> $</w:t>
      </w:r>
      <w:r w:rsidR="004E423C" w:rsidRPr="003252E1">
        <w:rPr>
          <w:color w:val="000000"/>
          <w:w w:val="15"/>
          <w:shd w:val="solid" w:color="000000" w:fill="000000"/>
          <w:fitText w:val="-20" w:id="-1435825906"/>
          <w14:textFill>
            <w14:solidFill>
              <w14:srgbClr w14:val="000000">
                <w14:alpha w14:val="100000"/>
              </w14:srgbClr>
            </w14:solidFill>
          </w14:textFill>
        </w:rPr>
        <w:t xml:space="preserve">|  </w:t>
      </w:r>
      <w:r w:rsidR="004E423C" w:rsidRPr="003252E1">
        <w:rPr>
          <w:color w:val="000000"/>
          <w:spacing w:val="-69"/>
          <w:w w:val="15"/>
          <w:shd w:val="solid" w:color="000000" w:fill="000000"/>
          <w:fitText w:val="-20" w:id="-1435825906"/>
          <w14:textFill>
            <w14:solidFill>
              <w14:srgbClr w14:val="000000">
                <w14:alpha w14:val="100000"/>
              </w14:srgbClr>
            </w14:solidFill>
          </w14:textFill>
        </w:rPr>
        <w:t>|</w:t>
      </w:r>
      <w:r w:rsidR="001E30D3">
        <w:rPr>
          <w:i/>
          <w:iCs/>
        </w:rPr>
        <w:t xml:space="preserve"> </w:t>
      </w:r>
      <w:r w:rsidR="001E30D3">
        <w:t xml:space="preserve">over </w:t>
      </w:r>
      <w:r w:rsidR="00F103A2">
        <w:t xml:space="preserve">nivolumab monotherapy. </w:t>
      </w:r>
    </w:p>
    <w:p w14:paraId="7633D126" w14:textId="77777777" w:rsidR="002F3BC0" w:rsidRDefault="00D24261" w:rsidP="008F3CB7">
      <w:pPr>
        <w:pStyle w:val="3-BodyText"/>
        <w:numPr>
          <w:ilvl w:val="1"/>
          <w:numId w:val="14"/>
        </w:numPr>
        <w:ind w:left="993" w:hanging="284"/>
      </w:pPr>
      <w:r>
        <w:t>Approximately 6.7 life-years gained (undiscounted), resulting in an improvement of approximately 1.1 life-years over nivolumab monotherapy.</w:t>
      </w:r>
    </w:p>
    <w:p w14:paraId="193C2C42" w14:textId="7D490AE4" w:rsidR="006C5541" w:rsidRDefault="00D24261" w:rsidP="008F3CB7">
      <w:pPr>
        <w:pStyle w:val="3-BodyText"/>
        <w:numPr>
          <w:ilvl w:val="1"/>
          <w:numId w:val="14"/>
        </w:numPr>
        <w:ind w:left="993" w:hanging="284"/>
      </w:pPr>
      <w:r>
        <w:t xml:space="preserve">Approximately 5.3 QALYs gained (undiscounted), resulting in an improvement of approximately 0.9 QALYs gained over nivolumab monotherapy. </w:t>
      </w:r>
    </w:p>
    <w:p w14:paraId="0476860A" w14:textId="06FB9886" w:rsidR="00CA192B" w:rsidRPr="0091283E" w:rsidRDefault="00D24261" w:rsidP="00A23598">
      <w:pPr>
        <w:pStyle w:val="3-BodyText"/>
        <w:numPr>
          <w:ilvl w:val="1"/>
          <w:numId w:val="22"/>
        </w:numPr>
        <w:ind w:left="709" w:hanging="709"/>
        <w:rPr>
          <w:iCs/>
        </w:rPr>
      </w:pPr>
      <w:r w:rsidRPr="006C5541">
        <w:rPr>
          <w:rFonts w:ascii="Calibri" w:hAnsi="Calibri"/>
          <w:snapToGrid/>
        </w:rPr>
        <w:t>Based on the economic model presented in the submission, treatment with RELA+NIVO was associated with a cost per QALY gained of</w:t>
      </w:r>
      <w:r w:rsidR="006C5541">
        <w:rPr>
          <w:rFonts w:ascii="Calibri" w:hAnsi="Calibri"/>
          <w:snapToGrid/>
        </w:rPr>
        <w:t xml:space="preserve"> </w:t>
      </w:r>
      <w:r w:rsidR="00EF6FDE" w:rsidRPr="00EF6FDE">
        <w:rPr>
          <w:rFonts w:ascii="Calibri" w:hAnsi="Calibri"/>
          <w:snapToGrid/>
        </w:rPr>
        <w:t xml:space="preserve">$55,000 to &lt; $75,000 </w:t>
      </w:r>
      <w:r w:rsidRPr="006C5541">
        <w:rPr>
          <w:rFonts w:ascii="Calibri" w:hAnsi="Calibri"/>
          <w:snapToGrid/>
        </w:rPr>
        <w:t>compared to nivolumab monotherapy, for the treatment of patients with unresectable stage III or IV malignant melanoma.</w:t>
      </w:r>
      <w:r>
        <w:t xml:space="preserve"> </w:t>
      </w:r>
    </w:p>
    <w:p w14:paraId="5200EAC6" w14:textId="16BDAC40" w:rsidR="00D24261" w:rsidRDefault="00D24261" w:rsidP="00A23598">
      <w:pPr>
        <w:pStyle w:val="3-BodyText"/>
        <w:numPr>
          <w:ilvl w:val="1"/>
          <w:numId w:val="22"/>
        </w:numPr>
        <w:ind w:left="709" w:hanging="709"/>
      </w:pPr>
      <w:r w:rsidRPr="00D23D11">
        <w:t>The results of key sensitivity analyses are summarised</w:t>
      </w:r>
      <w:r>
        <w:t xml:space="preserve"> in </w:t>
      </w:r>
      <w:r>
        <w:fldChar w:fldCharType="begin"/>
      </w:r>
      <w:r>
        <w:instrText xml:space="preserve"> REF _Ref100933221 \h  \* MERGEFORMAT </w:instrText>
      </w:r>
      <w:r>
        <w:fldChar w:fldCharType="separate"/>
      </w:r>
      <w:r w:rsidR="00633460" w:rsidRPr="00633460">
        <w:t>Table 13</w:t>
      </w:r>
      <w:r>
        <w:fldChar w:fldCharType="end"/>
      </w:r>
      <w:r>
        <w:t>.</w:t>
      </w:r>
    </w:p>
    <w:p w14:paraId="083B902A" w14:textId="33CA9A02" w:rsidR="00D24261" w:rsidRPr="00432939" w:rsidRDefault="00D24261" w:rsidP="00D24261">
      <w:pPr>
        <w:pStyle w:val="Caption"/>
        <w:keepNext/>
        <w:spacing w:after="0"/>
        <w:rPr>
          <w:rStyle w:val="CommentReference"/>
          <w:b/>
          <w:bCs w:val="0"/>
          <w:color w:val="000000" w:themeColor="text1"/>
        </w:rPr>
      </w:pPr>
      <w:bookmarkStart w:id="84" w:name="_Ref100933221"/>
      <w:r w:rsidRPr="00432939">
        <w:rPr>
          <w:rStyle w:val="CommentReference"/>
          <w:b/>
          <w:bCs w:val="0"/>
          <w:color w:val="000000" w:themeColor="text1"/>
        </w:rPr>
        <w:lastRenderedPageBreak/>
        <w:t>Table</w:t>
      </w:r>
      <w:r>
        <w:rPr>
          <w:rStyle w:val="CommentReference"/>
          <w:b/>
          <w:bCs w:val="0"/>
          <w:color w:val="000000" w:themeColor="text1"/>
        </w:rPr>
        <w:t xml:space="preserve"> </w:t>
      </w:r>
      <w:r>
        <w:rPr>
          <w:rStyle w:val="CommentReference"/>
          <w:b/>
          <w:bCs w:val="0"/>
          <w:color w:val="000000" w:themeColor="text1"/>
        </w:rPr>
        <w:fldChar w:fldCharType="begin"/>
      </w:r>
      <w:r>
        <w:rPr>
          <w:rStyle w:val="CommentReference"/>
          <w:b/>
          <w:bCs w:val="0"/>
          <w:color w:val="000000" w:themeColor="text1"/>
        </w:rPr>
        <w:instrText xml:space="preserve"> SEQ Table \* ARABIC \s 1 </w:instrText>
      </w:r>
      <w:r>
        <w:rPr>
          <w:rStyle w:val="CommentReference"/>
          <w:b/>
          <w:bCs w:val="0"/>
          <w:color w:val="000000" w:themeColor="text1"/>
        </w:rPr>
        <w:fldChar w:fldCharType="separate"/>
      </w:r>
      <w:r w:rsidR="00633460">
        <w:rPr>
          <w:rStyle w:val="CommentReference"/>
          <w:b/>
          <w:bCs w:val="0"/>
          <w:noProof/>
          <w:color w:val="000000" w:themeColor="text1"/>
        </w:rPr>
        <w:t>13</w:t>
      </w:r>
      <w:r>
        <w:rPr>
          <w:rStyle w:val="CommentReference"/>
          <w:b/>
          <w:bCs w:val="0"/>
          <w:color w:val="000000" w:themeColor="text1"/>
        </w:rPr>
        <w:fldChar w:fldCharType="end"/>
      </w:r>
      <w:bookmarkEnd w:id="84"/>
      <w:r w:rsidRPr="00432939">
        <w:rPr>
          <w:rStyle w:val="CommentReference"/>
          <w:b/>
          <w:bCs w:val="0"/>
          <w:color w:val="000000" w:themeColor="text1"/>
        </w:rPr>
        <w:t>: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Results of sensitivity analyses"/>
      </w:tblPr>
      <w:tblGrid>
        <w:gridCol w:w="4042"/>
        <w:gridCol w:w="1659"/>
        <w:gridCol w:w="1659"/>
        <w:gridCol w:w="1657"/>
      </w:tblGrid>
      <w:tr w:rsidR="00D24261" w:rsidRPr="00D23D11" w14:paraId="1C1701CC" w14:textId="77777777" w:rsidTr="004E423C">
        <w:trPr>
          <w:cantSplit/>
          <w:tblHeader/>
        </w:trPr>
        <w:tc>
          <w:tcPr>
            <w:tcW w:w="2241" w:type="pct"/>
            <w:tcBorders>
              <w:bottom w:val="single" w:sz="4" w:space="0" w:color="auto"/>
            </w:tcBorders>
          </w:tcPr>
          <w:p w14:paraId="701653C0" w14:textId="77777777" w:rsidR="00D24261" w:rsidRPr="00D23D11" w:rsidRDefault="00D24261" w:rsidP="002F3BC0">
            <w:pPr>
              <w:pStyle w:val="In-tableHeading"/>
              <w:keepNext w:val="0"/>
            </w:pPr>
            <w:r w:rsidRPr="00D23D11">
              <w:t>Analyses</w:t>
            </w:r>
          </w:p>
        </w:tc>
        <w:tc>
          <w:tcPr>
            <w:tcW w:w="920" w:type="pct"/>
            <w:tcBorders>
              <w:bottom w:val="single" w:sz="4" w:space="0" w:color="auto"/>
            </w:tcBorders>
          </w:tcPr>
          <w:p w14:paraId="2397EB4E" w14:textId="19E01738" w:rsidR="00D24261" w:rsidRPr="00D23D11" w:rsidRDefault="00D24261" w:rsidP="002F3BC0">
            <w:pPr>
              <w:pStyle w:val="In-tableHeading"/>
              <w:keepNext w:val="0"/>
              <w:jc w:val="center"/>
            </w:pPr>
            <w:r w:rsidRPr="00D23D11">
              <w:t>Incremental cost</w:t>
            </w:r>
            <w:r w:rsidR="00EF6FDE">
              <w:t xml:space="preserve"> ($)</w:t>
            </w:r>
          </w:p>
        </w:tc>
        <w:tc>
          <w:tcPr>
            <w:tcW w:w="920" w:type="pct"/>
            <w:tcBorders>
              <w:bottom w:val="single" w:sz="4" w:space="0" w:color="auto"/>
            </w:tcBorders>
          </w:tcPr>
          <w:p w14:paraId="162AE13C" w14:textId="77777777" w:rsidR="00D24261" w:rsidRPr="00D23D11" w:rsidRDefault="00D24261" w:rsidP="002F3BC0">
            <w:pPr>
              <w:pStyle w:val="In-tableHeading"/>
              <w:keepNext w:val="0"/>
              <w:jc w:val="center"/>
            </w:pPr>
            <w:r w:rsidRPr="00D23D11">
              <w:t>Incremental QALY</w:t>
            </w:r>
          </w:p>
        </w:tc>
        <w:tc>
          <w:tcPr>
            <w:tcW w:w="919" w:type="pct"/>
            <w:tcBorders>
              <w:bottom w:val="single" w:sz="4" w:space="0" w:color="auto"/>
            </w:tcBorders>
          </w:tcPr>
          <w:p w14:paraId="060F82BB" w14:textId="7B7C89C6" w:rsidR="00D24261" w:rsidRPr="00D23D11" w:rsidRDefault="00D24261" w:rsidP="002F3BC0">
            <w:pPr>
              <w:pStyle w:val="In-tableHeading"/>
              <w:keepNext w:val="0"/>
              <w:jc w:val="center"/>
            </w:pPr>
            <w:r w:rsidRPr="00D23D11">
              <w:t>ICER</w:t>
            </w:r>
            <w:r w:rsidR="00EF6FDE">
              <w:t xml:space="preserve"> ($)</w:t>
            </w:r>
          </w:p>
        </w:tc>
      </w:tr>
      <w:tr w:rsidR="000E635F" w:rsidRPr="00D23D11" w14:paraId="0E313D42" w14:textId="77777777" w:rsidTr="004E423C">
        <w:trPr>
          <w:cantSplit/>
          <w:tblHeader/>
        </w:trPr>
        <w:tc>
          <w:tcPr>
            <w:tcW w:w="2241" w:type="pct"/>
            <w:tcBorders>
              <w:bottom w:val="single" w:sz="4" w:space="0" w:color="auto"/>
            </w:tcBorders>
          </w:tcPr>
          <w:p w14:paraId="39ACBBFD" w14:textId="77777777" w:rsidR="000E635F" w:rsidRPr="00DE21E1" w:rsidRDefault="000E635F" w:rsidP="002F3BC0">
            <w:pPr>
              <w:pStyle w:val="TableText0"/>
              <w:keepNext w:val="0"/>
              <w:rPr>
                <w:b/>
              </w:rPr>
            </w:pPr>
            <w:r w:rsidRPr="00DE21E1">
              <w:rPr>
                <w:b/>
              </w:rPr>
              <w:t>Base case</w:t>
            </w:r>
          </w:p>
        </w:tc>
        <w:tc>
          <w:tcPr>
            <w:tcW w:w="920" w:type="pct"/>
            <w:tcBorders>
              <w:bottom w:val="single" w:sz="4" w:space="0" w:color="auto"/>
            </w:tcBorders>
            <w:shd w:val="solid" w:color="000000" w:fill="000000"/>
          </w:tcPr>
          <w:p w14:paraId="55912B95" w14:textId="6BA63AA6" w:rsidR="000E635F" w:rsidRPr="00DE21E1" w:rsidRDefault="004E423C" w:rsidP="002F3BC0">
            <w:pPr>
              <w:pStyle w:val="TableText0"/>
              <w:keepNext w:val="0"/>
              <w:jc w:val="center"/>
              <w:rPr>
                <w:b/>
                <w:highlight w:val="black"/>
              </w:rPr>
            </w:pPr>
            <w:r w:rsidRPr="004E423C">
              <w:rPr>
                <w:rFonts w:hint="eastAsia"/>
                <w:b/>
                <w:bCs w:val="0"/>
                <w:color w:val="000000"/>
                <w:w w:val="17"/>
                <w:fitText w:val="80" w:id="-1435825905"/>
                <w14:textFill>
                  <w14:solidFill>
                    <w14:srgbClr w14:val="000000">
                      <w14:alpha w14:val="100000"/>
                    </w14:srgbClr>
                  </w14:solidFill>
                </w14:textFill>
              </w:rPr>
              <w:t xml:space="preserve">　</w:t>
            </w:r>
            <w:r w:rsidRPr="004E423C">
              <w:rPr>
                <w:b/>
                <w:bCs w:val="0"/>
                <w:color w:val="000000"/>
                <w:w w:val="17"/>
                <w:fitText w:val="80" w:id="-1435825905"/>
                <w14:textFill>
                  <w14:solidFill>
                    <w14:srgbClr w14:val="000000">
                      <w14:alpha w14:val="100000"/>
                    </w14:srgbClr>
                  </w14:solidFill>
                </w14:textFill>
              </w:rPr>
              <w:t>|</w:t>
            </w:r>
            <w:r w:rsidRPr="004E423C">
              <w:rPr>
                <w:rFonts w:hint="eastAsia"/>
                <w:b/>
                <w:bCs w:val="0"/>
                <w:color w:val="000000"/>
                <w:w w:val="17"/>
                <w:fitText w:val="80" w:id="-1435825905"/>
                <w14:textFill>
                  <w14:solidFill>
                    <w14:srgbClr w14:val="000000">
                      <w14:alpha w14:val="100000"/>
                    </w14:srgbClr>
                  </w14:solidFill>
                </w14:textFill>
              </w:rPr>
              <w:t xml:space="preserve">　</w:t>
            </w:r>
          </w:p>
        </w:tc>
        <w:tc>
          <w:tcPr>
            <w:tcW w:w="920" w:type="pct"/>
            <w:tcBorders>
              <w:bottom w:val="single" w:sz="4" w:space="0" w:color="auto"/>
            </w:tcBorders>
          </w:tcPr>
          <w:p w14:paraId="3D41CD45" w14:textId="44756578" w:rsidR="000E635F" w:rsidRPr="00DE21E1" w:rsidRDefault="000E635F" w:rsidP="002F3BC0">
            <w:pPr>
              <w:pStyle w:val="TableText0"/>
              <w:keepNext w:val="0"/>
              <w:jc w:val="center"/>
              <w:rPr>
                <w:b/>
              </w:rPr>
            </w:pPr>
            <w:r w:rsidRPr="00DE21E1">
              <w:rPr>
                <w:b/>
                <w:bCs w:val="0"/>
              </w:rPr>
              <w:t>0.582</w:t>
            </w:r>
          </w:p>
        </w:tc>
        <w:tc>
          <w:tcPr>
            <w:tcW w:w="919" w:type="pct"/>
            <w:tcBorders>
              <w:bottom w:val="single" w:sz="4" w:space="0" w:color="auto"/>
            </w:tcBorders>
          </w:tcPr>
          <w:p w14:paraId="00F33B29" w14:textId="74A94FC3" w:rsidR="000E635F" w:rsidRPr="001D7EFE" w:rsidRDefault="004E423C" w:rsidP="002F3BC0">
            <w:pPr>
              <w:pStyle w:val="TableText0"/>
              <w:keepNext w:val="0"/>
              <w:jc w:val="center"/>
              <w:rPr>
                <w:b/>
                <w:highlight w:val="black"/>
              </w:rPr>
            </w:pPr>
            <w:r w:rsidRPr="004E423C">
              <w:rPr>
                <w:rFonts w:hint="eastAsia"/>
                <w:b/>
                <w:bCs w:val="0"/>
                <w:color w:val="000000"/>
                <w:w w:val="24"/>
                <w:shd w:val="solid" w:color="000000" w:fill="000000"/>
                <w:fitText w:val="110" w:id="-1435825904"/>
                <w14:textFill>
                  <w14:solidFill>
                    <w14:srgbClr w14:val="000000">
                      <w14:alpha w14:val="100000"/>
                    </w14:srgbClr>
                  </w14:solidFill>
                </w14:textFill>
              </w:rPr>
              <w:t xml:space="preserve">　</w:t>
            </w:r>
            <w:r w:rsidRPr="004E423C">
              <w:rPr>
                <w:b/>
                <w:bCs w:val="0"/>
                <w:color w:val="000000"/>
                <w:w w:val="24"/>
                <w:shd w:val="solid" w:color="000000" w:fill="000000"/>
                <w:fitText w:val="110" w:id="-1435825904"/>
                <w14:textFill>
                  <w14:solidFill>
                    <w14:srgbClr w14:val="000000">
                      <w14:alpha w14:val="100000"/>
                    </w14:srgbClr>
                  </w14:solidFill>
                </w14:textFill>
              </w:rPr>
              <w:t>|</w:t>
            </w:r>
            <w:r w:rsidRPr="004E423C">
              <w:rPr>
                <w:rFonts w:hint="eastAsia"/>
                <w:b/>
                <w:bCs w:val="0"/>
                <w:color w:val="000000"/>
                <w:spacing w:val="5"/>
                <w:w w:val="24"/>
                <w:shd w:val="solid" w:color="000000" w:fill="000000"/>
                <w:fitText w:val="110" w:id="-1435825904"/>
                <w14:textFill>
                  <w14:solidFill>
                    <w14:srgbClr w14:val="000000">
                      <w14:alpha w14:val="100000"/>
                    </w14:srgbClr>
                  </w14:solidFill>
                </w14:textFill>
              </w:rPr>
              <w:t xml:space="preserve">　</w:t>
            </w:r>
            <w:r w:rsidR="001D7EFE" w:rsidRPr="001D7EFE">
              <w:rPr>
                <w:b/>
                <w:bCs w:val="0"/>
                <w:vertAlign w:val="superscript"/>
              </w:rPr>
              <w:t>1</w:t>
            </w:r>
          </w:p>
        </w:tc>
      </w:tr>
      <w:tr w:rsidR="004849E5" w:rsidRPr="00D23D11" w14:paraId="3BACC64B" w14:textId="77777777" w:rsidTr="00231860">
        <w:trPr>
          <w:cantSplit/>
          <w:tblHeader/>
        </w:trPr>
        <w:tc>
          <w:tcPr>
            <w:tcW w:w="5000" w:type="pct"/>
            <w:gridSpan w:val="4"/>
            <w:tcBorders>
              <w:top w:val="single" w:sz="4" w:space="0" w:color="auto"/>
              <w:left w:val="single" w:sz="4" w:space="0" w:color="auto"/>
              <w:bottom w:val="nil"/>
              <w:right w:val="single" w:sz="4" w:space="0" w:color="auto"/>
            </w:tcBorders>
          </w:tcPr>
          <w:p w14:paraId="1712A944" w14:textId="5EC8026C" w:rsidR="00231860" w:rsidRPr="00DE21E1" w:rsidRDefault="00231860" w:rsidP="002F3BC0">
            <w:pPr>
              <w:pStyle w:val="TableText0"/>
              <w:keepNext w:val="0"/>
            </w:pPr>
            <w:r w:rsidRPr="00DE21E1">
              <w:t>Univariate sensitivity analyses</w:t>
            </w:r>
          </w:p>
        </w:tc>
      </w:tr>
      <w:tr w:rsidR="000E635F" w:rsidRPr="00D23D11" w14:paraId="0BCA1F6D" w14:textId="77777777" w:rsidTr="000E635F">
        <w:trPr>
          <w:cantSplit/>
          <w:tblHeader/>
        </w:trPr>
        <w:tc>
          <w:tcPr>
            <w:tcW w:w="2241" w:type="pct"/>
            <w:tcBorders>
              <w:top w:val="single" w:sz="4" w:space="0" w:color="auto"/>
              <w:left w:val="single" w:sz="4" w:space="0" w:color="auto"/>
              <w:bottom w:val="nil"/>
              <w:right w:val="single" w:sz="4" w:space="0" w:color="auto"/>
            </w:tcBorders>
          </w:tcPr>
          <w:p w14:paraId="1282F2AC" w14:textId="173F6FB5" w:rsidR="000E635F" w:rsidRPr="00DE21E1" w:rsidRDefault="000D63D9" w:rsidP="002F3BC0">
            <w:pPr>
              <w:pStyle w:val="TableText0"/>
              <w:keepNext w:val="0"/>
            </w:pPr>
            <w:r w:rsidRPr="00DE21E1">
              <w:t xml:space="preserve">% and </w:t>
            </w:r>
            <w:r w:rsidR="000E635F" w:rsidRPr="00DE21E1">
              <w:t>Discount rate (base case 5% costs and outcomes)</w:t>
            </w:r>
          </w:p>
        </w:tc>
        <w:tc>
          <w:tcPr>
            <w:tcW w:w="920" w:type="pct"/>
            <w:tcBorders>
              <w:top w:val="single" w:sz="4" w:space="0" w:color="auto"/>
              <w:left w:val="single" w:sz="4" w:space="0" w:color="auto"/>
              <w:bottom w:val="nil"/>
              <w:right w:val="single" w:sz="4" w:space="0" w:color="auto"/>
            </w:tcBorders>
          </w:tcPr>
          <w:p w14:paraId="44A469E1" w14:textId="77777777" w:rsidR="000E635F" w:rsidRPr="00DE21E1" w:rsidRDefault="000E635F" w:rsidP="002F3BC0">
            <w:pPr>
              <w:pStyle w:val="TableText0"/>
              <w:keepNext w:val="0"/>
              <w:jc w:val="center"/>
              <w:rPr>
                <w:szCs w:val="20"/>
              </w:rPr>
            </w:pPr>
          </w:p>
        </w:tc>
        <w:tc>
          <w:tcPr>
            <w:tcW w:w="920" w:type="pct"/>
            <w:tcBorders>
              <w:top w:val="single" w:sz="4" w:space="0" w:color="auto"/>
              <w:left w:val="single" w:sz="4" w:space="0" w:color="auto"/>
              <w:bottom w:val="nil"/>
              <w:right w:val="single" w:sz="4" w:space="0" w:color="auto"/>
            </w:tcBorders>
          </w:tcPr>
          <w:p w14:paraId="727EBBD2" w14:textId="77777777" w:rsidR="000E635F" w:rsidRPr="00DE21E1" w:rsidRDefault="000E635F" w:rsidP="002F3BC0">
            <w:pPr>
              <w:pStyle w:val="TableText0"/>
              <w:keepNext w:val="0"/>
              <w:jc w:val="center"/>
              <w:rPr>
                <w:szCs w:val="20"/>
              </w:rPr>
            </w:pPr>
          </w:p>
        </w:tc>
        <w:tc>
          <w:tcPr>
            <w:tcW w:w="919" w:type="pct"/>
            <w:tcBorders>
              <w:top w:val="single" w:sz="4" w:space="0" w:color="auto"/>
              <w:left w:val="single" w:sz="4" w:space="0" w:color="auto"/>
              <w:bottom w:val="nil"/>
              <w:right w:val="single" w:sz="4" w:space="0" w:color="auto"/>
            </w:tcBorders>
          </w:tcPr>
          <w:p w14:paraId="02F85464" w14:textId="77777777" w:rsidR="000E635F" w:rsidRPr="00DE21E1" w:rsidRDefault="000E635F" w:rsidP="002F3BC0">
            <w:pPr>
              <w:pStyle w:val="TableText0"/>
              <w:keepNext w:val="0"/>
              <w:jc w:val="center"/>
            </w:pPr>
          </w:p>
        </w:tc>
      </w:tr>
      <w:tr w:rsidR="000E635F" w:rsidRPr="00D23D11" w14:paraId="57B658AD" w14:textId="77777777" w:rsidTr="000E635F">
        <w:trPr>
          <w:cantSplit/>
          <w:tblHeader/>
        </w:trPr>
        <w:tc>
          <w:tcPr>
            <w:tcW w:w="2241" w:type="pct"/>
            <w:tcBorders>
              <w:top w:val="nil"/>
              <w:left w:val="single" w:sz="4" w:space="0" w:color="auto"/>
              <w:bottom w:val="nil"/>
              <w:right w:val="single" w:sz="4" w:space="0" w:color="auto"/>
            </w:tcBorders>
          </w:tcPr>
          <w:p w14:paraId="3B8333B4" w14:textId="068EEF57" w:rsidR="002F3BC0" w:rsidRPr="00DE21E1" w:rsidRDefault="002F3BC0" w:rsidP="00A23598">
            <w:pPr>
              <w:pStyle w:val="TableText0"/>
              <w:keepNext w:val="0"/>
              <w:numPr>
                <w:ilvl w:val="0"/>
                <w:numId w:val="16"/>
              </w:numPr>
            </w:pPr>
            <w:r w:rsidRPr="00DE21E1">
              <w:t>0%</w:t>
            </w:r>
          </w:p>
          <w:p w14:paraId="64245AAF" w14:textId="6F9C5E08" w:rsidR="000E635F" w:rsidRPr="00DE21E1" w:rsidRDefault="000E635F" w:rsidP="00A23598">
            <w:pPr>
              <w:pStyle w:val="TableText0"/>
              <w:keepNext w:val="0"/>
              <w:numPr>
                <w:ilvl w:val="0"/>
                <w:numId w:val="16"/>
              </w:numPr>
            </w:pPr>
            <w:r w:rsidRPr="00DE21E1">
              <w:t>3</w:t>
            </w:r>
            <w:r w:rsidR="00A80545">
              <w:t>.5</w:t>
            </w:r>
            <w:r w:rsidR="002F3BC0" w:rsidRPr="00DE21E1">
              <w:t>%</w:t>
            </w:r>
          </w:p>
        </w:tc>
        <w:tc>
          <w:tcPr>
            <w:tcW w:w="920" w:type="pct"/>
            <w:tcBorders>
              <w:top w:val="nil"/>
              <w:left w:val="single" w:sz="4" w:space="0" w:color="auto"/>
              <w:bottom w:val="nil"/>
              <w:right w:val="single" w:sz="4" w:space="0" w:color="auto"/>
            </w:tcBorders>
          </w:tcPr>
          <w:p w14:paraId="4D78241A" w14:textId="10D78FEB" w:rsidR="004E423C" w:rsidRPr="004E423C" w:rsidRDefault="004E423C" w:rsidP="002F3BC0">
            <w:pPr>
              <w:pStyle w:val="TableText0"/>
              <w:keepNext w:val="0"/>
              <w:jc w:val="center"/>
            </w:pPr>
            <w:r w:rsidRPr="004E423C">
              <w:rPr>
                <w:rFonts w:hint="eastAsia"/>
                <w:color w:val="000000"/>
                <w:w w:val="22"/>
                <w:shd w:val="solid" w:color="000000" w:fill="000000"/>
                <w:fitText w:val="100" w:id="-1435825920"/>
                <w14:textFill>
                  <w14:solidFill>
                    <w14:srgbClr w14:val="000000">
                      <w14:alpha w14:val="100000"/>
                    </w14:srgbClr>
                  </w14:solidFill>
                </w14:textFill>
              </w:rPr>
              <w:t xml:space="preserve">　</w:t>
            </w:r>
            <w:r w:rsidRPr="004E423C">
              <w:rPr>
                <w:color w:val="000000"/>
                <w:w w:val="22"/>
                <w:shd w:val="solid" w:color="000000" w:fill="000000"/>
                <w:fitText w:val="100" w:id="-1435825920"/>
                <w14:textFill>
                  <w14:solidFill>
                    <w14:srgbClr w14:val="000000">
                      <w14:alpha w14:val="100000"/>
                    </w14:srgbClr>
                  </w14:solidFill>
                </w14:textFill>
              </w:rPr>
              <w:t>|</w:t>
            </w:r>
            <w:r w:rsidRPr="004E423C">
              <w:rPr>
                <w:rFonts w:hint="eastAsia"/>
                <w:color w:val="000000"/>
                <w:spacing w:val="3"/>
                <w:w w:val="22"/>
                <w:shd w:val="solid" w:color="000000" w:fill="000000"/>
                <w:fitText w:val="100" w:id="-1435825920"/>
                <w14:textFill>
                  <w14:solidFill>
                    <w14:srgbClr w14:val="000000">
                      <w14:alpha w14:val="100000"/>
                    </w14:srgbClr>
                  </w14:solidFill>
                </w14:textFill>
              </w:rPr>
              <w:t xml:space="preserve">　</w:t>
            </w:r>
          </w:p>
          <w:p w14:paraId="61B7E459" w14:textId="4D287A29" w:rsidR="002F3BC0" w:rsidRPr="00EF6FDE" w:rsidRDefault="004E423C" w:rsidP="002F3BC0">
            <w:pPr>
              <w:pStyle w:val="TableText0"/>
              <w:keepNext w:val="0"/>
              <w:jc w:val="center"/>
              <w:rPr>
                <w:szCs w:val="20"/>
                <w:highlight w:val="lightGray"/>
              </w:rPr>
            </w:pPr>
            <w:r w:rsidRPr="004E423C">
              <w:rPr>
                <w:rFonts w:hint="eastAsia"/>
                <w:color w:val="000000"/>
                <w:w w:val="22"/>
                <w:shd w:val="solid" w:color="000000" w:fill="000000"/>
                <w:fitText w:val="100" w:id="-1435825919"/>
                <w14:textFill>
                  <w14:solidFill>
                    <w14:srgbClr w14:val="000000">
                      <w14:alpha w14:val="100000"/>
                    </w14:srgbClr>
                  </w14:solidFill>
                </w14:textFill>
              </w:rPr>
              <w:t xml:space="preserve">　</w:t>
            </w:r>
            <w:r w:rsidRPr="004E423C">
              <w:rPr>
                <w:color w:val="000000"/>
                <w:w w:val="22"/>
                <w:shd w:val="solid" w:color="000000" w:fill="000000"/>
                <w:fitText w:val="100" w:id="-1435825919"/>
                <w14:textFill>
                  <w14:solidFill>
                    <w14:srgbClr w14:val="000000">
                      <w14:alpha w14:val="100000"/>
                    </w14:srgbClr>
                  </w14:solidFill>
                </w14:textFill>
              </w:rPr>
              <w:t>|</w:t>
            </w:r>
            <w:r w:rsidRPr="004E423C">
              <w:rPr>
                <w:rFonts w:hint="eastAsia"/>
                <w:color w:val="000000"/>
                <w:spacing w:val="3"/>
                <w:w w:val="22"/>
                <w:shd w:val="solid" w:color="000000" w:fill="000000"/>
                <w:fitText w:val="100" w:id="-1435825919"/>
                <w14:textFill>
                  <w14:solidFill>
                    <w14:srgbClr w14:val="000000">
                      <w14:alpha w14:val="100000"/>
                    </w14:srgbClr>
                  </w14:solidFill>
                </w14:textFill>
              </w:rPr>
              <w:t xml:space="preserve">　</w:t>
            </w:r>
          </w:p>
        </w:tc>
        <w:tc>
          <w:tcPr>
            <w:tcW w:w="920" w:type="pct"/>
            <w:tcBorders>
              <w:top w:val="nil"/>
              <w:left w:val="single" w:sz="4" w:space="0" w:color="auto"/>
              <w:bottom w:val="nil"/>
              <w:right w:val="single" w:sz="4" w:space="0" w:color="auto"/>
            </w:tcBorders>
          </w:tcPr>
          <w:p w14:paraId="6640B79B" w14:textId="77777777" w:rsidR="000E635F" w:rsidRPr="00DE21E1" w:rsidRDefault="000E635F" w:rsidP="002F3BC0">
            <w:pPr>
              <w:pStyle w:val="TableText0"/>
              <w:keepNext w:val="0"/>
              <w:jc w:val="center"/>
            </w:pPr>
            <w:r w:rsidRPr="00DE21E1">
              <w:t>0.</w:t>
            </w:r>
            <w:r w:rsidR="002F3BC0" w:rsidRPr="00DE21E1">
              <w:t>894</w:t>
            </w:r>
          </w:p>
          <w:p w14:paraId="66C013C1" w14:textId="5EC45489" w:rsidR="002F3BC0" w:rsidRPr="00DE21E1" w:rsidRDefault="002F3BC0" w:rsidP="002F3BC0">
            <w:pPr>
              <w:pStyle w:val="TableText0"/>
              <w:keepNext w:val="0"/>
              <w:jc w:val="center"/>
              <w:rPr>
                <w:szCs w:val="20"/>
              </w:rPr>
            </w:pPr>
            <w:r w:rsidRPr="00DE21E1">
              <w:t>0.6</w:t>
            </w:r>
            <w:r w:rsidR="00A80545">
              <w:t>56</w:t>
            </w:r>
          </w:p>
        </w:tc>
        <w:tc>
          <w:tcPr>
            <w:tcW w:w="919" w:type="pct"/>
            <w:tcBorders>
              <w:top w:val="nil"/>
              <w:left w:val="single" w:sz="4" w:space="0" w:color="auto"/>
              <w:bottom w:val="nil"/>
              <w:right w:val="single" w:sz="4" w:space="0" w:color="auto"/>
            </w:tcBorders>
          </w:tcPr>
          <w:p w14:paraId="4EDCA447" w14:textId="5911CAAB" w:rsidR="004E423C" w:rsidRPr="004E423C" w:rsidRDefault="004E423C" w:rsidP="002F3BC0">
            <w:pPr>
              <w:pStyle w:val="TableText0"/>
              <w:keepNext w:val="0"/>
              <w:jc w:val="center"/>
            </w:pPr>
            <w:r w:rsidRPr="004E423C">
              <w:rPr>
                <w:rFonts w:hint="eastAsia"/>
                <w:color w:val="000000"/>
                <w:w w:val="31"/>
                <w:shd w:val="solid" w:color="000000" w:fill="000000"/>
                <w:fitText w:val="140" w:id="-1435825918"/>
                <w14:textFill>
                  <w14:solidFill>
                    <w14:srgbClr w14:val="000000">
                      <w14:alpha w14:val="100000"/>
                    </w14:srgbClr>
                  </w14:solidFill>
                </w14:textFill>
              </w:rPr>
              <w:t xml:space="preserve">　</w:t>
            </w:r>
            <w:r w:rsidRPr="004E423C">
              <w:rPr>
                <w:color w:val="000000"/>
                <w:w w:val="31"/>
                <w:shd w:val="solid" w:color="000000" w:fill="000000"/>
                <w:fitText w:val="140" w:id="-1435825918"/>
                <w14:textFill>
                  <w14:solidFill>
                    <w14:srgbClr w14:val="000000">
                      <w14:alpha w14:val="100000"/>
                    </w14:srgbClr>
                  </w14:solidFill>
                </w14:textFill>
              </w:rPr>
              <w:t>|</w:t>
            </w:r>
            <w:r w:rsidRPr="004E423C">
              <w:rPr>
                <w:rFonts w:hint="eastAsia"/>
                <w:color w:val="000000"/>
                <w:spacing w:val="4"/>
                <w:w w:val="31"/>
                <w:shd w:val="solid" w:color="000000" w:fill="000000"/>
                <w:fitText w:val="140" w:id="-1435825918"/>
                <w14:textFill>
                  <w14:solidFill>
                    <w14:srgbClr w14:val="000000">
                      <w14:alpha w14:val="100000"/>
                    </w14:srgbClr>
                  </w14:solidFill>
                </w14:textFill>
              </w:rPr>
              <w:t xml:space="preserve">　</w:t>
            </w:r>
            <w:r w:rsidR="001D7EFE" w:rsidRPr="001D7EFE">
              <w:rPr>
                <w:vertAlign w:val="superscript"/>
              </w:rPr>
              <w:t>2</w:t>
            </w:r>
          </w:p>
          <w:p w14:paraId="71C2C2C1" w14:textId="63FF4D6D" w:rsidR="002F3BC0" w:rsidRPr="001D7EFE" w:rsidRDefault="004E423C" w:rsidP="002F3BC0">
            <w:pPr>
              <w:pStyle w:val="TableText0"/>
              <w:keepNext w:val="0"/>
              <w:jc w:val="center"/>
              <w:rPr>
                <w:highlight w:val="lightGray"/>
              </w:rPr>
            </w:pPr>
            <w:r w:rsidRPr="004E423C">
              <w:rPr>
                <w:rFonts w:hint="eastAsia"/>
                <w:color w:val="000000"/>
                <w:w w:val="31"/>
                <w:shd w:val="solid" w:color="000000" w:fill="000000"/>
                <w:fitText w:val="140" w:id="-1435825917"/>
                <w14:textFill>
                  <w14:solidFill>
                    <w14:srgbClr w14:val="000000">
                      <w14:alpha w14:val="100000"/>
                    </w14:srgbClr>
                  </w14:solidFill>
                </w14:textFill>
              </w:rPr>
              <w:t xml:space="preserve">　</w:t>
            </w:r>
            <w:r w:rsidRPr="004E423C">
              <w:rPr>
                <w:color w:val="000000"/>
                <w:w w:val="31"/>
                <w:shd w:val="solid" w:color="000000" w:fill="000000"/>
                <w:fitText w:val="140" w:id="-1435825917"/>
                <w14:textFill>
                  <w14:solidFill>
                    <w14:srgbClr w14:val="000000">
                      <w14:alpha w14:val="100000"/>
                    </w14:srgbClr>
                  </w14:solidFill>
                </w14:textFill>
              </w:rPr>
              <w:t>|</w:t>
            </w:r>
            <w:r w:rsidRPr="004E423C">
              <w:rPr>
                <w:rFonts w:hint="eastAsia"/>
                <w:color w:val="000000"/>
                <w:spacing w:val="4"/>
                <w:w w:val="31"/>
                <w:shd w:val="solid" w:color="000000" w:fill="000000"/>
                <w:fitText w:val="140" w:id="-1435825917"/>
                <w14:textFill>
                  <w14:solidFill>
                    <w14:srgbClr w14:val="000000">
                      <w14:alpha w14:val="100000"/>
                    </w14:srgbClr>
                  </w14:solidFill>
                </w14:textFill>
              </w:rPr>
              <w:t xml:space="preserve">　</w:t>
            </w:r>
            <w:r w:rsidR="001D7EFE" w:rsidRPr="001D7EFE">
              <w:rPr>
                <w:vertAlign w:val="superscript"/>
              </w:rPr>
              <w:t>3</w:t>
            </w:r>
          </w:p>
        </w:tc>
      </w:tr>
      <w:tr w:rsidR="00D24261" w:rsidRPr="00D23D11" w14:paraId="5F4D0AA5" w14:textId="77777777" w:rsidTr="004E423C">
        <w:trPr>
          <w:cantSplit/>
          <w:tblHeader/>
        </w:trPr>
        <w:tc>
          <w:tcPr>
            <w:tcW w:w="2241" w:type="pct"/>
            <w:tcBorders>
              <w:top w:val="single" w:sz="4" w:space="0" w:color="auto"/>
              <w:left w:val="single" w:sz="4" w:space="0" w:color="auto"/>
              <w:bottom w:val="nil"/>
              <w:right w:val="single" w:sz="4" w:space="0" w:color="auto"/>
            </w:tcBorders>
          </w:tcPr>
          <w:p w14:paraId="1207CAA6" w14:textId="77777777" w:rsidR="00D24261" w:rsidRPr="00DE21E1" w:rsidRDefault="00D24261" w:rsidP="002F3BC0">
            <w:pPr>
              <w:pStyle w:val="TableText0"/>
              <w:keepNext w:val="0"/>
            </w:pPr>
            <w:r w:rsidRPr="00DE21E1">
              <w:t>Time horizon (base case 20 years)</w:t>
            </w:r>
          </w:p>
        </w:tc>
        <w:tc>
          <w:tcPr>
            <w:tcW w:w="920" w:type="pct"/>
            <w:tcBorders>
              <w:top w:val="single" w:sz="4" w:space="0" w:color="auto"/>
              <w:left w:val="single" w:sz="4" w:space="0" w:color="auto"/>
              <w:bottom w:val="nil"/>
              <w:right w:val="single" w:sz="4" w:space="0" w:color="auto"/>
            </w:tcBorders>
          </w:tcPr>
          <w:p w14:paraId="4FF5EDBA" w14:textId="77777777" w:rsidR="00D24261" w:rsidRPr="00EF6FDE" w:rsidRDefault="00D24261" w:rsidP="002F3BC0">
            <w:pPr>
              <w:pStyle w:val="TableText0"/>
              <w:keepNext w:val="0"/>
              <w:jc w:val="center"/>
              <w:rPr>
                <w:szCs w:val="20"/>
                <w:highlight w:val="lightGray"/>
              </w:rPr>
            </w:pPr>
          </w:p>
        </w:tc>
        <w:tc>
          <w:tcPr>
            <w:tcW w:w="920" w:type="pct"/>
            <w:tcBorders>
              <w:top w:val="single" w:sz="4" w:space="0" w:color="auto"/>
              <w:left w:val="single" w:sz="4" w:space="0" w:color="auto"/>
              <w:bottom w:val="nil"/>
              <w:right w:val="single" w:sz="4" w:space="0" w:color="auto"/>
            </w:tcBorders>
          </w:tcPr>
          <w:p w14:paraId="28ADC93B" w14:textId="77777777" w:rsidR="00D24261" w:rsidRPr="00DE21E1" w:rsidRDefault="00D24261" w:rsidP="002F3BC0">
            <w:pPr>
              <w:pStyle w:val="TableText0"/>
              <w:keepNext w:val="0"/>
              <w:jc w:val="center"/>
              <w:rPr>
                <w:szCs w:val="20"/>
              </w:rPr>
            </w:pPr>
          </w:p>
        </w:tc>
        <w:tc>
          <w:tcPr>
            <w:tcW w:w="919" w:type="pct"/>
            <w:tcBorders>
              <w:top w:val="single" w:sz="4" w:space="0" w:color="auto"/>
              <w:left w:val="single" w:sz="4" w:space="0" w:color="auto"/>
              <w:bottom w:val="nil"/>
              <w:right w:val="single" w:sz="4" w:space="0" w:color="auto"/>
            </w:tcBorders>
          </w:tcPr>
          <w:p w14:paraId="2E0DB7B3" w14:textId="77777777" w:rsidR="00D24261" w:rsidRPr="00EF6FDE" w:rsidRDefault="00D24261" w:rsidP="002F3BC0">
            <w:pPr>
              <w:pStyle w:val="TableText0"/>
              <w:keepNext w:val="0"/>
              <w:jc w:val="center"/>
              <w:rPr>
                <w:highlight w:val="lightGray"/>
              </w:rPr>
            </w:pPr>
          </w:p>
        </w:tc>
      </w:tr>
      <w:tr w:rsidR="000E635F" w:rsidRPr="00D23D11" w14:paraId="1DB084AF" w14:textId="77777777" w:rsidTr="004E423C">
        <w:trPr>
          <w:cantSplit/>
          <w:tblHeader/>
        </w:trPr>
        <w:tc>
          <w:tcPr>
            <w:tcW w:w="2241" w:type="pct"/>
            <w:tcBorders>
              <w:top w:val="nil"/>
              <w:left w:val="single" w:sz="4" w:space="0" w:color="auto"/>
              <w:bottom w:val="nil"/>
              <w:right w:val="single" w:sz="4" w:space="0" w:color="auto"/>
            </w:tcBorders>
          </w:tcPr>
          <w:p w14:paraId="299E33C2" w14:textId="77777777" w:rsidR="000E635F" w:rsidRPr="00DE21E1" w:rsidRDefault="000E635F" w:rsidP="00AF456E">
            <w:pPr>
              <w:pStyle w:val="TableText0"/>
              <w:keepNext w:val="0"/>
              <w:numPr>
                <w:ilvl w:val="0"/>
                <w:numId w:val="13"/>
              </w:numPr>
            </w:pPr>
            <w:r w:rsidRPr="00DE21E1">
              <w:t>5 years</w:t>
            </w:r>
          </w:p>
        </w:tc>
        <w:tc>
          <w:tcPr>
            <w:tcW w:w="920" w:type="pct"/>
            <w:tcBorders>
              <w:top w:val="nil"/>
              <w:left w:val="single" w:sz="4" w:space="0" w:color="auto"/>
              <w:bottom w:val="nil"/>
              <w:right w:val="single" w:sz="4" w:space="0" w:color="auto"/>
            </w:tcBorders>
            <w:shd w:val="solid" w:color="000000" w:fill="000000"/>
          </w:tcPr>
          <w:p w14:paraId="378C43DC" w14:textId="32C97072" w:rsidR="000E635F" w:rsidRPr="00EF6FDE" w:rsidRDefault="004E423C" w:rsidP="002F3BC0">
            <w:pPr>
              <w:pStyle w:val="TableText0"/>
              <w:keepNext w:val="0"/>
              <w:jc w:val="center"/>
              <w:rPr>
                <w:highlight w:val="lightGray"/>
              </w:rPr>
            </w:pPr>
            <w:r w:rsidRPr="004E423C">
              <w:rPr>
                <w:rFonts w:hint="eastAsia"/>
                <w:color w:val="000000"/>
                <w:w w:val="22"/>
                <w:fitText w:val="100" w:id="-1435825916"/>
                <w14:textFill>
                  <w14:solidFill>
                    <w14:srgbClr w14:val="000000">
                      <w14:alpha w14:val="100000"/>
                    </w14:srgbClr>
                  </w14:solidFill>
                </w14:textFill>
              </w:rPr>
              <w:t xml:space="preserve">　</w:t>
            </w:r>
            <w:r w:rsidRPr="004E423C">
              <w:rPr>
                <w:color w:val="000000"/>
                <w:w w:val="22"/>
                <w:fitText w:val="100" w:id="-1435825916"/>
                <w14:textFill>
                  <w14:solidFill>
                    <w14:srgbClr w14:val="000000">
                      <w14:alpha w14:val="100000"/>
                    </w14:srgbClr>
                  </w14:solidFill>
                </w14:textFill>
              </w:rPr>
              <w:t>|</w:t>
            </w:r>
            <w:r w:rsidRPr="004E423C">
              <w:rPr>
                <w:rFonts w:hint="eastAsia"/>
                <w:color w:val="000000"/>
                <w:w w:val="22"/>
                <w:fitText w:val="100" w:id="-1435825916"/>
                <w14:textFill>
                  <w14:solidFill>
                    <w14:srgbClr w14:val="000000">
                      <w14:alpha w14:val="100000"/>
                    </w14:srgbClr>
                  </w14:solidFill>
                </w14:textFill>
              </w:rPr>
              <w:t xml:space="preserve">　</w:t>
            </w:r>
          </w:p>
        </w:tc>
        <w:tc>
          <w:tcPr>
            <w:tcW w:w="920" w:type="pct"/>
            <w:tcBorders>
              <w:top w:val="nil"/>
              <w:left w:val="single" w:sz="4" w:space="0" w:color="auto"/>
              <w:bottom w:val="nil"/>
              <w:right w:val="single" w:sz="4" w:space="0" w:color="auto"/>
            </w:tcBorders>
          </w:tcPr>
          <w:p w14:paraId="1B141309" w14:textId="6817EC6A" w:rsidR="000E635F" w:rsidRPr="00DE21E1" w:rsidRDefault="000E635F" w:rsidP="002F3BC0">
            <w:pPr>
              <w:pStyle w:val="TableText0"/>
              <w:keepNext w:val="0"/>
              <w:jc w:val="center"/>
            </w:pPr>
            <w:r w:rsidRPr="00DE21E1">
              <w:t>0.205</w:t>
            </w:r>
          </w:p>
        </w:tc>
        <w:tc>
          <w:tcPr>
            <w:tcW w:w="919" w:type="pct"/>
            <w:tcBorders>
              <w:top w:val="nil"/>
              <w:left w:val="single" w:sz="4" w:space="0" w:color="auto"/>
              <w:bottom w:val="nil"/>
              <w:right w:val="single" w:sz="4" w:space="0" w:color="auto"/>
            </w:tcBorders>
          </w:tcPr>
          <w:p w14:paraId="477990B0" w14:textId="66F887AD" w:rsidR="000E635F" w:rsidRPr="001D7EFE" w:rsidRDefault="004E423C" w:rsidP="002F3BC0">
            <w:pPr>
              <w:pStyle w:val="TableText0"/>
              <w:keepNext w:val="0"/>
              <w:jc w:val="center"/>
              <w:rPr>
                <w:highlight w:val="lightGray"/>
              </w:rPr>
            </w:pPr>
            <w:r w:rsidRPr="004E423C">
              <w:rPr>
                <w:rFonts w:hint="eastAsia"/>
                <w:color w:val="000000"/>
                <w:w w:val="31"/>
                <w:shd w:val="solid" w:color="000000" w:fill="000000"/>
                <w:fitText w:val="140" w:id="-1435825915"/>
                <w14:textFill>
                  <w14:solidFill>
                    <w14:srgbClr w14:val="000000">
                      <w14:alpha w14:val="100000"/>
                    </w14:srgbClr>
                  </w14:solidFill>
                </w14:textFill>
              </w:rPr>
              <w:t xml:space="preserve">　</w:t>
            </w:r>
            <w:r w:rsidRPr="004E423C">
              <w:rPr>
                <w:color w:val="000000"/>
                <w:w w:val="31"/>
                <w:shd w:val="solid" w:color="000000" w:fill="000000"/>
                <w:fitText w:val="140" w:id="-1435825915"/>
                <w14:textFill>
                  <w14:solidFill>
                    <w14:srgbClr w14:val="000000">
                      <w14:alpha w14:val="100000"/>
                    </w14:srgbClr>
                  </w14:solidFill>
                </w14:textFill>
              </w:rPr>
              <w:t>|</w:t>
            </w:r>
            <w:r w:rsidRPr="004E423C">
              <w:rPr>
                <w:rFonts w:hint="eastAsia"/>
                <w:color w:val="000000"/>
                <w:spacing w:val="4"/>
                <w:w w:val="31"/>
                <w:shd w:val="solid" w:color="000000" w:fill="000000"/>
                <w:fitText w:val="140" w:id="-1435825915"/>
                <w14:textFill>
                  <w14:solidFill>
                    <w14:srgbClr w14:val="000000">
                      <w14:alpha w14:val="100000"/>
                    </w14:srgbClr>
                  </w14:solidFill>
                </w14:textFill>
              </w:rPr>
              <w:t xml:space="preserve">　</w:t>
            </w:r>
            <w:r w:rsidR="001D7EFE" w:rsidRPr="001D7EFE">
              <w:rPr>
                <w:vertAlign w:val="superscript"/>
              </w:rPr>
              <w:t>4</w:t>
            </w:r>
          </w:p>
        </w:tc>
      </w:tr>
      <w:tr w:rsidR="000E635F" w:rsidRPr="00D23D11" w14:paraId="1645F509" w14:textId="77777777" w:rsidTr="004E423C">
        <w:trPr>
          <w:cantSplit/>
          <w:trHeight w:val="283"/>
          <w:tblHeader/>
        </w:trPr>
        <w:tc>
          <w:tcPr>
            <w:tcW w:w="2241" w:type="pct"/>
            <w:tcBorders>
              <w:top w:val="nil"/>
              <w:left w:val="single" w:sz="4" w:space="0" w:color="auto"/>
              <w:bottom w:val="nil"/>
              <w:right w:val="single" w:sz="4" w:space="0" w:color="auto"/>
            </w:tcBorders>
          </w:tcPr>
          <w:p w14:paraId="17DEF1C3" w14:textId="77777777" w:rsidR="000E635F" w:rsidRPr="00DE21E1" w:rsidRDefault="000E635F" w:rsidP="00AF456E">
            <w:pPr>
              <w:pStyle w:val="TableText0"/>
              <w:keepNext w:val="0"/>
              <w:numPr>
                <w:ilvl w:val="0"/>
                <w:numId w:val="13"/>
              </w:numPr>
            </w:pPr>
            <w:r w:rsidRPr="00DE21E1">
              <w:t>10 years</w:t>
            </w:r>
          </w:p>
        </w:tc>
        <w:tc>
          <w:tcPr>
            <w:tcW w:w="920" w:type="pct"/>
            <w:tcBorders>
              <w:top w:val="nil"/>
              <w:left w:val="single" w:sz="4" w:space="0" w:color="auto"/>
              <w:bottom w:val="nil"/>
              <w:right w:val="single" w:sz="4" w:space="0" w:color="auto"/>
            </w:tcBorders>
            <w:shd w:val="solid" w:color="000000" w:fill="000000"/>
          </w:tcPr>
          <w:p w14:paraId="590316B3" w14:textId="2B564CB3" w:rsidR="000E635F" w:rsidRPr="00EF6FDE" w:rsidRDefault="004E423C" w:rsidP="002F3BC0">
            <w:pPr>
              <w:pStyle w:val="TableText0"/>
              <w:keepNext w:val="0"/>
              <w:jc w:val="center"/>
              <w:rPr>
                <w:highlight w:val="lightGray"/>
              </w:rPr>
            </w:pPr>
            <w:r w:rsidRPr="004E423C">
              <w:rPr>
                <w:rFonts w:hint="eastAsia"/>
                <w:color w:val="000000"/>
                <w:w w:val="22"/>
                <w:fitText w:val="100" w:id="-1435825914"/>
                <w14:textFill>
                  <w14:solidFill>
                    <w14:srgbClr w14:val="000000">
                      <w14:alpha w14:val="100000"/>
                    </w14:srgbClr>
                  </w14:solidFill>
                </w14:textFill>
              </w:rPr>
              <w:t xml:space="preserve">　</w:t>
            </w:r>
            <w:r w:rsidRPr="004E423C">
              <w:rPr>
                <w:color w:val="000000"/>
                <w:w w:val="22"/>
                <w:fitText w:val="100" w:id="-1435825914"/>
                <w14:textFill>
                  <w14:solidFill>
                    <w14:srgbClr w14:val="000000">
                      <w14:alpha w14:val="100000"/>
                    </w14:srgbClr>
                  </w14:solidFill>
                </w14:textFill>
              </w:rPr>
              <w:t>|</w:t>
            </w:r>
            <w:r w:rsidRPr="004E423C">
              <w:rPr>
                <w:rFonts w:hint="eastAsia"/>
                <w:color w:val="000000"/>
                <w:w w:val="22"/>
                <w:fitText w:val="100" w:id="-1435825914"/>
                <w14:textFill>
                  <w14:solidFill>
                    <w14:srgbClr w14:val="000000">
                      <w14:alpha w14:val="100000"/>
                    </w14:srgbClr>
                  </w14:solidFill>
                </w14:textFill>
              </w:rPr>
              <w:t xml:space="preserve">　</w:t>
            </w:r>
          </w:p>
        </w:tc>
        <w:tc>
          <w:tcPr>
            <w:tcW w:w="920" w:type="pct"/>
            <w:tcBorders>
              <w:top w:val="nil"/>
              <w:left w:val="single" w:sz="4" w:space="0" w:color="auto"/>
              <w:bottom w:val="nil"/>
              <w:right w:val="single" w:sz="4" w:space="0" w:color="auto"/>
            </w:tcBorders>
          </w:tcPr>
          <w:p w14:paraId="668AA612" w14:textId="1173112B" w:rsidR="000E635F" w:rsidRPr="00DE21E1" w:rsidRDefault="000E635F" w:rsidP="002F3BC0">
            <w:pPr>
              <w:pStyle w:val="TableText0"/>
              <w:keepNext w:val="0"/>
              <w:jc w:val="center"/>
            </w:pPr>
            <w:r w:rsidRPr="00DE21E1">
              <w:t>0.383</w:t>
            </w:r>
          </w:p>
        </w:tc>
        <w:tc>
          <w:tcPr>
            <w:tcW w:w="919" w:type="pct"/>
            <w:tcBorders>
              <w:top w:val="nil"/>
              <w:left w:val="single" w:sz="4" w:space="0" w:color="auto"/>
              <w:bottom w:val="nil"/>
              <w:right w:val="single" w:sz="4" w:space="0" w:color="auto"/>
            </w:tcBorders>
          </w:tcPr>
          <w:p w14:paraId="78E2222C" w14:textId="5286EDEC" w:rsidR="000E635F" w:rsidRPr="001D7EFE" w:rsidRDefault="004E423C" w:rsidP="002F3BC0">
            <w:pPr>
              <w:pStyle w:val="TableText0"/>
              <w:keepNext w:val="0"/>
              <w:jc w:val="center"/>
              <w:rPr>
                <w:highlight w:val="lightGray"/>
              </w:rPr>
            </w:pPr>
            <w:r w:rsidRPr="004E423C">
              <w:rPr>
                <w:rFonts w:hint="eastAsia"/>
                <w:color w:val="000000"/>
                <w:w w:val="31"/>
                <w:shd w:val="solid" w:color="000000" w:fill="000000"/>
                <w:fitText w:val="140" w:id="-1435825913"/>
                <w14:textFill>
                  <w14:solidFill>
                    <w14:srgbClr w14:val="000000">
                      <w14:alpha w14:val="100000"/>
                    </w14:srgbClr>
                  </w14:solidFill>
                </w14:textFill>
              </w:rPr>
              <w:t xml:space="preserve">　</w:t>
            </w:r>
            <w:r w:rsidRPr="004E423C">
              <w:rPr>
                <w:color w:val="000000"/>
                <w:w w:val="31"/>
                <w:shd w:val="solid" w:color="000000" w:fill="000000"/>
                <w:fitText w:val="140" w:id="-1435825913"/>
                <w14:textFill>
                  <w14:solidFill>
                    <w14:srgbClr w14:val="000000">
                      <w14:alpha w14:val="100000"/>
                    </w14:srgbClr>
                  </w14:solidFill>
                </w14:textFill>
              </w:rPr>
              <w:t>|</w:t>
            </w:r>
            <w:r w:rsidRPr="004E423C">
              <w:rPr>
                <w:rFonts w:hint="eastAsia"/>
                <w:color w:val="000000"/>
                <w:spacing w:val="4"/>
                <w:w w:val="31"/>
                <w:shd w:val="solid" w:color="000000" w:fill="000000"/>
                <w:fitText w:val="140" w:id="-1435825913"/>
                <w14:textFill>
                  <w14:solidFill>
                    <w14:srgbClr w14:val="000000">
                      <w14:alpha w14:val="100000"/>
                    </w14:srgbClr>
                  </w14:solidFill>
                </w14:textFill>
              </w:rPr>
              <w:t xml:space="preserve">　</w:t>
            </w:r>
            <w:r w:rsidR="001D7EFE" w:rsidRPr="001D7EFE">
              <w:rPr>
                <w:vertAlign w:val="superscript"/>
              </w:rPr>
              <w:t>5</w:t>
            </w:r>
          </w:p>
        </w:tc>
      </w:tr>
      <w:tr w:rsidR="000E635F" w:rsidRPr="00D23D11" w14:paraId="2E1E96DB" w14:textId="77777777" w:rsidTr="004E423C">
        <w:trPr>
          <w:cantSplit/>
          <w:trHeight w:val="87"/>
          <w:tblHeader/>
        </w:trPr>
        <w:tc>
          <w:tcPr>
            <w:tcW w:w="2241" w:type="pct"/>
            <w:tcBorders>
              <w:top w:val="nil"/>
              <w:left w:val="single" w:sz="4" w:space="0" w:color="auto"/>
              <w:bottom w:val="single" w:sz="4" w:space="0" w:color="auto"/>
              <w:right w:val="single" w:sz="4" w:space="0" w:color="auto"/>
            </w:tcBorders>
          </w:tcPr>
          <w:p w14:paraId="14D62846" w14:textId="77777777" w:rsidR="000E635F" w:rsidRPr="00DE21E1" w:rsidRDefault="000E635F" w:rsidP="00AF456E">
            <w:pPr>
              <w:pStyle w:val="TableText0"/>
              <w:keepNext w:val="0"/>
              <w:numPr>
                <w:ilvl w:val="0"/>
                <w:numId w:val="13"/>
              </w:numPr>
            </w:pPr>
            <w:r w:rsidRPr="00DE21E1">
              <w:t>15 years</w:t>
            </w:r>
          </w:p>
        </w:tc>
        <w:tc>
          <w:tcPr>
            <w:tcW w:w="920" w:type="pct"/>
            <w:tcBorders>
              <w:top w:val="nil"/>
              <w:left w:val="single" w:sz="4" w:space="0" w:color="auto"/>
              <w:bottom w:val="single" w:sz="4" w:space="0" w:color="auto"/>
              <w:right w:val="single" w:sz="4" w:space="0" w:color="auto"/>
            </w:tcBorders>
            <w:shd w:val="solid" w:color="000000" w:fill="000000"/>
          </w:tcPr>
          <w:p w14:paraId="33EAC822" w14:textId="0AF543A1" w:rsidR="000E635F" w:rsidRPr="00EF6FDE" w:rsidRDefault="004E423C" w:rsidP="002F3BC0">
            <w:pPr>
              <w:pStyle w:val="TableText0"/>
              <w:keepNext w:val="0"/>
              <w:jc w:val="center"/>
              <w:rPr>
                <w:rFonts w:eastAsia="Calibri"/>
                <w:szCs w:val="20"/>
                <w:highlight w:val="lightGray"/>
              </w:rPr>
            </w:pPr>
            <w:r w:rsidRPr="004E423C">
              <w:rPr>
                <w:rFonts w:hint="eastAsia"/>
                <w:color w:val="000000"/>
                <w:w w:val="22"/>
                <w:fitText w:val="100" w:id="-1435825912"/>
                <w14:textFill>
                  <w14:solidFill>
                    <w14:srgbClr w14:val="000000">
                      <w14:alpha w14:val="100000"/>
                    </w14:srgbClr>
                  </w14:solidFill>
                </w14:textFill>
              </w:rPr>
              <w:t xml:space="preserve">　</w:t>
            </w:r>
            <w:r w:rsidRPr="004E423C">
              <w:rPr>
                <w:color w:val="000000"/>
                <w:w w:val="22"/>
                <w:fitText w:val="100" w:id="-1435825912"/>
                <w14:textFill>
                  <w14:solidFill>
                    <w14:srgbClr w14:val="000000">
                      <w14:alpha w14:val="100000"/>
                    </w14:srgbClr>
                  </w14:solidFill>
                </w14:textFill>
              </w:rPr>
              <w:t>|</w:t>
            </w:r>
            <w:r w:rsidRPr="004E423C">
              <w:rPr>
                <w:rFonts w:hint="eastAsia"/>
                <w:color w:val="000000"/>
                <w:w w:val="22"/>
                <w:fitText w:val="100" w:id="-1435825912"/>
                <w14:textFill>
                  <w14:solidFill>
                    <w14:srgbClr w14:val="000000">
                      <w14:alpha w14:val="100000"/>
                    </w14:srgbClr>
                  </w14:solidFill>
                </w14:textFill>
              </w:rPr>
              <w:t xml:space="preserve">　</w:t>
            </w:r>
          </w:p>
        </w:tc>
        <w:tc>
          <w:tcPr>
            <w:tcW w:w="920" w:type="pct"/>
            <w:tcBorders>
              <w:top w:val="nil"/>
              <w:left w:val="single" w:sz="4" w:space="0" w:color="auto"/>
              <w:bottom w:val="single" w:sz="4" w:space="0" w:color="auto"/>
              <w:right w:val="single" w:sz="4" w:space="0" w:color="auto"/>
            </w:tcBorders>
          </w:tcPr>
          <w:p w14:paraId="510CA02F" w14:textId="78C4297E" w:rsidR="000E635F" w:rsidRPr="00DE21E1" w:rsidRDefault="000E635F" w:rsidP="002F3BC0">
            <w:pPr>
              <w:pStyle w:val="TableText0"/>
              <w:keepNext w:val="0"/>
              <w:jc w:val="center"/>
              <w:rPr>
                <w:rFonts w:eastAsia="Calibri"/>
                <w:szCs w:val="20"/>
              </w:rPr>
            </w:pPr>
            <w:r w:rsidRPr="00DE21E1">
              <w:t>0.502</w:t>
            </w:r>
          </w:p>
        </w:tc>
        <w:tc>
          <w:tcPr>
            <w:tcW w:w="919" w:type="pct"/>
            <w:tcBorders>
              <w:top w:val="nil"/>
              <w:left w:val="single" w:sz="4" w:space="0" w:color="auto"/>
              <w:bottom w:val="single" w:sz="4" w:space="0" w:color="auto"/>
              <w:right w:val="single" w:sz="4" w:space="0" w:color="auto"/>
            </w:tcBorders>
          </w:tcPr>
          <w:p w14:paraId="3C1FE19A" w14:textId="5A52E62B" w:rsidR="000E635F" w:rsidRPr="001D7EFE" w:rsidRDefault="004E423C" w:rsidP="002F3BC0">
            <w:pPr>
              <w:pStyle w:val="TableText0"/>
              <w:keepNext w:val="0"/>
              <w:jc w:val="center"/>
              <w:rPr>
                <w:rFonts w:eastAsia="Calibri"/>
                <w:szCs w:val="20"/>
                <w:highlight w:val="lightGray"/>
              </w:rPr>
            </w:pPr>
            <w:r w:rsidRPr="004E423C">
              <w:rPr>
                <w:rFonts w:hint="eastAsia"/>
                <w:color w:val="000000"/>
                <w:w w:val="31"/>
                <w:shd w:val="solid" w:color="000000" w:fill="000000"/>
                <w:fitText w:val="140" w:id="-1435825911"/>
                <w14:textFill>
                  <w14:solidFill>
                    <w14:srgbClr w14:val="000000">
                      <w14:alpha w14:val="100000"/>
                    </w14:srgbClr>
                  </w14:solidFill>
                </w14:textFill>
              </w:rPr>
              <w:t xml:space="preserve">　</w:t>
            </w:r>
            <w:r w:rsidRPr="004E423C">
              <w:rPr>
                <w:color w:val="000000"/>
                <w:w w:val="31"/>
                <w:shd w:val="solid" w:color="000000" w:fill="000000"/>
                <w:fitText w:val="140" w:id="-1435825911"/>
                <w14:textFill>
                  <w14:solidFill>
                    <w14:srgbClr w14:val="000000">
                      <w14:alpha w14:val="100000"/>
                    </w14:srgbClr>
                  </w14:solidFill>
                </w14:textFill>
              </w:rPr>
              <w:t>|</w:t>
            </w:r>
            <w:r w:rsidRPr="004E423C">
              <w:rPr>
                <w:rFonts w:hint="eastAsia"/>
                <w:color w:val="000000"/>
                <w:spacing w:val="4"/>
                <w:w w:val="31"/>
                <w:shd w:val="solid" w:color="000000" w:fill="000000"/>
                <w:fitText w:val="140" w:id="-1435825911"/>
                <w14:textFill>
                  <w14:solidFill>
                    <w14:srgbClr w14:val="000000">
                      <w14:alpha w14:val="100000"/>
                    </w14:srgbClr>
                  </w14:solidFill>
                </w14:textFill>
              </w:rPr>
              <w:t xml:space="preserve">　</w:t>
            </w:r>
            <w:r w:rsidR="001D7EFE" w:rsidRPr="001D7EFE">
              <w:rPr>
                <w:vertAlign w:val="superscript"/>
              </w:rPr>
              <w:t>6</w:t>
            </w:r>
          </w:p>
        </w:tc>
      </w:tr>
      <w:tr w:rsidR="00D24261" w:rsidRPr="00D23D11" w14:paraId="788DE7C9" w14:textId="77777777" w:rsidTr="004E423C">
        <w:trPr>
          <w:cantSplit/>
          <w:trHeight w:val="70"/>
          <w:tblHeader/>
        </w:trPr>
        <w:tc>
          <w:tcPr>
            <w:tcW w:w="2241" w:type="pct"/>
            <w:tcBorders>
              <w:bottom w:val="nil"/>
            </w:tcBorders>
          </w:tcPr>
          <w:p w14:paraId="668E1517" w14:textId="77777777" w:rsidR="00D24261" w:rsidRPr="00DE21E1" w:rsidRDefault="00D24261" w:rsidP="002F3BC0">
            <w:pPr>
              <w:pStyle w:val="TableText0"/>
              <w:keepNext w:val="0"/>
            </w:pPr>
            <w:r w:rsidRPr="00DE21E1">
              <w:t>OS extrapolation (base case log-normal)</w:t>
            </w:r>
          </w:p>
        </w:tc>
        <w:tc>
          <w:tcPr>
            <w:tcW w:w="920" w:type="pct"/>
            <w:tcBorders>
              <w:bottom w:val="nil"/>
            </w:tcBorders>
          </w:tcPr>
          <w:p w14:paraId="73CC02C5" w14:textId="77777777" w:rsidR="00D24261" w:rsidRPr="00EF6FDE" w:rsidRDefault="00D24261" w:rsidP="002F3BC0">
            <w:pPr>
              <w:pStyle w:val="TableText0"/>
              <w:keepNext w:val="0"/>
              <w:jc w:val="center"/>
              <w:rPr>
                <w:rFonts w:eastAsia="Calibri"/>
                <w:szCs w:val="20"/>
                <w:highlight w:val="lightGray"/>
              </w:rPr>
            </w:pPr>
          </w:p>
        </w:tc>
        <w:tc>
          <w:tcPr>
            <w:tcW w:w="920" w:type="pct"/>
            <w:tcBorders>
              <w:bottom w:val="nil"/>
            </w:tcBorders>
          </w:tcPr>
          <w:p w14:paraId="74934396" w14:textId="77777777" w:rsidR="00D24261" w:rsidRPr="00DE21E1" w:rsidRDefault="00D24261" w:rsidP="002F3BC0">
            <w:pPr>
              <w:pStyle w:val="TableText0"/>
              <w:keepNext w:val="0"/>
              <w:jc w:val="center"/>
              <w:rPr>
                <w:rFonts w:eastAsia="Calibri"/>
                <w:szCs w:val="20"/>
              </w:rPr>
            </w:pPr>
          </w:p>
        </w:tc>
        <w:tc>
          <w:tcPr>
            <w:tcW w:w="919" w:type="pct"/>
            <w:tcBorders>
              <w:bottom w:val="nil"/>
            </w:tcBorders>
          </w:tcPr>
          <w:p w14:paraId="5094D3CB" w14:textId="77777777" w:rsidR="00D24261" w:rsidRPr="00EF6FDE" w:rsidRDefault="00D24261" w:rsidP="002F3BC0">
            <w:pPr>
              <w:pStyle w:val="TableText0"/>
              <w:keepNext w:val="0"/>
              <w:jc w:val="center"/>
              <w:rPr>
                <w:rFonts w:eastAsia="Calibri"/>
                <w:szCs w:val="20"/>
                <w:highlight w:val="lightGray"/>
              </w:rPr>
            </w:pPr>
          </w:p>
        </w:tc>
      </w:tr>
      <w:tr w:rsidR="000E635F" w:rsidRPr="00D23D11" w14:paraId="2E1901D1" w14:textId="77777777" w:rsidTr="004E423C">
        <w:trPr>
          <w:cantSplit/>
          <w:trHeight w:val="80"/>
          <w:tblHeader/>
        </w:trPr>
        <w:tc>
          <w:tcPr>
            <w:tcW w:w="2241" w:type="pct"/>
            <w:tcBorders>
              <w:top w:val="nil"/>
              <w:bottom w:val="nil"/>
            </w:tcBorders>
          </w:tcPr>
          <w:p w14:paraId="77021070" w14:textId="77777777" w:rsidR="000E635F" w:rsidRPr="00DE21E1" w:rsidRDefault="000E635F" w:rsidP="00AF456E">
            <w:pPr>
              <w:pStyle w:val="TableText0"/>
              <w:keepNext w:val="0"/>
              <w:numPr>
                <w:ilvl w:val="0"/>
                <w:numId w:val="13"/>
              </w:numPr>
            </w:pPr>
            <w:r w:rsidRPr="00DE21E1">
              <w:t>Generalised gamma</w:t>
            </w:r>
          </w:p>
        </w:tc>
        <w:tc>
          <w:tcPr>
            <w:tcW w:w="920" w:type="pct"/>
            <w:tcBorders>
              <w:top w:val="nil"/>
              <w:bottom w:val="nil"/>
            </w:tcBorders>
            <w:shd w:val="solid" w:color="000000" w:fill="000000"/>
          </w:tcPr>
          <w:p w14:paraId="465BBD5E" w14:textId="610736B5" w:rsidR="000E635F" w:rsidRPr="00EF6FDE" w:rsidRDefault="004E423C" w:rsidP="002F3BC0">
            <w:pPr>
              <w:pStyle w:val="TableText0"/>
              <w:keepNext w:val="0"/>
              <w:jc w:val="center"/>
              <w:rPr>
                <w:rFonts w:eastAsia="Calibri"/>
                <w:szCs w:val="20"/>
                <w:highlight w:val="lightGray"/>
              </w:rPr>
            </w:pPr>
            <w:r w:rsidRPr="004E423C">
              <w:rPr>
                <w:rFonts w:hint="eastAsia"/>
                <w:color w:val="000000"/>
                <w:w w:val="22"/>
                <w:fitText w:val="100" w:id="-1435825910"/>
                <w14:textFill>
                  <w14:solidFill>
                    <w14:srgbClr w14:val="000000">
                      <w14:alpha w14:val="100000"/>
                    </w14:srgbClr>
                  </w14:solidFill>
                </w14:textFill>
              </w:rPr>
              <w:t xml:space="preserve">　</w:t>
            </w:r>
            <w:r w:rsidRPr="004E423C">
              <w:rPr>
                <w:color w:val="000000"/>
                <w:w w:val="22"/>
                <w:fitText w:val="100" w:id="-1435825910"/>
                <w14:textFill>
                  <w14:solidFill>
                    <w14:srgbClr w14:val="000000">
                      <w14:alpha w14:val="100000"/>
                    </w14:srgbClr>
                  </w14:solidFill>
                </w14:textFill>
              </w:rPr>
              <w:t>|</w:t>
            </w:r>
            <w:r w:rsidRPr="004E423C">
              <w:rPr>
                <w:rFonts w:hint="eastAsia"/>
                <w:color w:val="000000"/>
                <w:w w:val="22"/>
                <w:fitText w:val="100" w:id="-1435825910"/>
                <w14:textFill>
                  <w14:solidFill>
                    <w14:srgbClr w14:val="000000">
                      <w14:alpha w14:val="100000"/>
                    </w14:srgbClr>
                  </w14:solidFill>
                </w14:textFill>
              </w:rPr>
              <w:t xml:space="preserve">　</w:t>
            </w:r>
          </w:p>
        </w:tc>
        <w:tc>
          <w:tcPr>
            <w:tcW w:w="920" w:type="pct"/>
            <w:tcBorders>
              <w:top w:val="nil"/>
              <w:bottom w:val="nil"/>
            </w:tcBorders>
          </w:tcPr>
          <w:p w14:paraId="487CAB32" w14:textId="01D3ACB4" w:rsidR="000E635F" w:rsidRPr="00DE21E1" w:rsidRDefault="000E635F" w:rsidP="002F3BC0">
            <w:pPr>
              <w:pStyle w:val="TableText0"/>
              <w:keepNext w:val="0"/>
              <w:jc w:val="center"/>
              <w:rPr>
                <w:rFonts w:eastAsia="Calibri"/>
                <w:szCs w:val="20"/>
              </w:rPr>
            </w:pPr>
            <w:r w:rsidRPr="00DE21E1">
              <w:t>0.745</w:t>
            </w:r>
          </w:p>
        </w:tc>
        <w:tc>
          <w:tcPr>
            <w:tcW w:w="919" w:type="pct"/>
            <w:tcBorders>
              <w:top w:val="nil"/>
              <w:bottom w:val="nil"/>
            </w:tcBorders>
          </w:tcPr>
          <w:p w14:paraId="7F34F7F2" w14:textId="499BDF21" w:rsidR="000E635F" w:rsidRPr="00EF6FDE" w:rsidRDefault="004E423C" w:rsidP="002F3BC0">
            <w:pPr>
              <w:pStyle w:val="TableText0"/>
              <w:keepNext w:val="0"/>
              <w:jc w:val="center"/>
              <w:rPr>
                <w:rFonts w:eastAsia="Calibri"/>
                <w:szCs w:val="20"/>
                <w:highlight w:val="lightGray"/>
              </w:rPr>
            </w:pPr>
            <w:r w:rsidRPr="004E423C">
              <w:rPr>
                <w:rFonts w:hint="eastAsia"/>
                <w:color w:val="000000"/>
                <w:w w:val="31"/>
                <w:shd w:val="solid" w:color="000000" w:fill="000000"/>
                <w:fitText w:val="140" w:id="-1435825909"/>
                <w14:textFill>
                  <w14:solidFill>
                    <w14:srgbClr w14:val="000000">
                      <w14:alpha w14:val="100000"/>
                    </w14:srgbClr>
                  </w14:solidFill>
                </w14:textFill>
              </w:rPr>
              <w:t xml:space="preserve">　</w:t>
            </w:r>
            <w:r w:rsidRPr="004E423C">
              <w:rPr>
                <w:color w:val="000000"/>
                <w:w w:val="31"/>
                <w:shd w:val="solid" w:color="000000" w:fill="000000"/>
                <w:fitText w:val="140" w:id="-1435825909"/>
                <w14:textFill>
                  <w14:solidFill>
                    <w14:srgbClr w14:val="000000">
                      <w14:alpha w14:val="100000"/>
                    </w14:srgbClr>
                  </w14:solidFill>
                </w14:textFill>
              </w:rPr>
              <w:t>|</w:t>
            </w:r>
            <w:r w:rsidRPr="004E423C">
              <w:rPr>
                <w:rFonts w:hint="eastAsia"/>
                <w:color w:val="000000"/>
                <w:spacing w:val="4"/>
                <w:w w:val="31"/>
                <w:shd w:val="solid" w:color="000000" w:fill="000000"/>
                <w:fitText w:val="140" w:id="-1435825909"/>
                <w14:textFill>
                  <w14:solidFill>
                    <w14:srgbClr w14:val="000000">
                      <w14:alpha w14:val="100000"/>
                    </w14:srgbClr>
                  </w14:solidFill>
                </w14:textFill>
              </w:rPr>
              <w:t xml:space="preserve">　</w:t>
            </w:r>
            <w:r w:rsidR="0038139A" w:rsidRPr="001D7EFE">
              <w:rPr>
                <w:b/>
                <w:bCs w:val="0"/>
                <w:vertAlign w:val="superscript"/>
              </w:rPr>
              <w:t>1</w:t>
            </w:r>
          </w:p>
        </w:tc>
      </w:tr>
      <w:tr w:rsidR="000E635F" w:rsidRPr="00D23D11" w14:paraId="424CBE75" w14:textId="77777777" w:rsidTr="004E423C">
        <w:trPr>
          <w:cantSplit/>
          <w:trHeight w:val="80"/>
          <w:tblHeader/>
        </w:trPr>
        <w:tc>
          <w:tcPr>
            <w:tcW w:w="2241" w:type="pct"/>
            <w:tcBorders>
              <w:top w:val="nil"/>
              <w:bottom w:val="nil"/>
            </w:tcBorders>
          </w:tcPr>
          <w:p w14:paraId="10676EFE" w14:textId="77777777" w:rsidR="000E635F" w:rsidRPr="00DE21E1" w:rsidRDefault="000E635F" w:rsidP="00AF456E">
            <w:pPr>
              <w:pStyle w:val="TableText0"/>
              <w:keepNext w:val="0"/>
              <w:numPr>
                <w:ilvl w:val="0"/>
                <w:numId w:val="13"/>
              </w:numPr>
            </w:pPr>
            <w:r w:rsidRPr="00DE21E1">
              <w:t>Gompertz</w:t>
            </w:r>
          </w:p>
        </w:tc>
        <w:tc>
          <w:tcPr>
            <w:tcW w:w="920" w:type="pct"/>
            <w:tcBorders>
              <w:top w:val="nil"/>
              <w:bottom w:val="nil"/>
            </w:tcBorders>
            <w:shd w:val="solid" w:color="000000" w:fill="000000"/>
          </w:tcPr>
          <w:p w14:paraId="56B55860" w14:textId="67CD991E" w:rsidR="000E635F" w:rsidRPr="00EF6FDE" w:rsidRDefault="004E423C" w:rsidP="002F3BC0">
            <w:pPr>
              <w:pStyle w:val="TableText0"/>
              <w:keepNext w:val="0"/>
              <w:jc w:val="center"/>
              <w:rPr>
                <w:rFonts w:eastAsia="Calibri"/>
                <w:szCs w:val="20"/>
                <w:highlight w:val="lightGray"/>
              </w:rPr>
            </w:pPr>
            <w:r w:rsidRPr="004E423C">
              <w:rPr>
                <w:rFonts w:hint="eastAsia"/>
                <w:color w:val="000000"/>
                <w:w w:val="22"/>
                <w:fitText w:val="100" w:id="-1435825908"/>
                <w14:textFill>
                  <w14:solidFill>
                    <w14:srgbClr w14:val="000000">
                      <w14:alpha w14:val="100000"/>
                    </w14:srgbClr>
                  </w14:solidFill>
                </w14:textFill>
              </w:rPr>
              <w:t xml:space="preserve">　</w:t>
            </w:r>
            <w:r w:rsidRPr="004E423C">
              <w:rPr>
                <w:color w:val="000000"/>
                <w:w w:val="22"/>
                <w:fitText w:val="100" w:id="-1435825908"/>
                <w14:textFill>
                  <w14:solidFill>
                    <w14:srgbClr w14:val="000000">
                      <w14:alpha w14:val="100000"/>
                    </w14:srgbClr>
                  </w14:solidFill>
                </w14:textFill>
              </w:rPr>
              <w:t>|</w:t>
            </w:r>
            <w:r w:rsidRPr="004E423C">
              <w:rPr>
                <w:rFonts w:hint="eastAsia"/>
                <w:color w:val="000000"/>
                <w:w w:val="22"/>
                <w:fitText w:val="100" w:id="-1435825908"/>
                <w14:textFill>
                  <w14:solidFill>
                    <w14:srgbClr w14:val="000000">
                      <w14:alpha w14:val="100000"/>
                    </w14:srgbClr>
                  </w14:solidFill>
                </w14:textFill>
              </w:rPr>
              <w:t xml:space="preserve">　</w:t>
            </w:r>
          </w:p>
        </w:tc>
        <w:tc>
          <w:tcPr>
            <w:tcW w:w="920" w:type="pct"/>
            <w:tcBorders>
              <w:top w:val="nil"/>
              <w:bottom w:val="nil"/>
            </w:tcBorders>
          </w:tcPr>
          <w:p w14:paraId="060C41C1" w14:textId="3892DDDB" w:rsidR="000E635F" w:rsidRPr="00DE21E1" w:rsidRDefault="000E635F" w:rsidP="002F3BC0">
            <w:pPr>
              <w:pStyle w:val="TableText0"/>
              <w:keepNext w:val="0"/>
              <w:jc w:val="center"/>
              <w:rPr>
                <w:rFonts w:eastAsia="Calibri"/>
                <w:szCs w:val="20"/>
              </w:rPr>
            </w:pPr>
            <w:r w:rsidRPr="00DE21E1">
              <w:t>0.715</w:t>
            </w:r>
          </w:p>
        </w:tc>
        <w:tc>
          <w:tcPr>
            <w:tcW w:w="919" w:type="pct"/>
            <w:tcBorders>
              <w:top w:val="nil"/>
              <w:bottom w:val="nil"/>
            </w:tcBorders>
          </w:tcPr>
          <w:p w14:paraId="73BA0488" w14:textId="407D2D6B" w:rsidR="000E635F" w:rsidRPr="00EF6FDE" w:rsidRDefault="004E423C" w:rsidP="002F3BC0">
            <w:pPr>
              <w:pStyle w:val="TableText0"/>
              <w:keepNext w:val="0"/>
              <w:jc w:val="center"/>
              <w:rPr>
                <w:rFonts w:eastAsia="Calibri"/>
                <w:szCs w:val="20"/>
                <w:highlight w:val="lightGray"/>
              </w:rPr>
            </w:pPr>
            <w:r w:rsidRPr="004E423C">
              <w:rPr>
                <w:rFonts w:hint="eastAsia"/>
                <w:color w:val="000000"/>
                <w:w w:val="31"/>
                <w:shd w:val="solid" w:color="000000" w:fill="000000"/>
                <w:fitText w:val="140" w:id="-1435825907"/>
                <w14:textFill>
                  <w14:solidFill>
                    <w14:srgbClr w14:val="000000">
                      <w14:alpha w14:val="100000"/>
                    </w14:srgbClr>
                  </w14:solidFill>
                </w14:textFill>
              </w:rPr>
              <w:t xml:space="preserve">　</w:t>
            </w:r>
            <w:r w:rsidRPr="004E423C">
              <w:rPr>
                <w:color w:val="000000"/>
                <w:w w:val="31"/>
                <w:shd w:val="solid" w:color="000000" w:fill="000000"/>
                <w:fitText w:val="140" w:id="-1435825907"/>
                <w14:textFill>
                  <w14:solidFill>
                    <w14:srgbClr w14:val="000000">
                      <w14:alpha w14:val="100000"/>
                    </w14:srgbClr>
                  </w14:solidFill>
                </w14:textFill>
              </w:rPr>
              <w:t>|</w:t>
            </w:r>
            <w:r w:rsidRPr="004E423C">
              <w:rPr>
                <w:rFonts w:hint="eastAsia"/>
                <w:color w:val="000000"/>
                <w:spacing w:val="4"/>
                <w:w w:val="31"/>
                <w:shd w:val="solid" w:color="000000" w:fill="000000"/>
                <w:fitText w:val="140" w:id="-1435825907"/>
                <w14:textFill>
                  <w14:solidFill>
                    <w14:srgbClr w14:val="000000">
                      <w14:alpha w14:val="100000"/>
                    </w14:srgbClr>
                  </w14:solidFill>
                </w14:textFill>
              </w:rPr>
              <w:t xml:space="preserve">　</w:t>
            </w:r>
            <w:r w:rsidR="0038139A" w:rsidRPr="001D7EFE">
              <w:rPr>
                <w:b/>
                <w:bCs w:val="0"/>
                <w:vertAlign w:val="superscript"/>
              </w:rPr>
              <w:t>1</w:t>
            </w:r>
          </w:p>
        </w:tc>
      </w:tr>
      <w:tr w:rsidR="000E635F" w:rsidRPr="00D23D11" w14:paraId="29B2EE7A" w14:textId="77777777" w:rsidTr="004E423C">
        <w:trPr>
          <w:cantSplit/>
          <w:trHeight w:val="131"/>
          <w:tblHeader/>
        </w:trPr>
        <w:tc>
          <w:tcPr>
            <w:tcW w:w="2241" w:type="pct"/>
            <w:tcBorders>
              <w:top w:val="nil"/>
            </w:tcBorders>
          </w:tcPr>
          <w:p w14:paraId="15335B75" w14:textId="77777777" w:rsidR="000E635F" w:rsidRPr="00DE21E1" w:rsidRDefault="000E635F" w:rsidP="00AF456E">
            <w:pPr>
              <w:pStyle w:val="TableText0"/>
              <w:keepNext w:val="0"/>
              <w:numPr>
                <w:ilvl w:val="0"/>
                <w:numId w:val="13"/>
              </w:numPr>
            </w:pPr>
            <w:r w:rsidRPr="00DE21E1">
              <w:t>Log-log</w:t>
            </w:r>
          </w:p>
        </w:tc>
        <w:tc>
          <w:tcPr>
            <w:tcW w:w="920" w:type="pct"/>
            <w:tcBorders>
              <w:top w:val="nil"/>
            </w:tcBorders>
            <w:shd w:val="solid" w:color="000000" w:fill="000000"/>
          </w:tcPr>
          <w:p w14:paraId="69934CC5" w14:textId="1F100107" w:rsidR="000E635F" w:rsidRPr="00EF6FDE" w:rsidRDefault="004E423C" w:rsidP="002F3BC0">
            <w:pPr>
              <w:pStyle w:val="TableText0"/>
              <w:keepNext w:val="0"/>
              <w:jc w:val="center"/>
              <w:rPr>
                <w:rFonts w:eastAsia="Calibri"/>
                <w:szCs w:val="20"/>
                <w:highlight w:val="lightGray"/>
              </w:rPr>
            </w:pPr>
            <w:r w:rsidRPr="004E423C">
              <w:rPr>
                <w:rFonts w:hint="eastAsia"/>
                <w:color w:val="000000"/>
                <w:w w:val="22"/>
                <w:fitText w:val="100" w:id="-1435825906"/>
                <w14:textFill>
                  <w14:solidFill>
                    <w14:srgbClr w14:val="000000">
                      <w14:alpha w14:val="100000"/>
                    </w14:srgbClr>
                  </w14:solidFill>
                </w14:textFill>
              </w:rPr>
              <w:t xml:space="preserve">　</w:t>
            </w:r>
            <w:r w:rsidRPr="004E423C">
              <w:rPr>
                <w:color w:val="000000"/>
                <w:w w:val="22"/>
                <w:fitText w:val="100" w:id="-1435825906"/>
                <w14:textFill>
                  <w14:solidFill>
                    <w14:srgbClr w14:val="000000">
                      <w14:alpha w14:val="100000"/>
                    </w14:srgbClr>
                  </w14:solidFill>
                </w14:textFill>
              </w:rPr>
              <w:t>|</w:t>
            </w:r>
            <w:r w:rsidRPr="004E423C">
              <w:rPr>
                <w:rFonts w:hint="eastAsia"/>
                <w:color w:val="000000"/>
                <w:w w:val="22"/>
                <w:fitText w:val="100" w:id="-1435825906"/>
                <w14:textFill>
                  <w14:solidFill>
                    <w14:srgbClr w14:val="000000">
                      <w14:alpha w14:val="100000"/>
                    </w14:srgbClr>
                  </w14:solidFill>
                </w14:textFill>
              </w:rPr>
              <w:t xml:space="preserve">　</w:t>
            </w:r>
          </w:p>
        </w:tc>
        <w:tc>
          <w:tcPr>
            <w:tcW w:w="920" w:type="pct"/>
            <w:tcBorders>
              <w:top w:val="nil"/>
            </w:tcBorders>
          </w:tcPr>
          <w:p w14:paraId="52F52284" w14:textId="5410C992" w:rsidR="000E635F" w:rsidRPr="00DE21E1" w:rsidRDefault="000E635F" w:rsidP="002F3BC0">
            <w:pPr>
              <w:pStyle w:val="TableText0"/>
              <w:keepNext w:val="0"/>
              <w:jc w:val="center"/>
              <w:rPr>
                <w:rFonts w:eastAsia="Calibri"/>
                <w:szCs w:val="20"/>
              </w:rPr>
            </w:pPr>
            <w:r w:rsidRPr="00DE21E1">
              <w:t>0.535</w:t>
            </w:r>
          </w:p>
        </w:tc>
        <w:tc>
          <w:tcPr>
            <w:tcW w:w="919" w:type="pct"/>
            <w:tcBorders>
              <w:top w:val="nil"/>
            </w:tcBorders>
          </w:tcPr>
          <w:p w14:paraId="4BF5A475" w14:textId="4EE8EC69" w:rsidR="000E635F" w:rsidRPr="00EF6FDE" w:rsidRDefault="004E423C" w:rsidP="002F3BC0">
            <w:pPr>
              <w:pStyle w:val="TableText0"/>
              <w:keepNext w:val="0"/>
              <w:jc w:val="center"/>
              <w:rPr>
                <w:rFonts w:eastAsia="Calibri"/>
                <w:szCs w:val="20"/>
                <w:highlight w:val="lightGray"/>
              </w:rPr>
            </w:pPr>
            <w:r w:rsidRPr="004E423C">
              <w:rPr>
                <w:rFonts w:hint="eastAsia"/>
                <w:color w:val="000000"/>
                <w:w w:val="31"/>
                <w:shd w:val="solid" w:color="000000" w:fill="000000"/>
                <w:fitText w:val="140" w:id="-1435825905"/>
                <w14:textFill>
                  <w14:solidFill>
                    <w14:srgbClr w14:val="000000">
                      <w14:alpha w14:val="100000"/>
                    </w14:srgbClr>
                  </w14:solidFill>
                </w14:textFill>
              </w:rPr>
              <w:t xml:space="preserve">　</w:t>
            </w:r>
            <w:r w:rsidRPr="004E423C">
              <w:rPr>
                <w:color w:val="000000"/>
                <w:w w:val="31"/>
                <w:shd w:val="solid" w:color="000000" w:fill="000000"/>
                <w:fitText w:val="140" w:id="-1435825905"/>
                <w14:textFill>
                  <w14:solidFill>
                    <w14:srgbClr w14:val="000000">
                      <w14:alpha w14:val="100000"/>
                    </w14:srgbClr>
                  </w14:solidFill>
                </w14:textFill>
              </w:rPr>
              <w:t>|</w:t>
            </w:r>
            <w:r w:rsidRPr="004E423C">
              <w:rPr>
                <w:rFonts w:hint="eastAsia"/>
                <w:color w:val="000000"/>
                <w:spacing w:val="4"/>
                <w:w w:val="31"/>
                <w:shd w:val="solid" w:color="000000" w:fill="000000"/>
                <w:fitText w:val="140" w:id="-1435825905"/>
                <w14:textFill>
                  <w14:solidFill>
                    <w14:srgbClr w14:val="000000">
                      <w14:alpha w14:val="100000"/>
                    </w14:srgbClr>
                  </w14:solidFill>
                </w14:textFill>
              </w:rPr>
              <w:t xml:space="preserve">　</w:t>
            </w:r>
            <w:r w:rsidR="0038139A" w:rsidRPr="001D7EFE">
              <w:rPr>
                <w:vertAlign w:val="superscript"/>
              </w:rPr>
              <w:t>6</w:t>
            </w:r>
          </w:p>
        </w:tc>
      </w:tr>
      <w:tr w:rsidR="00D24261" w:rsidRPr="00D23D11" w14:paraId="7AD4132A" w14:textId="77777777" w:rsidTr="004E423C">
        <w:trPr>
          <w:cantSplit/>
          <w:trHeight w:val="70"/>
          <w:tblHeader/>
        </w:trPr>
        <w:tc>
          <w:tcPr>
            <w:tcW w:w="2241" w:type="pct"/>
            <w:tcBorders>
              <w:top w:val="single" w:sz="4" w:space="0" w:color="auto"/>
              <w:left w:val="single" w:sz="4" w:space="0" w:color="auto"/>
              <w:bottom w:val="nil"/>
              <w:right w:val="single" w:sz="4" w:space="0" w:color="auto"/>
            </w:tcBorders>
          </w:tcPr>
          <w:p w14:paraId="50738D38" w14:textId="77777777" w:rsidR="00D24261" w:rsidRPr="00DE21E1" w:rsidRDefault="00D24261" w:rsidP="002F3BC0">
            <w:pPr>
              <w:pStyle w:val="TableText0"/>
              <w:keepNext w:val="0"/>
            </w:pPr>
            <w:r w:rsidRPr="00DE21E1">
              <w:t>TTD Extrapolation (base case Weibull)</w:t>
            </w:r>
          </w:p>
        </w:tc>
        <w:tc>
          <w:tcPr>
            <w:tcW w:w="920" w:type="pct"/>
            <w:tcBorders>
              <w:top w:val="single" w:sz="4" w:space="0" w:color="auto"/>
              <w:left w:val="single" w:sz="4" w:space="0" w:color="auto"/>
              <w:bottom w:val="nil"/>
              <w:right w:val="single" w:sz="4" w:space="0" w:color="auto"/>
            </w:tcBorders>
          </w:tcPr>
          <w:p w14:paraId="7BFD8172" w14:textId="77777777" w:rsidR="00D24261" w:rsidRPr="00DE21E1" w:rsidRDefault="00D24261" w:rsidP="002F3BC0">
            <w:pPr>
              <w:pStyle w:val="TableText0"/>
              <w:keepNext w:val="0"/>
              <w:jc w:val="center"/>
            </w:pPr>
          </w:p>
        </w:tc>
        <w:tc>
          <w:tcPr>
            <w:tcW w:w="920" w:type="pct"/>
            <w:tcBorders>
              <w:top w:val="single" w:sz="4" w:space="0" w:color="auto"/>
              <w:left w:val="single" w:sz="4" w:space="0" w:color="auto"/>
              <w:bottom w:val="nil"/>
              <w:right w:val="single" w:sz="4" w:space="0" w:color="auto"/>
            </w:tcBorders>
          </w:tcPr>
          <w:p w14:paraId="475BE607" w14:textId="77777777" w:rsidR="00D24261" w:rsidRPr="00DE21E1" w:rsidRDefault="00D24261" w:rsidP="002F3BC0">
            <w:pPr>
              <w:pStyle w:val="TableText0"/>
              <w:keepNext w:val="0"/>
              <w:jc w:val="center"/>
            </w:pPr>
          </w:p>
        </w:tc>
        <w:tc>
          <w:tcPr>
            <w:tcW w:w="919" w:type="pct"/>
            <w:tcBorders>
              <w:top w:val="single" w:sz="4" w:space="0" w:color="auto"/>
              <w:left w:val="single" w:sz="4" w:space="0" w:color="auto"/>
              <w:bottom w:val="nil"/>
              <w:right w:val="single" w:sz="4" w:space="0" w:color="auto"/>
            </w:tcBorders>
          </w:tcPr>
          <w:p w14:paraId="2B947EE0" w14:textId="77777777" w:rsidR="00D24261" w:rsidRPr="00DE21E1" w:rsidRDefault="00D24261" w:rsidP="002F3BC0">
            <w:pPr>
              <w:pStyle w:val="TableText0"/>
              <w:keepNext w:val="0"/>
              <w:jc w:val="center"/>
            </w:pPr>
          </w:p>
        </w:tc>
      </w:tr>
      <w:tr w:rsidR="000E635F" w:rsidRPr="00D23D11" w14:paraId="5105FB2F" w14:textId="77777777" w:rsidTr="004E423C">
        <w:trPr>
          <w:cantSplit/>
          <w:trHeight w:val="80"/>
          <w:tblHeader/>
        </w:trPr>
        <w:tc>
          <w:tcPr>
            <w:tcW w:w="2241" w:type="pct"/>
            <w:tcBorders>
              <w:top w:val="nil"/>
              <w:left w:val="single" w:sz="4" w:space="0" w:color="auto"/>
              <w:bottom w:val="single" w:sz="4" w:space="0" w:color="auto"/>
              <w:right w:val="single" w:sz="4" w:space="0" w:color="auto"/>
            </w:tcBorders>
          </w:tcPr>
          <w:p w14:paraId="34F03083" w14:textId="77777777" w:rsidR="000E635F" w:rsidRPr="00DE21E1" w:rsidRDefault="000E635F" w:rsidP="00AF456E">
            <w:pPr>
              <w:pStyle w:val="TableText0"/>
              <w:keepNext w:val="0"/>
              <w:numPr>
                <w:ilvl w:val="0"/>
                <w:numId w:val="13"/>
              </w:numPr>
            </w:pPr>
            <w:r w:rsidRPr="00DE21E1">
              <w:t>Generalised gamma</w:t>
            </w:r>
          </w:p>
        </w:tc>
        <w:tc>
          <w:tcPr>
            <w:tcW w:w="920" w:type="pct"/>
            <w:tcBorders>
              <w:top w:val="nil"/>
              <w:left w:val="single" w:sz="4" w:space="0" w:color="auto"/>
              <w:bottom w:val="single" w:sz="4" w:space="0" w:color="auto"/>
              <w:right w:val="single" w:sz="4" w:space="0" w:color="auto"/>
            </w:tcBorders>
            <w:shd w:val="solid" w:color="000000" w:fill="000000"/>
          </w:tcPr>
          <w:p w14:paraId="7C93683B" w14:textId="0F965902" w:rsidR="000E635F" w:rsidRPr="00EF6FDE" w:rsidRDefault="004E423C" w:rsidP="002F3BC0">
            <w:pPr>
              <w:pStyle w:val="TableText0"/>
              <w:keepNext w:val="0"/>
              <w:jc w:val="center"/>
              <w:rPr>
                <w:highlight w:val="lightGray"/>
              </w:rPr>
            </w:pPr>
            <w:r w:rsidRPr="004E423C">
              <w:rPr>
                <w:rFonts w:hint="eastAsia"/>
                <w:color w:val="000000"/>
                <w:w w:val="22"/>
                <w:fitText w:val="100" w:id="-1435825904"/>
                <w14:textFill>
                  <w14:solidFill>
                    <w14:srgbClr w14:val="000000">
                      <w14:alpha w14:val="100000"/>
                    </w14:srgbClr>
                  </w14:solidFill>
                </w14:textFill>
              </w:rPr>
              <w:t xml:space="preserve">　</w:t>
            </w:r>
            <w:r w:rsidRPr="004E423C">
              <w:rPr>
                <w:color w:val="000000"/>
                <w:w w:val="22"/>
                <w:fitText w:val="100" w:id="-1435825904"/>
                <w14:textFill>
                  <w14:solidFill>
                    <w14:srgbClr w14:val="000000">
                      <w14:alpha w14:val="100000"/>
                    </w14:srgbClr>
                  </w14:solidFill>
                </w14:textFill>
              </w:rPr>
              <w:t>|</w:t>
            </w:r>
            <w:r w:rsidRPr="004E423C">
              <w:rPr>
                <w:rFonts w:hint="eastAsia"/>
                <w:color w:val="000000"/>
                <w:w w:val="22"/>
                <w:fitText w:val="100" w:id="-1435825904"/>
                <w14:textFill>
                  <w14:solidFill>
                    <w14:srgbClr w14:val="000000">
                      <w14:alpha w14:val="100000"/>
                    </w14:srgbClr>
                  </w14:solidFill>
                </w14:textFill>
              </w:rPr>
              <w:t xml:space="preserve">　</w:t>
            </w:r>
          </w:p>
        </w:tc>
        <w:tc>
          <w:tcPr>
            <w:tcW w:w="920" w:type="pct"/>
            <w:tcBorders>
              <w:top w:val="nil"/>
              <w:left w:val="single" w:sz="4" w:space="0" w:color="auto"/>
              <w:bottom w:val="single" w:sz="4" w:space="0" w:color="auto"/>
              <w:right w:val="single" w:sz="4" w:space="0" w:color="auto"/>
            </w:tcBorders>
          </w:tcPr>
          <w:p w14:paraId="6D716BB7" w14:textId="1A3C979B" w:rsidR="000E635F" w:rsidRPr="00DE21E1" w:rsidRDefault="000E635F" w:rsidP="002F3BC0">
            <w:pPr>
              <w:pStyle w:val="TableText0"/>
              <w:keepNext w:val="0"/>
              <w:jc w:val="center"/>
            </w:pPr>
            <w:r w:rsidRPr="00DE21E1">
              <w:t>0.582</w:t>
            </w:r>
          </w:p>
        </w:tc>
        <w:tc>
          <w:tcPr>
            <w:tcW w:w="919" w:type="pct"/>
            <w:tcBorders>
              <w:top w:val="nil"/>
              <w:left w:val="single" w:sz="4" w:space="0" w:color="auto"/>
              <w:bottom w:val="single" w:sz="4" w:space="0" w:color="auto"/>
              <w:right w:val="single" w:sz="4" w:space="0" w:color="auto"/>
            </w:tcBorders>
          </w:tcPr>
          <w:p w14:paraId="7626FEB2" w14:textId="2FB51C68" w:rsidR="000E635F" w:rsidRPr="001D7EFE" w:rsidRDefault="004E423C" w:rsidP="002F3BC0">
            <w:pPr>
              <w:pStyle w:val="TableText0"/>
              <w:keepNext w:val="0"/>
              <w:jc w:val="center"/>
              <w:rPr>
                <w:highlight w:val="lightGray"/>
              </w:rPr>
            </w:pPr>
            <w:r w:rsidRPr="004E423C">
              <w:rPr>
                <w:rFonts w:hint="eastAsia"/>
                <w:color w:val="000000"/>
                <w:w w:val="31"/>
                <w:shd w:val="solid" w:color="000000" w:fill="000000"/>
                <w:fitText w:val="140" w:id="-1435825920"/>
                <w14:textFill>
                  <w14:solidFill>
                    <w14:srgbClr w14:val="000000">
                      <w14:alpha w14:val="100000"/>
                    </w14:srgbClr>
                  </w14:solidFill>
                </w14:textFill>
              </w:rPr>
              <w:t xml:space="preserve">　</w:t>
            </w:r>
            <w:r w:rsidRPr="004E423C">
              <w:rPr>
                <w:color w:val="000000"/>
                <w:w w:val="31"/>
                <w:shd w:val="solid" w:color="000000" w:fill="000000"/>
                <w:fitText w:val="140" w:id="-1435825920"/>
                <w14:textFill>
                  <w14:solidFill>
                    <w14:srgbClr w14:val="000000">
                      <w14:alpha w14:val="100000"/>
                    </w14:srgbClr>
                  </w14:solidFill>
                </w14:textFill>
              </w:rPr>
              <w:t>|</w:t>
            </w:r>
            <w:r w:rsidRPr="004E423C">
              <w:rPr>
                <w:rFonts w:hint="eastAsia"/>
                <w:color w:val="000000"/>
                <w:spacing w:val="4"/>
                <w:w w:val="31"/>
                <w:shd w:val="solid" w:color="000000" w:fill="000000"/>
                <w:fitText w:val="140" w:id="-1435825920"/>
                <w14:textFill>
                  <w14:solidFill>
                    <w14:srgbClr w14:val="000000">
                      <w14:alpha w14:val="100000"/>
                    </w14:srgbClr>
                  </w14:solidFill>
                </w14:textFill>
              </w:rPr>
              <w:t xml:space="preserve">　</w:t>
            </w:r>
            <w:r w:rsidR="0038139A" w:rsidRPr="001D7EFE">
              <w:rPr>
                <w:b/>
                <w:bCs w:val="0"/>
                <w:vertAlign w:val="superscript"/>
              </w:rPr>
              <w:t>1</w:t>
            </w:r>
          </w:p>
        </w:tc>
      </w:tr>
      <w:tr w:rsidR="00D24261" w:rsidRPr="00D23D11" w14:paraId="7D4259CF" w14:textId="77777777" w:rsidTr="004E423C">
        <w:trPr>
          <w:cantSplit/>
          <w:trHeight w:val="229"/>
          <w:tblHeader/>
        </w:trPr>
        <w:tc>
          <w:tcPr>
            <w:tcW w:w="2241" w:type="pct"/>
            <w:tcBorders>
              <w:top w:val="single" w:sz="4" w:space="0" w:color="auto"/>
              <w:left w:val="single" w:sz="4" w:space="0" w:color="auto"/>
              <w:bottom w:val="nil"/>
              <w:right w:val="single" w:sz="4" w:space="0" w:color="auto"/>
            </w:tcBorders>
          </w:tcPr>
          <w:p w14:paraId="6D82121D" w14:textId="77777777" w:rsidR="00D24261" w:rsidRPr="00DE21E1" w:rsidRDefault="00D24261" w:rsidP="002F3BC0">
            <w:pPr>
              <w:pStyle w:val="TableText0"/>
              <w:keepNext w:val="0"/>
            </w:pPr>
            <w:r w:rsidRPr="00DE21E1">
              <w:t>Subsequent treatment costs (different treatment cost)</w:t>
            </w:r>
          </w:p>
        </w:tc>
        <w:tc>
          <w:tcPr>
            <w:tcW w:w="920" w:type="pct"/>
            <w:tcBorders>
              <w:top w:val="single" w:sz="4" w:space="0" w:color="auto"/>
              <w:left w:val="single" w:sz="4" w:space="0" w:color="auto"/>
              <w:bottom w:val="nil"/>
              <w:right w:val="single" w:sz="4" w:space="0" w:color="auto"/>
            </w:tcBorders>
          </w:tcPr>
          <w:p w14:paraId="31FDCCC9" w14:textId="77777777" w:rsidR="00D24261" w:rsidRPr="00EF6FDE" w:rsidRDefault="00D24261" w:rsidP="002F3BC0">
            <w:pPr>
              <w:pStyle w:val="TableText0"/>
              <w:keepNext w:val="0"/>
              <w:jc w:val="center"/>
              <w:rPr>
                <w:highlight w:val="lightGray"/>
              </w:rPr>
            </w:pPr>
          </w:p>
        </w:tc>
        <w:tc>
          <w:tcPr>
            <w:tcW w:w="920" w:type="pct"/>
            <w:tcBorders>
              <w:top w:val="single" w:sz="4" w:space="0" w:color="auto"/>
              <w:left w:val="single" w:sz="4" w:space="0" w:color="auto"/>
              <w:bottom w:val="nil"/>
              <w:right w:val="single" w:sz="4" w:space="0" w:color="auto"/>
            </w:tcBorders>
          </w:tcPr>
          <w:p w14:paraId="70A6045F" w14:textId="77777777" w:rsidR="00D24261" w:rsidRPr="00DE21E1" w:rsidRDefault="00D24261" w:rsidP="002F3BC0">
            <w:pPr>
              <w:pStyle w:val="TableText0"/>
              <w:keepNext w:val="0"/>
              <w:jc w:val="center"/>
            </w:pPr>
          </w:p>
        </w:tc>
        <w:tc>
          <w:tcPr>
            <w:tcW w:w="919" w:type="pct"/>
            <w:tcBorders>
              <w:top w:val="single" w:sz="4" w:space="0" w:color="auto"/>
              <w:left w:val="single" w:sz="4" w:space="0" w:color="auto"/>
              <w:bottom w:val="nil"/>
              <w:right w:val="single" w:sz="4" w:space="0" w:color="auto"/>
            </w:tcBorders>
          </w:tcPr>
          <w:p w14:paraId="2C02AA0C" w14:textId="77777777" w:rsidR="00D24261" w:rsidRPr="001D7EFE" w:rsidRDefault="00D24261" w:rsidP="002F3BC0">
            <w:pPr>
              <w:pStyle w:val="TableText0"/>
              <w:keepNext w:val="0"/>
              <w:jc w:val="center"/>
              <w:rPr>
                <w:highlight w:val="lightGray"/>
              </w:rPr>
            </w:pPr>
          </w:p>
        </w:tc>
      </w:tr>
      <w:tr w:rsidR="000E635F" w:rsidRPr="00D23D11" w14:paraId="0B42F652" w14:textId="77777777" w:rsidTr="004E423C">
        <w:trPr>
          <w:cantSplit/>
          <w:trHeight w:val="86"/>
          <w:tblHeader/>
        </w:trPr>
        <w:tc>
          <w:tcPr>
            <w:tcW w:w="2241" w:type="pct"/>
            <w:tcBorders>
              <w:top w:val="nil"/>
              <w:left w:val="single" w:sz="4" w:space="0" w:color="auto"/>
              <w:bottom w:val="single" w:sz="4" w:space="0" w:color="auto"/>
              <w:right w:val="single" w:sz="4" w:space="0" w:color="auto"/>
            </w:tcBorders>
          </w:tcPr>
          <w:p w14:paraId="757C5707" w14:textId="77777777" w:rsidR="000E635F" w:rsidRPr="00DE21E1" w:rsidRDefault="000E635F" w:rsidP="00AF456E">
            <w:pPr>
              <w:pStyle w:val="TableText0"/>
              <w:keepNext w:val="0"/>
              <w:numPr>
                <w:ilvl w:val="0"/>
                <w:numId w:val="13"/>
              </w:numPr>
            </w:pPr>
            <w:r w:rsidRPr="00DE21E1">
              <w:t>No difference between arms</w:t>
            </w:r>
          </w:p>
        </w:tc>
        <w:tc>
          <w:tcPr>
            <w:tcW w:w="920" w:type="pct"/>
            <w:tcBorders>
              <w:top w:val="nil"/>
              <w:left w:val="single" w:sz="4" w:space="0" w:color="auto"/>
              <w:bottom w:val="single" w:sz="4" w:space="0" w:color="auto"/>
              <w:right w:val="single" w:sz="4" w:space="0" w:color="auto"/>
            </w:tcBorders>
            <w:shd w:val="solid" w:color="000000" w:fill="000000"/>
          </w:tcPr>
          <w:p w14:paraId="76B3B57A" w14:textId="7381D3B9" w:rsidR="000E635F" w:rsidRPr="00EF6FDE" w:rsidRDefault="004E423C" w:rsidP="002F3BC0">
            <w:pPr>
              <w:pStyle w:val="TableText0"/>
              <w:keepNext w:val="0"/>
              <w:jc w:val="center"/>
              <w:rPr>
                <w:highlight w:val="lightGray"/>
              </w:rPr>
            </w:pPr>
            <w:r w:rsidRPr="004E423C">
              <w:rPr>
                <w:rFonts w:hint="eastAsia"/>
                <w:color w:val="000000"/>
                <w:w w:val="22"/>
                <w:fitText w:val="100" w:id="-1435825919"/>
                <w14:textFill>
                  <w14:solidFill>
                    <w14:srgbClr w14:val="000000">
                      <w14:alpha w14:val="100000"/>
                    </w14:srgbClr>
                  </w14:solidFill>
                </w14:textFill>
              </w:rPr>
              <w:t xml:space="preserve">　</w:t>
            </w:r>
            <w:r w:rsidRPr="004E423C">
              <w:rPr>
                <w:color w:val="000000"/>
                <w:w w:val="22"/>
                <w:fitText w:val="100" w:id="-1435825919"/>
                <w14:textFill>
                  <w14:solidFill>
                    <w14:srgbClr w14:val="000000">
                      <w14:alpha w14:val="100000"/>
                    </w14:srgbClr>
                  </w14:solidFill>
                </w14:textFill>
              </w:rPr>
              <w:t>|</w:t>
            </w:r>
            <w:r w:rsidRPr="004E423C">
              <w:rPr>
                <w:rFonts w:hint="eastAsia"/>
                <w:color w:val="000000"/>
                <w:w w:val="22"/>
                <w:fitText w:val="100" w:id="-1435825919"/>
                <w14:textFill>
                  <w14:solidFill>
                    <w14:srgbClr w14:val="000000">
                      <w14:alpha w14:val="100000"/>
                    </w14:srgbClr>
                  </w14:solidFill>
                </w14:textFill>
              </w:rPr>
              <w:t xml:space="preserve">　</w:t>
            </w:r>
          </w:p>
        </w:tc>
        <w:tc>
          <w:tcPr>
            <w:tcW w:w="920" w:type="pct"/>
            <w:tcBorders>
              <w:top w:val="nil"/>
              <w:left w:val="single" w:sz="4" w:space="0" w:color="auto"/>
              <w:bottom w:val="single" w:sz="4" w:space="0" w:color="auto"/>
              <w:right w:val="single" w:sz="4" w:space="0" w:color="auto"/>
            </w:tcBorders>
          </w:tcPr>
          <w:p w14:paraId="67461223" w14:textId="2E6B346C" w:rsidR="000E635F" w:rsidRPr="00DE21E1" w:rsidRDefault="000E635F" w:rsidP="002F3BC0">
            <w:pPr>
              <w:pStyle w:val="TableText0"/>
              <w:keepNext w:val="0"/>
              <w:jc w:val="center"/>
            </w:pPr>
            <w:r w:rsidRPr="00DE21E1">
              <w:t>0.582</w:t>
            </w:r>
          </w:p>
        </w:tc>
        <w:tc>
          <w:tcPr>
            <w:tcW w:w="919" w:type="pct"/>
            <w:tcBorders>
              <w:top w:val="nil"/>
              <w:left w:val="single" w:sz="4" w:space="0" w:color="auto"/>
              <w:bottom w:val="single" w:sz="4" w:space="0" w:color="auto"/>
              <w:right w:val="single" w:sz="4" w:space="0" w:color="auto"/>
            </w:tcBorders>
          </w:tcPr>
          <w:p w14:paraId="637B4640" w14:textId="732C0787" w:rsidR="000E635F" w:rsidRPr="001D7EFE" w:rsidRDefault="004E423C" w:rsidP="002F3BC0">
            <w:pPr>
              <w:pStyle w:val="TableText0"/>
              <w:keepNext w:val="0"/>
              <w:jc w:val="center"/>
              <w:rPr>
                <w:highlight w:val="lightGray"/>
              </w:rPr>
            </w:pPr>
            <w:r w:rsidRPr="004E423C">
              <w:rPr>
                <w:rFonts w:hint="eastAsia"/>
                <w:color w:val="000000"/>
                <w:w w:val="31"/>
                <w:shd w:val="solid" w:color="000000" w:fill="000000"/>
                <w:fitText w:val="140" w:id="-1435825918"/>
                <w14:textFill>
                  <w14:solidFill>
                    <w14:srgbClr w14:val="000000">
                      <w14:alpha w14:val="100000"/>
                    </w14:srgbClr>
                  </w14:solidFill>
                </w14:textFill>
              </w:rPr>
              <w:t xml:space="preserve">　</w:t>
            </w:r>
            <w:r w:rsidRPr="004E423C">
              <w:rPr>
                <w:color w:val="000000"/>
                <w:w w:val="31"/>
                <w:shd w:val="solid" w:color="000000" w:fill="000000"/>
                <w:fitText w:val="140" w:id="-1435825918"/>
                <w14:textFill>
                  <w14:solidFill>
                    <w14:srgbClr w14:val="000000">
                      <w14:alpha w14:val="100000"/>
                    </w14:srgbClr>
                  </w14:solidFill>
                </w14:textFill>
              </w:rPr>
              <w:t>|</w:t>
            </w:r>
            <w:r w:rsidRPr="004E423C">
              <w:rPr>
                <w:rFonts w:hint="eastAsia"/>
                <w:color w:val="000000"/>
                <w:spacing w:val="4"/>
                <w:w w:val="31"/>
                <w:shd w:val="solid" w:color="000000" w:fill="000000"/>
                <w:fitText w:val="140" w:id="-1435825918"/>
                <w14:textFill>
                  <w14:solidFill>
                    <w14:srgbClr w14:val="000000">
                      <w14:alpha w14:val="100000"/>
                    </w14:srgbClr>
                  </w14:solidFill>
                </w14:textFill>
              </w:rPr>
              <w:t xml:space="preserve">　</w:t>
            </w:r>
            <w:r w:rsidR="0038139A" w:rsidRPr="001D7EFE">
              <w:rPr>
                <w:vertAlign w:val="superscript"/>
              </w:rPr>
              <w:t>6</w:t>
            </w:r>
          </w:p>
        </w:tc>
      </w:tr>
      <w:tr w:rsidR="00AF172F" w:rsidRPr="00D23D11" w14:paraId="36C21F43" w14:textId="77777777" w:rsidTr="002F3BC0">
        <w:trPr>
          <w:cantSplit/>
          <w:trHeight w:val="70"/>
          <w:tblHeader/>
        </w:trPr>
        <w:tc>
          <w:tcPr>
            <w:tcW w:w="5000" w:type="pct"/>
            <w:gridSpan w:val="4"/>
            <w:tcBorders>
              <w:top w:val="nil"/>
              <w:left w:val="single" w:sz="4" w:space="0" w:color="auto"/>
              <w:bottom w:val="single" w:sz="4" w:space="0" w:color="auto"/>
              <w:right w:val="single" w:sz="4" w:space="0" w:color="auto"/>
            </w:tcBorders>
          </w:tcPr>
          <w:p w14:paraId="218D7592" w14:textId="7006E42B" w:rsidR="00231860" w:rsidRPr="00DE21E1" w:rsidRDefault="00231860" w:rsidP="002F3BC0">
            <w:pPr>
              <w:pStyle w:val="TableText0"/>
              <w:keepNext w:val="0"/>
            </w:pPr>
            <w:r w:rsidRPr="00DE21E1">
              <w:t>Multivariate sensitivity analyses</w:t>
            </w:r>
          </w:p>
        </w:tc>
      </w:tr>
      <w:tr w:rsidR="00AF172F" w:rsidRPr="00D23D11" w14:paraId="75A30D52" w14:textId="77777777" w:rsidTr="004E423C">
        <w:trPr>
          <w:cantSplit/>
          <w:trHeight w:val="283"/>
          <w:tblHeader/>
        </w:trPr>
        <w:tc>
          <w:tcPr>
            <w:tcW w:w="2241" w:type="pct"/>
            <w:tcBorders>
              <w:top w:val="single" w:sz="4" w:space="0" w:color="auto"/>
              <w:left w:val="single" w:sz="4" w:space="0" w:color="auto"/>
              <w:bottom w:val="nil"/>
              <w:right w:val="single" w:sz="4" w:space="0" w:color="auto"/>
            </w:tcBorders>
          </w:tcPr>
          <w:p w14:paraId="0B51525D" w14:textId="60F014A5" w:rsidR="000E635F" w:rsidRPr="00DE21E1" w:rsidRDefault="000E635F" w:rsidP="002F3BC0">
            <w:pPr>
              <w:pStyle w:val="TableText0"/>
              <w:keepNext w:val="0"/>
            </w:pPr>
            <w:r w:rsidRPr="00DE21E1">
              <w:t>Assuming no difference between arms in subsequent treatment and varying time horizon</w:t>
            </w:r>
          </w:p>
        </w:tc>
        <w:tc>
          <w:tcPr>
            <w:tcW w:w="920" w:type="pct"/>
            <w:tcBorders>
              <w:top w:val="single" w:sz="4" w:space="0" w:color="auto"/>
              <w:left w:val="single" w:sz="4" w:space="0" w:color="auto"/>
              <w:bottom w:val="nil"/>
              <w:right w:val="single" w:sz="4" w:space="0" w:color="auto"/>
            </w:tcBorders>
          </w:tcPr>
          <w:p w14:paraId="49D15E5A" w14:textId="77777777" w:rsidR="000E635F" w:rsidRPr="00DE21E1" w:rsidRDefault="000E635F" w:rsidP="002F3BC0">
            <w:pPr>
              <w:pStyle w:val="TableText0"/>
              <w:keepNext w:val="0"/>
              <w:jc w:val="center"/>
            </w:pPr>
          </w:p>
        </w:tc>
        <w:tc>
          <w:tcPr>
            <w:tcW w:w="920" w:type="pct"/>
            <w:tcBorders>
              <w:top w:val="single" w:sz="4" w:space="0" w:color="auto"/>
              <w:left w:val="single" w:sz="4" w:space="0" w:color="auto"/>
              <w:bottom w:val="nil"/>
              <w:right w:val="single" w:sz="4" w:space="0" w:color="auto"/>
            </w:tcBorders>
          </w:tcPr>
          <w:p w14:paraId="001D6EC0" w14:textId="77777777" w:rsidR="000E635F" w:rsidRPr="00DE21E1" w:rsidRDefault="000E635F" w:rsidP="002F3BC0">
            <w:pPr>
              <w:pStyle w:val="TableText0"/>
              <w:keepNext w:val="0"/>
              <w:jc w:val="center"/>
            </w:pPr>
          </w:p>
        </w:tc>
        <w:tc>
          <w:tcPr>
            <w:tcW w:w="919" w:type="pct"/>
            <w:tcBorders>
              <w:top w:val="single" w:sz="4" w:space="0" w:color="auto"/>
              <w:left w:val="single" w:sz="4" w:space="0" w:color="auto"/>
              <w:bottom w:val="nil"/>
              <w:right w:val="single" w:sz="4" w:space="0" w:color="auto"/>
            </w:tcBorders>
          </w:tcPr>
          <w:p w14:paraId="042E7D3E" w14:textId="77777777" w:rsidR="000E635F" w:rsidRPr="00DE21E1" w:rsidRDefault="000E635F" w:rsidP="002F3BC0">
            <w:pPr>
              <w:pStyle w:val="TableText0"/>
              <w:keepNext w:val="0"/>
              <w:jc w:val="center"/>
            </w:pPr>
          </w:p>
        </w:tc>
      </w:tr>
      <w:tr w:rsidR="000E635F" w:rsidRPr="00D23D11" w14:paraId="24D8AE4D" w14:textId="77777777" w:rsidTr="004E423C">
        <w:trPr>
          <w:cantSplit/>
          <w:trHeight w:val="104"/>
          <w:tblHeader/>
        </w:trPr>
        <w:tc>
          <w:tcPr>
            <w:tcW w:w="2241" w:type="pct"/>
            <w:tcBorders>
              <w:top w:val="nil"/>
              <w:left w:val="single" w:sz="4" w:space="0" w:color="auto"/>
              <w:bottom w:val="nil"/>
              <w:right w:val="single" w:sz="4" w:space="0" w:color="auto"/>
            </w:tcBorders>
          </w:tcPr>
          <w:p w14:paraId="188470A1" w14:textId="7554F500" w:rsidR="000E635F" w:rsidRPr="00DE21E1" w:rsidRDefault="000E635F" w:rsidP="00AF456E">
            <w:pPr>
              <w:pStyle w:val="TableText0"/>
              <w:keepNext w:val="0"/>
              <w:numPr>
                <w:ilvl w:val="0"/>
                <w:numId w:val="13"/>
              </w:numPr>
            </w:pPr>
            <w:r w:rsidRPr="00DE21E1">
              <w:t>5 years</w:t>
            </w:r>
          </w:p>
        </w:tc>
        <w:tc>
          <w:tcPr>
            <w:tcW w:w="920" w:type="pct"/>
            <w:tcBorders>
              <w:top w:val="nil"/>
              <w:left w:val="single" w:sz="4" w:space="0" w:color="auto"/>
              <w:bottom w:val="nil"/>
              <w:right w:val="single" w:sz="4" w:space="0" w:color="auto"/>
            </w:tcBorders>
            <w:shd w:val="solid" w:color="000000" w:fill="000000"/>
          </w:tcPr>
          <w:p w14:paraId="2BE18098" w14:textId="7E57C4FF" w:rsidR="000E635F" w:rsidRPr="00EF6FDE" w:rsidRDefault="004E423C" w:rsidP="002F3BC0">
            <w:pPr>
              <w:pStyle w:val="TableText0"/>
              <w:keepNext w:val="0"/>
              <w:jc w:val="center"/>
              <w:rPr>
                <w:highlight w:val="lightGray"/>
              </w:rPr>
            </w:pPr>
            <w:r w:rsidRPr="004E423C">
              <w:rPr>
                <w:rFonts w:hint="eastAsia"/>
                <w:color w:val="000000"/>
                <w:w w:val="22"/>
                <w:fitText w:val="100" w:id="-1435825917"/>
                <w14:textFill>
                  <w14:solidFill>
                    <w14:srgbClr w14:val="000000">
                      <w14:alpha w14:val="100000"/>
                    </w14:srgbClr>
                  </w14:solidFill>
                </w14:textFill>
              </w:rPr>
              <w:t xml:space="preserve">　</w:t>
            </w:r>
            <w:r w:rsidRPr="004E423C">
              <w:rPr>
                <w:color w:val="000000"/>
                <w:w w:val="22"/>
                <w:fitText w:val="100" w:id="-1435825917"/>
                <w14:textFill>
                  <w14:solidFill>
                    <w14:srgbClr w14:val="000000">
                      <w14:alpha w14:val="100000"/>
                    </w14:srgbClr>
                  </w14:solidFill>
                </w14:textFill>
              </w:rPr>
              <w:t>|</w:t>
            </w:r>
            <w:r w:rsidRPr="004E423C">
              <w:rPr>
                <w:rFonts w:hint="eastAsia"/>
                <w:color w:val="000000"/>
                <w:w w:val="22"/>
                <w:fitText w:val="100" w:id="-1435825917"/>
                <w14:textFill>
                  <w14:solidFill>
                    <w14:srgbClr w14:val="000000">
                      <w14:alpha w14:val="100000"/>
                    </w14:srgbClr>
                  </w14:solidFill>
                </w14:textFill>
              </w:rPr>
              <w:t xml:space="preserve">　</w:t>
            </w:r>
          </w:p>
        </w:tc>
        <w:tc>
          <w:tcPr>
            <w:tcW w:w="920" w:type="pct"/>
            <w:tcBorders>
              <w:top w:val="nil"/>
              <w:left w:val="single" w:sz="4" w:space="0" w:color="auto"/>
              <w:bottom w:val="nil"/>
              <w:right w:val="single" w:sz="4" w:space="0" w:color="auto"/>
            </w:tcBorders>
          </w:tcPr>
          <w:p w14:paraId="050F123A" w14:textId="7E3DF243" w:rsidR="000E635F" w:rsidRPr="00DE21E1" w:rsidRDefault="000E635F" w:rsidP="002F3BC0">
            <w:pPr>
              <w:pStyle w:val="TableText0"/>
              <w:keepNext w:val="0"/>
              <w:jc w:val="center"/>
            </w:pPr>
            <w:r w:rsidRPr="00DE21E1">
              <w:t>0.205</w:t>
            </w:r>
          </w:p>
        </w:tc>
        <w:tc>
          <w:tcPr>
            <w:tcW w:w="919" w:type="pct"/>
            <w:tcBorders>
              <w:top w:val="nil"/>
              <w:left w:val="single" w:sz="4" w:space="0" w:color="auto"/>
              <w:bottom w:val="nil"/>
              <w:right w:val="single" w:sz="4" w:space="0" w:color="auto"/>
            </w:tcBorders>
          </w:tcPr>
          <w:p w14:paraId="2E3AE7BB" w14:textId="6FB91FE2" w:rsidR="000E635F" w:rsidRPr="001D7EFE" w:rsidRDefault="004E423C" w:rsidP="002F3BC0">
            <w:pPr>
              <w:pStyle w:val="TableText0"/>
              <w:keepNext w:val="0"/>
              <w:jc w:val="center"/>
              <w:rPr>
                <w:highlight w:val="lightGray"/>
              </w:rPr>
            </w:pPr>
            <w:r w:rsidRPr="004E423C">
              <w:rPr>
                <w:rFonts w:hint="eastAsia"/>
                <w:color w:val="000000"/>
                <w:w w:val="31"/>
                <w:shd w:val="solid" w:color="000000" w:fill="000000"/>
                <w:fitText w:val="140" w:id="-1435825916"/>
                <w14:textFill>
                  <w14:solidFill>
                    <w14:srgbClr w14:val="000000">
                      <w14:alpha w14:val="100000"/>
                    </w14:srgbClr>
                  </w14:solidFill>
                </w14:textFill>
              </w:rPr>
              <w:t xml:space="preserve">　</w:t>
            </w:r>
            <w:r w:rsidRPr="004E423C">
              <w:rPr>
                <w:color w:val="000000"/>
                <w:w w:val="31"/>
                <w:shd w:val="solid" w:color="000000" w:fill="000000"/>
                <w:fitText w:val="140" w:id="-1435825916"/>
                <w14:textFill>
                  <w14:solidFill>
                    <w14:srgbClr w14:val="000000">
                      <w14:alpha w14:val="100000"/>
                    </w14:srgbClr>
                  </w14:solidFill>
                </w14:textFill>
              </w:rPr>
              <w:t>|</w:t>
            </w:r>
            <w:r w:rsidRPr="004E423C">
              <w:rPr>
                <w:rFonts w:hint="eastAsia"/>
                <w:color w:val="000000"/>
                <w:spacing w:val="4"/>
                <w:w w:val="31"/>
                <w:shd w:val="solid" w:color="000000" w:fill="000000"/>
                <w:fitText w:val="140" w:id="-1435825916"/>
                <w14:textFill>
                  <w14:solidFill>
                    <w14:srgbClr w14:val="000000">
                      <w14:alpha w14:val="100000"/>
                    </w14:srgbClr>
                  </w14:solidFill>
                </w14:textFill>
              </w:rPr>
              <w:t xml:space="preserve">　</w:t>
            </w:r>
            <w:r w:rsidR="001D7EFE" w:rsidRPr="001D7EFE">
              <w:rPr>
                <w:vertAlign w:val="superscript"/>
              </w:rPr>
              <w:t>4</w:t>
            </w:r>
          </w:p>
        </w:tc>
      </w:tr>
      <w:tr w:rsidR="000E635F" w:rsidRPr="00D23D11" w14:paraId="11BE3A12" w14:textId="77777777" w:rsidTr="004E423C">
        <w:trPr>
          <w:cantSplit/>
          <w:trHeight w:val="80"/>
          <w:tblHeader/>
        </w:trPr>
        <w:tc>
          <w:tcPr>
            <w:tcW w:w="2241" w:type="pct"/>
            <w:tcBorders>
              <w:top w:val="nil"/>
              <w:left w:val="single" w:sz="4" w:space="0" w:color="auto"/>
              <w:bottom w:val="nil"/>
              <w:right w:val="single" w:sz="4" w:space="0" w:color="auto"/>
            </w:tcBorders>
          </w:tcPr>
          <w:p w14:paraId="4FC1C5F0" w14:textId="43720B0A" w:rsidR="000E635F" w:rsidRPr="00DE21E1" w:rsidRDefault="000E635F" w:rsidP="00AF456E">
            <w:pPr>
              <w:pStyle w:val="TableText0"/>
              <w:keepNext w:val="0"/>
              <w:numPr>
                <w:ilvl w:val="0"/>
                <w:numId w:val="13"/>
              </w:numPr>
            </w:pPr>
            <w:r w:rsidRPr="00DE21E1">
              <w:t>10 years</w:t>
            </w:r>
          </w:p>
        </w:tc>
        <w:tc>
          <w:tcPr>
            <w:tcW w:w="920" w:type="pct"/>
            <w:tcBorders>
              <w:top w:val="nil"/>
              <w:left w:val="single" w:sz="4" w:space="0" w:color="auto"/>
              <w:bottom w:val="nil"/>
              <w:right w:val="single" w:sz="4" w:space="0" w:color="auto"/>
            </w:tcBorders>
            <w:shd w:val="solid" w:color="000000" w:fill="000000"/>
          </w:tcPr>
          <w:p w14:paraId="57D35AC2" w14:textId="12D4EC9E" w:rsidR="000E635F" w:rsidRPr="00EF6FDE" w:rsidRDefault="004E423C" w:rsidP="002F3BC0">
            <w:pPr>
              <w:pStyle w:val="TableText0"/>
              <w:keepNext w:val="0"/>
              <w:jc w:val="center"/>
              <w:rPr>
                <w:highlight w:val="lightGray"/>
              </w:rPr>
            </w:pPr>
            <w:r w:rsidRPr="004E423C">
              <w:rPr>
                <w:rFonts w:hint="eastAsia"/>
                <w:color w:val="000000"/>
                <w:w w:val="22"/>
                <w:fitText w:val="100" w:id="-1435825915"/>
                <w14:textFill>
                  <w14:solidFill>
                    <w14:srgbClr w14:val="000000">
                      <w14:alpha w14:val="100000"/>
                    </w14:srgbClr>
                  </w14:solidFill>
                </w14:textFill>
              </w:rPr>
              <w:t xml:space="preserve">　</w:t>
            </w:r>
            <w:r w:rsidRPr="004E423C">
              <w:rPr>
                <w:color w:val="000000"/>
                <w:w w:val="22"/>
                <w:fitText w:val="100" w:id="-1435825915"/>
                <w14:textFill>
                  <w14:solidFill>
                    <w14:srgbClr w14:val="000000">
                      <w14:alpha w14:val="100000"/>
                    </w14:srgbClr>
                  </w14:solidFill>
                </w14:textFill>
              </w:rPr>
              <w:t>|</w:t>
            </w:r>
            <w:r w:rsidRPr="004E423C">
              <w:rPr>
                <w:rFonts w:hint="eastAsia"/>
                <w:color w:val="000000"/>
                <w:w w:val="22"/>
                <w:fitText w:val="100" w:id="-1435825915"/>
                <w14:textFill>
                  <w14:solidFill>
                    <w14:srgbClr w14:val="000000">
                      <w14:alpha w14:val="100000"/>
                    </w14:srgbClr>
                  </w14:solidFill>
                </w14:textFill>
              </w:rPr>
              <w:t xml:space="preserve">　</w:t>
            </w:r>
          </w:p>
        </w:tc>
        <w:tc>
          <w:tcPr>
            <w:tcW w:w="920" w:type="pct"/>
            <w:tcBorders>
              <w:top w:val="nil"/>
              <w:left w:val="single" w:sz="4" w:space="0" w:color="auto"/>
              <w:bottom w:val="nil"/>
              <w:right w:val="single" w:sz="4" w:space="0" w:color="auto"/>
            </w:tcBorders>
          </w:tcPr>
          <w:p w14:paraId="624DA4C2" w14:textId="69802ACB" w:rsidR="000E635F" w:rsidRPr="00DE21E1" w:rsidRDefault="000E635F" w:rsidP="002F3BC0">
            <w:pPr>
              <w:pStyle w:val="TableText0"/>
              <w:keepNext w:val="0"/>
              <w:jc w:val="center"/>
            </w:pPr>
            <w:r w:rsidRPr="00DE21E1">
              <w:t>0.383</w:t>
            </w:r>
          </w:p>
        </w:tc>
        <w:tc>
          <w:tcPr>
            <w:tcW w:w="919" w:type="pct"/>
            <w:tcBorders>
              <w:top w:val="nil"/>
              <w:left w:val="single" w:sz="4" w:space="0" w:color="auto"/>
              <w:bottom w:val="nil"/>
              <w:right w:val="single" w:sz="4" w:space="0" w:color="auto"/>
            </w:tcBorders>
          </w:tcPr>
          <w:p w14:paraId="57B68FF9" w14:textId="2356F9F0" w:rsidR="000E635F" w:rsidRPr="0038139A" w:rsidRDefault="004E423C" w:rsidP="002F3BC0">
            <w:pPr>
              <w:pStyle w:val="TableText0"/>
              <w:keepNext w:val="0"/>
              <w:jc w:val="center"/>
              <w:rPr>
                <w:highlight w:val="lightGray"/>
              </w:rPr>
            </w:pPr>
            <w:r w:rsidRPr="004E423C">
              <w:rPr>
                <w:rFonts w:hint="eastAsia"/>
                <w:color w:val="000000"/>
                <w:w w:val="31"/>
                <w:shd w:val="solid" w:color="000000" w:fill="000000"/>
                <w:fitText w:val="140" w:id="-1435825664"/>
                <w14:textFill>
                  <w14:solidFill>
                    <w14:srgbClr w14:val="000000">
                      <w14:alpha w14:val="100000"/>
                    </w14:srgbClr>
                  </w14:solidFill>
                </w14:textFill>
              </w:rPr>
              <w:t xml:space="preserve">　</w:t>
            </w:r>
            <w:r w:rsidRPr="004E423C">
              <w:rPr>
                <w:color w:val="000000"/>
                <w:w w:val="31"/>
                <w:shd w:val="solid" w:color="000000" w:fill="000000"/>
                <w:fitText w:val="140" w:id="-1435825664"/>
                <w14:textFill>
                  <w14:solidFill>
                    <w14:srgbClr w14:val="000000">
                      <w14:alpha w14:val="100000"/>
                    </w14:srgbClr>
                  </w14:solidFill>
                </w14:textFill>
              </w:rPr>
              <w:t>|</w:t>
            </w:r>
            <w:r w:rsidRPr="004E423C">
              <w:rPr>
                <w:rFonts w:hint="eastAsia"/>
                <w:color w:val="000000"/>
                <w:spacing w:val="4"/>
                <w:w w:val="31"/>
                <w:shd w:val="solid" w:color="000000" w:fill="000000"/>
                <w:fitText w:val="140" w:id="-1435825664"/>
                <w14:textFill>
                  <w14:solidFill>
                    <w14:srgbClr w14:val="000000">
                      <w14:alpha w14:val="100000"/>
                    </w14:srgbClr>
                  </w14:solidFill>
                </w14:textFill>
              </w:rPr>
              <w:t xml:space="preserve">　</w:t>
            </w:r>
            <w:r w:rsidR="0038139A" w:rsidRPr="0038139A">
              <w:rPr>
                <w:vertAlign w:val="superscript"/>
              </w:rPr>
              <w:t>7</w:t>
            </w:r>
          </w:p>
        </w:tc>
      </w:tr>
      <w:tr w:rsidR="000E635F" w:rsidRPr="00D23D11" w14:paraId="30E719C0" w14:textId="77777777" w:rsidTr="004E423C">
        <w:trPr>
          <w:cantSplit/>
          <w:trHeight w:val="98"/>
          <w:tblHeader/>
        </w:trPr>
        <w:tc>
          <w:tcPr>
            <w:tcW w:w="2241" w:type="pct"/>
            <w:tcBorders>
              <w:top w:val="nil"/>
              <w:left w:val="single" w:sz="4" w:space="0" w:color="auto"/>
              <w:bottom w:val="single" w:sz="4" w:space="0" w:color="auto"/>
              <w:right w:val="single" w:sz="4" w:space="0" w:color="auto"/>
            </w:tcBorders>
          </w:tcPr>
          <w:p w14:paraId="36ED4070" w14:textId="35C6FD19" w:rsidR="000E635F" w:rsidRPr="00DE21E1" w:rsidRDefault="000E635F" w:rsidP="00AF456E">
            <w:pPr>
              <w:pStyle w:val="TableText0"/>
              <w:keepNext w:val="0"/>
              <w:numPr>
                <w:ilvl w:val="0"/>
                <w:numId w:val="13"/>
              </w:numPr>
            </w:pPr>
            <w:r w:rsidRPr="00DE21E1">
              <w:t>15 years</w:t>
            </w:r>
          </w:p>
        </w:tc>
        <w:tc>
          <w:tcPr>
            <w:tcW w:w="920" w:type="pct"/>
            <w:tcBorders>
              <w:top w:val="nil"/>
              <w:left w:val="single" w:sz="4" w:space="0" w:color="auto"/>
              <w:bottom w:val="single" w:sz="4" w:space="0" w:color="auto"/>
              <w:right w:val="single" w:sz="4" w:space="0" w:color="auto"/>
            </w:tcBorders>
            <w:shd w:val="solid" w:color="000000" w:fill="000000"/>
          </w:tcPr>
          <w:p w14:paraId="46CDE021" w14:textId="66E06335" w:rsidR="000E635F" w:rsidRPr="00EF6FDE" w:rsidRDefault="004E423C" w:rsidP="000E635F">
            <w:pPr>
              <w:pStyle w:val="TableText0"/>
              <w:keepNext w:val="0"/>
              <w:jc w:val="center"/>
              <w:rPr>
                <w:highlight w:val="lightGray"/>
              </w:rPr>
            </w:pPr>
            <w:r w:rsidRPr="004E423C">
              <w:rPr>
                <w:rFonts w:hint="eastAsia"/>
                <w:color w:val="000000"/>
                <w:w w:val="22"/>
                <w:fitText w:val="100" w:id="-1435825663"/>
                <w14:textFill>
                  <w14:solidFill>
                    <w14:srgbClr w14:val="000000">
                      <w14:alpha w14:val="100000"/>
                    </w14:srgbClr>
                  </w14:solidFill>
                </w14:textFill>
              </w:rPr>
              <w:t xml:space="preserve">　</w:t>
            </w:r>
            <w:r w:rsidRPr="004E423C">
              <w:rPr>
                <w:color w:val="000000"/>
                <w:w w:val="22"/>
                <w:fitText w:val="100" w:id="-1435825663"/>
                <w14:textFill>
                  <w14:solidFill>
                    <w14:srgbClr w14:val="000000">
                      <w14:alpha w14:val="100000"/>
                    </w14:srgbClr>
                  </w14:solidFill>
                </w14:textFill>
              </w:rPr>
              <w:t>|</w:t>
            </w:r>
            <w:r w:rsidRPr="004E423C">
              <w:rPr>
                <w:rFonts w:hint="eastAsia"/>
                <w:color w:val="000000"/>
                <w:w w:val="22"/>
                <w:fitText w:val="100" w:id="-1435825663"/>
                <w14:textFill>
                  <w14:solidFill>
                    <w14:srgbClr w14:val="000000">
                      <w14:alpha w14:val="100000"/>
                    </w14:srgbClr>
                  </w14:solidFill>
                </w14:textFill>
              </w:rPr>
              <w:t xml:space="preserve">　</w:t>
            </w:r>
          </w:p>
        </w:tc>
        <w:tc>
          <w:tcPr>
            <w:tcW w:w="920" w:type="pct"/>
            <w:tcBorders>
              <w:top w:val="nil"/>
              <w:left w:val="single" w:sz="4" w:space="0" w:color="auto"/>
              <w:bottom w:val="single" w:sz="4" w:space="0" w:color="auto"/>
              <w:right w:val="single" w:sz="4" w:space="0" w:color="auto"/>
            </w:tcBorders>
          </w:tcPr>
          <w:p w14:paraId="631C2ADA" w14:textId="4A689C71" w:rsidR="000E635F" w:rsidRPr="00DE21E1" w:rsidRDefault="000E635F" w:rsidP="000E635F">
            <w:pPr>
              <w:pStyle w:val="TableText0"/>
              <w:keepNext w:val="0"/>
              <w:jc w:val="center"/>
            </w:pPr>
            <w:r w:rsidRPr="00DE21E1">
              <w:t>0.502</w:t>
            </w:r>
          </w:p>
        </w:tc>
        <w:tc>
          <w:tcPr>
            <w:tcW w:w="919" w:type="pct"/>
            <w:tcBorders>
              <w:top w:val="nil"/>
              <w:left w:val="single" w:sz="4" w:space="0" w:color="auto"/>
              <w:bottom w:val="single" w:sz="4" w:space="0" w:color="auto"/>
              <w:right w:val="single" w:sz="4" w:space="0" w:color="auto"/>
            </w:tcBorders>
          </w:tcPr>
          <w:p w14:paraId="4AA4D75E" w14:textId="40A766CB" w:rsidR="000E635F" w:rsidRPr="0038139A" w:rsidRDefault="004E423C" w:rsidP="000E635F">
            <w:pPr>
              <w:pStyle w:val="TableText0"/>
              <w:keepNext w:val="0"/>
              <w:jc w:val="center"/>
              <w:rPr>
                <w:highlight w:val="lightGray"/>
                <w:vertAlign w:val="superscript"/>
              </w:rPr>
            </w:pPr>
            <w:r w:rsidRPr="004E423C">
              <w:rPr>
                <w:rFonts w:hint="eastAsia"/>
                <w:color w:val="000000"/>
                <w:w w:val="31"/>
                <w:shd w:val="solid" w:color="000000" w:fill="000000"/>
                <w:fitText w:val="140" w:id="-1435825662"/>
                <w14:textFill>
                  <w14:solidFill>
                    <w14:srgbClr w14:val="000000">
                      <w14:alpha w14:val="100000"/>
                    </w14:srgbClr>
                  </w14:solidFill>
                </w14:textFill>
              </w:rPr>
              <w:t xml:space="preserve">　</w:t>
            </w:r>
            <w:r w:rsidRPr="004E423C">
              <w:rPr>
                <w:color w:val="000000"/>
                <w:w w:val="31"/>
                <w:shd w:val="solid" w:color="000000" w:fill="000000"/>
                <w:fitText w:val="140" w:id="-1435825662"/>
                <w14:textFill>
                  <w14:solidFill>
                    <w14:srgbClr w14:val="000000">
                      <w14:alpha w14:val="100000"/>
                    </w14:srgbClr>
                  </w14:solidFill>
                </w14:textFill>
              </w:rPr>
              <w:t>|</w:t>
            </w:r>
            <w:r w:rsidRPr="004E423C">
              <w:rPr>
                <w:rFonts w:hint="eastAsia"/>
                <w:color w:val="000000"/>
                <w:spacing w:val="4"/>
                <w:w w:val="31"/>
                <w:shd w:val="solid" w:color="000000" w:fill="000000"/>
                <w:fitText w:val="140" w:id="-1435825662"/>
                <w14:textFill>
                  <w14:solidFill>
                    <w14:srgbClr w14:val="000000">
                      <w14:alpha w14:val="100000"/>
                    </w14:srgbClr>
                  </w14:solidFill>
                </w14:textFill>
              </w:rPr>
              <w:t xml:space="preserve">　</w:t>
            </w:r>
            <w:r w:rsidR="0038139A" w:rsidRPr="0038139A">
              <w:rPr>
                <w:vertAlign w:val="superscript"/>
              </w:rPr>
              <w:t>5</w:t>
            </w:r>
          </w:p>
        </w:tc>
      </w:tr>
    </w:tbl>
    <w:p w14:paraId="22F05EF0" w14:textId="77777777" w:rsidR="00D24261" w:rsidRDefault="00D24261" w:rsidP="00D24261">
      <w:pPr>
        <w:pStyle w:val="TableFigureFooter"/>
      </w:pPr>
      <w:r>
        <w:t xml:space="preserve">Source: Table 80, pp236-237 </w:t>
      </w:r>
      <w:r w:rsidRPr="00D13A3E">
        <w:t xml:space="preserve">of the </w:t>
      </w:r>
      <w:r>
        <w:t>submission.</w:t>
      </w:r>
    </w:p>
    <w:p w14:paraId="7A76EB09" w14:textId="77777777" w:rsidR="00D24261" w:rsidRDefault="00D24261" w:rsidP="00D24261">
      <w:pPr>
        <w:pStyle w:val="TableFigureFooter"/>
      </w:pPr>
      <w:r>
        <w:t>ICER = incremental cost-effectiveness ratio, NIVO = nivolumab, OS = overall survival, RELA = relatlimab, TTD = time-to-discontinue.</w:t>
      </w:r>
    </w:p>
    <w:p w14:paraId="319BB498" w14:textId="0827E5E7" w:rsidR="00231860" w:rsidRPr="00231860" w:rsidRDefault="00231860" w:rsidP="00231860">
      <w:pPr>
        <w:pStyle w:val="TableFigureFooter"/>
      </w:pPr>
      <w:r>
        <w:rPr>
          <w:i/>
          <w:iCs/>
        </w:rPr>
        <w:t xml:space="preserve">Italics </w:t>
      </w:r>
      <w:r>
        <w:t>corrected during evaluation (using correct AEMP for RELA+NIVO ($</w:t>
      </w:r>
      <w:r w:rsidR="004E423C" w:rsidRPr="004E423C">
        <w:rPr>
          <w:color w:val="000000"/>
          <w:spacing w:val="15"/>
          <w:shd w:val="solid" w:color="000000" w:fill="000000"/>
          <w:fitText w:val="420" w:id="-1435825661"/>
          <w14:textFill>
            <w14:solidFill>
              <w14:srgbClr w14:val="000000">
                <w14:alpha w14:val="100000"/>
              </w14:srgbClr>
            </w14:solidFill>
          </w14:textFill>
        </w:rPr>
        <w:t>|||  ||</w:t>
      </w:r>
      <w:r w:rsidR="004E423C" w:rsidRPr="004E423C">
        <w:rPr>
          <w:color w:val="000000"/>
          <w:spacing w:val="3"/>
          <w:shd w:val="solid" w:color="000000" w:fill="000000"/>
          <w:fitText w:val="420" w:id="-1435825661"/>
          <w14:textFill>
            <w14:solidFill>
              <w14:srgbClr w14:val="000000">
                <w14:alpha w14:val="100000"/>
              </w14:srgbClr>
            </w14:solidFill>
          </w14:textFill>
        </w:rPr>
        <w:t>|</w:t>
      </w:r>
      <w:r>
        <w:t xml:space="preserve"> instead of $</w:t>
      </w:r>
      <w:r w:rsidR="004E423C" w:rsidRPr="004E423C">
        <w:rPr>
          <w:color w:val="000000"/>
          <w:spacing w:val="16"/>
          <w:shd w:val="solid" w:color="000000" w:fill="000000"/>
          <w:fitText w:val="430" w:id="-1435825660"/>
          <w14:textFill>
            <w14:solidFill>
              <w14:srgbClr w14:val="000000">
                <w14:alpha w14:val="100000"/>
              </w14:srgbClr>
            </w14:solidFill>
          </w14:textFill>
        </w:rPr>
        <w:t>|||  ||</w:t>
      </w:r>
      <w:r w:rsidR="004E423C" w:rsidRPr="004E423C">
        <w:rPr>
          <w:color w:val="000000"/>
          <w:spacing w:val="6"/>
          <w:shd w:val="solid" w:color="000000" w:fill="000000"/>
          <w:fitText w:val="430" w:id="-1435825660"/>
          <w14:textFill>
            <w14:solidFill>
              <w14:srgbClr w14:val="000000">
                <w14:alpha w14:val="100000"/>
              </w14:srgbClr>
            </w14:solidFill>
          </w14:textFill>
        </w:rPr>
        <w:t>|</w:t>
      </w:r>
      <w:r>
        <w:t>), private hospital mark-up fee for RELA+NIVO ($</w:t>
      </w:r>
      <w:r w:rsidR="004E423C" w:rsidRPr="004E423C">
        <w:rPr>
          <w:color w:val="000000"/>
          <w:spacing w:val="16"/>
          <w:shd w:val="solid" w:color="000000" w:fill="000000"/>
          <w:fitText w:val="430" w:id="-1435825659"/>
          <w14:textFill>
            <w14:solidFill>
              <w14:srgbClr w14:val="000000">
                <w14:alpha w14:val="100000"/>
              </w14:srgbClr>
            </w14:solidFill>
          </w14:textFill>
        </w:rPr>
        <w:t>|||  ||</w:t>
      </w:r>
      <w:r w:rsidR="004E423C" w:rsidRPr="004E423C">
        <w:rPr>
          <w:color w:val="000000"/>
          <w:spacing w:val="6"/>
          <w:shd w:val="solid" w:color="000000" w:fill="000000"/>
          <w:fitText w:val="430" w:id="-1435825659"/>
          <w14:textFill>
            <w14:solidFill>
              <w14:srgbClr w14:val="000000">
                <w14:alpha w14:val="100000"/>
              </w14:srgbClr>
            </w14:solidFill>
          </w14:textFill>
        </w:rPr>
        <w:t>|</w:t>
      </w:r>
      <w:r>
        <w:t xml:space="preserve"> instead of $</w:t>
      </w:r>
      <w:r w:rsidR="004E423C" w:rsidRPr="004E423C">
        <w:rPr>
          <w:color w:val="000000"/>
          <w:spacing w:val="15"/>
          <w:shd w:val="solid" w:color="000000" w:fill="000000"/>
          <w:fitText w:val="420" w:id="-1435825658"/>
          <w14:textFill>
            <w14:solidFill>
              <w14:srgbClr w14:val="000000">
                <w14:alpha w14:val="100000"/>
              </w14:srgbClr>
            </w14:solidFill>
          </w14:textFill>
        </w:rPr>
        <w:t>|||  ||</w:t>
      </w:r>
      <w:r w:rsidR="004E423C" w:rsidRPr="004E423C">
        <w:rPr>
          <w:color w:val="000000"/>
          <w:spacing w:val="3"/>
          <w:shd w:val="solid" w:color="000000" w:fill="000000"/>
          <w:fitText w:val="420" w:id="-1435825658"/>
          <w14:textFill>
            <w14:solidFill>
              <w14:srgbClr w14:val="000000">
                <w14:alpha w14:val="100000"/>
              </w14:srgbClr>
            </w14:solidFill>
          </w14:textFill>
        </w:rPr>
        <w:t>|</w:t>
      </w:r>
      <w:r>
        <w:t>) and public weighting of 32.01% for RELA+NIVO and nivolumab</w:t>
      </w:r>
      <w:r w:rsidR="00D06337">
        <w:t xml:space="preserve"> and DPMA of $</w:t>
      </w:r>
      <w:r w:rsidR="004E423C" w:rsidRPr="004E423C">
        <w:rPr>
          <w:color w:val="000000"/>
          <w:spacing w:val="16"/>
          <w:shd w:val="solid" w:color="000000" w:fill="000000"/>
          <w:fitText w:val="430" w:id="-1435825657"/>
          <w14:textFill>
            <w14:solidFill>
              <w14:srgbClr w14:val="000000">
                <w14:alpha w14:val="100000"/>
              </w14:srgbClr>
            </w14:solidFill>
          </w14:textFill>
        </w:rPr>
        <w:t>|||  ||</w:t>
      </w:r>
      <w:r w:rsidR="004E423C" w:rsidRPr="004E423C">
        <w:rPr>
          <w:color w:val="000000"/>
          <w:spacing w:val="6"/>
          <w:shd w:val="solid" w:color="000000" w:fill="000000"/>
          <w:fitText w:val="430" w:id="-1435825657"/>
          <w14:textFill>
            <w14:solidFill>
              <w14:srgbClr w14:val="000000">
                <w14:alpha w14:val="100000"/>
              </w14:srgbClr>
            </w14:solidFill>
          </w14:textFill>
        </w:rPr>
        <w:t>|</w:t>
      </w:r>
      <w:r w:rsidR="00D06337">
        <w:t xml:space="preserve"> (inclusive of </w:t>
      </w:r>
      <w:r w:rsidR="004E423C" w:rsidRPr="004E423C">
        <w:rPr>
          <w:color w:val="000000"/>
          <w:spacing w:val="16"/>
          <w:shd w:val="solid" w:color="000000" w:fill="000000"/>
          <w:fitText w:val="430" w:id="-1435825656"/>
          <w14:textFill>
            <w14:solidFill>
              <w14:srgbClr w14:val="000000">
                <w14:alpha w14:val="100000"/>
              </w14:srgbClr>
            </w14:solidFill>
          </w14:textFill>
        </w:rPr>
        <w:t>|||  ||</w:t>
      </w:r>
      <w:r w:rsidR="004E423C" w:rsidRPr="004E423C">
        <w:rPr>
          <w:color w:val="000000"/>
          <w:spacing w:val="6"/>
          <w:shd w:val="solid" w:color="000000" w:fill="000000"/>
          <w:fitText w:val="430" w:id="-1435825656"/>
          <w14:textFill>
            <w14:solidFill>
              <w14:srgbClr w14:val="000000">
                <w14:alpha w14:val="100000"/>
              </w14:srgbClr>
            </w14:solidFill>
          </w14:textFill>
        </w:rPr>
        <w:t>|</w:t>
      </w:r>
      <w:r w:rsidR="00D06337">
        <w:t>% SPR) for nivolumab.</w:t>
      </w:r>
    </w:p>
    <w:p w14:paraId="3F23ADE8" w14:textId="36C52663" w:rsidR="00D24261" w:rsidRDefault="00D24261" w:rsidP="00D24261">
      <w:pPr>
        <w:pStyle w:val="TableFigureFooter"/>
      </w:pPr>
    </w:p>
    <w:p w14:paraId="769D2A0F" w14:textId="77777777" w:rsidR="001D7EFE" w:rsidRPr="00987870" w:rsidRDefault="001D7EFE" w:rsidP="001D7EFE">
      <w:pPr>
        <w:pStyle w:val="TableFigureFooter"/>
        <w:keepNext/>
        <w:spacing w:after="0"/>
        <w:contextualSpacing w:val="0"/>
        <w:rPr>
          <w:i/>
        </w:rPr>
      </w:pPr>
      <w:r w:rsidRPr="00987870">
        <w:rPr>
          <w:i/>
        </w:rPr>
        <w:t>The redacted values correspond to the following ranges:</w:t>
      </w:r>
    </w:p>
    <w:p w14:paraId="1C36EDCC" w14:textId="29192F6C" w:rsidR="001D7EFE" w:rsidRDefault="001D7EFE" w:rsidP="001D7EFE">
      <w:pPr>
        <w:ind w:right="147"/>
        <w:rPr>
          <w:rFonts w:ascii="Arial Narrow" w:hAnsi="Arial Narrow"/>
          <w:i/>
          <w:snapToGrid w:val="0"/>
          <w:sz w:val="18"/>
          <w:szCs w:val="22"/>
        </w:rPr>
      </w:pPr>
      <w:r w:rsidRPr="001D7EFE">
        <w:rPr>
          <w:rFonts w:ascii="Arial Narrow" w:hAnsi="Arial Narrow"/>
          <w:i/>
          <w:snapToGrid w:val="0"/>
          <w:sz w:val="18"/>
          <w:szCs w:val="22"/>
          <w:vertAlign w:val="superscript"/>
        </w:rPr>
        <w:t>1</w:t>
      </w:r>
      <w:bookmarkStart w:id="85" w:name="_Hlk112839449"/>
      <w:r w:rsidRPr="001D7EFE">
        <w:rPr>
          <w:rFonts w:ascii="Arial Narrow" w:hAnsi="Arial Narrow"/>
          <w:i/>
          <w:snapToGrid w:val="0"/>
          <w:sz w:val="18"/>
          <w:szCs w:val="22"/>
        </w:rPr>
        <w:t>$</w:t>
      </w:r>
      <w:bookmarkStart w:id="86" w:name="_Hlk112839073"/>
      <w:r w:rsidRPr="001D7EFE">
        <w:rPr>
          <w:rFonts w:ascii="Arial Narrow" w:hAnsi="Arial Narrow"/>
          <w:i/>
          <w:snapToGrid w:val="0"/>
          <w:sz w:val="18"/>
          <w:szCs w:val="22"/>
        </w:rPr>
        <w:t xml:space="preserve">55,000 to &lt; $75,000 </w:t>
      </w:r>
      <w:bookmarkEnd w:id="86"/>
    </w:p>
    <w:p w14:paraId="14C2AF51" w14:textId="77777777" w:rsidR="001D7EFE" w:rsidRDefault="001D7EFE" w:rsidP="001D7EFE">
      <w:pPr>
        <w:ind w:right="147"/>
        <w:rPr>
          <w:rFonts w:ascii="Arial" w:hAnsi="Arial"/>
          <w:color w:val="333333"/>
          <w:sz w:val="21"/>
          <w:szCs w:val="21"/>
        </w:rPr>
      </w:pPr>
      <w:r>
        <w:rPr>
          <w:rFonts w:ascii="Arial Narrow" w:hAnsi="Arial Narrow"/>
          <w:i/>
          <w:snapToGrid w:val="0"/>
          <w:sz w:val="18"/>
          <w:szCs w:val="22"/>
          <w:vertAlign w:val="superscript"/>
        </w:rPr>
        <w:t>2</w:t>
      </w:r>
      <w:r w:rsidRPr="001D7EFE">
        <w:rPr>
          <w:rFonts w:ascii="Arial Narrow" w:hAnsi="Arial Narrow"/>
          <w:i/>
          <w:snapToGrid w:val="0"/>
          <w:sz w:val="18"/>
          <w:szCs w:val="22"/>
        </w:rPr>
        <w:t>$45,000 to &lt; $55,000</w:t>
      </w:r>
    </w:p>
    <w:p w14:paraId="463CFC3B" w14:textId="16927A0E" w:rsidR="001D7EFE" w:rsidRPr="001D7EFE" w:rsidRDefault="001D7EFE" w:rsidP="001D7EFE">
      <w:pPr>
        <w:ind w:right="147"/>
        <w:rPr>
          <w:rFonts w:ascii="Arial Narrow" w:hAnsi="Arial Narrow"/>
          <w:i/>
          <w:snapToGrid w:val="0"/>
          <w:sz w:val="18"/>
          <w:szCs w:val="22"/>
        </w:rPr>
      </w:pPr>
      <w:r>
        <w:rPr>
          <w:rFonts w:ascii="Arial Narrow" w:hAnsi="Arial Narrow"/>
          <w:i/>
          <w:snapToGrid w:val="0"/>
          <w:sz w:val="18"/>
          <w:szCs w:val="22"/>
          <w:vertAlign w:val="superscript"/>
        </w:rPr>
        <w:t>3</w:t>
      </w:r>
      <w:r w:rsidRPr="001D7EFE">
        <w:rPr>
          <w:rFonts w:ascii="Arial Narrow" w:hAnsi="Arial Narrow"/>
          <w:i/>
          <w:snapToGrid w:val="0"/>
          <w:sz w:val="18"/>
          <w:szCs w:val="22"/>
        </w:rPr>
        <w:t>$55,000 to &lt; $75,000</w:t>
      </w:r>
    </w:p>
    <w:bookmarkEnd w:id="85"/>
    <w:p w14:paraId="445E7437" w14:textId="60A10102" w:rsidR="001D7EFE" w:rsidRDefault="001D7EFE" w:rsidP="00D24261">
      <w:pPr>
        <w:pStyle w:val="TableFigureFooter"/>
        <w:rPr>
          <w:i/>
          <w:iCs/>
        </w:rPr>
      </w:pPr>
      <w:r w:rsidRPr="001D7EFE">
        <w:rPr>
          <w:vertAlign w:val="superscript"/>
        </w:rPr>
        <w:t>4</w:t>
      </w:r>
      <w:r w:rsidRPr="001D7EFE">
        <w:rPr>
          <w:i/>
          <w:iCs/>
        </w:rPr>
        <w:t>$155,000 to &lt; $255,000</w:t>
      </w:r>
    </w:p>
    <w:p w14:paraId="4BF82127" w14:textId="5D7D5780" w:rsidR="001D7EFE" w:rsidRPr="00131518" w:rsidRDefault="001D7EFE" w:rsidP="001D7EFE">
      <w:pPr>
        <w:ind w:right="147"/>
        <w:rPr>
          <w:rFonts w:ascii="Arial Narrow" w:hAnsi="Arial Narrow"/>
          <w:color w:val="333333"/>
          <w:sz w:val="21"/>
          <w:szCs w:val="21"/>
        </w:rPr>
      </w:pPr>
      <w:r w:rsidRPr="00131518">
        <w:rPr>
          <w:rFonts w:ascii="Arial Narrow" w:hAnsi="Arial Narrow"/>
          <w:i/>
          <w:iCs/>
          <w:sz w:val="18"/>
          <w:szCs w:val="18"/>
          <w:vertAlign w:val="superscript"/>
        </w:rPr>
        <w:t>5</w:t>
      </w:r>
      <w:bookmarkStart w:id="87" w:name="_Hlk112839481"/>
      <w:r w:rsidRPr="00131518">
        <w:rPr>
          <w:rFonts w:ascii="Arial Narrow" w:hAnsi="Arial Narrow"/>
          <w:i/>
          <w:iCs/>
          <w:snapToGrid w:val="0"/>
          <w:sz w:val="18"/>
          <w:szCs w:val="22"/>
        </w:rPr>
        <w:t>$95,000 to &lt; $115,000</w:t>
      </w:r>
      <w:r w:rsidRPr="00131518">
        <w:rPr>
          <w:rFonts w:ascii="Arial Narrow" w:hAnsi="Arial Narrow"/>
          <w:color w:val="333333"/>
          <w:sz w:val="21"/>
          <w:szCs w:val="21"/>
        </w:rPr>
        <w:t xml:space="preserve"> </w:t>
      </w:r>
    </w:p>
    <w:p w14:paraId="2C92B5D9" w14:textId="3BF7C40B" w:rsidR="001D7EFE" w:rsidRPr="00131518" w:rsidRDefault="001D7EFE" w:rsidP="001D7EFE">
      <w:pPr>
        <w:ind w:right="147"/>
        <w:rPr>
          <w:rFonts w:ascii="Arial Narrow" w:hAnsi="Arial Narrow" w:cstheme="minorHAnsi"/>
          <w:i/>
          <w:iCs/>
          <w:color w:val="333333"/>
          <w:sz w:val="18"/>
          <w:szCs w:val="18"/>
        </w:rPr>
      </w:pPr>
      <w:r w:rsidRPr="00131518">
        <w:rPr>
          <w:rFonts w:ascii="Arial Narrow" w:hAnsi="Arial Narrow" w:cstheme="minorHAnsi"/>
          <w:i/>
          <w:iCs/>
          <w:color w:val="333333"/>
          <w:sz w:val="18"/>
          <w:szCs w:val="18"/>
          <w:vertAlign w:val="superscript"/>
        </w:rPr>
        <w:t>6</w:t>
      </w:r>
      <w:r w:rsidR="0038139A" w:rsidRPr="00131518">
        <w:rPr>
          <w:rFonts w:ascii="Arial Narrow" w:hAnsi="Arial Narrow" w:cstheme="minorHAnsi"/>
          <w:i/>
          <w:iCs/>
          <w:color w:val="333333"/>
          <w:sz w:val="18"/>
          <w:szCs w:val="18"/>
        </w:rPr>
        <w:t>$75,000 to &lt; $95,000</w:t>
      </w:r>
    </w:p>
    <w:bookmarkEnd w:id="87"/>
    <w:p w14:paraId="17095E9B" w14:textId="77777777" w:rsidR="0038139A" w:rsidRPr="00131518" w:rsidRDefault="0038139A" w:rsidP="0038139A">
      <w:pPr>
        <w:ind w:right="147"/>
        <w:rPr>
          <w:rFonts w:ascii="Arial Narrow" w:hAnsi="Arial Narrow"/>
          <w:color w:val="333333"/>
          <w:sz w:val="21"/>
          <w:szCs w:val="21"/>
        </w:rPr>
      </w:pPr>
      <w:r w:rsidRPr="00131518">
        <w:rPr>
          <w:rFonts w:ascii="Arial Narrow" w:hAnsi="Arial Narrow"/>
          <w:sz w:val="18"/>
          <w:szCs w:val="18"/>
          <w:vertAlign w:val="superscript"/>
        </w:rPr>
        <w:t>7</w:t>
      </w:r>
      <w:bookmarkStart w:id="88" w:name="_Hlk112839499"/>
      <w:r w:rsidRPr="00131518">
        <w:rPr>
          <w:rFonts w:ascii="Arial Narrow" w:hAnsi="Arial Narrow" w:cstheme="minorHAnsi"/>
          <w:i/>
          <w:iCs/>
          <w:color w:val="333333"/>
          <w:sz w:val="18"/>
          <w:szCs w:val="18"/>
        </w:rPr>
        <w:t>$</w:t>
      </w:r>
      <w:bookmarkStart w:id="89" w:name="_Hlk112834874"/>
      <w:r w:rsidRPr="00131518">
        <w:rPr>
          <w:rFonts w:ascii="Arial Narrow" w:hAnsi="Arial Narrow" w:cstheme="minorHAnsi"/>
          <w:i/>
          <w:iCs/>
          <w:color w:val="333333"/>
          <w:sz w:val="18"/>
          <w:szCs w:val="18"/>
        </w:rPr>
        <w:t>155,000 to &lt; $255,000</w:t>
      </w:r>
      <w:bookmarkEnd w:id="89"/>
    </w:p>
    <w:bookmarkEnd w:id="88"/>
    <w:p w14:paraId="1BB09540" w14:textId="5D7F2CF5" w:rsidR="001D7EFE" w:rsidRPr="001D7EFE" w:rsidRDefault="001D7EFE" w:rsidP="00D24261">
      <w:pPr>
        <w:pStyle w:val="TableFigureFooter"/>
      </w:pPr>
    </w:p>
    <w:p w14:paraId="56D37E03" w14:textId="1831941D" w:rsidR="00CA192B" w:rsidRPr="006421D0" w:rsidRDefault="00D24261" w:rsidP="00A23598">
      <w:pPr>
        <w:pStyle w:val="3-BodyText"/>
        <w:numPr>
          <w:ilvl w:val="1"/>
          <w:numId w:val="22"/>
        </w:numPr>
        <w:ind w:left="709" w:hanging="709"/>
      </w:pPr>
      <w:r w:rsidRPr="006421D0">
        <w:t>The results of sensitivity analyses indicate that the model was most sensitive to a reduction in the time horizon. The model was also sensitive to subsequent treatment, the choice of parametric extrapolation for overall survival and time-to-treatment discontinuation.</w:t>
      </w:r>
    </w:p>
    <w:p w14:paraId="1487492E" w14:textId="53F48AD4" w:rsidR="00DB0FA2" w:rsidRPr="006421D0" w:rsidRDefault="00DB0FA2" w:rsidP="00A23598">
      <w:pPr>
        <w:pStyle w:val="3-BodyText"/>
        <w:numPr>
          <w:ilvl w:val="1"/>
          <w:numId w:val="22"/>
        </w:numPr>
        <w:ind w:left="709" w:hanging="709"/>
      </w:pPr>
      <w:r w:rsidRPr="006421D0">
        <w:t>In terms of the model presented</w:t>
      </w:r>
      <w:r w:rsidR="001C4677" w:rsidRPr="006421D0">
        <w:t>,</w:t>
      </w:r>
      <w:r w:rsidRPr="006421D0">
        <w:t xml:space="preserve"> the ESC considered that</w:t>
      </w:r>
      <w:r w:rsidR="001C4677" w:rsidRPr="006421D0">
        <w:t xml:space="preserve"> the base case ICER was highly uncertain and optimistic as</w:t>
      </w:r>
      <w:r w:rsidRPr="006421D0">
        <w:t>:</w:t>
      </w:r>
    </w:p>
    <w:p w14:paraId="28403631" w14:textId="606330CB" w:rsidR="00DB0FA2" w:rsidRPr="006421D0" w:rsidRDefault="00DB0FA2" w:rsidP="00A23598">
      <w:pPr>
        <w:pStyle w:val="3-BodyText"/>
        <w:numPr>
          <w:ilvl w:val="1"/>
          <w:numId w:val="25"/>
        </w:numPr>
        <w:ind w:left="1077" w:hanging="357"/>
      </w:pPr>
      <w:r w:rsidRPr="006421D0">
        <w:lastRenderedPageBreak/>
        <w:t xml:space="preserve">the </w:t>
      </w:r>
      <w:r w:rsidR="007A5D06" w:rsidRPr="006421D0">
        <w:t>20-year</w:t>
      </w:r>
      <w:r w:rsidRPr="006421D0">
        <w:t xml:space="preserve"> time horizon was too long and was inconsistent with what had been previously accepted by the PBAC in this setting. The ESC considered that a </w:t>
      </w:r>
      <w:r w:rsidR="007A5D06" w:rsidRPr="006421D0">
        <w:t>10</w:t>
      </w:r>
      <w:r w:rsidR="000B6052">
        <w:t xml:space="preserve"> to </w:t>
      </w:r>
      <w:r w:rsidR="007A5D06" w:rsidRPr="006421D0">
        <w:t>15-year</w:t>
      </w:r>
      <w:r w:rsidRPr="006421D0">
        <w:t xml:space="preserve"> time horizon would be more reasonable;</w:t>
      </w:r>
    </w:p>
    <w:p w14:paraId="240ACFC6" w14:textId="64D6EDBA" w:rsidR="00DB0FA2" w:rsidRPr="006421D0" w:rsidRDefault="001C4677" w:rsidP="00A23598">
      <w:pPr>
        <w:pStyle w:val="3-BodyText"/>
        <w:numPr>
          <w:ilvl w:val="1"/>
          <w:numId w:val="25"/>
        </w:numPr>
        <w:ind w:left="1077" w:hanging="357"/>
      </w:pPr>
      <w:r w:rsidRPr="006421D0">
        <w:t>maintenance of a survival benefit based on the non-statistically significant difference in observed OS was not appropriate;</w:t>
      </w:r>
    </w:p>
    <w:p w14:paraId="246ADF00" w14:textId="7A1BF950" w:rsidR="001C4677" w:rsidRPr="006421D0" w:rsidRDefault="001C4677" w:rsidP="00A23598">
      <w:pPr>
        <w:pStyle w:val="3-BodyText"/>
        <w:numPr>
          <w:ilvl w:val="1"/>
          <w:numId w:val="25"/>
        </w:numPr>
        <w:ind w:left="1077" w:hanging="357"/>
      </w:pPr>
      <w:r w:rsidRPr="006421D0">
        <w:t>OS and PFS in the nivolumab monotherapy arm were underestimated; and</w:t>
      </w:r>
    </w:p>
    <w:p w14:paraId="710234BD" w14:textId="48CE79A3" w:rsidR="00CA192B" w:rsidRPr="006421D0" w:rsidRDefault="001C4677" w:rsidP="00A23598">
      <w:pPr>
        <w:pStyle w:val="3-BodyText"/>
        <w:numPr>
          <w:ilvl w:val="1"/>
          <w:numId w:val="25"/>
        </w:numPr>
        <w:ind w:left="1077" w:hanging="357"/>
      </w:pPr>
      <w:r w:rsidRPr="006421D0">
        <w:t>the utility values applied for non-progressive and progressed disease were high and not representative of a population with advanced cancer.</w:t>
      </w:r>
    </w:p>
    <w:p w14:paraId="75373396" w14:textId="77777777" w:rsidR="007D4AC0" w:rsidRPr="00C73D6C" w:rsidRDefault="00D24261" w:rsidP="00C73D6C">
      <w:pPr>
        <w:pStyle w:val="4-SubsectionHeading"/>
        <w:rPr>
          <w:i/>
          <w:iCs/>
          <w:sz w:val="28"/>
          <w:szCs w:val="28"/>
        </w:rPr>
      </w:pPr>
      <w:bookmarkStart w:id="90" w:name="_Toc22897646"/>
      <w:bookmarkStart w:id="91" w:name="_Toc103768660"/>
      <w:r w:rsidRPr="00C73D6C">
        <w:rPr>
          <w:i/>
          <w:iCs/>
          <w:sz w:val="28"/>
          <w:szCs w:val="28"/>
        </w:rPr>
        <w:t>Drug cost/patient/course</w:t>
      </w:r>
      <w:bookmarkEnd w:id="90"/>
      <w:bookmarkEnd w:id="91"/>
    </w:p>
    <w:p w14:paraId="5B58A81B" w14:textId="3AC0AE56" w:rsidR="007D4AC0" w:rsidRPr="0091283E" w:rsidRDefault="00D24261" w:rsidP="00ED38CA">
      <w:pPr>
        <w:pStyle w:val="TableFigureFooter"/>
        <w:spacing w:after="0"/>
      </w:pPr>
      <w:r w:rsidRPr="0091283E">
        <w:rPr>
          <w:rStyle w:val="CommentReference"/>
          <w:color w:val="000000" w:themeColor="text1"/>
          <w:szCs w:val="24"/>
        </w:rPr>
        <w:t xml:space="preserve">Table </w:t>
      </w:r>
      <w:r w:rsidRPr="0091283E">
        <w:rPr>
          <w:rStyle w:val="CommentReference"/>
          <w:color w:val="000000" w:themeColor="text1"/>
          <w:szCs w:val="24"/>
        </w:rPr>
        <w:fldChar w:fldCharType="begin"/>
      </w:r>
      <w:r w:rsidRPr="0091283E">
        <w:rPr>
          <w:rStyle w:val="CommentReference"/>
          <w:color w:val="000000" w:themeColor="text1"/>
          <w:szCs w:val="24"/>
        </w:rPr>
        <w:instrText xml:space="preserve"> SEQ Table \* ARABIC \s 1 </w:instrText>
      </w:r>
      <w:r w:rsidRPr="0091283E">
        <w:rPr>
          <w:rStyle w:val="CommentReference"/>
          <w:color w:val="000000" w:themeColor="text1"/>
          <w:szCs w:val="24"/>
        </w:rPr>
        <w:fldChar w:fldCharType="separate"/>
      </w:r>
      <w:r w:rsidR="00633460">
        <w:rPr>
          <w:rStyle w:val="CommentReference"/>
          <w:noProof/>
          <w:color w:val="000000" w:themeColor="text1"/>
          <w:szCs w:val="24"/>
        </w:rPr>
        <w:t>14</w:t>
      </w:r>
      <w:r w:rsidRPr="0091283E">
        <w:rPr>
          <w:rStyle w:val="CommentReference"/>
          <w:color w:val="000000" w:themeColor="text1"/>
          <w:szCs w:val="24"/>
        </w:rPr>
        <w:fldChar w:fldCharType="end"/>
      </w:r>
      <w:r w:rsidRPr="0091283E">
        <w:rPr>
          <w:rStyle w:val="CommentReference"/>
          <w:color w:val="000000" w:themeColor="text1"/>
          <w:szCs w:val="24"/>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Drug cost per patient for proposed and comparator drugs"/>
      </w:tblPr>
      <w:tblGrid>
        <w:gridCol w:w="2256"/>
        <w:gridCol w:w="1131"/>
        <w:gridCol w:w="1125"/>
        <w:gridCol w:w="1129"/>
        <w:gridCol w:w="1125"/>
        <w:gridCol w:w="1129"/>
        <w:gridCol w:w="1122"/>
      </w:tblGrid>
      <w:tr w:rsidR="00F34DFC" w:rsidRPr="0091283E" w14:paraId="5F5C5DA3" w14:textId="77777777" w:rsidTr="007A3B53">
        <w:trPr>
          <w:cantSplit/>
          <w:tblHeader/>
          <w:jc w:val="center"/>
        </w:trPr>
        <w:tc>
          <w:tcPr>
            <w:tcW w:w="1251" w:type="pct"/>
            <w:vMerge w:val="restart"/>
            <w:shd w:val="clear" w:color="auto" w:fill="auto"/>
            <w:vAlign w:val="center"/>
          </w:tcPr>
          <w:p w14:paraId="34F75422" w14:textId="77777777" w:rsidR="00F34DFC" w:rsidRPr="0091283E" w:rsidRDefault="00F34DFC" w:rsidP="007D4AC0">
            <w:pPr>
              <w:pStyle w:val="In-tableHeading"/>
              <w:jc w:val="center"/>
            </w:pPr>
          </w:p>
        </w:tc>
        <w:tc>
          <w:tcPr>
            <w:tcW w:w="1877" w:type="pct"/>
            <w:gridSpan w:val="3"/>
            <w:shd w:val="clear" w:color="auto" w:fill="auto"/>
            <w:vAlign w:val="center"/>
          </w:tcPr>
          <w:p w14:paraId="0F636FD3" w14:textId="77777777" w:rsidR="00F34DFC" w:rsidRPr="0091283E" w:rsidRDefault="00F34DFC" w:rsidP="007D4AC0">
            <w:pPr>
              <w:pStyle w:val="In-tableHeading"/>
              <w:jc w:val="center"/>
            </w:pPr>
            <w:r w:rsidRPr="0091283E">
              <w:t>RELA+NIVO</w:t>
            </w:r>
          </w:p>
        </w:tc>
        <w:tc>
          <w:tcPr>
            <w:tcW w:w="1873" w:type="pct"/>
            <w:gridSpan w:val="3"/>
            <w:shd w:val="clear" w:color="auto" w:fill="FFFFFF" w:themeFill="background1"/>
            <w:vAlign w:val="center"/>
          </w:tcPr>
          <w:p w14:paraId="74C5B276" w14:textId="77777777" w:rsidR="00F34DFC" w:rsidRPr="0091283E" w:rsidRDefault="00F34DFC" w:rsidP="007D4AC0">
            <w:pPr>
              <w:pStyle w:val="In-tableHeading"/>
              <w:jc w:val="center"/>
            </w:pPr>
            <w:r w:rsidRPr="0091283E">
              <w:t>NIVO monotherapy</w:t>
            </w:r>
          </w:p>
        </w:tc>
      </w:tr>
      <w:tr w:rsidR="00F34DFC" w:rsidRPr="0091283E" w14:paraId="5D181798" w14:textId="77777777" w:rsidTr="007A3B53">
        <w:trPr>
          <w:cantSplit/>
          <w:tblHeader/>
          <w:jc w:val="center"/>
        </w:trPr>
        <w:tc>
          <w:tcPr>
            <w:tcW w:w="1251" w:type="pct"/>
            <w:vMerge/>
            <w:shd w:val="clear" w:color="auto" w:fill="auto"/>
            <w:vAlign w:val="center"/>
          </w:tcPr>
          <w:p w14:paraId="75813152" w14:textId="77777777" w:rsidR="00F34DFC" w:rsidRPr="0091283E" w:rsidRDefault="00F34DFC" w:rsidP="007D4AC0">
            <w:pPr>
              <w:pStyle w:val="In-tableHeading"/>
              <w:jc w:val="center"/>
            </w:pPr>
          </w:p>
        </w:tc>
        <w:tc>
          <w:tcPr>
            <w:tcW w:w="627" w:type="pct"/>
            <w:shd w:val="clear" w:color="auto" w:fill="auto"/>
            <w:vAlign w:val="center"/>
          </w:tcPr>
          <w:p w14:paraId="784E0156" w14:textId="77777777" w:rsidR="00F34DFC" w:rsidRPr="0091283E" w:rsidRDefault="00F34DFC" w:rsidP="007D4AC0">
            <w:pPr>
              <w:pStyle w:val="In-tableHeading"/>
              <w:jc w:val="center"/>
            </w:pPr>
            <w:r w:rsidRPr="0091283E">
              <w:t>Trial dose and duration</w:t>
            </w:r>
          </w:p>
        </w:tc>
        <w:tc>
          <w:tcPr>
            <w:tcW w:w="624" w:type="pct"/>
            <w:shd w:val="clear" w:color="auto" w:fill="auto"/>
            <w:vAlign w:val="center"/>
          </w:tcPr>
          <w:p w14:paraId="63962578" w14:textId="77777777" w:rsidR="00F34DFC" w:rsidRPr="0091283E" w:rsidRDefault="00F34DFC" w:rsidP="007D4AC0">
            <w:pPr>
              <w:pStyle w:val="In-tableHeading"/>
              <w:jc w:val="center"/>
            </w:pPr>
            <w:r w:rsidRPr="0091283E">
              <w:t>Model</w:t>
            </w:r>
          </w:p>
        </w:tc>
        <w:tc>
          <w:tcPr>
            <w:tcW w:w="626" w:type="pct"/>
            <w:shd w:val="clear" w:color="auto" w:fill="auto"/>
            <w:vAlign w:val="center"/>
          </w:tcPr>
          <w:p w14:paraId="122855B9" w14:textId="77777777" w:rsidR="00F34DFC" w:rsidRPr="0091283E" w:rsidRDefault="00F34DFC" w:rsidP="007D4AC0">
            <w:pPr>
              <w:pStyle w:val="In-tableHeading"/>
              <w:jc w:val="center"/>
            </w:pPr>
            <w:r w:rsidRPr="0091283E">
              <w:t>Financial estimates</w:t>
            </w:r>
          </w:p>
        </w:tc>
        <w:tc>
          <w:tcPr>
            <w:tcW w:w="624" w:type="pct"/>
            <w:shd w:val="clear" w:color="auto" w:fill="FFFFFF" w:themeFill="background1"/>
            <w:vAlign w:val="center"/>
          </w:tcPr>
          <w:p w14:paraId="306D479D" w14:textId="77777777" w:rsidR="00F34DFC" w:rsidRPr="0091283E" w:rsidRDefault="00F34DFC" w:rsidP="007D4AC0">
            <w:pPr>
              <w:pStyle w:val="In-tableHeading"/>
              <w:jc w:val="center"/>
            </w:pPr>
            <w:r w:rsidRPr="0091283E">
              <w:t>Trial dose and duration</w:t>
            </w:r>
          </w:p>
        </w:tc>
        <w:tc>
          <w:tcPr>
            <w:tcW w:w="626" w:type="pct"/>
            <w:shd w:val="clear" w:color="auto" w:fill="FFFFFF" w:themeFill="background1"/>
            <w:vAlign w:val="center"/>
          </w:tcPr>
          <w:p w14:paraId="6B612EB8" w14:textId="77777777" w:rsidR="00F34DFC" w:rsidRPr="0091283E" w:rsidRDefault="00F34DFC" w:rsidP="007D4AC0">
            <w:pPr>
              <w:pStyle w:val="In-tableHeading"/>
              <w:jc w:val="center"/>
            </w:pPr>
            <w:r w:rsidRPr="0091283E">
              <w:t>Model</w:t>
            </w:r>
          </w:p>
        </w:tc>
        <w:tc>
          <w:tcPr>
            <w:tcW w:w="623" w:type="pct"/>
            <w:shd w:val="clear" w:color="auto" w:fill="FFFFFF" w:themeFill="background1"/>
          </w:tcPr>
          <w:p w14:paraId="0A4A3D23" w14:textId="77777777" w:rsidR="00F34DFC" w:rsidRPr="0091283E" w:rsidRDefault="00F34DFC" w:rsidP="007D4AC0">
            <w:pPr>
              <w:pStyle w:val="In-tableHeading"/>
              <w:jc w:val="center"/>
            </w:pPr>
            <w:r w:rsidRPr="0091283E">
              <w:t>Financial estimates</w:t>
            </w:r>
          </w:p>
        </w:tc>
      </w:tr>
      <w:tr w:rsidR="00ED38CA" w:rsidRPr="0091283E" w14:paraId="0F5D624C" w14:textId="77777777" w:rsidTr="007A3B53">
        <w:trPr>
          <w:cantSplit/>
          <w:jc w:val="center"/>
        </w:trPr>
        <w:tc>
          <w:tcPr>
            <w:tcW w:w="1251" w:type="pct"/>
            <w:shd w:val="clear" w:color="auto" w:fill="auto"/>
            <w:vAlign w:val="center"/>
          </w:tcPr>
          <w:p w14:paraId="004DFEAF" w14:textId="77777777" w:rsidR="007D4AC0" w:rsidRPr="0091283E" w:rsidRDefault="007D4AC0" w:rsidP="007D4AC0">
            <w:pPr>
              <w:pStyle w:val="TableText0"/>
              <w:rPr>
                <w:lang w:val="en-US"/>
              </w:rPr>
            </w:pPr>
            <w:r w:rsidRPr="0091283E">
              <w:rPr>
                <w:lang w:val="en-US"/>
              </w:rPr>
              <w:t>Mean dose/infusion</w:t>
            </w:r>
          </w:p>
        </w:tc>
        <w:tc>
          <w:tcPr>
            <w:tcW w:w="627" w:type="pct"/>
            <w:shd w:val="clear" w:color="auto" w:fill="auto"/>
            <w:vAlign w:val="center"/>
          </w:tcPr>
          <w:p w14:paraId="4B303898" w14:textId="29E303C3" w:rsidR="007D4AC0" w:rsidRPr="0091283E" w:rsidRDefault="00ED38CA" w:rsidP="007D4AC0">
            <w:pPr>
              <w:pStyle w:val="TableText0"/>
              <w:jc w:val="center"/>
              <w:rPr>
                <w:lang w:val="en-US"/>
              </w:rPr>
            </w:pPr>
            <w:r w:rsidRPr="0091283E">
              <w:rPr>
                <w:lang w:val="en-US"/>
              </w:rPr>
              <w:t>NR</w:t>
            </w:r>
            <w:r w:rsidR="007D4AC0" w:rsidRPr="0091283E">
              <w:rPr>
                <w:lang w:val="en-US"/>
              </w:rPr>
              <w:t xml:space="preserve"> </w:t>
            </w:r>
          </w:p>
        </w:tc>
        <w:tc>
          <w:tcPr>
            <w:tcW w:w="624" w:type="pct"/>
            <w:shd w:val="clear" w:color="auto" w:fill="auto"/>
            <w:vAlign w:val="center"/>
          </w:tcPr>
          <w:p w14:paraId="13F801D4" w14:textId="77777777" w:rsidR="007D4AC0" w:rsidRPr="0091283E" w:rsidRDefault="007D4AC0" w:rsidP="007D4AC0">
            <w:pPr>
              <w:pStyle w:val="TableText0"/>
              <w:jc w:val="center"/>
            </w:pPr>
            <w:r w:rsidRPr="0091283E">
              <w:t>640 mg</w:t>
            </w:r>
          </w:p>
          <w:p w14:paraId="2C6AE561" w14:textId="77777777" w:rsidR="007D4AC0" w:rsidRPr="0091283E" w:rsidRDefault="007D4AC0" w:rsidP="007D4AC0">
            <w:pPr>
              <w:pStyle w:val="TableText0"/>
              <w:jc w:val="center"/>
              <w:rPr>
                <w:lang w:val="en-US"/>
              </w:rPr>
            </w:pPr>
            <w:r w:rsidRPr="0091283E">
              <w:t>FDC Q4W</w:t>
            </w:r>
          </w:p>
        </w:tc>
        <w:tc>
          <w:tcPr>
            <w:tcW w:w="626" w:type="pct"/>
            <w:shd w:val="clear" w:color="auto" w:fill="auto"/>
            <w:vAlign w:val="center"/>
          </w:tcPr>
          <w:p w14:paraId="1BEE7908" w14:textId="77777777" w:rsidR="007D4AC0" w:rsidRPr="0091283E" w:rsidRDefault="007D4AC0" w:rsidP="007D4AC0">
            <w:pPr>
              <w:pStyle w:val="TableText0"/>
              <w:jc w:val="center"/>
            </w:pPr>
            <w:r w:rsidRPr="0091283E">
              <w:t>640 mg</w:t>
            </w:r>
          </w:p>
          <w:p w14:paraId="26A5E3A0" w14:textId="77777777" w:rsidR="007D4AC0" w:rsidRPr="0091283E" w:rsidRDefault="007D4AC0" w:rsidP="007D4AC0">
            <w:pPr>
              <w:pStyle w:val="TableText0"/>
              <w:jc w:val="center"/>
              <w:rPr>
                <w:lang w:val="en-US"/>
              </w:rPr>
            </w:pPr>
            <w:r w:rsidRPr="0091283E">
              <w:t>FDC Q4W</w:t>
            </w:r>
          </w:p>
        </w:tc>
        <w:tc>
          <w:tcPr>
            <w:tcW w:w="624" w:type="pct"/>
            <w:shd w:val="clear" w:color="auto" w:fill="FFFFFF" w:themeFill="background1"/>
            <w:vAlign w:val="center"/>
          </w:tcPr>
          <w:p w14:paraId="451A420C" w14:textId="2F0884BA" w:rsidR="007D4AC0" w:rsidRPr="0091283E" w:rsidRDefault="00ED38CA" w:rsidP="007D4AC0">
            <w:pPr>
              <w:pStyle w:val="TableText0"/>
              <w:jc w:val="center"/>
              <w:rPr>
                <w:bCs w:val="0"/>
                <w:lang w:val="en-US"/>
              </w:rPr>
            </w:pPr>
            <w:r w:rsidRPr="0091283E">
              <w:rPr>
                <w:bCs w:val="0"/>
                <w:lang w:val="en-US"/>
              </w:rPr>
              <w:t>NR</w:t>
            </w:r>
          </w:p>
        </w:tc>
        <w:tc>
          <w:tcPr>
            <w:tcW w:w="626" w:type="pct"/>
            <w:shd w:val="clear" w:color="auto" w:fill="FFFFFF" w:themeFill="background1"/>
            <w:vAlign w:val="center"/>
          </w:tcPr>
          <w:p w14:paraId="1B64A6CB" w14:textId="77777777" w:rsidR="007D4AC0" w:rsidRPr="0091283E" w:rsidRDefault="007D4AC0" w:rsidP="007D4AC0">
            <w:pPr>
              <w:pStyle w:val="TableText0"/>
              <w:jc w:val="center"/>
              <w:rPr>
                <w:bCs w:val="0"/>
                <w:lang w:val="en-US"/>
              </w:rPr>
            </w:pPr>
            <w:r w:rsidRPr="0091283E">
              <w:t>480 mg Q4W</w:t>
            </w:r>
          </w:p>
        </w:tc>
        <w:tc>
          <w:tcPr>
            <w:tcW w:w="623" w:type="pct"/>
            <w:shd w:val="clear" w:color="auto" w:fill="FFFFFF" w:themeFill="background1"/>
            <w:vAlign w:val="center"/>
          </w:tcPr>
          <w:p w14:paraId="7F5F8AD1" w14:textId="77777777" w:rsidR="007D4AC0" w:rsidRPr="0091283E" w:rsidRDefault="007D4AC0" w:rsidP="007D4AC0">
            <w:pPr>
              <w:pStyle w:val="TableText0"/>
              <w:jc w:val="center"/>
              <w:rPr>
                <w:b/>
                <w:lang w:val="en-US"/>
              </w:rPr>
            </w:pPr>
            <w:r w:rsidRPr="0091283E">
              <w:t>480 mg Q4W</w:t>
            </w:r>
          </w:p>
        </w:tc>
      </w:tr>
      <w:tr w:rsidR="00ED38CA" w:rsidRPr="0091283E" w14:paraId="74F7AE37" w14:textId="77777777" w:rsidTr="004E423C">
        <w:trPr>
          <w:cantSplit/>
          <w:jc w:val="center"/>
        </w:trPr>
        <w:tc>
          <w:tcPr>
            <w:tcW w:w="1251" w:type="pct"/>
            <w:shd w:val="clear" w:color="auto" w:fill="auto"/>
            <w:vAlign w:val="center"/>
          </w:tcPr>
          <w:p w14:paraId="0C90C685" w14:textId="77777777" w:rsidR="007D4AC0" w:rsidRPr="0091283E" w:rsidRDefault="007D4AC0" w:rsidP="007D4AC0">
            <w:pPr>
              <w:pStyle w:val="TableText0"/>
              <w:rPr>
                <w:lang w:val="en-US"/>
              </w:rPr>
            </w:pPr>
            <w:r w:rsidRPr="0091283E">
              <w:rPr>
                <w:lang w:val="en-US"/>
              </w:rPr>
              <w:t xml:space="preserve">Mean duration (months), (undiscounted) </w:t>
            </w:r>
            <w:r w:rsidRPr="0091283E">
              <w:rPr>
                <w:vertAlign w:val="superscript"/>
                <w:lang w:val="en-US"/>
              </w:rPr>
              <w:t>a</w:t>
            </w:r>
          </w:p>
        </w:tc>
        <w:tc>
          <w:tcPr>
            <w:tcW w:w="627" w:type="pct"/>
            <w:tcBorders>
              <w:bottom w:val="single" w:sz="4" w:space="0" w:color="auto"/>
            </w:tcBorders>
            <w:shd w:val="clear" w:color="auto" w:fill="auto"/>
            <w:vAlign w:val="center"/>
          </w:tcPr>
          <w:p w14:paraId="291C85AE" w14:textId="77777777" w:rsidR="007D4AC0" w:rsidRPr="0091283E" w:rsidRDefault="007D4AC0" w:rsidP="007D4AC0">
            <w:pPr>
              <w:pStyle w:val="TableText0"/>
              <w:jc w:val="center"/>
              <w:rPr>
                <w:lang w:val="en-US"/>
              </w:rPr>
            </w:pPr>
            <w:r w:rsidRPr="0091283E">
              <w:t>11.01</w:t>
            </w:r>
          </w:p>
        </w:tc>
        <w:tc>
          <w:tcPr>
            <w:tcW w:w="624" w:type="pct"/>
            <w:tcBorders>
              <w:bottom w:val="single" w:sz="4" w:space="0" w:color="auto"/>
            </w:tcBorders>
            <w:shd w:val="clear" w:color="auto" w:fill="auto"/>
            <w:vAlign w:val="center"/>
          </w:tcPr>
          <w:p w14:paraId="464121E0" w14:textId="77777777" w:rsidR="007D4AC0" w:rsidRPr="0091283E" w:rsidRDefault="007D4AC0" w:rsidP="007D4AC0">
            <w:pPr>
              <w:pStyle w:val="TableText0"/>
              <w:jc w:val="center"/>
              <w:rPr>
                <w:lang w:val="en-US"/>
              </w:rPr>
            </w:pPr>
            <w:r w:rsidRPr="0091283E">
              <w:t>18.5</w:t>
            </w:r>
          </w:p>
        </w:tc>
        <w:tc>
          <w:tcPr>
            <w:tcW w:w="626" w:type="pct"/>
            <w:tcBorders>
              <w:bottom w:val="single" w:sz="4" w:space="0" w:color="auto"/>
            </w:tcBorders>
            <w:shd w:val="clear" w:color="auto" w:fill="auto"/>
            <w:vAlign w:val="center"/>
          </w:tcPr>
          <w:p w14:paraId="4BBD7B05" w14:textId="77777777" w:rsidR="007D4AC0" w:rsidRPr="0091283E" w:rsidRDefault="007D4AC0" w:rsidP="007D4AC0">
            <w:pPr>
              <w:pStyle w:val="TableText0"/>
              <w:jc w:val="center"/>
              <w:rPr>
                <w:lang w:val="en-US"/>
              </w:rPr>
            </w:pPr>
            <w:r w:rsidRPr="0091283E">
              <w:t>16.15</w:t>
            </w:r>
          </w:p>
        </w:tc>
        <w:tc>
          <w:tcPr>
            <w:tcW w:w="624" w:type="pct"/>
            <w:tcBorders>
              <w:bottom w:val="single" w:sz="4" w:space="0" w:color="auto"/>
            </w:tcBorders>
            <w:shd w:val="clear" w:color="auto" w:fill="FFFFFF" w:themeFill="background1"/>
            <w:vAlign w:val="center"/>
          </w:tcPr>
          <w:p w14:paraId="3F255731" w14:textId="77777777" w:rsidR="007D4AC0" w:rsidRPr="0091283E" w:rsidRDefault="007D4AC0" w:rsidP="007D4AC0">
            <w:pPr>
              <w:pStyle w:val="TableText0"/>
              <w:jc w:val="center"/>
              <w:rPr>
                <w:bCs w:val="0"/>
                <w:lang w:val="en-US"/>
              </w:rPr>
            </w:pPr>
            <w:r w:rsidRPr="0091283E">
              <w:t>11.38</w:t>
            </w:r>
          </w:p>
        </w:tc>
        <w:tc>
          <w:tcPr>
            <w:tcW w:w="626" w:type="pct"/>
            <w:tcBorders>
              <w:bottom w:val="single" w:sz="4" w:space="0" w:color="auto"/>
            </w:tcBorders>
            <w:shd w:val="clear" w:color="auto" w:fill="FFFFFF" w:themeFill="background1"/>
            <w:vAlign w:val="center"/>
          </w:tcPr>
          <w:p w14:paraId="168ECD9E" w14:textId="77777777" w:rsidR="007D4AC0" w:rsidRPr="0091283E" w:rsidRDefault="007D4AC0" w:rsidP="007D4AC0">
            <w:pPr>
              <w:pStyle w:val="TableText0"/>
              <w:jc w:val="center"/>
              <w:rPr>
                <w:b/>
                <w:lang w:val="en-US"/>
              </w:rPr>
            </w:pPr>
            <w:r w:rsidRPr="0091283E">
              <w:t>21.2</w:t>
            </w:r>
          </w:p>
        </w:tc>
        <w:tc>
          <w:tcPr>
            <w:tcW w:w="623" w:type="pct"/>
            <w:tcBorders>
              <w:bottom w:val="single" w:sz="4" w:space="0" w:color="auto"/>
            </w:tcBorders>
            <w:shd w:val="clear" w:color="auto" w:fill="FFFFFF" w:themeFill="background1"/>
            <w:vAlign w:val="center"/>
          </w:tcPr>
          <w:p w14:paraId="7F72DF91" w14:textId="77777777" w:rsidR="007D4AC0" w:rsidRPr="0091283E" w:rsidRDefault="007D4AC0" w:rsidP="007D4AC0">
            <w:pPr>
              <w:pStyle w:val="TableText0"/>
              <w:jc w:val="center"/>
              <w:rPr>
                <w:bCs w:val="0"/>
                <w:lang w:val="en-US"/>
              </w:rPr>
            </w:pPr>
            <w:r w:rsidRPr="0091283E">
              <w:t>17.43</w:t>
            </w:r>
          </w:p>
        </w:tc>
      </w:tr>
      <w:tr w:rsidR="004E423C" w:rsidRPr="0091283E" w14:paraId="439BEC70" w14:textId="77777777" w:rsidTr="004E423C">
        <w:trPr>
          <w:cantSplit/>
          <w:jc w:val="center"/>
        </w:trPr>
        <w:tc>
          <w:tcPr>
            <w:tcW w:w="1251" w:type="pct"/>
            <w:shd w:val="clear" w:color="auto" w:fill="auto"/>
            <w:vAlign w:val="center"/>
          </w:tcPr>
          <w:p w14:paraId="5CE36D96" w14:textId="79FA7BA8" w:rsidR="007D4AC0" w:rsidRPr="0038139A" w:rsidRDefault="007D4AC0" w:rsidP="007D4AC0">
            <w:pPr>
              <w:pStyle w:val="TableText0"/>
              <w:rPr>
                <w:lang w:val="en-US"/>
              </w:rPr>
            </w:pPr>
            <w:r w:rsidRPr="0091283E">
              <w:rPr>
                <w:lang w:val="en-US"/>
              </w:rPr>
              <w:t xml:space="preserve">Cost/patient/month </w:t>
            </w:r>
            <w:r w:rsidRPr="0091283E">
              <w:rPr>
                <w:vertAlign w:val="superscript"/>
                <w:lang w:val="en-US"/>
              </w:rPr>
              <w:t>b</w:t>
            </w:r>
            <w:r w:rsidR="0038139A">
              <w:rPr>
                <w:vertAlign w:val="superscript"/>
                <w:lang w:val="en-US"/>
              </w:rPr>
              <w:t xml:space="preserve"> </w:t>
            </w:r>
            <w:r w:rsidR="0038139A">
              <w:rPr>
                <w:lang w:val="en-US"/>
              </w:rPr>
              <w:t>($)</w:t>
            </w:r>
          </w:p>
        </w:tc>
        <w:tc>
          <w:tcPr>
            <w:tcW w:w="627" w:type="pct"/>
            <w:tcBorders>
              <w:bottom w:val="single" w:sz="4" w:space="0" w:color="auto"/>
            </w:tcBorders>
            <w:shd w:val="solid" w:color="000000" w:fill="000000"/>
          </w:tcPr>
          <w:p w14:paraId="1BF00C34" w14:textId="6A317CF6" w:rsidR="007D4AC0" w:rsidRPr="0038139A" w:rsidRDefault="004E423C" w:rsidP="007D4AC0">
            <w:pPr>
              <w:pStyle w:val="TableText0"/>
              <w:jc w:val="center"/>
              <w:rPr>
                <w:highlight w:val="lightGray"/>
                <w:lang w:val="en-US"/>
              </w:rPr>
            </w:pPr>
            <w:r w:rsidRPr="004E423C">
              <w:rPr>
                <w:color w:val="000000"/>
                <w:spacing w:val="214"/>
                <w:fitText w:val="300" w:id="-1435825655"/>
                <w14:textFill>
                  <w14:solidFill>
                    <w14:srgbClr w14:val="000000">
                      <w14:alpha w14:val="100000"/>
                    </w14:srgbClr>
                  </w14:solidFill>
                </w14:textFill>
              </w:rPr>
              <w:t>|</w:t>
            </w:r>
            <w:r w:rsidRPr="004E423C">
              <w:rPr>
                <w:color w:val="000000"/>
                <w:fitText w:val="300" w:id="-1435825655"/>
                <w14:textFill>
                  <w14:solidFill>
                    <w14:srgbClr w14:val="000000">
                      <w14:alpha w14:val="100000"/>
                    </w14:srgbClr>
                  </w14:solidFill>
                </w14:textFill>
              </w:rPr>
              <w:t>|</w:t>
            </w:r>
          </w:p>
        </w:tc>
        <w:tc>
          <w:tcPr>
            <w:tcW w:w="624" w:type="pct"/>
            <w:tcBorders>
              <w:bottom w:val="single" w:sz="4" w:space="0" w:color="auto"/>
            </w:tcBorders>
            <w:shd w:val="solid" w:color="000000" w:fill="000000"/>
          </w:tcPr>
          <w:p w14:paraId="6310F244" w14:textId="3A7DAF28" w:rsidR="007D4AC0" w:rsidRPr="0038139A" w:rsidRDefault="004E423C" w:rsidP="007D4AC0">
            <w:pPr>
              <w:pStyle w:val="TableText0"/>
              <w:jc w:val="center"/>
              <w:rPr>
                <w:highlight w:val="lightGray"/>
                <w:lang w:val="en-US"/>
              </w:rPr>
            </w:pPr>
            <w:r w:rsidRPr="004E423C">
              <w:rPr>
                <w:color w:val="000000"/>
                <w:spacing w:val="214"/>
                <w:fitText w:val="300" w:id="-1435825654"/>
                <w14:textFill>
                  <w14:solidFill>
                    <w14:srgbClr w14:val="000000">
                      <w14:alpha w14:val="100000"/>
                    </w14:srgbClr>
                  </w14:solidFill>
                </w14:textFill>
              </w:rPr>
              <w:t>|</w:t>
            </w:r>
            <w:r w:rsidRPr="004E423C">
              <w:rPr>
                <w:color w:val="000000"/>
                <w:fitText w:val="300" w:id="-1435825654"/>
                <w14:textFill>
                  <w14:solidFill>
                    <w14:srgbClr w14:val="000000">
                      <w14:alpha w14:val="100000"/>
                    </w14:srgbClr>
                  </w14:solidFill>
                </w14:textFill>
              </w:rPr>
              <w:t>|</w:t>
            </w:r>
          </w:p>
        </w:tc>
        <w:tc>
          <w:tcPr>
            <w:tcW w:w="626" w:type="pct"/>
            <w:tcBorders>
              <w:bottom w:val="single" w:sz="4" w:space="0" w:color="auto"/>
            </w:tcBorders>
            <w:shd w:val="solid" w:color="000000" w:fill="000000"/>
          </w:tcPr>
          <w:p w14:paraId="1C2B1091" w14:textId="605F1264" w:rsidR="007D4AC0" w:rsidRPr="0038139A" w:rsidRDefault="004E423C" w:rsidP="007D4AC0">
            <w:pPr>
              <w:pStyle w:val="TableText0"/>
              <w:jc w:val="center"/>
              <w:rPr>
                <w:highlight w:val="lightGray"/>
                <w:lang w:val="en-US"/>
              </w:rPr>
            </w:pPr>
            <w:r w:rsidRPr="004E423C">
              <w:rPr>
                <w:color w:val="000000"/>
                <w:spacing w:val="214"/>
                <w:fitText w:val="300" w:id="-1435825653"/>
                <w14:textFill>
                  <w14:solidFill>
                    <w14:srgbClr w14:val="000000">
                      <w14:alpha w14:val="100000"/>
                    </w14:srgbClr>
                  </w14:solidFill>
                </w14:textFill>
              </w:rPr>
              <w:t>|</w:t>
            </w:r>
            <w:r w:rsidRPr="004E423C">
              <w:rPr>
                <w:color w:val="000000"/>
                <w:fitText w:val="300" w:id="-1435825653"/>
                <w14:textFill>
                  <w14:solidFill>
                    <w14:srgbClr w14:val="000000">
                      <w14:alpha w14:val="100000"/>
                    </w14:srgbClr>
                  </w14:solidFill>
                </w14:textFill>
              </w:rPr>
              <w:t>|</w:t>
            </w:r>
          </w:p>
        </w:tc>
        <w:tc>
          <w:tcPr>
            <w:tcW w:w="624" w:type="pct"/>
            <w:tcBorders>
              <w:bottom w:val="single" w:sz="4" w:space="0" w:color="auto"/>
            </w:tcBorders>
            <w:shd w:val="solid" w:color="000000" w:fill="000000"/>
            <w:vAlign w:val="center"/>
          </w:tcPr>
          <w:p w14:paraId="3B2759CD" w14:textId="103372D6" w:rsidR="007D4AC0" w:rsidRPr="0038139A" w:rsidRDefault="004E423C" w:rsidP="007D4AC0">
            <w:pPr>
              <w:pStyle w:val="TableText0"/>
              <w:jc w:val="center"/>
              <w:rPr>
                <w:highlight w:val="lightGray"/>
                <w:lang w:val="en-US"/>
              </w:rPr>
            </w:pPr>
            <w:r w:rsidRPr="004E423C">
              <w:rPr>
                <w:color w:val="000000"/>
                <w:spacing w:val="214"/>
                <w:fitText w:val="300" w:id="-1435825652"/>
                <w:lang w:val="en-US"/>
                <w14:textFill>
                  <w14:solidFill>
                    <w14:srgbClr w14:val="000000">
                      <w14:alpha w14:val="100000"/>
                    </w14:srgbClr>
                  </w14:solidFill>
                </w14:textFill>
              </w:rPr>
              <w:t>|</w:t>
            </w:r>
            <w:r w:rsidRPr="004E423C">
              <w:rPr>
                <w:color w:val="000000"/>
                <w:fitText w:val="300" w:id="-1435825652"/>
                <w:lang w:val="en-US"/>
                <w14:textFill>
                  <w14:solidFill>
                    <w14:srgbClr w14:val="000000">
                      <w14:alpha w14:val="100000"/>
                    </w14:srgbClr>
                  </w14:solidFill>
                </w14:textFill>
              </w:rPr>
              <w:t>|</w:t>
            </w:r>
          </w:p>
        </w:tc>
        <w:tc>
          <w:tcPr>
            <w:tcW w:w="626" w:type="pct"/>
            <w:tcBorders>
              <w:bottom w:val="single" w:sz="4" w:space="0" w:color="auto"/>
            </w:tcBorders>
            <w:shd w:val="solid" w:color="000000" w:fill="000000"/>
          </w:tcPr>
          <w:p w14:paraId="561EC626" w14:textId="48B9D18B" w:rsidR="007D4AC0" w:rsidRPr="0038139A" w:rsidRDefault="004E423C" w:rsidP="00F34DFC">
            <w:pPr>
              <w:pStyle w:val="TableText0"/>
              <w:jc w:val="center"/>
              <w:rPr>
                <w:bCs w:val="0"/>
                <w:highlight w:val="lightGray"/>
              </w:rPr>
            </w:pPr>
            <w:r w:rsidRPr="004E423C">
              <w:rPr>
                <w:bCs w:val="0"/>
                <w:color w:val="000000"/>
                <w:spacing w:val="214"/>
                <w:fitText w:val="300" w:id="-1435825651"/>
                <w14:textFill>
                  <w14:solidFill>
                    <w14:srgbClr w14:val="000000">
                      <w14:alpha w14:val="100000"/>
                    </w14:srgbClr>
                  </w14:solidFill>
                </w14:textFill>
              </w:rPr>
              <w:t>|</w:t>
            </w:r>
            <w:r w:rsidRPr="004E423C">
              <w:rPr>
                <w:bCs w:val="0"/>
                <w:color w:val="000000"/>
                <w:fitText w:val="300" w:id="-1435825651"/>
                <w14:textFill>
                  <w14:solidFill>
                    <w14:srgbClr w14:val="000000">
                      <w14:alpha w14:val="100000"/>
                    </w14:srgbClr>
                  </w14:solidFill>
                </w14:textFill>
              </w:rPr>
              <w:t>|</w:t>
            </w:r>
          </w:p>
        </w:tc>
        <w:tc>
          <w:tcPr>
            <w:tcW w:w="623" w:type="pct"/>
            <w:tcBorders>
              <w:bottom w:val="single" w:sz="4" w:space="0" w:color="auto"/>
            </w:tcBorders>
            <w:shd w:val="solid" w:color="000000" w:fill="000000"/>
          </w:tcPr>
          <w:p w14:paraId="75A48554" w14:textId="6CDC6B1C" w:rsidR="007D4AC0" w:rsidRPr="0038139A" w:rsidRDefault="004E423C" w:rsidP="007D4AC0">
            <w:pPr>
              <w:pStyle w:val="TableText0"/>
              <w:jc w:val="center"/>
              <w:rPr>
                <w:highlight w:val="lightGray"/>
                <w:lang w:val="en-US"/>
              </w:rPr>
            </w:pPr>
            <w:r w:rsidRPr="004E423C">
              <w:rPr>
                <w:color w:val="000000"/>
                <w:spacing w:val="214"/>
                <w:fitText w:val="300" w:id="-1435825650"/>
                <w:lang w:val="en-US"/>
                <w14:textFill>
                  <w14:solidFill>
                    <w14:srgbClr w14:val="000000">
                      <w14:alpha w14:val="100000"/>
                    </w14:srgbClr>
                  </w14:solidFill>
                </w14:textFill>
              </w:rPr>
              <w:t>|</w:t>
            </w:r>
            <w:r w:rsidRPr="004E423C">
              <w:rPr>
                <w:color w:val="000000"/>
                <w:fitText w:val="300" w:id="-1435825650"/>
                <w:lang w:val="en-US"/>
                <w14:textFill>
                  <w14:solidFill>
                    <w14:srgbClr w14:val="000000">
                      <w14:alpha w14:val="100000"/>
                    </w14:srgbClr>
                  </w14:solidFill>
                </w14:textFill>
              </w:rPr>
              <w:t>|</w:t>
            </w:r>
          </w:p>
        </w:tc>
      </w:tr>
      <w:tr w:rsidR="00ED38CA" w:rsidRPr="0091283E" w14:paraId="6A8EA640" w14:textId="77777777" w:rsidTr="004E423C">
        <w:trPr>
          <w:cantSplit/>
          <w:jc w:val="center"/>
        </w:trPr>
        <w:tc>
          <w:tcPr>
            <w:tcW w:w="1251" w:type="pct"/>
            <w:shd w:val="clear" w:color="auto" w:fill="auto"/>
            <w:vAlign w:val="center"/>
          </w:tcPr>
          <w:p w14:paraId="4FCA6784" w14:textId="346E3716" w:rsidR="007D4AC0" w:rsidRPr="0038139A" w:rsidRDefault="007D4AC0" w:rsidP="007D4AC0">
            <w:pPr>
              <w:pStyle w:val="TableText0"/>
              <w:rPr>
                <w:lang w:val="en-US"/>
              </w:rPr>
            </w:pPr>
            <w:r w:rsidRPr="0091283E">
              <w:rPr>
                <w:lang w:val="en-US"/>
              </w:rPr>
              <w:t xml:space="preserve">Cost/patient/course </w:t>
            </w:r>
            <w:r w:rsidRPr="0091283E">
              <w:rPr>
                <w:vertAlign w:val="superscript"/>
                <w:lang w:val="en-US"/>
              </w:rPr>
              <w:t>c</w:t>
            </w:r>
            <w:r w:rsidR="0038139A">
              <w:rPr>
                <w:vertAlign w:val="superscript"/>
                <w:lang w:val="en-US"/>
              </w:rPr>
              <w:t xml:space="preserve"> </w:t>
            </w:r>
            <w:r w:rsidR="0038139A">
              <w:rPr>
                <w:lang w:val="en-US"/>
              </w:rPr>
              <w:t>($)</w:t>
            </w:r>
          </w:p>
        </w:tc>
        <w:tc>
          <w:tcPr>
            <w:tcW w:w="627" w:type="pct"/>
            <w:shd w:val="solid" w:color="000000" w:fill="000000"/>
          </w:tcPr>
          <w:p w14:paraId="22F22333" w14:textId="15397958" w:rsidR="007D4AC0" w:rsidRPr="0038139A" w:rsidRDefault="004E423C" w:rsidP="007D4AC0">
            <w:pPr>
              <w:pStyle w:val="TableText0"/>
              <w:jc w:val="center"/>
              <w:rPr>
                <w:highlight w:val="lightGray"/>
                <w:lang w:val="en-US"/>
              </w:rPr>
            </w:pPr>
            <w:r w:rsidRPr="004E423C">
              <w:rPr>
                <w:color w:val="000000"/>
                <w:spacing w:val="214"/>
                <w:fitText w:val="300" w:id="-1435825649"/>
                <w14:textFill>
                  <w14:solidFill>
                    <w14:srgbClr w14:val="000000">
                      <w14:alpha w14:val="100000"/>
                    </w14:srgbClr>
                  </w14:solidFill>
                </w14:textFill>
              </w:rPr>
              <w:t>|</w:t>
            </w:r>
            <w:r w:rsidRPr="004E423C">
              <w:rPr>
                <w:color w:val="000000"/>
                <w:fitText w:val="300" w:id="-1435825649"/>
                <w14:textFill>
                  <w14:solidFill>
                    <w14:srgbClr w14:val="000000">
                      <w14:alpha w14:val="100000"/>
                    </w14:srgbClr>
                  </w14:solidFill>
                </w14:textFill>
              </w:rPr>
              <w:t>|</w:t>
            </w:r>
          </w:p>
        </w:tc>
        <w:tc>
          <w:tcPr>
            <w:tcW w:w="624" w:type="pct"/>
            <w:shd w:val="solid" w:color="000000" w:fill="000000"/>
          </w:tcPr>
          <w:p w14:paraId="3E3D12C0" w14:textId="2F600D9D" w:rsidR="007D4AC0" w:rsidRPr="0038139A" w:rsidRDefault="004E423C" w:rsidP="007D4AC0">
            <w:pPr>
              <w:pStyle w:val="TableText0"/>
              <w:jc w:val="center"/>
              <w:rPr>
                <w:highlight w:val="lightGray"/>
                <w:lang w:val="en-US"/>
              </w:rPr>
            </w:pPr>
            <w:r w:rsidRPr="004E423C">
              <w:rPr>
                <w:color w:val="000000"/>
                <w:spacing w:val="214"/>
                <w:fitText w:val="300" w:id="-1435825648"/>
                <w14:textFill>
                  <w14:solidFill>
                    <w14:srgbClr w14:val="000000">
                      <w14:alpha w14:val="100000"/>
                    </w14:srgbClr>
                  </w14:solidFill>
                </w14:textFill>
              </w:rPr>
              <w:t>|</w:t>
            </w:r>
            <w:r w:rsidRPr="004E423C">
              <w:rPr>
                <w:color w:val="000000"/>
                <w:fitText w:val="300" w:id="-1435825648"/>
                <w14:textFill>
                  <w14:solidFill>
                    <w14:srgbClr w14:val="000000">
                      <w14:alpha w14:val="100000"/>
                    </w14:srgbClr>
                  </w14:solidFill>
                </w14:textFill>
              </w:rPr>
              <w:t>|</w:t>
            </w:r>
          </w:p>
        </w:tc>
        <w:tc>
          <w:tcPr>
            <w:tcW w:w="626" w:type="pct"/>
            <w:shd w:val="solid" w:color="000000" w:fill="000000"/>
          </w:tcPr>
          <w:p w14:paraId="48052492" w14:textId="1B617DC9" w:rsidR="007D4AC0" w:rsidRPr="0038139A" w:rsidRDefault="004E423C" w:rsidP="007D4AC0">
            <w:pPr>
              <w:jc w:val="center"/>
              <w:rPr>
                <w:rFonts w:ascii="Arial Narrow" w:hAnsi="Arial Narrow" w:cs="Calibri"/>
                <w:color w:val="000000"/>
                <w:sz w:val="20"/>
                <w:szCs w:val="20"/>
                <w:highlight w:val="lightGray"/>
              </w:rPr>
            </w:pPr>
            <w:r w:rsidRPr="004E423C">
              <w:rPr>
                <w:rFonts w:ascii="Arial Narrow" w:hAnsi="Arial Narrow" w:cs="Calibri"/>
                <w:color w:val="000000"/>
                <w:spacing w:val="214"/>
                <w:sz w:val="20"/>
                <w:szCs w:val="20"/>
                <w:fitText w:val="300" w:id="-1435825664"/>
                <w14:textFill>
                  <w14:solidFill>
                    <w14:srgbClr w14:val="000000">
                      <w14:alpha w14:val="100000"/>
                    </w14:srgbClr>
                  </w14:solidFill>
                </w14:textFill>
              </w:rPr>
              <w:t>|</w:t>
            </w:r>
            <w:r w:rsidRPr="004E423C">
              <w:rPr>
                <w:rFonts w:ascii="Arial Narrow" w:hAnsi="Arial Narrow" w:cs="Calibri"/>
                <w:color w:val="000000"/>
                <w:sz w:val="20"/>
                <w:szCs w:val="20"/>
                <w:fitText w:val="300" w:id="-1435825664"/>
                <w14:textFill>
                  <w14:solidFill>
                    <w14:srgbClr w14:val="000000">
                      <w14:alpha w14:val="100000"/>
                    </w14:srgbClr>
                  </w14:solidFill>
                </w14:textFill>
              </w:rPr>
              <w:t>|</w:t>
            </w:r>
          </w:p>
        </w:tc>
        <w:tc>
          <w:tcPr>
            <w:tcW w:w="624" w:type="pct"/>
            <w:shd w:val="solid" w:color="000000" w:fill="000000"/>
          </w:tcPr>
          <w:p w14:paraId="0858C032" w14:textId="6F43AD1D" w:rsidR="007D4AC0" w:rsidRPr="0038139A" w:rsidRDefault="004E423C" w:rsidP="007D4AC0">
            <w:pPr>
              <w:pStyle w:val="TableText0"/>
              <w:jc w:val="center"/>
              <w:rPr>
                <w:highlight w:val="lightGray"/>
                <w:lang w:val="en-US"/>
              </w:rPr>
            </w:pPr>
            <w:r w:rsidRPr="004E423C">
              <w:rPr>
                <w:color w:val="000000"/>
                <w:spacing w:val="214"/>
                <w:fitText w:val="300" w:id="-1435825663"/>
                <w:lang w:val="en-US"/>
                <w14:textFill>
                  <w14:solidFill>
                    <w14:srgbClr w14:val="000000">
                      <w14:alpha w14:val="100000"/>
                    </w14:srgbClr>
                  </w14:solidFill>
                </w14:textFill>
              </w:rPr>
              <w:t>|</w:t>
            </w:r>
            <w:r w:rsidRPr="004E423C">
              <w:rPr>
                <w:color w:val="000000"/>
                <w:fitText w:val="300" w:id="-1435825663"/>
                <w:lang w:val="en-US"/>
                <w14:textFill>
                  <w14:solidFill>
                    <w14:srgbClr w14:val="000000">
                      <w14:alpha w14:val="100000"/>
                    </w14:srgbClr>
                  </w14:solidFill>
                </w14:textFill>
              </w:rPr>
              <w:t>|</w:t>
            </w:r>
          </w:p>
        </w:tc>
        <w:tc>
          <w:tcPr>
            <w:tcW w:w="626" w:type="pct"/>
            <w:shd w:val="solid" w:color="000000" w:fill="000000"/>
          </w:tcPr>
          <w:p w14:paraId="4FD1F8C2" w14:textId="13EC390C" w:rsidR="007D4AC0" w:rsidRPr="0038139A" w:rsidRDefault="004E423C" w:rsidP="00262BAC">
            <w:pPr>
              <w:pStyle w:val="TableText0"/>
              <w:jc w:val="center"/>
              <w:rPr>
                <w:highlight w:val="lightGray"/>
                <w:lang w:val="en-US"/>
              </w:rPr>
            </w:pPr>
            <w:r w:rsidRPr="004E423C">
              <w:rPr>
                <w:color w:val="000000"/>
                <w:spacing w:val="214"/>
                <w:fitText w:val="300" w:id="-1435825662"/>
                <w:lang w:val="en-US"/>
                <w14:textFill>
                  <w14:solidFill>
                    <w14:srgbClr w14:val="000000">
                      <w14:alpha w14:val="100000"/>
                    </w14:srgbClr>
                  </w14:solidFill>
                </w14:textFill>
              </w:rPr>
              <w:t>|</w:t>
            </w:r>
            <w:r w:rsidRPr="004E423C">
              <w:rPr>
                <w:color w:val="000000"/>
                <w:fitText w:val="300" w:id="-1435825662"/>
                <w:lang w:val="en-US"/>
                <w14:textFill>
                  <w14:solidFill>
                    <w14:srgbClr w14:val="000000">
                      <w14:alpha w14:val="100000"/>
                    </w14:srgbClr>
                  </w14:solidFill>
                </w14:textFill>
              </w:rPr>
              <w:t>|</w:t>
            </w:r>
          </w:p>
        </w:tc>
        <w:tc>
          <w:tcPr>
            <w:tcW w:w="623" w:type="pct"/>
            <w:shd w:val="solid" w:color="000000" w:fill="000000"/>
          </w:tcPr>
          <w:p w14:paraId="454105F7" w14:textId="0E296799" w:rsidR="007D4AC0" w:rsidRPr="0038139A" w:rsidRDefault="004E423C" w:rsidP="00262BAC">
            <w:pPr>
              <w:jc w:val="center"/>
              <w:rPr>
                <w:rFonts w:ascii="Arial Narrow" w:hAnsi="Arial Narrow" w:cs="Calibri"/>
                <w:color w:val="000000"/>
                <w:sz w:val="20"/>
                <w:szCs w:val="20"/>
                <w:highlight w:val="lightGray"/>
              </w:rPr>
            </w:pPr>
            <w:r w:rsidRPr="004E423C">
              <w:rPr>
                <w:rFonts w:ascii="Arial Narrow" w:hAnsi="Arial Narrow" w:cs="Calibri"/>
                <w:color w:val="000000"/>
                <w:spacing w:val="214"/>
                <w:sz w:val="20"/>
                <w:szCs w:val="20"/>
                <w:fitText w:val="300" w:id="-1435825661"/>
                <w14:textFill>
                  <w14:solidFill>
                    <w14:srgbClr w14:val="000000">
                      <w14:alpha w14:val="100000"/>
                    </w14:srgbClr>
                  </w14:solidFill>
                </w14:textFill>
              </w:rPr>
              <w:t>|</w:t>
            </w:r>
            <w:r w:rsidRPr="004E423C">
              <w:rPr>
                <w:rFonts w:ascii="Arial Narrow" w:hAnsi="Arial Narrow" w:cs="Calibri"/>
                <w:color w:val="000000"/>
                <w:sz w:val="20"/>
                <w:szCs w:val="20"/>
                <w:fitText w:val="300" w:id="-1435825661"/>
                <w14:textFill>
                  <w14:solidFill>
                    <w14:srgbClr w14:val="000000">
                      <w14:alpha w14:val="100000"/>
                    </w14:srgbClr>
                  </w14:solidFill>
                </w14:textFill>
              </w:rPr>
              <w:t>|</w:t>
            </w:r>
          </w:p>
        </w:tc>
      </w:tr>
    </w:tbl>
    <w:p w14:paraId="293E06ED" w14:textId="52AC8127" w:rsidR="00D24261" w:rsidRDefault="00D24261" w:rsidP="00D24261">
      <w:pPr>
        <w:pStyle w:val="TableFigureFooter"/>
      </w:pPr>
      <w:r w:rsidRPr="0091283E">
        <w:t>Sources: Table 6.1-1, p31</w:t>
      </w:r>
      <w:r w:rsidR="00015112" w:rsidRPr="0091283E">
        <w:t xml:space="preserve"> and Table 6.1-2, p32</w:t>
      </w:r>
      <w:r w:rsidRPr="0091283E">
        <w:t xml:space="preserve"> of CA224047 CSR v2, ‘NIVO_RELA_</w:t>
      </w:r>
      <w:r w:rsidRPr="009D2E69">
        <w:t>Section3model.xsls’ and ‘Section4</w:t>
      </w:r>
      <w:r w:rsidRPr="0091283E">
        <w:t>_BIM.xsls’</w:t>
      </w:r>
    </w:p>
    <w:p w14:paraId="3EE392FB" w14:textId="02FB8A22" w:rsidR="008D0937" w:rsidRPr="0091283E" w:rsidRDefault="008D0937" w:rsidP="00D24261">
      <w:pPr>
        <w:pStyle w:val="TableFigureFooter"/>
      </w:pPr>
      <w:r>
        <w:t>DPMA = dispensed price for maximum amount; FDC = fixed dose combination; NIVO = nivolumab; NR = not reported; Q4W = every 4 weeks; RELA+NIVO = relatlimab + nivolumab</w:t>
      </w:r>
    </w:p>
    <w:p w14:paraId="4B9C87BE" w14:textId="72D3DC16" w:rsidR="00D24261" w:rsidRPr="0091283E" w:rsidRDefault="00D24261" w:rsidP="00D24261">
      <w:pPr>
        <w:pStyle w:val="TableFigureFooter"/>
      </w:pPr>
      <w:r w:rsidRPr="0091283E">
        <w:rPr>
          <w:vertAlign w:val="superscript"/>
        </w:rPr>
        <w:t>a</w:t>
      </w:r>
      <w:r w:rsidRPr="0091283E">
        <w:t xml:space="preserve"> Mean duration estimated during financial estimates were based on weighted duration of treatment for first line and second line</w:t>
      </w:r>
      <w:r w:rsidR="00015112" w:rsidRPr="0091283E">
        <w:t xml:space="preserve"> </w:t>
      </w:r>
    </w:p>
    <w:p w14:paraId="4F104F1A" w14:textId="1AAEFDBC" w:rsidR="00D24261" w:rsidRPr="0091283E" w:rsidRDefault="00D24261" w:rsidP="00D24261">
      <w:pPr>
        <w:pStyle w:val="TableFigureFooter"/>
      </w:pPr>
      <w:r w:rsidRPr="0091283E">
        <w:rPr>
          <w:vertAlign w:val="superscript"/>
        </w:rPr>
        <w:t>b</w:t>
      </w:r>
      <w:r w:rsidRPr="0091283E">
        <w:t xml:space="preserve"> Cost/patient/month calculated using proposed </w:t>
      </w:r>
      <w:r w:rsidR="005E3718" w:rsidRPr="0091283E">
        <w:t xml:space="preserve">relatlimab + nivolumab </w:t>
      </w:r>
      <w:r w:rsidRPr="0091283E">
        <w:t>effective DPMA (weighted) of $</w:t>
      </w:r>
      <w:r w:rsidR="004E423C" w:rsidRPr="004E423C">
        <w:rPr>
          <w:color w:val="000000"/>
          <w:spacing w:val="16"/>
          <w:shd w:val="solid" w:color="000000" w:fill="000000"/>
          <w:fitText w:val="430" w:id="-1435825660"/>
          <w14:textFill>
            <w14:solidFill>
              <w14:srgbClr w14:val="000000">
                <w14:alpha w14:val="100000"/>
              </w14:srgbClr>
            </w14:solidFill>
          </w14:textFill>
        </w:rPr>
        <w:t>|||  ||</w:t>
      </w:r>
      <w:r w:rsidR="004E423C" w:rsidRPr="004E423C">
        <w:rPr>
          <w:color w:val="000000"/>
          <w:spacing w:val="6"/>
          <w:shd w:val="solid" w:color="000000" w:fill="000000"/>
          <w:fitText w:val="430" w:id="-1435825660"/>
          <w14:textFill>
            <w14:solidFill>
              <w14:srgbClr w14:val="000000">
                <w14:alpha w14:val="100000"/>
              </w14:srgbClr>
            </w14:solidFill>
          </w14:textFill>
        </w:rPr>
        <w:t>|</w:t>
      </w:r>
      <w:r w:rsidRPr="0091283E">
        <w:t xml:space="preserve"> assuming 32.01% public/67.99% private split at a dose of 640 mg every 4 weeks, and</w:t>
      </w:r>
      <w:r w:rsidR="005E3718" w:rsidRPr="0091283E">
        <w:t xml:space="preserve"> nivolumab</w:t>
      </w:r>
      <w:r w:rsidRPr="0091283E">
        <w:t xml:space="preserve"> effective DPMA (weighted) of $</w:t>
      </w:r>
      <w:r w:rsidR="004E423C" w:rsidRPr="004E423C">
        <w:rPr>
          <w:color w:val="000000"/>
          <w:spacing w:val="16"/>
          <w:shd w:val="solid" w:color="000000" w:fill="000000"/>
          <w:fitText w:val="430" w:id="-1435825659"/>
          <w14:textFill>
            <w14:solidFill>
              <w14:srgbClr w14:val="000000">
                <w14:alpha w14:val="100000"/>
              </w14:srgbClr>
            </w14:solidFill>
          </w14:textFill>
        </w:rPr>
        <w:t>|||  ||</w:t>
      </w:r>
      <w:r w:rsidR="004E423C" w:rsidRPr="004E423C">
        <w:rPr>
          <w:color w:val="000000"/>
          <w:spacing w:val="6"/>
          <w:shd w:val="solid" w:color="000000" w:fill="000000"/>
          <w:fitText w:val="430" w:id="-1435825659"/>
          <w14:textFill>
            <w14:solidFill>
              <w14:srgbClr w14:val="000000">
                <w14:alpha w14:val="100000"/>
              </w14:srgbClr>
            </w14:solidFill>
          </w14:textFill>
        </w:rPr>
        <w:t>|</w:t>
      </w:r>
      <w:r w:rsidRPr="0091283E">
        <w:t xml:space="preserve"> assuming 32.01% public/67.99% private split at a dose of 480 mg every 4 weeks, for approximately 1.087 cycles (1 month).</w:t>
      </w:r>
    </w:p>
    <w:p w14:paraId="041B036C" w14:textId="501DA545" w:rsidR="00EE648E" w:rsidRPr="0091283E" w:rsidRDefault="00D24261" w:rsidP="00D24261">
      <w:pPr>
        <w:pStyle w:val="TableFigureFooter"/>
      </w:pPr>
      <w:r w:rsidRPr="0091283E">
        <w:rPr>
          <w:vertAlign w:val="superscript"/>
        </w:rPr>
        <w:t>c</w:t>
      </w:r>
      <w:r w:rsidRPr="0091283E">
        <w:t xml:space="preserve"> Cost/patient/course = cost/patient/month × mean duration</w:t>
      </w:r>
    </w:p>
    <w:p w14:paraId="0A4B338C" w14:textId="45FEB682" w:rsidR="00CB08FA" w:rsidRPr="000B6052" w:rsidRDefault="00CD54E9" w:rsidP="00A33961">
      <w:pPr>
        <w:pStyle w:val="3-BodyText"/>
        <w:numPr>
          <w:ilvl w:val="1"/>
          <w:numId w:val="22"/>
        </w:numPr>
        <w:ind w:left="720" w:hanging="720"/>
      </w:pPr>
      <w:r w:rsidRPr="0091283E">
        <w:t xml:space="preserve">For </w:t>
      </w:r>
      <w:r w:rsidR="00EE78D3" w:rsidRPr="0091283E">
        <w:t xml:space="preserve">the </w:t>
      </w:r>
      <w:r w:rsidRPr="0091283E">
        <w:t>financial estimates, t</w:t>
      </w:r>
      <w:r w:rsidR="00CB08FA" w:rsidRPr="0091283E">
        <w:t>he submission</w:t>
      </w:r>
      <w:r w:rsidR="000758C2" w:rsidRPr="0091283E">
        <w:t xml:space="preserve"> estimated the average duration of RELA+NIVO (</w:t>
      </w:r>
      <w:r w:rsidR="00AC7464" w:rsidRPr="0091283E">
        <w:t>first line</w:t>
      </w:r>
      <w:r w:rsidR="000758C2" w:rsidRPr="0091283E">
        <w:t xml:space="preserve">) based on the </w:t>
      </w:r>
      <w:r w:rsidR="00CB08FA" w:rsidRPr="0091283E">
        <w:t>time-to-treatment discontinuation (TTD) curve</w:t>
      </w:r>
      <w:r w:rsidR="000758C2" w:rsidRPr="0091283E">
        <w:t xml:space="preserve"> extrapolated at 6 years from the economic model. The extrapolated average TTD at 6 years (16.46 months for RELA+NIVO; undiscounted) was chosen to align with the time horizon of the financial estimates. However, this was shorter than the average TTD from the </w:t>
      </w:r>
      <w:r w:rsidRPr="0091283E">
        <w:t xml:space="preserve">extrapolation presented over the entire time horizon of 20 years (18.5 months, undiscounted). Similarly, the </w:t>
      </w:r>
      <w:r w:rsidR="00766335" w:rsidRPr="0091283E">
        <w:t>average duration</w:t>
      </w:r>
      <w:r w:rsidRPr="0091283E">
        <w:t xml:space="preserve"> for nivolumab used in the financial </w:t>
      </w:r>
      <w:r w:rsidRPr="000B6052">
        <w:t>estimates was different from the economic model (17.</w:t>
      </w:r>
      <w:r w:rsidR="00C07E29" w:rsidRPr="000B6052">
        <w:t>43</w:t>
      </w:r>
      <w:r w:rsidRPr="000B6052">
        <w:t xml:space="preserve"> months compared with </w:t>
      </w:r>
      <w:r w:rsidR="0023241E" w:rsidRPr="000B6052">
        <w:t>21.2 months).</w:t>
      </w:r>
    </w:p>
    <w:p w14:paraId="7BADEBEE" w14:textId="48B1E471" w:rsidR="00D24261" w:rsidRPr="000B6052" w:rsidRDefault="00D24261" w:rsidP="0074263A">
      <w:pPr>
        <w:pStyle w:val="4-SubsectionHeading"/>
        <w:rPr>
          <w:i/>
          <w:iCs/>
          <w:sz w:val="28"/>
          <w:szCs w:val="28"/>
        </w:rPr>
      </w:pPr>
      <w:bookmarkStart w:id="92" w:name="_Toc22897647"/>
      <w:bookmarkStart w:id="93" w:name="_Toc103768661"/>
      <w:r w:rsidRPr="000B6052">
        <w:rPr>
          <w:i/>
          <w:iCs/>
          <w:sz w:val="28"/>
          <w:szCs w:val="28"/>
        </w:rPr>
        <w:t>Estimated PBS usage &amp; financial implications</w:t>
      </w:r>
      <w:bookmarkEnd w:id="92"/>
      <w:bookmarkEnd w:id="93"/>
    </w:p>
    <w:p w14:paraId="4394660A" w14:textId="6EE38BA3" w:rsidR="00AC1075" w:rsidRPr="000B6052" w:rsidRDefault="00AC1075" w:rsidP="002D0446">
      <w:pPr>
        <w:pStyle w:val="3-BodyText"/>
        <w:numPr>
          <w:ilvl w:val="1"/>
          <w:numId w:val="44"/>
        </w:numPr>
        <w:rPr>
          <w:color w:val="0066FF"/>
        </w:rPr>
      </w:pPr>
      <w:r w:rsidRPr="000B6052">
        <w:t xml:space="preserve">This submission </w:t>
      </w:r>
      <w:r w:rsidR="000625C5" w:rsidRPr="000B6052">
        <w:t xml:space="preserve">was </w:t>
      </w:r>
      <w:r w:rsidRPr="000B6052">
        <w:t>considered by DUSC</w:t>
      </w:r>
      <w:r w:rsidRPr="000B6052">
        <w:rPr>
          <w:color w:val="0070C0"/>
        </w:rPr>
        <w:t xml:space="preserve">. </w:t>
      </w:r>
    </w:p>
    <w:p w14:paraId="2F1B6A65" w14:textId="5ABC256A" w:rsidR="00AC1075" w:rsidRPr="00165666" w:rsidRDefault="00AC1075" w:rsidP="002D0446">
      <w:pPr>
        <w:pStyle w:val="3-BodyText"/>
        <w:numPr>
          <w:ilvl w:val="1"/>
          <w:numId w:val="44"/>
        </w:numPr>
        <w:rPr>
          <w:color w:val="0066FF"/>
        </w:rPr>
      </w:pPr>
      <w:r w:rsidRPr="000B6052">
        <w:t>The submission presented a mixed epidemiological and market share approach to estimate the</w:t>
      </w:r>
      <w:r w:rsidRPr="00AC3028">
        <w:t xml:space="preserve"> use of RELA+NIVO for the treatment of unresectable Stage III or IV malignant melanoma.</w:t>
      </w:r>
      <w:r>
        <w:t xml:space="preserve"> The estimated use and financial implications of listing RELA+NIVO are summarised in </w:t>
      </w:r>
      <w:r>
        <w:fldChar w:fldCharType="begin"/>
      </w:r>
      <w:r>
        <w:instrText xml:space="preserve"> REF _Ref100752824 \h </w:instrText>
      </w:r>
      <w:r>
        <w:fldChar w:fldCharType="separate"/>
      </w:r>
      <w:r w:rsidR="00633460" w:rsidRPr="00AC1075">
        <w:t xml:space="preserve">Table </w:t>
      </w:r>
      <w:r w:rsidR="00633460">
        <w:rPr>
          <w:noProof/>
        </w:rPr>
        <w:t>15</w:t>
      </w:r>
      <w:r>
        <w:fldChar w:fldCharType="end"/>
      </w:r>
      <w:r>
        <w:t>.</w:t>
      </w:r>
    </w:p>
    <w:p w14:paraId="49CD7996" w14:textId="6B75E989" w:rsidR="00AC1075" w:rsidRPr="00AC1075" w:rsidRDefault="00AC1075" w:rsidP="00AC1075">
      <w:pPr>
        <w:pStyle w:val="TableFigureHeading"/>
        <w:tabs>
          <w:tab w:val="left" w:pos="6711"/>
        </w:tabs>
        <w:spacing w:line="276" w:lineRule="auto"/>
        <w:rPr>
          <w:sz w:val="16"/>
          <w:szCs w:val="20"/>
        </w:rPr>
      </w:pPr>
      <w:bookmarkStart w:id="94" w:name="_Ref100752824"/>
      <w:r w:rsidRPr="00AC1075">
        <w:lastRenderedPageBreak/>
        <w:t xml:space="preserve">Table </w:t>
      </w:r>
      <w:fldSimple w:instr=" SEQ Table \* ARABIC \s 1 ">
        <w:r w:rsidR="00633460">
          <w:rPr>
            <w:noProof/>
          </w:rPr>
          <w:t>15</w:t>
        </w:r>
      </w:fldSimple>
      <w:bookmarkEnd w:id="94"/>
      <w:r w:rsidRPr="00AC1075">
        <w:t xml:space="preserve">: </w:t>
      </w:r>
      <w:r w:rsidRPr="00AC1075">
        <w:rPr>
          <w:rStyle w:val="CommentReference"/>
          <w:b/>
          <w:szCs w:val="24"/>
        </w:rPr>
        <w:t>Key inputs for financial estimates</w:t>
      </w:r>
      <w:r w:rsidRPr="00AC1075">
        <w:rPr>
          <w:rStyle w:val="CommentReference"/>
          <w:b/>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inputs for financial estimates"/>
      </w:tblPr>
      <w:tblGrid>
        <w:gridCol w:w="1635"/>
        <w:gridCol w:w="3692"/>
        <w:gridCol w:w="3690"/>
      </w:tblGrid>
      <w:tr w:rsidR="00AC1075" w:rsidRPr="00AC1075" w14:paraId="2E89CD60" w14:textId="77777777" w:rsidTr="00637C6D">
        <w:trPr>
          <w:tblHeader/>
        </w:trPr>
        <w:tc>
          <w:tcPr>
            <w:tcW w:w="907" w:type="pct"/>
            <w:shd w:val="clear" w:color="auto" w:fill="auto"/>
            <w:vAlign w:val="center"/>
          </w:tcPr>
          <w:p w14:paraId="6ABE419C" w14:textId="77777777" w:rsidR="00AC1075" w:rsidRPr="00AC1075" w:rsidRDefault="00AC1075" w:rsidP="00637C6D">
            <w:pPr>
              <w:pStyle w:val="In-tableHeading"/>
              <w:spacing w:line="276" w:lineRule="auto"/>
            </w:pPr>
            <w:r w:rsidRPr="00AC1075">
              <w:t>Parameter</w:t>
            </w:r>
          </w:p>
        </w:tc>
        <w:tc>
          <w:tcPr>
            <w:tcW w:w="2047" w:type="pct"/>
            <w:shd w:val="clear" w:color="auto" w:fill="auto"/>
            <w:vAlign w:val="center"/>
          </w:tcPr>
          <w:p w14:paraId="1FE800E0" w14:textId="77777777" w:rsidR="00AC1075" w:rsidRPr="00AC1075" w:rsidRDefault="00AC1075" w:rsidP="00637C6D">
            <w:pPr>
              <w:pStyle w:val="In-tableHeading"/>
              <w:spacing w:line="276" w:lineRule="auto"/>
            </w:pPr>
            <w:r w:rsidRPr="00AC1075">
              <w:t>Value applied and source</w:t>
            </w:r>
          </w:p>
        </w:tc>
        <w:tc>
          <w:tcPr>
            <w:tcW w:w="2046" w:type="pct"/>
            <w:shd w:val="clear" w:color="auto" w:fill="auto"/>
            <w:vAlign w:val="center"/>
          </w:tcPr>
          <w:p w14:paraId="227646E0" w14:textId="77777777" w:rsidR="00AC1075" w:rsidRPr="00AC1075" w:rsidRDefault="00AC1075" w:rsidP="00637C6D">
            <w:pPr>
              <w:pStyle w:val="In-tableHeading"/>
              <w:spacing w:line="276" w:lineRule="auto"/>
            </w:pPr>
            <w:r w:rsidRPr="00AC1075">
              <w:t>Comment</w:t>
            </w:r>
          </w:p>
        </w:tc>
      </w:tr>
      <w:tr w:rsidR="00AC1075" w:rsidRPr="00AC1075" w14:paraId="39015955" w14:textId="77777777" w:rsidTr="00637C6D">
        <w:tc>
          <w:tcPr>
            <w:tcW w:w="5000" w:type="pct"/>
            <w:gridSpan w:val="3"/>
            <w:shd w:val="clear" w:color="auto" w:fill="auto"/>
            <w:vAlign w:val="center"/>
          </w:tcPr>
          <w:p w14:paraId="7798B915" w14:textId="77777777" w:rsidR="00AC1075" w:rsidRPr="00AC1075" w:rsidRDefault="00AC1075" w:rsidP="00637C6D">
            <w:pPr>
              <w:pStyle w:val="TableText0"/>
              <w:rPr>
                <w:b/>
                <w:bCs w:val="0"/>
                <w:lang w:val="en-US"/>
              </w:rPr>
            </w:pPr>
            <w:r w:rsidRPr="00AC1075">
              <w:rPr>
                <w:b/>
                <w:bCs w:val="0"/>
                <w:lang w:val="en-US"/>
              </w:rPr>
              <w:t>Eligible population</w:t>
            </w:r>
          </w:p>
        </w:tc>
      </w:tr>
      <w:tr w:rsidR="00AC1075" w:rsidRPr="00AC1075" w14:paraId="71D6A66A" w14:textId="77777777" w:rsidTr="00637C6D">
        <w:tc>
          <w:tcPr>
            <w:tcW w:w="907" w:type="pct"/>
            <w:shd w:val="clear" w:color="auto" w:fill="auto"/>
            <w:vAlign w:val="center"/>
          </w:tcPr>
          <w:p w14:paraId="03CCF1B7" w14:textId="77777777" w:rsidR="00AC1075" w:rsidRPr="00AC1075" w:rsidRDefault="00AC1075" w:rsidP="00637C6D">
            <w:pPr>
              <w:pStyle w:val="TableText0"/>
              <w:rPr>
                <w:lang w:val="en-US"/>
              </w:rPr>
            </w:pPr>
            <w:r w:rsidRPr="00AC1075">
              <w:t>Incident patients commencing treatment in 1L</w:t>
            </w:r>
          </w:p>
        </w:tc>
        <w:tc>
          <w:tcPr>
            <w:tcW w:w="2047" w:type="pct"/>
            <w:shd w:val="clear" w:color="auto" w:fill="auto"/>
            <w:vAlign w:val="center"/>
          </w:tcPr>
          <w:p w14:paraId="6861B92B" w14:textId="06DD57F6" w:rsidR="00AC1075" w:rsidRPr="00AC1075" w:rsidRDefault="00AC1075" w:rsidP="00637C6D">
            <w:pPr>
              <w:pStyle w:val="TableText0"/>
              <w:rPr>
                <w:lang w:val="en-US"/>
              </w:rPr>
            </w:pPr>
            <w:r w:rsidRPr="00AC1075">
              <w:t>1,964 in 2023 increasing to 2,004 in 2028; projection was generated based on the 10% PBS service data log trend from Mar 20</w:t>
            </w:r>
            <w:r w:rsidR="00C82C04">
              <w:t>20</w:t>
            </w:r>
            <w:r w:rsidRPr="00AC1075">
              <w:t>.</w:t>
            </w:r>
          </w:p>
        </w:tc>
        <w:tc>
          <w:tcPr>
            <w:tcW w:w="2046" w:type="pct"/>
            <w:vMerge w:val="restart"/>
            <w:shd w:val="clear" w:color="auto" w:fill="auto"/>
            <w:vAlign w:val="center"/>
          </w:tcPr>
          <w:p w14:paraId="08098F99" w14:textId="1970F38B" w:rsidR="00AC1075" w:rsidRPr="00AC1075" w:rsidRDefault="00AC1075" w:rsidP="00637C6D">
            <w:pPr>
              <w:pStyle w:val="TableText0"/>
              <w:rPr>
                <w:lang w:val="en-US"/>
              </w:rPr>
            </w:pPr>
            <w:r w:rsidRPr="00AC1075">
              <w:rPr>
                <w:lang w:val="en-US"/>
              </w:rPr>
              <w:t xml:space="preserve">The submission assumed the market size for melanoma </w:t>
            </w:r>
            <w:r w:rsidR="00C82C04">
              <w:rPr>
                <w:lang w:val="en-US"/>
              </w:rPr>
              <w:t>wa</w:t>
            </w:r>
            <w:r w:rsidRPr="00AC1075">
              <w:rPr>
                <w:lang w:val="en-US"/>
              </w:rPr>
              <w:t xml:space="preserve">s to remain relatively flat due to saturation of the market uptake of the new treatments. </w:t>
            </w:r>
            <w:r w:rsidR="00C82C04">
              <w:rPr>
                <w:lang w:val="en-US"/>
              </w:rPr>
              <w:t>DUSC considered that the growth rate in melanoma cases (&lt; 1%) was underestimated compare to AIHW projections (2.9% to 3.7%).</w:t>
            </w:r>
          </w:p>
        </w:tc>
      </w:tr>
      <w:tr w:rsidR="00AC1075" w:rsidRPr="00AC1075" w14:paraId="1DA9BF64" w14:textId="77777777" w:rsidTr="00637C6D">
        <w:tc>
          <w:tcPr>
            <w:tcW w:w="907" w:type="pct"/>
            <w:shd w:val="clear" w:color="auto" w:fill="auto"/>
            <w:vAlign w:val="center"/>
          </w:tcPr>
          <w:p w14:paraId="52BB156F" w14:textId="77777777" w:rsidR="00AC1075" w:rsidRPr="00AC1075" w:rsidRDefault="00AC1075" w:rsidP="00637C6D">
            <w:pPr>
              <w:pStyle w:val="TableText0"/>
              <w:rPr>
                <w:lang w:val="en-US"/>
              </w:rPr>
            </w:pPr>
            <w:r w:rsidRPr="00AC1075">
              <w:t>Incident patients commencing treatment in 2L</w:t>
            </w:r>
            <w:r w:rsidRPr="00AC1075">
              <w:rPr>
                <w:vertAlign w:val="superscript"/>
              </w:rPr>
              <w:t>a</w:t>
            </w:r>
          </w:p>
        </w:tc>
        <w:tc>
          <w:tcPr>
            <w:tcW w:w="2047" w:type="pct"/>
            <w:shd w:val="clear" w:color="auto" w:fill="auto"/>
            <w:vAlign w:val="center"/>
          </w:tcPr>
          <w:p w14:paraId="6E3236F0" w14:textId="4143DA1E" w:rsidR="00AC1075" w:rsidRPr="00AC1075" w:rsidRDefault="00AC1075" w:rsidP="00637C6D">
            <w:pPr>
              <w:pStyle w:val="TableText0"/>
              <w:rPr>
                <w:lang w:val="en-US"/>
              </w:rPr>
            </w:pPr>
            <w:r w:rsidRPr="00AC1075">
              <w:rPr>
                <w:lang w:val="en-US"/>
              </w:rPr>
              <w:t xml:space="preserve">159 across Year 1 to 6; </w:t>
            </w:r>
            <w:r w:rsidR="00C82C04">
              <w:rPr>
                <w:lang w:val="en-US"/>
              </w:rPr>
              <w:t>projection</w:t>
            </w:r>
            <w:r w:rsidR="00C82C04" w:rsidRPr="00AC1075">
              <w:t xml:space="preserve"> </w:t>
            </w:r>
            <w:r w:rsidRPr="00AC1075">
              <w:t xml:space="preserve">based on the 12-month historical average of the available 10% PBS data sample, from Jan </w:t>
            </w:r>
            <w:r w:rsidR="00C82C04">
              <w:t>20</w:t>
            </w:r>
            <w:r w:rsidRPr="00AC1075">
              <w:t xml:space="preserve">21 to Dec </w:t>
            </w:r>
            <w:r w:rsidR="00C82C04">
              <w:t>20</w:t>
            </w:r>
            <w:r w:rsidRPr="00AC1075">
              <w:t>21</w:t>
            </w:r>
          </w:p>
        </w:tc>
        <w:tc>
          <w:tcPr>
            <w:tcW w:w="2046" w:type="pct"/>
            <w:vMerge/>
            <w:shd w:val="clear" w:color="auto" w:fill="auto"/>
            <w:vAlign w:val="center"/>
          </w:tcPr>
          <w:p w14:paraId="17727972" w14:textId="77777777" w:rsidR="00AC1075" w:rsidRPr="00AC1075" w:rsidRDefault="00AC1075" w:rsidP="00637C6D">
            <w:pPr>
              <w:pStyle w:val="TableText0"/>
              <w:rPr>
                <w:lang w:val="en-US"/>
              </w:rPr>
            </w:pPr>
          </w:p>
        </w:tc>
      </w:tr>
      <w:tr w:rsidR="00AC1075" w:rsidRPr="00AC1075" w14:paraId="365FE538" w14:textId="77777777" w:rsidTr="00637C6D">
        <w:tc>
          <w:tcPr>
            <w:tcW w:w="907" w:type="pct"/>
            <w:shd w:val="clear" w:color="auto" w:fill="auto"/>
            <w:vAlign w:val="center"/>
          </w:tcPr>
          <w:p w14:paraId="142022EB" w14:textId="153578CE" w:rsidR="00AC1075" w:rsidRPr="00AC1075" w:rsidRDefault="00AC1075" w:rsidP="00637C6D">
            <w:pPr>
              <w:pStyle w:val="TableText0"/>
              <w:rPr>
                <w:lang w:val="en-US"/>
              </w:rPr>
            </w:pPr>
            <w:r w:rsidRPr="00AC1075">
              <w:t xml:space="preserve">Total </w:t>
            </w:r>
            <w:r w:rsidR="00C82C04">
              <w:t>i</w:t>
            </w:r>
            <w:r w:rsidRPr="00AC1075">
              <w:t>ncident patients</w:t>
            </w:r>
          </w:p>
        </w:tc>
        <w:tc>
          <w:tcPr>
            <w:tcW w:w="2047" w:type="pct"/>
            <w:shd w:val="clear" w:color="auto" w:fill="auto"/>
            <w:vAlign w:val="center"/>
          </w:tcPr>
          <w:p w14:paraId="2FE83EB4" w14:textId="77777777" w:rsidR="00AC1075" w:rsidRPr="00AC1075" w:rsidRDefault="00AC1075" w:rsidP="00637C6D">
            <w:pPr>
              <w:pStyle w:val="TableText0"/>
              <w:rPr>
                <w:lang w:val="en-US"/>
              </w:rPr>
            </w:pPr>
            <w:r w:rsidRPr="00AC1075">
              <w:t>2,123 in 2023 increasing to 2,164 in 2028</w:t>
            </w:r>
          </w:p>
        </w:tc>
        <w:tc>
          <w:tcPr>
            <w:tcW w:w="2046" w:type="pct"/>
            <w:vMerge/>
            <w:shd w:val="clear" w:color="auto" w:fill="auto"/>
            <w:vAlign w:val="center"/>
          </w:tcPr>
          <w:p w14:paraId="7BBA551B" w14:textId="77777777" w:rsidR="00AC1075" w:rsidRPr="00AC1075" w:rsidRDefault="00AC1075" w:rsidP="00637C6D">
            <w:pPr>
              <w:pStyle w:val="TableText0"/>
              <w:rPr>
                <w:lang w:val="en-US"/>
              </w:rPr>
            </w:pPr>
          </w:p>
        </w:tc>
      </w:tr>
      <w:tr w:rsidR="00AC1075" w:rsidRPr="00AC1075" w14:paraId="70C5B678" w14:textId="77777777" w:rsidTr="00637C6D">
        <w:trPr>
          <w:trHeight w:val="56"/>
        </w:trPr>
        <w:tc>
          <w:tcPr>
            <w:tcW w:w="5000" w:type="pct"/>
            <w:gridSpan w:val="3"/>
            <w:shd w:val="clear" w:color="auto" w:fill="auto"/>
            <w:vAlign w:val="center"/>
          </w:tcPr>
          <w:p w14:paraId="17E96B4A" w14:textId="77777777" w:rsidR="00AC1075" w:rsidRPr="00AC1075" w:rsidRDefault="00AC1075" w:rsidP="00637C6D">
            <w:pPr>
              <w:pStyle w:val="TableText0"/>
              <w:jc w:val="both"/>
              <w:rPr>
                <w:b/>
                <w:bCs w:val="0"/>
                <w:lang w:val="en-US"/>
              </w:rPr>
            </w:pPr>
            <w:r w:rsidRPr="00AC1075">
              <w:rPr>
                <w:b/>
                <w:bCs w:val="0"/>
                <w:snapToGrid w:val="0"/>
              </w:rPr>
              <w:t>Treatment utilisation</w:t>
            </w:r>
          </w:p>
        </w:tc>
      </w:tr>
      <w:tr w:rsidR="00AC1075" w:rsidRPr="00AC1075" w14:paraId="28941A25" w14:textId="77777777" w:rsidTr="00637C6D">
        <w:tc>
          <w:tcPr>
            <w:tcW w:w="907" w:type="pct"/>
            <w:shd w:val="clear" w:color="auto" w:fill="auto"/>
            <w:vAlign w:val="center"/>
          </w:tcPr>
          <w:p w14:paraId="6BF60976" w14:textId="77777777" w:rsidR="00AC1075" w:rsidRPr="00AC1075" w:rsidRDefault="00AC1075" w:rsidP="00637C6D">
            <w:pPr>
              <w:pStyle w:val="TableText0"/>
              <w:rPr>
                <w:lang w:val="en-US"/>
              </w:rPr>
            </w:pPr>
            <w:r w:rsidRPr="00AC1075">
              <w:rPr>
                <w:snapToGrid w:val="0"/>
              </w:rPr>
              <w:t>Substitution rate</w:t>
            </w:r>
          </w:p>
        </w:tc>
        <w:tc>
          <w:tcPr>
            <w:tcW w:w="2047" w:type="pct"/>
            <w:shd w:val="clear" w:color="auto" w:fill="auto"/>
            <w:vAlign w:val="center"/>
          </w:tcPr>
          <w:p w14:paraId="58D5D50C" w14:textId="77777777" w:rsidR="00AC1075" w:rsidRPr="00AC1075" w:rsidRDefault="00AC1075" w:rsidP="00637C6D">
            <w:pPr>
              <w:pStyle w:val="TableText0"/>
              <w:rPr>
                <w:lang w:val="en-US"/>
              </w:rPr>
            </w:pPr>
            <w:r w:rsidRPr="00AC1075">
              <w:rPr>
                <w:lang w:val="en-US"/>
              </w:rPr>
              <w:t>Substitution rate of 68% for PD-1 and 28% for NIVO+IPI based on expert opinion.</w:t>
            </w:r>
          </w:p>
        </w:tc>
        <w:tc>
          <w:tcPr>
            <w:tcW w:w="2046" w:type="pct"/>
            <w:shd w:val="clear" w:color="auto" w:fill="auto"/>
            <w:vAlign w:val="center"/>
          </w:tcPr>
          <w:p w14:paraId="1E5B1DD4" w14:textId="1BF2C773" w:rsidR="00AC1075" w:rsidRPr="00AC1075" w:rsidRDefault="00AC1075" w:rsidP="00637C6D">
            <w:pPr>
              <w:pStyle w:val="TableText0"/>
              <w:rPr>
                <w:lang w:val="en-US"/>
              </w:rPr>
            </w:pPr>
            <w:r w:rsidRPr="00AC1075">
              <w:rPr>
                <w:lang w:val="en-US"/>
              </w:rPr>
              <w:t xml:space="preserve">The substitution rate of 80% for PD-1 monotherapy and 33% for NIVO+IPI based on expert opinion was adjusted down by 15%. </w:t>
            </w:r>
            <w:r w:rsidR="00C82C04">
              <w:rPr>
                <w:lang w:val="en-US"/>
              </w:rPr>
              <w:t>DUSC considered that the substitution rates were difficult to estimate.</w:t>
            </w:r>
          </w:p>
        </w:tc>
      </w:tr>
      <w:tr w:rsidR="00AC1075" w:rsidRPr="00AC1075" w14:paraId="42A3D4D5" w14:textId="77777777" w:rsidTr="00637C6D">
        <w:tc>
          <w:tcPr>
            <w:tcW w:w="5000" w:type="pct"/>
            <w:gridSpan w:val="3"/>
            <w:shd w:val="clear" w:color="auto" w:fill="auto"/>
            <w:vAlign w:val="center"/>
          </w:tcPr>
          <w:p w14:paraId="54BBC5E5" w14:textId="77777777" w:rsidR="00AC1075" w:rsidRPr="00AC1075" w:rsidRDefault="00AC1075" w:rsidP="00637C6D">
            <w:pPr>
              <w:pStyle w:val="TableText0"/>
              <w:rPr>
                <w:b/>
                <w:bCs w:val="0"/>
                <w:lang w:val="en-US"/>
              </w:rPr>
            </w:pPr>
            <w:r w:rsidRPr="00AC1075">
              <w:rPr>
                <w:b/>
                <w:bCs w:val="0"/>
              </w:rPr>
              <w:t>Duration of treatment</w:t>
            </w:r>
          </w:p>
        </w:tc>
      </w:tr>
      <w:tr w:rsidR="00AC1075" w:rsidRPr="00AC1075" w14:paraId="3F9E805E" w14:textId="77777777" w:rsidTr="00637C6D">
        <w:tc>
          <w:tcPr>
            <w:tcW w:w="907" w:type="pct"/>
            <w:shd w:val="clear" w:color="auto" w:fill="auto"/>
            <w:vAlign w:val="center"/>
          </w:tcPr>
          <w:p w14:paraId="2228C5C6" w14:textId="77777777" w:rsidR="00AC1075" w:rsidRPr="00AC1075" w:rsidRDefault="00AC1075" w:rsidP="00637C6D">
            <w:pPr>
              <w:pStyle w:val="TableText0"/>
              <w:rPr>
                <w:lang w:val="en-US"/>
              </w:rPr>
            </w:pPr>
            <w:r w:rsidRPr="00AC1075">
              <w:t>RELA+NIVO</w:t>
            </w:r>
          </w:p>
        </w:tc>
        <w:tc>
          <w:tcPr>
            <w:tcW w:w="2047" w:type="pct"/>
            <w:shd w:val="clear" w:color="auto" w:fill="auto"/>
            <w:vAlign w:val="center"/>
          </w:tcPr>
          <w:p w14:paraId="113800F8" w14:textId="77777777" w:rsidR="00AC1075" w:rsidRPr="00AC1075" w:rsidRDefault="00AC1075" w:rsidP="00637C6D">
            <w:pPr>
              <w:pStyle w:val="TableText0"/>
              <w:rPr>
                <w:lang w:val="en-US"/>
              </w:rPr>
            </w:pPr>
            <w:r w:rsidRPr="00AC1075">
              <w:t>16.15 months based on extrapolated KM TTD data at Year 6 from CA224047 trial and persistence data available from Prospection (10% PBS data sample data).</w:t>
            </w:r>
          </w:p>
        </w:tc>
        <w:tc>
          <w:tcPr>
            <w:tcW w:w="2046" w:type="pct"/>
            <w:shd w:val="clear" w:color="auto" w:fill="auto"/>
            <w:vAlign w:val="center"/>
          </w:tcPr>
          <w:p w14:paraId="2C89DAE0" w14:textId="191AFD96" w:rsidR="00AC1075" w:rsidRPr="00AC1075" w:rsidRDefault="00C82C04" w:rsidP="00637C6D">
            <w:pPr>
              <w:pStyle w:val="TableText0"/>
              <w:rPr>
                <w:lang w:val="en-US"/>
              </w:rPr>
            </w:pPr>
            <w:r>
              <w:rPr>
                <w:lang w:val="en-US"/>
              </w:rPr>
              <w:t>DUSC considered that this was possibly underestimated (see paragraph 6.59)</w:t>
            </w:r>
          </w:p>
        </w:tc>
      </w:tr>
      <w:tr w:rsidR="00AC1075" w:rsidRPr="00AC1075" w14:paraId="548FE489" w14:textId="77777777" w:rsidTr="00637C6D">
        <w:tc>
          <w:tcPr>
            <w:tcW w:w="907" w:type="pct"/>
            <w:shd w:val="clear" w:color="auto" w:fill="auto"/>
            <w:vAlign w:val="center"/>
          </w:tcPr>
          <w:p w14:paraId="3EAF6A71" w14:textId="77777777" w:rsidR="00AC1075" w:rsidRPr="00AC1075" w:rsidRDefault="00AC1075" w:rsidP="00637C6D">
            <w:pPr>
              <w:pStyle w:val="TableText0"/>
              <w:rPr>
                <w:lang w:val="en-US"/>
              </w:rPr>
            </w:pPr>
            <w:r w:rsidRPr="00AC1075">
              <w:t>PD-1 monotherapy</w:t>
            </w:r>
          </w:p>
        </w:tc>
        <w:tc>
          <w:tcPr>
            <w:tcW w:w="2047" w:type="pct"/>
            <w:shd w:val="clear" w:color="auto" w:fill="auto"/>
            <w:vAlign w:val="center"/>
          </w:tcPr>
          <w:p w14:paraId="6A935826" w14:textId="77777777" w:rsidR="00AC1075" w:rsidRPr="00AC1075" w:rsidRDefault="00AC1075" w:rsidP="00637C6D">
            <w:pPr>
              <w:pStyle w:val="TableText0"/>
              <w:rPr>
                <w:lang w:val="en-US"/>
              </w:rPr>
            </w:pPr>
            <w:r w:rsidRPr="00AC1075">
              <w:t>17.43 months based on extrapolated KM TTD data at Year 6 from CA224047 trial and persistence data available from Prospection (10% PBS data sample data).</w:t>
            </w:r>
          </w:p>
        </w:tc>
        <w:tc>
          <w:tcPr>
            <w:tcW w:w="2046" w:type="pct"/>
            <w:shd w:val="clear" w:color="auto" w:fill="auto"/>
            <w:vAlign w:val="center"/>
          </w:tcPr>
          <w:p w14:paraId="31A9A79C" w14:textId="651D21E9" w:rsidR="00AC1075" w:rsidRPr="00AC1075" w:rsidRDefault="00C82C04" w:rsidP="00637C6D">
            <w:pPr>
              <w:pStyle w:val="TableText0"/>
              <w:rPr>
                <w:lang w:val="en-US"/>
              </w:rPr>
            </w:pPr>
            <w:r>
              <w:rPr>
                <w:lang w:val="en-US"/>
              </w:rPr>
              <w:t>-</w:t>
            </w:r>
          </w:p>
        </w:tc>
      </w:tr>
      <w:tr w:rsidR="00AC1075" w:rsidRPr="00AC1075" w14:paraId="72DB73D9" w14:textId="77777777" w:rsidTr="00637C6D">
        <w:tc>
          <w:tcPr>
            <w:tcW w:w="907" w:type="pct"/>
            <w:shd w:val="clear" w:color="auto" w:fill="auto"/>
            <w:vAlign w:val="center"/>
          </w:tcPr>
          <w:p w14:paraId="2F3F45F2" w14:textId="77777777" w:rsidR="00AC1075" w:rsidRPr="00AC1075" w:rsidRDefault="00AC1075" w:rsidP="00637C6D">
            <w:pPr>
              <w:pStyle w:val="TableText0"/>
              <w:rPr>
                <w:lang w:val="en-US"/>
              </w:rPr>
            </w:pPr>
            <w:r w:rsidRPr="00AC1075">
              <w:t xml:space="preserve">NIVO+IPI induction </w:t>
            </w:r>
          </w:p>
        </w:tc>
        <w:tc>
          <w:tcPr>
            <w:tcW w:w="2047" w:type="pct"/>
            <w:shd w:val="clear" w:color="auto" w:fill="auto"/>
            <w:vAlign w:val="center"/>
          </w:tcPr>
          <w:p w14:paraId="296B1727" w14:textId="77777777" w:rsidR="00AC1075" w:rsidRPr="00AC1075" w:rsidRDefault="00AC1075" w:rsidP="00637C6D">
            <w:pPr>
              <w:pStyle w:val="TableText0"/>
              <w:rPr>
                <w:lang w:val="en-US"/>
              </w:rPr>
            </w:pPr>
            <w:r w:rsidRPr="00AC1075">
              <w:t>1.81 months based on persistence data available from Prospection (10% PBS data sample data).</w:t>
            </w:r>
          </w:p>
        </w:tc>
        <w:tc>
          <w:tcPr>
            <w:tcW w:w="2046" w:type="pct"/>
            <w:shd w:val="clear" w:color="auto" w:fill="auto"/>
            <w:vAlign w:val="center"/>
          </w:tcPr>
          <w:p w14:paraId="0C63FC87" w14:textId="29AAD2F2" w:rsidR="00AC1075" w:rsidRPr="00AC1075" w:rsidRDefault="00C82C04" w:rsidP="00637C6D">
            <w:pPr>
              <w:pStyle w:val="TableText0"/>
              <w:rPr>
                <w:lang w:val="en-US"/>
              </w:rPr>
            </w:pPr>
            <w:r>
              <w:rPr>
                <w:lang w:val="en-US"/>
              </w:rPr>
              <w:t>-</w:t>
            </w:r>
          </w:p>
        </w:tc>
      </w:tr>
      <w:tr w:rsidR="00AC1075" w:rsidRPr="00AC1075" w14:paraId="5F4A6254" w14:textId="77777777" w:rsidTr="00637C6D">
        <w:tc>
          <w:tcPr>
            <w:tcW w:w="907" w:type="pct"/>
            <w:shd w:val="clear" w:color="auto" w:fill="auto"/>
            <w:vAlign w:val="center"/>
          </w:tcPr>
          <w:p w14:paraId="67F83D7F" w14:textId="77777777" w:rsidR="00AC1075" w:rsidRPr="00AC1075" w:rsidRDefault="00AC1075" w:rsidP="00637C6D">
            <w:pPr>
              <w:pStyle w:val="TableText0"/>
            </w:pPr>
            <w:r w:rsidRPr="00AC1075">
              <w:t>NIVO maintenance</w:t>
            </w:r>
          </w:p>
        </w:tc>
        <w:tc>
          <w:tcPr>
            <w:tcW w:w="2047" w:type="pct"/>
            <w:shd w:val="clear" w:color="auto" w:fill="auto"/>
            <w:vAlign w:val="center"/>
          </w:tcPr>
          <w:p w14:paraId="395C201B" w14:textId="76790D4A" w:rsidR="00AC1075" w:rsidRPr="00AC1075" w:rsidRDefault="00AC1075" w:rsidP="00637C6D">
            <w:pPr>
              <w:pStyle w:val="TableText0"/>
              <w:rPr>
                <w:b/>
                <w:bCs w:val="0"/>
              </w:rPr>
            </w:pPr>
            <w:r w:rsidRPr="00AC1075">
              <w:t>20.1 months derived by adjusting 10% PBS data sample data, by 112% in the first line and 116% in the second-line setting, to reflect the proportional use between PD-1 monotherapy and nivolumab in the maintenance phase</w:t>
            </w:r>
            <w:r w:rsidR="001153A0">
              <w:t xml:space="preserve"> of NIVO+IPI</w:t>
            </w:r>
            <w:r w:rsidRPr="00AC1075">
              <w:t>.</w:t>
            </w:r>
          </w:p>
        </w:tc>
        <w:tc>
          <w:tcPr>
            <w:tcW w:w="2046" w:type="pct"/>
            <w:shd w:val="clear" w:color="auto" w:fill="auto"/>
            <w:vAlign w:val="center"/>
          </w:tcPr>
          <w:p w14:paraId="1E488606" w14:textId="5754E244" w:rsidR="00AC1075" w:rsidRPr="00AC1075" w:rsidRDefault="00C82C04" w:rsidP="00637C6D">
            <w:pPr>
              <w:pStyle w:val="TableText0"/>
              <w:rPr>
                <w:lang w:val="en-US"/>
              </w:rPr>
            </w:pPr>
            <w:r>
              <w:rPr>
                <w:lang w:val="en-US"/>
              </w:rPr>
              <w:t xml:space="preserve">DUSC considered that this was possibly overestimated (see paragraph 6.59). </w:t>
            </w:r>
            <w:r w:rsidR="00AC1075" w:rsidRPr="00AC1075">
              <w:rPr>
                <w:lang w:val="en-US"/>
              </w:rPr>
              <w:t>Conservatively, the submission could have used either the extrapolated duration of treatment (17.76 months) or the data from the CA224047 trial.</w:t>
            </w:r>
            <w:r>
              <w:rPr>
                <w:lang w:val="en-US"/>
              </w:rPr>
              <w:t xml:space="preserve"> </w:t>
            </w:r>
          </w:p>
        </w:tc>
      </w:tr>
      <w:tr w:rsidR="00AC1075" w:rsidRPr="00AC1075" w14:paraId="165118DC" w14:textId="77777777" w:rsidTr="00637C6D">
        <w:tc>
          <w:tcPr>
            <w:tcW w:w="5000" w:type="pct"/>
            <w:gridSpan w:val="3"/>
            <w:shd w:val="clear" w:color="auto" w:fill="auto"/>
            <w:vAlign w:val="center"/>
          </w:tcPr>
          <w:p w14:paraId="43AB1BAA" w14:textId="77777777" w:rsidR="00AC1075" w:rsidRPr="00AC1075" w:rsidRDefault="00AC1075" w:rsidP="00637C6D">
            <w:pPr>
              <w:pStyle w:val="TableText0"/>
              <w:rPr>
                <w:b/>
                <w:bCs w:val="0"/>
                <w:lang w:val="en-US"/>
              </w:rPr>
            </w:pPr>
            <w:r w:rsidRPr="00AC1075">
              <w:rPr>
                <w:b/>
                <w:bCs w:val="0"/>
              </w:rPr>
              <w:t>Costs</w:t>
            </w:r>
          </w:p>
        </w:tc>
      </w:tr>
      <w:tr w:rsidR="00AC1075" w:rsidRPr="00AC1075" w14:paraId="176FBEA4" w14:textId="77777777" w:rsidTr="00637C6D">
        <w:tc>
          <w:tcPr>
            <w:tcW w:w="907" w:type="pct"/>
            <w:shd w:val="clear" w:color="auto" w:fill="auto"/>
            <w:vAlign w:val="center"/>
          </w:tcPr>
          <w:p w14:paraId="40336A11" w14:textId="77777777" w:rsidR="00AC1075" w:rsidRPr="00AC1075" w:rsidRDefault="00AC1075" w:rsidP="00637C6D">
            <w:pPr>
              <w:pStyle w:val="TableText0"/>
            </w:pPr>
            <w:r w:rsidRPr="00AC1075">
              <w:t>MBS item 13950</w:t>
            </w:r>
          </w:p>
        </w:tc>
        <w:tc>
          <w:tcPr>
            <w:tcW w:w="2047" w:type="pct"/>
            <w:shd w:val="clear" w:color="auto" w:fill="auto"/>
            <w:vAlign w:val="center"/>
          </w:tcPr>
          <w:p w14:paraId="0F78E638" w14:textId="77777777" w:rsidR="00AC1075" w:rsidRPr="00AC1075" w:rsidRDefault="00AC1075" w:rsidP="00637C6D">
            <w:pPr>
              <w:pStyle w:val="TableText0"/>
              <w:rPr>
                <w:lang w:val="en-US"/>
              </w:rPr>
            </w:pPr>
            <w:r w:rsidRPr="00AC1075">
              <w:rPr>
                <w:lang w:val="en-US"/>
              </w:rPr>
              <w:t>$112.40</w:t>
            </w:r>
          </w:p>
        </w:tc>
        <w:tc>
          <w:tcPr>
            <w:tcW w:w="2046" w:type="pct"/>
            <w:shd w:val="clear" w:color="auto" w:fill="auto"/>
            <w:vAlign w:val="center"/>
          </w:tcPr>
          <w:p w14:paraId="2C24B63B" w14:textId="39E30A01" w:rsidR="00AC1075" w:rsidRPr="00AC1075" w:rsidRDefault="00AC1075" w:rsidP="00637C6D">
            <w:pPr>
              <w:pStyle w:val="TableText0"/>
              <w:rPr>
                <w:lang w:val="en-US"/>
              </w:rPr>
            </w:pPr>
            <w:r w:rsidRPr="00AC1075">
              <w:rPr>
                <w:lang w:val="en-US"/>
              </w:rPr>
              <w:t xml:space="preserve">This was consistent with </w:t>
            </w:r>
            <w:r w:rsidR="00C82C04">
              <w:rPr>
                <w:lang w:val="en-US"/>
              </w:rPr>
              <w:t>the economic model</w:t>
            </w:r>
            <w:r w:rsidRPr="00AC1075">
              <w:rPr>
                <w:lang w:val="en-US"/>
              </w:rPr>
              <w:t>.</w:t>
            </w:r>
          </w:p>
        </w:tc>
      </w:tr>
      <w:tr w:rsidR="00AC1075" w:rsidRPr="00AC1075" w14:paraId="1B46ECEF" w14:textId="77777777" w:rsidTr="00637C6D">
        <w:tc>
          <w:tcPr>
            <w:tcW w:w="907" w:type="pct"/>
            <w:shd w:val="clear" w:color="auto" w:fill="auto"/>
            <w:vAlign w:val="center"/>
          </w:tcPr>
          <w:p w14:paraId="34F15ED0" w14:textId="77777777" w:rsidR="00AC1075" w:rsidRPr="00AC1075" w:rsidRDefault="00AC1075" w:rsidP="00637C6D">
            <w:pPr>
              <w:pStyle w:val="TableText0"/>
            </w:pPr>
            <w:r w:rsidRPr="00AC1075">
              <w:t>PBS/RPBS split</w:t>
            </w:r>
          </w:p>
        </w:tc>
        <w:tc>
          <w:tcPr>
            <w:tcW w:w="2047" w:type="pct"/>
            <w:shd w:val="clear" w:color="auto" w:fill="auto"/>
            <w:vAlign w:val="center"/>
          </w:tcPr>
          <w:p w14:paraId="2ACF251C" w14:textId="77777777" w:rsidR="00AC1075" w:rsidRPr="00AC1075" w:rsidRDefault="00AC1075" w:rsidP="00637C6D">
            <w:pPr>
              <w:pStyle w:val="TableText0"/>
            </w:pPr>
            <w:r w:rsidRPr="00AC1075">
              <w:t>PBS = 96%, RPBS = 4%</w:t>
            </w:r>
          </w:p>
        </w:tc>
        <w:tc>
          <w:tcPr>
            <w:tcW w:w="2046" w:type="pct"/>
            <w:shd w:val="clear" w:color="auto" w:fill="auto"/>
            <w:vAlign w:val="center"/>
          </w:tcPr>
          <w:p w14:paraId="67CF6AF3" w14:textId="5603916B" w:rsidR="00AC1075" w:rsidRPr="00AC1075" w:rsidRDefault="00C82C04" w:rsidP="00637C6D">
            <w:pPr>
              <w:pStyle w:val="TableText0"/>
              <w:rPr>
                <w:lang w:val="en-US"/>
              </w:rPr>
            </w:pPr>
            <w:r>
              <w:rPr>
                <w:lang w:val="en-US"/>
              </w:rPr>
              <w:t>-</w:t>
            </w:r>
          </w:p>
        </w:tc>
      </w:tr>
      <w:tr w:rsidR="00AC1075" w:rsidRPr="00AC1075" w14:paraId="6B05E854" w14:textId="77777777" w:rsidTr="00637C6D">
        <w:tc>
          <w:tcPr>
            <w:tcW w:w="907" w:type="pct"/>
            <w:shd w:val="clear" w:color="auto" w:fill="auto"/>
            <w:vAlign w:val="center"/>
          </w:tcPr>
          <w:p w14:paraId="0AFC3B95" w14:textId="77777777" w:rsidR="00AC1075" w:rsidRPr="00AC1075" w:rsidRDefault="00AC1075" w:rsidP="00637C6D">
            <w:pPr>
              <w:pStyle w:val="TableText0"/>
            </w:pPr>
            <w:r w:rsidRPr="00AC1075">
              <w:t>Public/Private split</w:t>
            </w:r>
          </w:p>
        </w:tc>
        <w:tc>
          <w:tcPr>
            <w:tcW w:w="2047" w:type="pct"/>
            <w:shd w:val="clear" w:color="auto" w:fill="auto"/>
            <w:vAlign w:val="center"/>
          </w:tcPr>
          <w:p w14:paraId="098683CC" w14:textId="77777777" w:rsidR="00AC1075" w:rsidRPr="00AC1075" w:rsidRDefault="00AC1075" w:rsidP="00637C6D">
            <w:pPr>
              <w:pStyle w:val="TableText0"/>
              <w:rPr>
                <w:lang w:val="en-US"/>
              </w:rPr>
            </w:pPr>
            <w:r w:rsidRPr="00AC1075">
              <w:t>Public = 32.01%, Private = 67.99%</w:t>
            </w:r>
          </w:p>
        </w:tc>
        <w:tc>
          <w:tcPr>
            <w:tcW w:w="2046" w:type="pct"/>
            <w:shd w:val="clear" w:color="auto" w:fill="auto"/>
            <w:vAlign w:val="center"/>
          </w:tcPr>
          <w:p w14:paraId="087AD339" w14:textId="77777777" w:rsidR="00AC1075" w:rsidRPr="00AC1075" w:rsidRDefault="00AC1075" w:rsidP="00637C6D">
            <w:pPr>
              <w:pStyle w:val="TableText0"/>
              <w:rPr>
                <w:lang w:val="en-US"/>
              </w:rPr>
            </w:pPr>
            <w:r w:rsidRPr="00AC1075">
              <w:rPr>
                <w:lang w:val="en-US"/>
              </w:rPr>
              <w:t>This was inconsistent with the public/private split used in Section 3, which was 31.3% for public weighting.</w:t>
            </w:r>
          </w:p>
        </w:tc>
      </w:tr>
      <w:tr w:rsidR="00AC1075" w:rsidRPr="00AC1075" w14:paraId="1B1DA892" w14:textId="77777777" w:rsidTr="00637C6D">
        <w:tc>
          <w:tcPr>
            <w:tcW w:w="907" w:type="pct"/>
            <w:shd w:val="clear" w:color="auto" w:fill="auto"/>
            <w:vAlign w:val="center"/>
          </w:tcPr>
          <w:p w14:paraId="5CAEC850" w14:textId="77777777" w:rsidR="00AC1075" w:rsidRPr="00AC1075" w:rsidRDefault="00AC1075" w:rsidP="00637C6D">
            <w:pPr>
              <w:pStyle w:val="TableText0"/>
            </w:pPr>
            <w:r w:rsidRPr="00AC1075">
              <w:t>Co-payment</w:t>
            </w:r>
          </w:p>
        </w:tc>
        <w:tc>
          <w:tcPr>
            <w:tcW w:w="2047" w:type="pct"/>
            <w:shd w:val="clear" w:color="auto" w:fill="auto"/>
            <w:vAlign w:val="center"/>
          </w:tcPr>
          <w:p w14:paraId="3847912F" w14:textId="77777777" w:rsidR="00AC1075" w:rsidRPr="00AC1075" w:rsidRDefault="00AC1075" w:rsidP="00637C6D">
            <w:pPr>
              <w:pStyle w:val="TableText0"/>
              <w:rPr>
                <w:lang w:val="en-US"/>
              </w:rPr>
            </w:pPr>
            <w:r w:rsidRPr="00AC1075">
              <w:t>PBS = $22.50, RPBS = $6.28</w:t>
            </w:r>
          </w:p>
        </w:tc>
        <w:tc>
          <w:tcPr>
            <w:tcW w:w="2046" w:type="pct"/>
            <w:shd w:val="clear" w:color="auto" w:fill="auto"/>
            <w:vAlign w:val="center"/>
          </w:tcPr>
          <w:p w14:paraId="2C999609" w14:textId="61EE9388" w:rsidR="00AC1075" w:rsidRPr="00AC1075" w:rsidRDefault="00C82C04" w:rsidP="00637C6D">
            <w:pPr>
              <w:pStyle w:val="TableText0"/>
              <w:rPr>
                <w:lang w:val="en-US"/>
              </w:rPr>
            </w:pPr>
            <w:r>
              <w:rPr>
                <w:lang w:val="en-US"/>
              </w:rPr>
              <w:t>-</w:t>
            </w:r>
          </w:p>
        </w:tc>
      </w:tr>
    </w:tbl>
    <w:p w14:paraId="5BD89F96" w14:textId="77777777" w:rsidR="00AC1075" w:rsidRDefault="00AC1075" w:rsidP="00AC1075">
      <w:pPr>
        <w:pStyle w:val="TableFigureFooter"/>
      </w:pPr>
      <w:r>
        <w:t>Source: Table 81, p240, Table 82, p245, Table 84, p247 of the submission.</w:t>
      </w:r>
    </w:p>
    <w:p w14:paraId="206F2053" w14:textId="77777777" w:rsidR="00AC1075" w:rsidRDefault="00AC1075" w:rsidP="00AC1075">
      <w:pPr>
        <w:pStyle w:val="TableFigureFooter"/>
      </w:pPr>
      <w:r>
        <w:t xml:space="preserve">AIHW = </w:t>
      </w:r>
      <w:r w:rsidRPr="007561B3">
        <w:t>Australian Institute of Health and Welfare</w:t>
      </w:r>
      <w:r>
        <w:t xml:space="preserve">, IPI = ipilimumab, KM = Kaplan Meier, NIVO = nivolumab, PD-1 = </w:t>
      </w:r>
      <w:r w:rsidRPr="00A85ED9">
        <w:t>programmed death protein-1</w:t>
      </w:r>
      <w:r>
        <w:t>, RELA = relatlimab, TTD = time-to-treatment discontinuation.</w:t>
      </w:r>
    </w:p>
    <w:p w14:paraId="6237DA08" w14:textId="77777777" w:rsidR="00AC1075" w:rsidRPr="00705C4A" w:rsidRDefault="00AC1075" w:rsidP="00AC1075">
      <w:pPr>
        <w:pStyle w:val="TableFigureFooter"/>
      </w:pPr>
      <w:r w:rsidRPr="00705C4A">
        <w:rPr>
          <w:vertAlign w:val="superscript"/>
        </w:rPr>
        <w:t>a</w:t>
      </w:r>
      <w:r>
        <w:t xml:space="preserve"> Includes patients who have previously received BRAF inhibitor treatment</w:t>
      </w:r>
    </w:p>
    <w:p w14:paraId="2684723C" w14:textId="78D702F3" w:rsidR="00AC1075" w:rsidRPr="00AC1075" w:rsidRDefault="00AC1075" w:rsidP="002D0446">
      <w:pPr>
        <w:pStyle w:val="3-BodyText"/>
        <w:numPr>
          <w:ilvl w:val="1"/>
          <w:numId w:val="44"/>
        </w:numPr>
      </w:pPr>
      <w:r w:rsidRPr="00AC1075">
        <w:t xml:space="preserve">The estimated net financial implications to the PBS/RPBS and MBS are summarised in </w:t>
      </w:r>
      <w:r w:rsidRPr="00AC1075">
        <w:fldChar w:fldCharType="begin"/>
      </w:r>
      <w:r w:rsidRPr="00AC1075">
        <w:instrText xml:space="preserve"> REF _Ref100759981 \h  \* MERGEFORMAT </w:instrText>
      </w:r>
      <w:r w:rsidRPr="00AC1075">
        <w:fldChar w:fldCharType="separate"/>
      </w:r>
      <w:r w:rsidR="00633460">
        <w:t xml:space="preserve">Table </w:t>
      </w:r>
      <w:r w:rsidR="00633460">
        <w:rPr>
          <w:noProof/>
        </w:rPr>
        <w:t>16</w:t>
      </w:r>
      <w:r w:rsidRPr="00AC1075">
        <w:fldChar w:fldCharType="end"/>
      </w:r>
      <w:r w:rsidRPr="00AC1075">
        <w:t xml:space="preserve">. </w:t>
      </w:r>
    </w:p>
    <w:p w14:paraId="421F20E4" w14:textId="7115BBBA" w:rsidR="00AC1075" w:rsidRDefault="00AC1075" w:rsidP="00AC1075">
      <w:pPr>
        <w:pStyle w:val="TableFigureHeading"/>
      </w:pPr>
      <w:bookmarkStart w:id="95" w:name="_Ref100759981"/>
      <w:bookmarkStart w:id="96" w:name="_Hlk103262321"/>
      <w:r>
        <w:lastRenderedPageBreak/>
        <w:t xml:space="preserve">Table </w:t>
      </w:r>
      <w:fldSimple w:instr=" SEQ Table \* ARABIC \s 1 ">
        <w:r w:rsidR="00633460">
          <w:rPr>
            <w:noProof/>
          </w:rPr>
          <w:t>16</w:t>
        </w:r>
      </w:fldSimple>
      <w:bookmarkEnd w:id="95"/>
      <w:r>
        <w:rPr>
          <w:noProof/>
        </w:rPr>
        <w:t>:</w:t>
      </w:r>
      <w:r>
        <w:t xml:space="preserve"> </w:t>
      </w:r>
      <w:r w:rsidRPr="00606FBA">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1413"/>
        <w:gridCol w:w="1275"/>
        <w:gridCol w:w="1275"/>
        <w:gridCol w:w="1277"/>
        <w:gridCol w:w="1277"/>
        <w:gridCol w:w="1275"/>
        <w:gridCol w:w="1225"/>
      </w:tblGrid>
      <w:tr w:rsidR="00AC1075" w:rsidRPr="00D1078F" w14:paraId="5B2B4E49" w14:textId="77777777" w:rsidTr="000B6052">
        <w:trPr>
          <w:tblHeader/>
        </w:trPr>
        <w:tc>
          <w:tcPr>
            <w:tcW w:w="784" w:type="pct"/>
            <w:shd w:val="clear" w:color="auto" w:fill="auto"/>
            <w:vAlign w:val="center"/>
          </w:tcPr>
          <w:p w14:paraId="3F3DB467" w14:textId="77777777" w:rsidR="00AC1075" w:rsidRPr="003639A6" w:rsidRDefault="00AC1075" w:rsidP="00637C6D">
            <w:pPr>
              <w:pStyle w:val="In-tableHeading"/>
              <w:jc w:val="center"/>
            </w:pPr>
          </w:p>
        </w:tc>
        <w:tc>
          <w:tcPr>
            <w:tcW w:w="707" w:type="pct"/>
            <w:shd w:val="clear" w:color="auto" w:fill="auto"/>
            <w:vAlign w:val="center"/>
          </w:tcPr>
          <w:p w14:paraId="3D3EAAA3" w14:textId="77777777" w:rsidR="00AC1075" w:rsidRPr="00D1078F" w:rsidRDefault="00AC1075" w:rsidP="00637C6D">
            <w:pPr>
              <w:pStyle w:val="In-tableHeading"/>
              <w:jc w:val="center"/>
            </w:pPr>
            <w:r w:rsidRPr="00D1078F">
              <w:t>Year 1</w:t>
            </w:r>
          </w:p>
        </w:tc>
        <w:tc>
          <w:tcPr>
            <w:tcW w:w="707" w:type="pct"/>
            <w:shd w:val="clear" w:color="auto" w:fill="auto"/>
            <w:vAlign w:val="center"/>
          </w:tcPr>
          <w:p w14:paraId="2824F32D" w14:textId="77777777" w:rsidR="00AC1075" w:rsidRPr="00D1078F" w:rsidRDefault="00AC1075" w:rsidP="00637C6D">
            <w:pPr>
              <w:pStyle w:val="In-tableHeading"/>
              <w:jc w:val="center"/>
            </w:pPr>
            <w:r w:rsidRPr="00D1078F">
              <w:t>Year 2</w:t>
            </w:r>
          </w:p>
        </w:tc>
        <w:tc>
          <w:tcPr>
            <w:tcW w:w="708" w:type="pct"/>
            <w:shd w:val="clear" w:color="auto" w:fill="auto"/>
            <w:vAlign w:val="center"/>
          </w:tcPr>
          <w:p w14:paraId="2C91D586" w14:textId="77777777" w:rsidR="00AC1075" w:rsidRPr="00D1078F" w:rsidRDefault="00AC1075" w:rsidP="00637C6D">
            <w:pPr>
              <w:pStyle w:val="In-tableHeading"/>
              <w:jc w:val="center"/>
            </w:pPr>
            <w:r w:rsidRPr="00D1078F">
              <w:t>Year 3</w:t>
            </w:r>
          </w:p>
        </w:tc>
        <w:tc>
          <w:tcPr>
            <w:tcW w:w="708" w:type="pct"/>
            <w:shd w:val="clear" w:color="auto" w:fill="auto"/>
            <w:vAlign w:val="center"/>
          </w:tcPr>
          <w:p w14:paraId="71B936CA" w14:textId="77777777" w:rsidR="00AC1075" w:rsidRPr="00D1078F" w:rsidRDefault="00AC1075" w:rsidP="00637C6D">
            <w:pPr>
              <w:pStyle w:val="In-tableHeading"/>
              <w:jc w:val="center"/>
            </w:pPr>
            <w:r w:rsidRPr="00D1078F">
              <w:t>Year 4</w:t>
            </w:r>
          </w:p>
        </w:tc>
        <w:tc>
          <w:tcPr>
            <w:tcW w:w="707" w:type="pct"/>
            <w:shd w:val="clear" w:color="auto" w:fill="auto"/>
            <w:vAlign w:val="center"/>
          </w:tcPr>
          <w:p w14:paraId="6977DDAA" w14:textId="77777777" w:rsidR="00AC1075" w:rsidRPr="00D1078F" w:rsidRDefault="00AC1075" w:rsidP="00637C6D">
            <w:pPr>
              <w:pStyle w:val="In-tableHeading"/>
              <w:jc w:val="center"/>
            </w:pPr>
            <w:r w:rsidRPr="00D1078F">
              <w:t>Year 5</w:t>
            </w:r>
          </w:p>
        </w:tc>
        <w:tc>
          <w:tcPr>
            <w:tcW w:w="679" w:type="pct"/>
          </w:tcPr>
          <w:p w14:paraId="367FAD62" w14:textId="77777777" w:rsidR="00AC1075" w:rsidRPr="00D1078F" w:rsidRDefault="00AC1075" w:rsidP="00637C6D">
            <w:pPr>
              <w:pStyle w:val="In-tableHeading"/>
              <w:jc w:val="center"/>
            </w:pPr>
            <w:r w:rsidRPr="00D1078F">
              <w:t>Year 6</w:t>
            </w:r>
          </w:p>
        </w:tc>
      </w:tr>
      <w:tr w:rsidR="00AC1075" w:rsidRPr="00D1078F" w14:paraId="39E40002" w14:textId="77777777" w:rsidTr="00637C6D">
        <w:tc>
          <w:tcPr>
            <w:tcW w:w="5000" w:type="pct"/>
            <w:gridSpan w:val="7"/>
            <w:shd w:val="clear" w:color="auto" w:fill="auto"/>
            <w:vAlign w:val="center"/>
          </w:tcPr>
          <w:p w14:paraId="27671D83" w14:textId="77777777" w:rsidR="00AC1075" w:rsidRPr="00D1078F" w:rsidRDefault="00AC1075" w:rsidP="00637C6D">
            <w:pPr>
              <w:pStyle w:val="In-tableHeading"/>
              <w:rPr>
                <w:bCs/>
                <w:color w:val="000000"/>
              </w:rPr>
            </w:pPr>
            <w:r w:rsidRPr="00D1078F">
              <w:rPr>
                <w:bCs/>
                <w:color w:val="000000"/>
              </w:rPr>
              <w:t>Estimated extent of use</w:t>
            </w:r>
          </w:p>
        </w:tc>
      </w:tr>
      <w:tr w:rsidR="00AC1075" w:rsidRPr="003639A6" w14:paraId="09CFED59" w14:textId="77777777" w:rsidTr="000B6052">
        <w:tc>
          <w:tcPr>
            <w:tcW w:w="784" w:type="pct"/>
            <w:shd w:val="clear" w:color="auto" w:fill="auto"/>
            <w:vAlign w:val="center"/>
          </w:tcPr>
          <w:p w14:paraId="7AE12942" w14:textId="77777777" w:rsidR="00AC1075" w:rsidRPr="003639A6" w:rsidRDefault="00AC1075" w:rsidP="00637C6D">
            <w:pPr>
              <w:pStyle w:val="TableText0"/>
              <w:rPr>
                <w:rFonts w:ascii="Times" w:hAnsi="Times"/>
              </w:rPr>
            </w:pPr>
            <w:r w:rsidRPr="003639A6">
              <w:t>Number of patients treated</w:t>
            </w:r>
          </w:p>
        </w:tc>
        <w:tc>
          <w:tcPr>
            <w:tcW w:w="707" w:type="pct"/>
            <w:shd w:val="clear" w:color="auto" w:fill="auto"/>
            <w:vAlign w:val="center"/>
          </w:tcPr>
          <w:p w14:paraId="2AF8D5B2" w14:textId="353F30A5" w:rsidR="00AC1075" w:rsidRPr="00265354" w:rsidRDefault="004E423C" w:rsidP="00637C6D">
            <w:pPr>
              <w:pStyle w:val="TableText0"/>
              <w:jc w:val="center"/>
              <w:rPr>
                <w:color w:val="000000"/>
              </w:rPr>
            </w:pPr>
            <w:r w:rsidRPr="004E423C">
              <w:rPr>
                <w:color w:val="000000"/>
                <w:spacing w:val="194"/>
                <w:szCs w:val="20"/>
                <w:shd w:val="solid" w:color="000000" w:fill="000000"/>
                <w:fitText w:val="280" w:id="-1435825658"/>
                <w14:textFill>
                  <w14:solidFill>
                    <w14:srgbClr w14:val="000000">
                      <w14:alpha w14:val="100000"/>
                    </w14:srgbClr>
                  </w14:solidFill>
                </w14:textFill>
              </w:rPr>
              <w:t>|</w:t>
            </w:r>
            <w:r w:rsidRPr="004E423C">
              <w:rPr>
                <w:color w:val="000000"/>
                <w:spacing w:val="1"/>
                <w:szCs w:val="20"/>
                <w:shd w:val="solid" w:color="000000" w:fill="000000"/>
                <w:fitText w:val="280" w:id="-1435825658"/>
                <w14:textFill>
                  <w14:solidFill>
                    <w14:srgbClr w14:val="000000">
                      <w14:alpha w14:val="100000"/>
                    </w14:srgbClr>
                  </w14:solidFill>
                </w14:textFill>
              </w:rPr>
              <w:t>|</w:t>
            </w:r>
            <w:r w:rsidR="00AC1075">
              <w:rPr>
                <w:szCs w:val="20"/>
              </w:rPr>
              <w:t>*</w:t>
            </w:r>
            <w:r w:rsidR="00265354">
              <w:rPr>
                <w:szCs w:val="20"/>
                <w:vertAlign w:val="superscript"/>
              </w:rPr>
              <w:t>1</w:t>
            </w:r>
          </w:p>
        </w:tc>
        <w:tc>
          <w:tcPr>
            <w:tcW w:w="707" w:type="pct"/>
            <w:shd w:val="clear" w:color="auto" w:fill="auto"/>
            <w:vAlign w:val="center"/>
          </w:tcPr>
          <w:p w14:paraId="272AC5F0" w14:textId="132AF329" w:rsidR="00AC1075" w:rsidRPr="00265354" w:rsidRDefault="004E423C" w:rsidP="00637C6D">
            <w:pPr>
              <w:pStyle w:val="TableText0"/>
              <w:jc w:val="center"/>
              <w:rPr>
                <w:color w:val="000000"/>
                <w:highlight w:val="lightGray"/>
              </w:rPr>
            </w:pPr>
            <w:r w:rsidRPr="004E423C">
              <w:rPr>
                <w:color w:val="000000"/>
                <w:spacing w:val="164"/>
                <w:szCs w:val="20"/>
                <w:shd w:val="solid" w:color="000000" w:fill="000000"/>
                <w:fitText w:val="250" w:id="-1435825657"/>
                <w14:textFill>
                  <w14:solidFill>
                    <w14:srgbClr w14:val="000000">
                      <w14:alpha w14:val="100000"/>
                    </w14:srgbClr>
                  </w14:solidFill>
                </w14:textFill>
              </w:rPr>
              <w:t>|</w:t>
            </w:r>
            <w:r w:rsidRPr="004E423C">
              <w:rPr>
                <w:color w:val="000000"/>
                <w:spacing w:val="1"/>
                <w:szCs w:val="20"/>
                <w:shd w:val="solid" w:color="000000" w:fill="000000"/>
                <w:fitText w:val="250" w:id="-1435825657"/>
                <w14:textFill>
                  <w14:solidFill>
                    <w14:srgbClr w14:val="000000">
                      <w14:alpha w14:val="100000"/>
                    </w14:srgbClr>
                  </w14:solidFill>
                </w14:textFill>
              </w:rPr>
              <w:t>|</w:t>
            </w:r>
            <w:r w:rsidR="00265354" w:rsidRPr="00265354">
              <w:rPr>
                <w:szCs w:val="20"/>
                <w:vertAlign w:val="superscript"/>
              </w:rPr>
              <w:t>2</w:t>
            </w:r>
          </w:p>
        </w:tc>
        <w:tc>
          <w:tcPr>
            <w:tcW w:w="708" w:type="pct"/>
            <w:shd w:val="clear" w:color="auto" w:fill="auto"/>
            <w:vAlign w:val="center"/>
          </w:tcPr>
          <w:p w14:paraId="2EF84B79" w14:textId="21913529" w:rsidR="00AC1075" w:rsidRPr="00FC0AEF" w:rsidRDefault="004E423C" w:rsidP="00637C6D">
            <w:pPr>
              <w:pStyle w:val="TableText0"/>
              <w:jc w:val="center"/>
              <w:rPr>
                <w:color w:val="000000"/>
                <w:highlight w:val="lightGray"/>
              </w:rPr>
            </w:pPr>
            <w:r w:rsidRPr="004E423C">
              <w:rPr>
                <w:color w:val="000000"/>
                <w:spacing w:val="164"/>
                <w:szCs w:val="20"/>
                <w:shd w:val="solid" w:color="000000" w:fill="000000"/>
                <w:fitText w:val="250" w:id="-1435825656"/>
                <w14:textFill>
                  <w14:solidFill>
                    <w14:srgbClr w14:val="000000">
                      <w14:alpha w14:val="100000"/>
                    </w14:srgbClr>
                  </w14:solidFill>
                </w14:textFill>
              </w:rPr>
              <w:t>|</w:t>
            </w:r>
            <w:r w:rsidRPr="004E423C">
              <w:rPr>
                <w:color w:val="000000"/>
                <w:spacing w:val="1"/>
                <w:szCs w:val="20"/>
                <w:shd w:val="solid" w:color="000000" w:fill="000000"/>
                <w:fitText w:val="250" w:id="-1435825656"/>
                <w14:textFill>
                  <w14:solidFill>
                    <w14:srgbClr w14:val="000000">
                      <w14:alpha w14:val="100000"/>
                    </w14:srgbClr>
                  </w14:solidFill>
                </w14:textFill>
              </w:rPr>
              <w:t>|</w:t>
            </w:r>
            <w:r w:rsidR="00265354" w:rsidRPr="00265354">
              <w:rPr>
                <w:szCs w:val="20"/>
                <w:vertAlign w:val="superscript"/>
              </w:rPr>
              <w:t>2</w:t>
            </w:r>
          </w:p>
        </w:tc>
        <w:tc>
          <w:tcPr>
            <w:tcW w:w="708" w:type="pct"/>
            <w:shd w:val="clear" w:color="auto" w:fill="auto"/>
            <w:vAlign w:val="center"/>
          </w:tcPr>
          <w:p w14:paraId="06743F25" w14:textId="15E2D8B8" w:rsidR="00AC1075" w:rsidRPr="00FC0AEF" w:rsidRDefault="004E423C" w:rsidP="00637C6D">
            <w:pPr>
              <w:pStyle w:val="TableText0"/>
              <w:jc w:val="center"/>
              <w:rPr>
                <w:color w:val="000000"/>
                <w:highlight w:val="lightGray"/>
              </w:rPr>
            </w:pPr>
            <w:r w:rsidRPr="004E423C">
              <w:rPr>
                <w:color w:val="000000"/>
                <w:spacing w:val="164"/>
                <w:szCs w:val="20"/>
                <w:shd w:val="solid" w:color="000000" w:fill="000000"/>
                <w:fitText w:val="250" w:id="-1435825655"/>
                <w14:textFill>
                  <w14:solidFill>
                    <w14:srgbClr w14:val="000000">
                      <w14:alpha w14:val="100000"/>
                    </w14:srgbClr>
                  </w14:solidFill>
                </w14:textFill>
              </w:rPr>
              <w:t>|</w:t>
            </w:r>
            <w:r w:rsidRPr="004E423C">
              <w:rPr>
                <w:color w:val="000000"/>
                <w:spacing w:val="1"/>
                <w:szCs w:val="20"/>
                <w:shd w:val="solid" w:color="000000" w:fill="000000"/>
                <w:fitText w:val="250" w:id="-1435825655"/>
                <w14:textFill>
                  <w14:solidFill>
                    <w14:srgbClr w14:val="000000">
                      <w14:alpha w14:val="100000"/>
                    </w14:srgbClr>
                  </w14:solidFill>
                </w14:textFill>
              </w:rPr>
              <w:t>|</w:t>
            </w:r>
            <w:r w:rsidR="00265354" w:rsidRPr="00265354">
              <w:rPr>
                <w:szCs w:val="20"/>
                <w:vertAlign w:val="superscript"/>
              </w:rPr>
              <w:t>2</w:t>
            </w:r>
          </w:p>
        </w:tc>
        <w:tc>
          <w:tcPr>
            <w:tcW w:w="707" w:type="pct"/>
            <w:shd w:val="clear" w:color="auto" w:fill="auto"/>
            <w:vAlign w:val="center"/>
          </w:tcPr>
          <w:p w14:paraId="34A72E48" w14:textId="7CE564D8" w:rsidR="00AC1075" w:rsidRPr="00FC0AEF" w:rsidRDefault="004E423C" w:rsidP="00637C6D">
            <w:pPr>
              <w:pStyle w:val="TableText0"/>
              <w:jc w:val="center"/>
              <w:rPr>
                <w:color w:val="000000"/>
                <w:highlight w:val="lightGray"/>
              </w:rPr>
            </w:pPr>
            <w:r w:rsidRPr="004E423C">
              <w:rPr>
                <w:color w:val="000000"/>
                <w:spacing w:val="164"/>
                <w:szCs w:val="20"/>
                <w:shd w:val="solid" w:color="000000" w:fill="000000"/>
                <w:fitText w:val="250" w:id="-1435825654"/>
                <w14:textFill>
                  <w14:solidFill>
                    <w14:srgbClr w14:val="000000">
                      <w14:alpha w14:val="100000"/>
                    </w14:srgbClr>
                  </w14:solidFill>
                </w14:textFill>
              </w:rPr>
              <w:t>|</w:t>
            </w:r>
            <w:r w:rsidRPr="004E423C">
              <w:rPr>
                <w:color w:val="000000"/>
                <w:spacing w:val="1"/>
                <w:szCs w:val="20"/>
                <w:shd w:val="solid" w:color="000000" w:fill="000000"/>
                <w:fitText w:val="250" w:id="-1435825654"/>
                <w14:textFill>
                  <w14:solidFill>
                    <w14:srgbClr w14:val="000000">
                      <w14:alpha w14:val="100000"/>
                    </w14:srgbClr>
                  </w14:solidFill>
                </w14:textFill>
              </w:rPr>
              <w:t>|</w:t>
            </w:r>
            <w:r w:rsidR="00265354" w:rsidRPr="00265354">
              <w:rPr>
                <w:szCs w:val="20"/>
                <w:vertAlign w:val="superscript"/>
              </w:rPr>
              <w:t>2</w:t>
            </w:r>
          </w:p>
        </w:tc>
        <w:tc>
          <w:tcPr>
            <w:tcW w:w="679" w:type="pct"/>
            <w:vAlign w:val="center"/>
          </w:tcPr>
          <w:p w14:paraId="0CA750B5" w14:textId="263C4B3F" w:rsidR="00AC1075" w:rsidRPr="00FC0AEF" w:rsidRDefault="004E423C" w:rsidP="00637C6D">
            <w:pPr>
              <w:pStyle w:val="TableText0"/>
              <w:jc w:val="center"/>
              <w:rPr>
                <w:color w:val="000000"/>
                <w:highlight w:val="lightGray"/>
              </w:rPr>
            </w:pPr>
            <w:r w:rsidRPr="004E423C">
              <w:rPr>
                <w:color w:val="000000"/>
                <w:spacing w:val="194"/>
                <w:szCs w:val="20"/>
                <w:shd w:val="solid" w:color="000000" w:fill="000000"/>
                <w:fitText w:val="280" w:id="-1435825653"/>
                <w14:textFill>
                  <w14:solidFill>
                    <w14:srgbClr w14:val="000000">
                      <w14:alpha w14:val="100000"/>
                    </w14:srgbClr>
                  </w14:solidFill>
                </w14:textFill>
              </w:rPr>
              <w:t>|</w:t>
            </w:r>
            <w:r w:rsidRPr="004E423C">
              <w:rPr>
                <w:color w:val="000000"/>
                <w:spacing w:val="1"/>
                <w:szCs w:val="20"/>
                <w:shd w:val="solid" w:color="000000" w:fill="000000"/>
                <w:fitText w:val="280" w:id="-1435825653"/>
                <w14:textFill>
                  <w14:solidFill>
                    <w14:srgbClr w14:val="000000">
                      <w14:alpha w14:val="100000"/>
                    </w14:srgbClr>
                  </w14:solidFill>
                </w14:textFill>
              </w:rPr>
              <w:t>|</w:t>
            </w:r>
            <w:r w:rsidR="00265354" w:rsidRPr="00265354">
              <w:rPr>
                <w:szCs w:val="20"/>
                <w:vertAlign w:val="superscript"/>
              </w:rPr>
              <w:t>2</w:t>
            </w:r>
          </w:p>
        </w:tc>
      </w:tr>
      <w:tr w:rsidR="00AC1075" w:rsidRPr="003639A6" w14:paraId="7F02A33C" w14:textId="77777777" w:rsidTr="000B6052">
        <w:tc>
          <w:tcPr>
            <w:tcW w:w="784" w:type="pct"/>
            <w:shd w:val="clear" w:color="auto" w:fill="auto"/>
            <w:vAlign w:val="center"/>
          </w:tcPr>
          <w:p w14:paraId="08D12EA6" w14:textId="070C9347" w:rsidR="00AC1075" w:rsidRPr="003639A6" w:rsidRDefault="00AC1075" w:rsidP="00637C6D">
            <w:pPr>
              <w:pStyle w:val="TableText0"/>
              <w:rPr>
                <w:rFonts w:ascii="Times" w:hAnsi="Times"/>
              </w:rPr>
            </w:pPr>
            <w:r>
              <w:t>Total n</w:t>
            </w:r>
            <w:r w:rsidRPr="003639A6">
              <w:t xml:space="preserve">umber of </w:t>
            </w:r>
            <w:r>
              <w:t>infusions</w:t>
            </w:r>
            <w:r w:rsidRPr="003639A6">
              <w:rPr>
                <w:vertAlign w:val="superscript"/>
              </w:rPr>
              <w:t>a</w:t>
            </w:r>
          </w:p>
        </w:tc>
        <w:tc>
          <w:tcPr>
            <w:tcW w:w="707" w:type="pct"/>
            <w:shd w:val="clear" w:color="auto" w:fill="auto"/>
            <w:vAlign w:val="center"/>
          </w:tcPr>
          <w:p w14:paraId="5BF75C70" w14:textId="38A0ECFE" w:rsidR="00AC1075" w:rsidRPr="003639A6" w:rsidRDefault="004E423C" w:rsidP="00637C6D">
            <w:pPr>
              <w:pStyle w:val="TableText0"/>
              <w:jc w:val="center"/>
              <w:rPr>
                <w:color w:val="000000"/>
              </w:rPr>
            </w:pPr>
            <w:r w:rsidRPr="004E423C">
              <w:rPr>
                <w:color w:val="000000"/>
                <w:spacing w:val="164"/>
                <w:szCs w:val="20"/>
                <w:shd w:val="solid" w:color="000000" w:fill="000000"/>
                <w:fitText w:val="250" w:id="-1435825652"/>
                <w14:textFill>
                  <w14:solidFill>
                    <w14:srgbClr w14:val="000000">
                      <w14:alpha w14:val="100000"/>
                    </w14:srgbClr>
                  </w14:solidFill>
                </w14:textFill>
              </w:rPr>
              <w:t>|</w:t>
            </w:r>
            <w:r w:rsidRPr="004E423C">
              <w:rPr>
                <w:color w:val="000000"/>
                <w:spacing w:val="1"/>
                <w:szCs w:val="20"/>
                <w:shd w:val="solid" w:color="000000" w:fill="000000"/>
                <w:fitText w:val="250" w:id="-1435825652"/>
                <w14:textFill>
                  <w14:solidFill>
                    <w14:srgbClr w14:val="000000">
                      <w14:alpha w14:val="100000"/>
                    </w14:srgbClr>
                  </w14:solidFill>
                </w14:textFill>
              </w:rPr>
              <w:t>|</w:t>
            </w:r>
            <w:r w:rsidR="00265354" w:rsidRPr="00265354">
              <w:rPr>
                <w:szCs w:val="20"/>
                <w:vertAlign w:val="superscript"/>
              </w:rPr>
              <w:t>2</w:t>
            </w:r>
          </w:p>
        </w:tc>
        <w:tc>
          <w:tcPr>
            <w:tcW w:w="707" w:type="pct"/>
            <w:shd w:val="clear" w:color="auto" w:fill="auto"/>
            <w:vAlign w:val="center"/>
          </w:tcPr>
          <w:p w14:paraId="3BA20F20" w14:textId="45EC9521" w:rsidR="00AC1075" w:rsidRPr="00265354" w:rsidRDefault="004E423C" w:rsidP="00637C6D">
            <w:pPr>
              <w:pStyle w:val="TableText0"/>
              <w:jc w:val="center"/>
              <w:rPr>
                <w:color w:val="000000"/>
                <w:highlight w:val="lightGray"/>
              </w:rPr>
            </w:pPr>
            <w:r w:rsidRPr="004E423C">
              <w:rPr>
                <w:color w:val="000000"/>
                <w:spacing w:val="194"/>
                <w:szCs w:val="20"/>
                <w:shd w:val="solid" w:color="000000" w:fill="000000"/>
                <w:fitText w:val="280" w:id="-1435825651"/>
                <w14:textFill>
                  <w14:solidFill>
                    <w14:srgbClr w14:val="000000">
                      <w14:alpha w14:val="100000"/>
                    </w14:srgbClr>
                  </w14:solidFill>
                </w14:textFill>
              </w:rPr>
              <w:t>|</w:t>
            </w:r>
            <w:r w:rsidRPr="004E423C">
              <w:rPr>
                <w:color w:val="000000"/>
                <w:spacing w:val="1"/>
                <w:szCs w:val="20"/>
                <w:shd w:val="solid" w:color="000000" w:fill="000000"/>
                <w:fitText w:val="280" w:id="-1435825651"/>
                <w14:textFill>
                  <w14:solidFill>
                    <w14:srgbClr w14:val="000000">
                      <w14:alpha w14:val="100000"/>
                    </w14:srgbClr>
                  </w14:solidFill>
                </w14:textFill>
              </w:rPr>
              <w:t>|</w:t>
            </w:r>
            <w:r w:rsidRPr="004E423C">
              <w:rPr>
                <w:szCs w:val="20"/>
              </w:rPr>
              <w:t xml:space="preserve"> </w:t>
            </w:r>
            <w:r w:rsidR="00265354" w:rsidRPr="00265354">
              <w:rPr>
                <w:szCs w:val="20"/>
                <w:vertAlign w:val="superscript"/>
              </w:rPr>
              <w:t>3</w:t>
            </w:r>
          </w:p>
        </w:tc>
        <w:tc>
          <w:tcPr>
            <w:tcW w:w="708" w:type="pct"/>
            <w:shd w:val="clear" w:color="auto" w:fill="auto"/>
            <w:vAlign w:val="center"/>
          </w:tcPr>
          <w:p w14:paraId="532B21AE" w14:textId="5ED45FC4" w:rsidR="00AC1075" w:rsidRPr="00265354" w:rsidRDefault="004E423C" w:rsidP="00637C6D">
            <w:pPr>
              <w:pStyle w:val="TableText0"/>
              <w:jc w:val="center"/>
              <w:rPr>
                <w:color w:val="000000"/>
                <w:highlight w:val="lightGray"/>
              </w:rPr>
            </w:pPr>
            <w:r w:rsidRPr="004E423C">
              <w:rPr>
                <w:color w:val="000000"/>
                <w:spacing w:val="184"/>
                <w:szCs w:val="20"/>
                <w:shd w:val="solid" w:color="000000" w:fill="000000"/>
                <w:fitText w:val="270" w:id="-1435825650"/>
                <w14:textFill>
                  <w14:solidFill>
                    <w14:srgbClr w14:val="000000">
                      <w14:alpha w14:val="100000"/>
                    </w14:srgbClr>
                  </w14:solidFill>
                </w14:textFill>
              </w:rPr>
              <w:t>|</w:t>
            </w:r>
            <w:r w:rsidRPr="004E423C">
              <w:rPr>
                <w:color w:val="000000"/>
                <w:spacing w:val="1"/>
                <w:szCs w:val="20"/>
                <w:shd w:val="solid" w:color="000000" w:fill="000000"/>
                <w:fitText w:val="270" w:id="-1435825650"/>
                <w14:textFill>
                  <w14:solidFill>
                    <w14:srgbClr w14:val="000000">
                      <w14:alpha w14:val="100000"/>
                    </w14:srgbClr>
                  </w14:solidFill>
                </w14:textFill>
              </w:rPr>
              <w:t>|</w:t>
            </w:r>
            <w:r w:rsidRPr="004E423C">
              <w:rPr>
                <w:szCs w:val="20"/>
              </w:rPr>
              <w:t xml:space="preserve"> </w:t>
            </w:r>
            <w:r w:rsidR="00265354" w:rsidRPr="00265354">
              <w:rPr>
                <w:szCs w:val="20"/>
                <w:vertAlign w:val="superscript"/>
              </w:rPr>
              <w:t>4</w:t>
            </w:r>
          </w:p>
        </w:tc>
        <w:tc>
          <w:tcPr>
            <w:tcW w:w="708" w:type="pct"/>
            <w:shd w:val="clear" w:color="auto" w:fill="auto"/>
            <w:vAlign w:val="center"/>
          </w:tcPr>
          <w:p w14:paraId="38B7EEFF" w14:textId="02C03398" w:rsidR="00AC1075" w:rsidRPr="00FC0AEF" w:rsidRDefault="004E423C" w:rsidP="00637C6D">
            <w:pPr>
              <w:pStyle w:val="TableText0"/>
              <w:jc w:val="center"/>
              <w:rPr>
                <w:color w:val="000000"/>
                <w:highlight w:val="lightGray"/>
              </w:rPr>
            </w:pPr>
            <w:r w:rsidRPr="004E423C">
              <w:rPr>
                <w:color w:val="000000"/>
                <w:spacing w:val="164"/>
                <w:szCs w:val="20"/>
                <w:shd w:val="solid" w:color="000000" w:fill="000000"/>
                <w:fitText w:val="250" w:id="-1435825649"/>
                <w14:textFill>
                  <w14:solidFill>
                    <w14:srgbClr w14:val="000000">
                      <w14:alpha w14:val="100000"/>
                    </w14:srgbClr>
                  </w14:solidFill>
                </w14:textFill>
              </w:rPr>
              <w:t>|</w:t>
            </w:r>
            <w:r w:rsidRPr="004E423C">
              <w:rPr>
                <w:color w:val="000000"/>
                <w:spacing w:val="1"/>
                <w:szCs w:val="20"/>
                <w:shd w:val="solid" w:color="000000" w:fill="000000"/>
                <w:fitText w:val="250" w:id="-1435825649"/>
                <w14:textFill>
                  <w14:solidFill>
                    <w14:srgbClr w14:val="000000">
                      <w14:alpha w14:val="100000"/>
                    </w14:srgbClr>
                  </w14:solidFill>
                </w14:textFill>
              </w:rPr>
              <w:t>|</w:t>
            </w:r>
            <w:r w:rsidR="00265354" w:rsidRPr="00265354">
              <w:rPr>
                <w:szCs w:val="20"/>
                <w:vertAlign w:val="superscript"/>
              </w:rPr>
              <w:t>4</w:t>
            </w:r>
            <w:r w:rsidRPr="004E423C">
              <w:rPr>
                <w:szCs w:val="20"/>
              </w:rPr>
              <w:t xml:space="preserve"> </w:t>
            </w:r>
          </w:p>
        </w:tc>
        <w:tc>
          <w:tcPr>
            <w:tcW w:w="707" w:type="pct"/>
            <w:shd w:val="clear" w:color="auto" w:fill="auto"/>
            <w:vAlign w:val="center"/>
          </w:tcPr>
          <w:p w14:paraId="03587DDD" w14:textId="584ACC81" w:rsidR="00AC1075" w:rsidRPr="00FC0AEF" w:rsidRDefault="004E423C" w:rsidP="00637C6D">
            <w:pPr>
              <w:pStyle w:val="TableText0"/>
              <w:jc w:val="center"/>
              <w:rPr>
                <w:color w:val="000000"/>
                <w:highlight w:val="lightGray"/>
              </w:rPr>
            </w:pPr>
            <w:r w:rsidRPr="004E423C">
              <w:rPr>
                <w:color w:val="000000"/>
                <w:spacing w:val="194"/>
                <w:szCs w:val="20"/>
                <w:shd w:val="solid" w:color="000000" w:fill="000000"/>
                <w:fitText w:val="280" w:id="-1435825648"/>
                <w14:textFill>
                  <w14:solidFill>
                    <w14:srgbClr w14:val="000000">
                      <w14:alpha w14:val="100000"/>
                    </w14:srgbClr>
                  </w14:solidFill>
                </w14:textFill>
              </w:rPr>
              <w:t>|</w:t>
            </w:r>
            <w:r w:rsidRPr="004E423C">
              <w:rPr>
                <w:color w:val="000000"/>
                <w:spacing w:val="1"/>
                <w:szCs w:val="20"/>
                <w:shd w:val="solid" w:color="000000" w:fill="000000"/>
                <w:fitText w:val="280" w:id="-1435825648"/>
                <w14:textFill>
                  <w14:solidFill>
                    <w14:srgbClr w14:val="000000">
                      <w14:alpha w14:val="100000"/>
                    </w14:srgbClr>
                  </w14:solidFill>
                </w14:textFill>
              </w:rPr>
              <w:t>|</w:t>
            </w:r>
            <w:r w:rsidRPr="004E423C">
              <w:rPr>
                <w:szCs w:val="20"/>
              </w:rPr>
              <w:t xml:space="preserve"> </w:t>
            </w:r>
            <w:r w:rsidR="00265354" w:rsidRPr="00265354">
              <w:rPr>
                <w:szCs w:val="20"/>
                <w:vertAlign w:val="superscript"/>
              </w:rPr>
              <w:t>4</w:t>
            </w:r>
          </w:p>
        </w:tc>
        <w:tc>
          <w:tcPr>
            <w:tcW w:w="679" w:type="pct"/>
            <w:vAlign w:val="center"/>
          </w:tcPr>
          <w:p w14:paraId="74E136DD" w14:textId="57ADEEA5" w:rsidR="00AC1075" w:rsidRPr="00FC0AEF" w:rsidRDefault="004E423C" w:rsidP="00637C6D">
            <w:pPr>
              <w:pStyle w:val="TableText0"/>
              <w:jc w:val="center"/>
              <w:rPr>
                <w:color w:val="000000"/>
                <w:highlight w:val="lightGray"/>
              </w:rPr>
            </w:pPr>
            <w:r w:rsidRPr="004E423C">
              <w:rPr>
                <w:color w:val="000000"/>
                <w:spacing w:val="204"/>
                <w:szCs w:val="20"/>
                <w:shd w:val="solid" w:color="000000" w:fill="000000"/>
                <w:fitText w:val="290" w:id="-1435825664"/>
                <w14:textFill>
                  <w14:solidFill>
                    <w14:srgbClr w14:val="000000">
                      <w14:alpha w14:val="100000"/>
                    </w14:srgbClr>
                  </w14:solidFill>
                </w14:textFill>
              </w:rPr>
              <w:t>|</w:t>
            </w:r>
            <w:r w:rsidRPr="004E423C">
              <w:rPr>
                <w:color w:val="000000"/>
                <w:spacing w:val="1"/>
                <w:szCs w:val="20"/>
                <w:shd w:val="solid" w:color="000000" w:fill="000000"/>
                <w:fitText w:val="290" w:id="-1435825664"/>
                <w14:textFill>
                  <w14:solidFill>
                    <w14:srgbClr w14:val="000000">
                      <w14:alpha w14:val="100000"/>
                    </w14:srgbClr>
                  </w14:solidFill>
                </w14:textFill>
              </w:rPr>
              <w:t>|</w:t>
            </w:r>
            <w:r w:rsidRPr="004E423C">
              <w:rPr>
                <w:szCs w:val="20"/>
              </w:rPr>
              <w:t xml:space="preserve"> </w:t>
            </w:r>
            <w:r w:rsidR="00265354" w:rsidRPr="00265354">
              <w:rPr>
                <w:szCs w:val="20"/>
                <w:vertAlign w:val="superscript"/>
              </w:rPr>
              <w:t>4</w:t>
            </w:r>
          </w:p>
        </w:tc>
      </w:tr>
      <w:tr w:rsidR="00AC1075" w:rsidRPr="00D1078F" w14:paraId="7BBA2EAE" w14:textId="77777777" w:rsidTr="00637C6D">
        <w:tc>
          <w:tcPr>
            <w:tcW w:w="5000" w:type="pct"/>
            <w:gridSpan w:val="7"/>
            <w:shd w:val="clear" w:color="auto" w:fill="auto"/>
            <w:vAlign w:val="center"/>
          </w:tcPr>
          <w:p w14:paraId="233D24D1" w14:textId="77777777" w:rsidR="00AC1075" w:rsidRPr="00D1078F" w:rsidRDefault="00AC1075" w:rsidP="00637C6D">
            <w:pPr>
              <w:pStyle w:val="In-tableHeading"/>
            </w:pPr>
            <w:r w:rsidRPr="00D1078F">
              <w:t xml:space="preserve">Estimated </w:t>
            </w:r>
            <w:r>
              <w:t>financial implications of RELA+NIVO</w:t>
            </w:r>
          </w:p>
        </w:tc>
      </w:tr>
      <w:tr w:rsidR="00AC1075" w:rsidRPr="003639A6" w14:paraId="0E8B1519" w14:textId="77777777" w:rsidTr="000B6052">
        <w:tc>
          <w:tcPr>
            <w:tcW w:w="784" w:type="pct"/>
            <w:shd w:val="clear" w:color="auto" w:fill="auto"/>
            <w:vAlign w:val="center"/>
          </w:tcPr>
          <w:p w14:paraId="309DB15D" w14:textId="66B49E81" w:rsidR="00AC1075" w:rsidRDefault="00AC1075" w:rsidP="00637C6D">
            <w:pPr>
              <w:pStyle w:val="TableText0"/>
              <w:rPr>
                <w:sz w:val="19"/>
                <w:szCs w:val="19"/>
              </w:rPr>
            </w:pPr>
            <w:r>
              <w:rPr>
                <w:sz w:val="19"/>
                <w:szCs w:val="19"/>
              </w:rPr>
              <w:t>Cost to PBS/</w:t>
            </w:r>
            <w:r w:rsidR="000B6052">
              <w:rPr>
                <w:sz w:val="19"/>
                <w:szCs w:val="19"/>
              </w:rPr>
              <w:t xml:space="preserve"> </w:t>
            </w:r>
            <w:r>
              <w:rPr>
                <w:sz w:val="19"/>
                <w:szCs w:val="19"/>
              </w:rPr>
              <w:t>RPBS less co-payments</w:t>
            </w:r>
            <w:r w:rsidR="00FC0AEF">
              <w:rPr>
                <w:sz w:val="19"/>
                <w:szCs w:val="19"/>
              </w:rPr>
              <w:t xml:space="preserve"> ($)</w:t>
            </w:r>
          </w:p>
        </w:tc>
        <w:tc>
          <w:tcPr>
            <w:tcW w:w="707" w:type="pct"/>
            <w:shd w:val="clear" w:color="auto" w:fill="auto"/>
            <w:vAlign w:val="center"/>
          </w:tcPr>
          <w:p w14:paraId="2CAA02D8" w14:textId="7701E63D" w:rsidR="00AC1075" w:rsidRPr="00265354" w:rsidRDefault="004E423C" w:rsidP="00637C6D">
            <w:pPr>
              <w:pStyle w:val="TableText0"/>
              <w:jc w:val="center"/>
              <w:rPr>
                <w:highlight w:val="lightGray"/>
                <w:vertAlign w:val="superscript"/>
              </w:rPr>
            </w:pPr>
            <w:r w:rsidRPr="004E423C">
              <w:rPr>
                <w:color w:val="000000"/>
                <w:spacing w:val="164"/>
                <w:szCs w:val="20"/>
                <w:shd w:val="solid" w:color="000000" w:fill="000000"/>
                <w:fitText w:val="250" w:id="-1435825663"/>
                <w14:textFill>
                  <w14:solidFill>
                    <w14:srgbClr w14:val="000000">
                      <w14:alpha w14:val="100000"/>
                    </w14:srgbClr>
                  </w14:solidFill>
                </w14:textFill>
              </w:rPr>
              <w:t>|</w:t>
            </w:r>
            <w:r w:rsidRPr="004E423C">
              <w:rPr>
                <w:color w:val="000000"/>
                <w:spacing w:val="1"/>
                <w:szCs w:val="20"/>
                <w:shd w:val="solid" w:color="000000" w:fill="000000"/>
                <w:fitText w:val="250" w:id="-1435825663"/>
                <w14:textFill>
                  <w14:solidFill>
                    <w14:srgbClr w14:val="000000">
                      <w14:alpha w14:val="100000"/>
                    </w14:srgbClr>
                  </w14:solidFill>
                </w14:textFill>
              </w:rPr>
              <w:t>|</w:t>
            </w:r>
            <w:r w:rsidR="00265354" w:rsidRPr="00265354">
              <w:rPr>
                <w:szCs w:val="20"/>
                <w:vertAlign w:val="superscript"/>
              </w:rPr>
              <w:t>5</w:t>
            </w:r>
          </w:p>
        </w:tc>
        <w:tc>
          <w:tcPr>
            <w:tcW w:w="707" w:type="pct"/>
            <w:shd w:val="clear" w:color="auto" w:fill="auto"/>
            <w:vAlign w:val="center"/>
          </w:tcPr>
          <w:p w14:paraId="113BEBF1" w14:textId="16991E55" w:rsidR="00AC1075" w:rsidRPr="00265354" w:rsidRDefault="004E423C" w:rsidP="00637C6D">
            <w:pPr>
              <w:pStyle w:val="TableText0"/>
              <w:jc w:val="center"/>
              <w:rPr>
                <w:highlight w:val="lightGray"/>
              </w:rPr>
            </w:pPr>
            <w:r w:rsidRPr="004E423C">
              <w:rPr>
                <w:color w:val="000000"/>
                <w:spacing w:val="164"/>
                <w:szCs w:val="20"/>
                <w:shd w:val="solid" w:color="000000" w:fill="000000"/>
                <w:fitText w:val="250" w:id="-1435825662"/>
                <w14:textFill>
                  <w14:solidFill>
                    <w14:srgbClr w14:val="000000">
                      <w14:alpha w14:val="100000"/>
                    </w14:srgbClr>
                  </w14:solidFill>
                </w14:textFill>
              </w:rPr>
              <w:t>|</w:t>
            </w:r>
            <w:r w:rsidRPr="004E423C">
              <w:rPr>
                <w:color w:val="000000"/>
                <w:spacing w:val="1"/>
                <w:szCs w:val="20"/>
                <w:shd w:val="solid" w:color="000000" w:fill="000000"/>
                <w:fitText w:val="250" w:id="-1435825662"/>
                <w14:textFill>
                  <w14:solidFill>
                    <w14:srgbClr w14:val="000000">
                      <w14:alpha w14:val="100000"/>
                    </w14:srgbClr>
                  </w14:solidFill>
                </w14:textFill>
              </w:rPr>
              <w:t>|</w:t>
            </w:r>
            <w:r w:rsidR="00265354" w:rsidRPr="00265354">
              <w:rPr>
                <w:szCs w:val="20"/>
                <w:vertAlign w:val="superscript"/>
              </w:rPr>
              <w:t>6</w:t>
            </w:r>
          </w:p>
        </w:tc>
        <w:tc>
          <w:tcPr>
            <w:tcW w:w="708" w:type="pct"/>
            <w:shd w:val="clear" w:color="auto" w:fill="auto"/>
            <w:vAlign w:val="center"/>
          </w:tcPr>
          <w:p w14:paraId="42D73D5D" w14:textId="7A6EC03E" w:rsidR="00AC1075" w:rsidRPr="00265354" w:rsidRDefault="004E423C" w:rsidP="00637C6D">
            <w:pPr>
              <w:pStyle w:val="TableText0"/>
              <w:jc w:val="center"/>
              <w:rPr>
                <w:highlight w:val="lightGray"/>
              </w:rPr>
            </w:pPr>
            <w:r w:rsidRPr="004E423C">
              <w:rPr>
                <w:color w:val="000000"/>
                <w:spacing w:val="164"/>
                <w:szCs w:val="20"/>
                <w:shd w:val="solid" w:color="000000" w:fill="000000"/>
                <w:fitText w:val="250" w:id="-1435825661"/>
                <w14:textFill>
                  <w14:solidFill>
                    <w14:srgbClr w14:val="000000">
                      <w14:alpha w14:val="100000"/>
                    </w14:srgbClr>
                  </w14:solidFill>
                </w14:textFill>
              </w:rPr>
              <w:t>|</w:t>
            </w:r>
            <w:r w:rsidRPr="004E423C">
              <w:rPr>
                <w:color w:val="000000"/>
                <w:spacing w:val="1"/>
                <w:szCs w:val="20"/>
                <w:shd w:val="solid" w:color="000000" w:fill="000000"/>
                <w:fitText w:val="250" w:id="-1435825661"/>
                <w14:textFill>
                  <w14:solidFill>
                    <w14:srgbClr w14:val="000000">
                      <w14:alpha w14:val="100000"/>
                    </w14:srgbClr>
                  </w14:solidFill>
                </w14:textFill>
              </w:rPr>
              <w:t>|</w:t>
            </w:r>
            <w:r w:rsidR="00265354" w:rsidRPr="00265354">
              <w:rPr>
                <w:szCs w:val="20"/>
                <w:vertAlign w:val="superscript"/>
              </w:rPr>
              <w:t>7</w:t>
            </w:r>
          </w:p>
        </w:tc>
        <w:tc>
          <w:tcPr>
            <w:tcW w:w="708" w:type="pct"/>
            <w:shd w:val="clear" w:color="auto" w:fill="auto"/>
            <w:vAlign w:val="center"/>
          </w:tcPr>
          <w:p w14:paraId="5659F732" w14:textId="6D402F39" w:rsidR="00AC1075" w:rsidRPr="00FC0AEF" w:rsidRDefault="004E423C" w:rsidP="00637C6D">
            <w:pPr>
              <w:pStyle w:val="TableText0"/>
              <w:jc w:val="center"/>
              <w:rPr>
                <w:highlight w:val="lightGray"/>
              </w:rPr>
            </w:pPr>
            <w:r w:rsidRPr="004E423C">
              <w:rPr>
                <w:color w:val="000000"/>
                <w:spacing w:val="164"/>
                <w:szCs w:val="20"/>
                <w:shd w:val="solid" w:color="000000" w:fill="000000"/>
                <w:fitText w:val="250" w:id="-1435825660"/>
                <w14:textFill>
                  <w14:solidFill>
                    <w14:srgbClr w14:val="000000">
                      <w14:alpha w14:val="100000"/>
                    </w14:srgbClr>
                  </w14:solidFill>
                </w14:textFill>
              </w:rPr>
              <w:t>|</w:t>
            </w:r>
            <w:r w:rsidRPr="004E423C">
              <w:rPr>
                <w:color w:val="000000"/>
                <w:spacing w:val="1"/>
                <w:szCs w:val="20"/>
                <w:shd w:val="solid" w:color="000000" w:fill="000000"/>
                <w:fitText w:val="250" w:id="-1435825660"/>
                <w14:textFill>
                  <w14:solidFill>
                    <w14:srgbClr w14:val="000000">
                      <w14:alpha w14:val="100000"/>
                    </w14:srgbClr>
                  </w14:solidFill>
                </w14:textFill>
              </w:rPr>
              <w:t>|</w:t>
            </w:r>
            <w:r w:rsidR="00265354" w:rsidRPr="00265354">
              <w:rPr>
                <w:szCs w:val="20"/>
                <w:vertAlign w:val="superscript"/>
              </w:rPr>
              <w:t>7</w:t>
            </w:r>
          </w:p>
        </w:tc>
        <w:tc>
          <w:tcPr>
            <w:tcW w:w="707" w:type="pct"/>
            <w:shd w:val="clear" w:color="auto" w:fill="auto"/>
            <w:vAlign w:val="center"/>
          </w:tcPr>
          <w:p w14:paraId="546D0DE8" w14:textId="10B38DE2" w:rsidR="00AC1075" w:rsidRPr="00FC0AEF" w:rsidRDefault="004E423C" w:rsidP="00637C6D">
            <w:pPr>
              <w:pStyle w:val="TableText0"/>
              <w:jc w:val="center"/>
              <w:rPr>
                <w:highlight w:val="lightGray"/>
              </w:rPr>
            </w:pPr>
            <w:r w:rsidRPr="004E423C">
              <w:rPr>
                <w:color w:val="000000"/>
                <w:spacing w:val="164"/>
                <w:szCs w:val="20"/>
                <w:shd w:val="solid" w:color="000000" w:fill="000000"/>
                <w:fitText w:val="250" w:id="-1435825659"/>
                <w14:textFill>
                  <w14:solidFill>
                    <w14:srgbClr w14:val="000000">
                      <w14:alpha w14:val="100000"/>
                    </w14:srgbClr>
                  </w14:solidFill>
                </w14:textFill>
              </w:rPr>
              <w:t>|</w:t>
            </w:r>
            <w:r w:rsidRPr="004E423C">
              <w:rPr>
                <w:color w:val="000000"/>
                <w:spacing w:val="1"/>
                <w:szCs w:val="20"/>
                <w:shd w:val="solid" w:color="000000" w:fill="000000"/>
                <w:fitText w:val="250" w:id="-1435825659"/>
                <w14:textFill>
                  <w14:solidFill>
                    <w14:srgbClr w14:val="000000">
                      <w14:alpha w14:val="100000"/>
                    </w14:srgbClr>
                  </w14:solidFill>
                </w14:textFill>
              </w:rPr>
              <w:t>|</w:t>
            </w:r>
            <w:r w:rsidR="00265354" w:rsidRPr="00265354">
              <w:rPr>
                <w:szCs w:val="20"/>
                <w:vertAlign w:val="superscript"/>
              </w:rPr>
              <w:t>7</w:t>
            </w:r>
          </w:p>
        </w:tc>
        <w:tc>
          <w:tcPr>
            <w:tcW w:w="679" w:type="pct"/>
            <w:vAlign w:val="center"/>
          </w:tcPr>
          <w:p w14:paraId="76BB67D4" w14:textId="0F9246CF" w:rsidR="00AC1075" w:rsidRPr="00FC0AEF" w:rsidRDefault="004E423C" w:rsidP="00637C6D">
            <w:pPr>
              <w:pStyle w:val="TableText0"/>
              <w:jc w:val="center"/>
              <w:rPr>
                <w:highlight w:val="lightGray"/>
              </w:rPr>
            </w:pPr>
            <w:r w:rsidRPr="004E423C">
              <w:rPr>
                <w:color w:val="000000"/>
                <w:spacing w:val="194"/>
                <w:szCs w:val="20"/>
                <w:shd w:val="solid" w:color="000000" w:fill="000000"/>
                <w:fitText w:val="280" w:id="-1435825658"/>
                <w14:textFill>
                  <w14:solidFill>
                    <w14:srgbClr w14:val="000000">
                      <w14:alpha w14:val="100000"/>
                    </w14:srgbClr>
                  </w14:solidFill>
                </w14:textFill>
              </w:rPr>
              <w:t>|</w:t>
            </w:r>
            <w:r w:rsidRPr="004E423C">
              <w:rPr>
                <w:color w:val="000000"/>
                <w:spacing w:val="1"/>
                <w:szCs w:val="20"/>
                <w:shd w:val="solid" w:color="000000" w:fill="000000"/>
                <w:fitText w:val="280" w:id="-1435825658"/>
                <w14:textFill>
                  <w14:solidFill>
                    <w14:srgbClr w14:val="000000">
                      <w14:alpha w14:val="100000"/>
                    </w14:srgbClr>
                  </w14:solidFill>
                </w14:textFill>
              </w:rPr>
              <w:t>|</w:t>
            </w:r>
            <w:r w:rsidR="00265354" w:rsidRPr="00265354">
              <w:rPr>
                <w:szCs w:val="20"/>
                <w:vertAlign w:val="superscript"/>
              </w:rPr>
              <w:t>7</w:t>
            </w:r>
          </w:p>
        </w:tc>
      </w:tr>
      <w:tr w:rsidR="00AC1075" w:rsidRPr="003639A6" w14:paraId="25EFE44C" w14:textId="77777777" w:rsidTr="00637C6D">
        <w:tc>
          <w:tcPr>
            <w:tcW w:w="5000" w:type="pct"/>
            <w:gridSpan w:val="7"/>
            <w:shd w:val="clear" w:color="auto" w:fill="auto"/>
            <w:vAlign w:val="center"/>
          </w:tcPr>
          <w:p w14:paraId="08B514E9" w14:textId="77777777" w:rsidR="00AC1075" w:rsidRPr="00964AD7" w:rsidRDefault="00AC1075" w:rsidP="00637C6D">
            <w:pPr>
              <w:pStyle w:val="TableText0"/>
              <w:rPr>
                <w:b/>
                <w:bCs w:val="0"/>
              </w:rPr>
            </w:pPr>
            <w:r w:rsidRPr="00964AD7">
              <w:rPr>
                <w:b/>
                <w:bCs w:val="0"/>
              </w:rPr>
              <w:t xml:space="preserve">Estimated financial implications for PD-1 monotherapy and </w:t>
            </w:r>
            <w:r>
              <w:rPr>
                <w:b/>
                <w:bCs w:val="0"/>
              </w:rPr>
              <w:t>NIVO+IPI</w:t>
            </w:r>
          </w:p>
        </w:tc>
      </w:tr>
      <w:tr w:rsidR="00AC1075" w:rsidRPr="008D291C" w14:paraId="61CBAFF2" w14:textId="77777777" w:rsidTr="000B6052">
        <w:tc>
          <w:tcPr>
            <w:tcW w:w="784" w:type="pct"/>
            <w:shd w:val="clear" w:color="auto" w:fill="auto"/>
            <w:vAlign w:val="center"/>
          </w:tcPr>
          <w:p w14:paraId="7F15ED2E" w14:textId="4354032C" w:rsidR="00AC1075" w:rsidRPr="008D291C" w:rsidRDefault="00AC1075" w:rsidP="00637C6D">
            <w:pPr>
              <w:pStyle w:val="TableText0"/>
              <w:rPr>
                <w:sz w:val="19"/>
                <w:szCs w:val="19"/>
              </w:rPr>
            </w:pPr>
            <w:r w:rsidRPr="008D291C">
              <w:rPr>
                <w:sz w:val="19"/>
                <w:szCs w:val="19"/>
              </w:rPr>
              <w:t>Cost to PBS/</w:t>
            </w:r>
            <w:r w:rsidR="000B6052">
              <w:rPr>
                <w:sz w:val="19"/>
                <w:szCs w:val="19"/>
              </w:rPr>
              <w:t xml:space="preserve"> </w:t>
            </w:r>
            <w:r w:rsidRPr="008D291C">
              <w:rPr>
                <w:sz w:val="19"/>
                <w:szCs w:val="19"/>
              </w:rPr>
              <w:t>RPBS less co-payments</w:t>
            </w:r>
            <w:r w:rsidR="00FC0AEF">
              <w:rPr>
                <w:sz w:val="19"/>
                <w:szCs w:val="19"/>
              </w:rPr>
              <w:t xml:space="preserve"> ($)</w:t>
            </w:r>
          </w:p>
        </w:tc>
        <w:tc>
          <w:tcPr>
            <w:tcW w:w="707" w:type="pct"/>
            <w:shd w:val="clear" w:color="auto" w:fill="auto"/>
            <w:vAlign w:val="center"/>
          </w:tcPr>
          <w:p w14:paraId="0738F90C" w14:textId="219408DD" w:rsidR="00AC1075" w:rsidRPr="008D291C" w:rsidRDefault="004E423C" w:rsidP="00637C6D">
            <w:pPr>
              <w:pStyle w:val="TableText0"/>
              <w:jc w:val="center"/>
            </w:pPr>
            <w:r w:rsidRPr="004E423C">
              <w:rPr>
                <w:color w:val="000000"/>
                <w:spacing w:val="214"/>
                <w:shd w:val="solid" w:color="000000" w:fill="000000"/>
                <w:fitText w:val="300" w:id="-1435825657"/>
                <w14:textFill>
                  <w14:solidFill>
                    <w14:srgbClr w14:val="000000">
                      <w14:alpha w14:val="100000"/>
                    </w14:srgbClr>
                  </w14:solidFill>
                </w14:textFill>
              </w:rPr>
              <w:t>|</w:t>
            </w:r>
            <w:r w:rsidRPr="004E423C">
              <w:rPr>
                <w:color w:val="000000"/>
                <w:spacing w:val="1"/>
                <w:shd w:val="solid" w:color="000000" w:fill="000000"/>
                <w:fitText w:val="300" w:id="-1435825657"/>
                <w14:textFill>
                  <w14:solidFill>
                    <w14:srgbClr w14:val="000000">
                      <w14:alpha w14:val="100000"/>
                    </w14:srgbClr>
                  </w14:solidFill>
                </w14:textFill>
              </w:rPr>
              <w:t>|</w:t>
            </w:r>
            <w:r w:rsidR="000B6052">
              <w:rPr>
                <w:vertAlign w:val="superscript"/>
              </w:rPr>
              <w:t>b</w:t>
            </w:r>
            <w:r w:rsidR="00256B36">
              <w:rPr>
                <w:vertAlign w:val="superscript"/>
              </w:rPr>
              <w:t xml:space="preserve"> </w:t>
            </w:r>
            <w:r w:rsidR="00265354" w:rsidRPr="00265354">
              <w:rPr>
                <w:szCs w:val="20"/>
                <w:vertAlign w:val="superscript"/>
              </w:rPr>
              <w:t>5</w:t>
            </w:r>
          </w:p>
        </w:tc>
        <w:tc>
          <w:tcPr>
            <w:tcW w:w="707" w:type="pct"/>
            <w:shd w:val="clear" w:color="auto" w:fill="auto"/>
            <w:vAlign w:val="center"/>
          </w:tcPr>
          <w:p w14:paraId="2FB6F43D" w14:textId="4AAB9C7C" w:rsidR="00AC1075" w:rsidRPr="00256B36" w:rsidRDefault="004E423C" w:rsidP="00637C6D">
            <w:pPr>
              <w:pStyle w:val="TableText0"/>
              <w:jc w:val="center"/>
              <w:rPr>
                <w:vertAlign w:val="superscript"/>
              </w:rPr>
            </w:pPr>
            <w:r w:rsidRPr="004E423C">
              <w:rPr>
                <w:color w:val="000000"/>
                <w:spacing w:val="214"/>
                <w:shd w:val="solid" w:color="000000" w:fill="000000"/>
                <w:fitText w:val="300" w:id="-1435825656"/>
                <w14:textFill>
                  <w14:solidFill>
                    <w14:srgbClr w14:val="000000">
                      <w14:alpha w14:val="100000"/>
                    </w14:srgbClr>
                  </w14:solidFill>
                </w14:textFill>
              </w:rPr>
              <w:t>|</w:t>
            </w:r>
            <w:r w:rsidRPr="004E423C">
              <w:rPr>
                <w:color w:val="000000"/>
                <w:spacing w:val="1"/>
                <w:shd w:val="solid" w:color="000000" w:fill="000000"/>
                <w:fitText w:val="300" w:id="-1435825656"/>
                <w14:textFill>
                  <w14:solidFill>
                    <w14:srgbClr w14:val="000000">
                      <w14:alpha w14:val="100000"/>
                    </w14:srgbClr>
                  </w14:solidFill>
                </w14:textFill>
              </w:rPr>
              <w:t>|</w:t>
            </w:r>
            <w:r w:rsidR="000B6052" w:rsidRPr="00256B36">
              <w:rPr>
                <w:vertAlign w:val="superscript"/>
              </w:rPr>
              <w:t>b</w:t>
            </w:r>
            <w:r w:rsidR="00256B36">
              <w:rPr>
                <w:vertAlign w:val="superscript"/>
              </w:rPr>
              <w:t xml:space="preserve"> </w:t>
            </w:r>
            <w:r w:rsidR="00256B36" w:rsidRPr="00256B36">
              <w:rPr>
                <w:vertAlign w:val="superscript"/>
              </w:rPr>
              <w:t>8</w:t>
            </w:r>
          </w:p>
        </w:tc>
        <w:tc>
          <w:tcPr>
            <w:tcW w:w="708" w:type="pct"/>
            <w:shd w:val="clear" w:color="auto" w:fill="auto"/>
            <w:vAlign w:val="center"/>
          </w:tcPr>
          <w:p w14:paraId="18C48874" w14:textId="43FBC6E5" w:rsidR="00AC1075" w:rsidRPr="008D291C" w:rsidRDefault="004E423C" w:rsidP="00637C6D">
            <w:pPr>
              <w:pStyle w:val="TableText0"/>
              <w:jc w:val="center"/>
            </w:pPr>
            <w:r w:rsidRPr="004E423C">
              <w:rPr>
                <w:color w:val="000000"/>
                <w:spacing w:val="214"/>
                <w:shd w:val="solid" w:color="000000" w:fill="000000"/>
                <w:fitText w:val="300" w:id="-1435825655"/>
                <w14:textFill>
                  <w14:solidFill>
                    <w14:srgbClr w14:val="000000">
                      <w14:alpha w14:val="100000"/>
                    </w14:srgbClr>
                  </w14:solidFill>
                </w14:textFill>
              </w:rPr>
              <w:t>|</w:t>
            </w:r>
            <w:r w:rsidRPr="004E423C">
              <w:rPr>
                <w:color w:val="000000"/>
                <w:spacing w:val="1"/>
                <w:shd w:val="solid" w:color="000000" w:fill="000000"/>
                <w:fitText w:val="300" w:id="-1435825655"/>
                <w14:textFill>
                  <w14:solidFill>
                    <w14:srgbClr w14:val="000000">
                      <w14:alpha w14:val="100000"/>
                    </w14:srgbClr>
                  </w14:solidFill>
                </w14:textFill>
              </w:rPr>
              <w:t>|</w:t>
            </w:r>
            <w:r w:rsidR="000B6052">
              <w:rPr>
                <w:vertAlign w:val="superscript"/>
              </w:rPr>
              <w:t>b</w:t>
            </w:r>
            <w:r w:rsidR="00256B36">
              <w:rPr>
                <w:vertAlign w:val="superscript"/>
              </w:rPr>
              <w:t xml:space="preserve"> 9</w:t>
            </w:r>
          </w:p>
        </w:tc>
        <w:tc>
          <w:tcPr>
            <w:tcW w:w="708" w:type="pct"/>
            <w:shd w:val="clear" w:color="auto" w:fill="auto"/>
            <w:vAlign w:val="center"/>
          </w:tcPr>
          <w:p w14:paraId="46B377C6" w14:textId="07A210F3" w:rsidR="00AC1075" w:rsidRPr="008D291C" w:rsidRDefault="004E423C" w:rsidP="00637C6D">
            <w:pPr>
              <w:pStyle w:val="TableText0"/>
              <w:jc w:val="center"/>
            </w:pPr>
            <w:r w:rsidRPr="004E423C">
              <w:rPr>
                <w:color w:val="000000"/>
                <w:spacing w:val="46"/>
                <w:shd w:val="solid" w:color="000000" w:fill="000000"/>
                <w:fitText w:val="220" w:id="-1435825654"/>
                <w14:textFill>
                  <w14:solidFill>
                    <w14:srgbClr w14:val="000000">
                      <w14:alpha w14:val="100000"/>
                    </w14:srgbClr>
                  </w14:solidFill>
                </w14:textFill>
              </w:rPr>
              <w:t>||</w:t>
            </w:r>
            <w:r w:rsidRPr="004E423C">
              <w:rPr>
                <w:color w:val="000000"/>
                <w:spacing w:val="1"/>
                <w:shd w:val="solid" w:color="000000" w:fill="000000"/>
                <w:fitText w:val="220" w:id="-1435825654"/>
                <w14:textFill>
                  <w14:solidFill>
                    <w14:srgbClr w14:val="000000">
                      <w14:alpha w14:val="100000"/>
                    </w14:srgbClr>
                  </w14:solidFill>
                </w14:textFill>
              </w:rPr>
              <w:t>|</w:t>
            </w:r>
            <w:r w:rsidRPr="004E423C">
              <w:rPr>
                <w:vertAlign w:val="superscript"/>
              </w:rPr>
              <w:t xml:space="preserve"> </w:t>
            </w:r>
            <w:r w:rsidRPr="004E423C">
              <w:rPr>
                <w:color w:val="000000"/>
                <w:spacing w:val="79"/>
                <w:shd w:val="solid" w:color="000000" w:fill="000000"/>
                <w:fitText w:val="410" w:id="-1435825653"/>
                <w14:textFill>
                  <w14:solidFill>
                    <w14:srgbClr w14:val="000000">
                      <w14:alpha w14:val="100000"/>
                    </w14:srgbClr>
                  </w14:solidFill>
                </w14:textFill>
              </w:rPr>
              <w:t>|||</w:t>
            </w:r>
            <w:r w:rsidRPr="004E423C">
              <w:rPr>
                <w:color w:val="000000"/>
                <w:spacing w:val="3"/>
                <w:shd w:val="solid" w:color="000000" w:fill="000000"/>
                <w:fitText w:val="410" w:id="-1435825653"/>
                <w14:textFill>
                  <w14:solidFill>
                    <w14:srgbClr w14:val="000000">
                      <w14:alpha w14:val="100000"/>
                    </w14:srgbClr>
                  </w14:solidFill>
                </w14:textFill>
              </w:rPr>
              <w:t>|</w:t>
            </w:r>
            <w:r w:rsidR="000B6052" w:rsidRPr="000B6052">
              <w:rPr>
                <w:vertAlign w:val="superscript"/>
              </w:rPr>
              <w:t>b</w:t>
            </w:r>
            <w:r w:rsidR="00256B36">
              <w:rPr>
                <w:vertAlign w:val="superscript"/>
              </w:rPr>
              <w:t xml:space="preserve"> </w:t>
            </w:r>
            <w:r w:rsidR="00265354" w:rsidRPr="00265354">
              <w:rPr>
                <w:szCs w:val="20"/>
                <w:vertAlign w:val="superscript"/>
              </w:rPr>
              <w:t>7</w:t>
            </w:r>
          </w:p>
        </w:tc>
        <w:tc>
          <w:tcPr>
            <w:tcW w:w="707" w:type="pct"/>
            <w:shd w:val="clear" w:color="auto" w:fill="auto"/>
            <w:vAlign w:val="center"/>
          </w:tcPr>
          <w:p w14:paraId="6E06B228" w14:textId="3D847F36" w:rsidR="00AC1075" w:rsidRPr="008D291C" w:rsidRDefault="004E423C" w:rsidP="00637C6D">
            <w:pPr>
              <w:pStyle w:val="TableText0"/>
              <w:jc w:val="center"/>
            </w:pPr>
            <w:r w:rsidRPr="004E423C">
              <w:rPr>
                <w:color w:val="000000"/>
                <w:spacing w:val="46"/>
                <w:shd w:val="solid" w:color="000000" w:fill="000000"/>
                <w:fitText w:val="220" w:id="-1435825652"/>
                <w14:textFill>
                  <w14:solidFill>
                    <w14:srgbClr w14:val="000000">
                      <w14:alpha w14:val="100000"/>
                    </w14:srgbClr>
                  </w14:solidFill>
                </w14:textFill>
              </w:rPr>
              <w:t>||</w:t>
            </w:r>
            <w:r w:rsidRPr="004E423C">
              <w:rPr>
                <w:color w:val="000000"/>
                <w:spacing w:val="1"/>
                <w:shd w:val="solid" w:color="000000" w:fill="000000"/>
                <w:fitText w:val="220" w:id="-1435825652"/>
                <w14:textFill>
                  <w14:solidFill>
                    <w14:srgbClr w14:val="000000">
                      <w14:alpha w14:val="100000"/>
                    </w14:srgbClr>
                  </w14:solidFill>
                </w14:textFill>
              </w:rPr>
              <w:t>|</w:t>
            </w:r>
            <w:r w:rsidRPr="004E423C">
              <w:rPr>
                <w:vertAlign w:val="superscript"/>
              </w:rPr>
              <w:t xml:space="preserve"> </w:t>
            </w:r>
            <w:r w:rsidRPr="004E423C">
              <w:rPr>
                <w:color w:val="000000"/>
                <w:spacing w:val="32"/>
                <w:shd w:val="solid" w:color="000000" w:fill="000000"/>
                <w:fitText w:val="420" w:id="-1435825651"/>
                <w14:textFill>
                  <w14:solidFill>
                    <w14:srgbClr w14:val="000000">
                      <w14:alpha w14:val="100000"/>
                    </w14:srgbClr>
                  </w14:solidFill>
                </w14:textFill>
              </w:rPr>
              <w:t>|||||</w:t>
            </w:r>
            <w:r w:rsidRPr="004E423C">
              <w:rPr>
                <w:color w:val="000000"/>
                <w:spacing w:val="5"/>
                <w:shd w:val="solid" w:color="000000" w:fill="000000"/>
                <w:fitText w:val="420" w:id="-1435825651"/>
                <w14:textFill>
                  <w14:solidFill>
                    <w14:srgbClr w14:val="000000">
                      <w14:alpha w14:val="100000"/>
                    </w14:srgbClr>
                  </w14:solidFill>
                </w14:textFill>
              </w:rPr>
              <w:t>|</w:t>
            </w:r>
            <w:r w:rsidR="000B6052" w:rsidRPr="000B6052">
              <w:rPr>
                <w:vertAlign w:val="superscript"/>
              </w:rPr>
              <w:t>b</w:t>
            </w:r>
            <w:r w:rsidR="00256B36">
              <w:rPr>
                <w:vertAlign w:val="superscript"/>
              </w:rPr>
              <w:t xml:space="preserve"> </w:t>
            </w:r>
            <w:r w:rsidR="00265354" w:rsidRPr="00265354">
              <w:rPr>
                <w:szCs w:val="20"/>
                <w:vertAlign w:val="superscript"/>
              </w:rPr>
              <w:t>7</w:t>
            </w:r>
          </w:p>
        </w:tc>
        <w:tc>
          <w:tcPr>
            <w:tcW w:w="679" w:type="pct"/>
            <w:vAlign w:val="center"/>
          </w:tcPr>
          <w:p w14:paraId="11ED9076" w14:textId="0C5CF4FB" w:rsidR="00AC1075" w:rsidRPr="008D291C" w:rsidRDefault="004E423C" w:rsidP="00637C6D">
            <w:pPr>
              <w:pStyle w:val="TableText0"/>
              <w:jc w:val="center"/>
            </w:pPr>
            <w:r w:rsidRPr="004E423C">
              <w:rPr>
                <w:color w:val="000000"/>
                <w:spacing w:val="49"/>
                <w:shd w:val="solid" w:color="000000" w:fill="000000"/>
                <w:fitText w:val="320" w:id="-1435825650"/>
                <w14:textFill>
                  <w14:solidFill>
                    <w14:srgbClr w14:val="000000">
                      <w14:alpha w14:val="100000"/>
                    </w14:srgbClr>
                  </w14:solidFill>
                </w14:textFill>
              </w:rPr>
              <w:t>|||</w:t>
            </w:r>
            <w:r w:rsidRPr="004E423C">
              <w:rPr>
                <w:color w:val="000000"/>
                <w:spacing w:val="3"/>
                <w:shd w:val="solid" w:color="000000" w:fill="000000"/>
                <w:fitText w:val="320" w:id="-1435825650"/>
                <w14:textFill>
                  <w14:solidFill>
                    <w14:srgbClr w14:val="000000">
                      <w14:alpha w14:val="100000"/>
                    </w14:srgbClr>
                  </w14:solidFill>
                </w14:textFill>
              </w:rPr>
              <w:t>|</w:t>
            </w:r>
            <w:r w:rsidR="000B6052" w:rsidRPr="000B6052">
              <w:rPr>
                <w:vertAlign w:val="superscript"/>
              </w:rPr>
              <w:t>b</w:t>
            </w:r>
            <w:r w:rsidR="00256B36">
              <w:rPr>
                <w:vertAlign w:val="superscript"/>
              </w:rPr>
              <w:t xml:space="preserve"> </w:t>
            </w:r>
            <w:r w:rsidR="00265354" w:rsidRPr="00265354">
              <w:rPr>
                <w:szCs w:val="20"/>
                <w:vertAlign w:val="superscript"/>
              </w:rPr>
              <w:t>7</w:t>
            </w:r>
          </w:p>
        </w:tc>
      </w:tr>
      <w:tr w:rsidR="00AC1075" w:rsidRPr="00FC22AB" w14:paraId="00494F78" w14:textId="77777777" w:rsidTr="00637C6D">
        <w:tc>
          <w:tcPr>
            <w:tcW w:w="5000" w:type="pct"/>
            <w:gridSpan w:val="7"/>
            <w:shd w:val="clear" w:color="auto" w:fill="auto"/>
            <w:vAlign w:val="center"/>
          </w:tcPr>
          <w:p w14:paraId="5E29AFC7" w14:textId="77777777" w:rsidR="00AC1075" w:rsidRPr="00FC22AB" w:rsidRDefault="00AC1075" w:rsidP="00637C6D">
            <w:pPr>
              <w:pStyle w:val="In-tableHeading"/>
            </w:pPr>
            <w:r w:rsidRPr="00FC22AB">
              <w:t>Net financial implications</w:t>
            </w:r>
            <w:r w:rsidRPr="00FC22AB">
              <w:rPr>
                <w:color w:val="4BACC6" w:themeColor="accent5"/>
              </w:rPr>
              <w:t xml:space="preserve"> </w:t>
            </w:r>
          </w:p>
        </w:tc>
      </w:tr>
      <w:tr w:rsidR="00AC1075" w:rsidRPr="000B6052" w14:paraId="14C5BA2C" w14:textId="77777777" w:rsidTr="000B6052">
        <w:tc>
          <w:tcPr>
            <w:tcW w:w="784" w:type="pct"/>
            <w:shd w:val="clear" w:color="auto" w:fill="auto"/>
            <w:vAlign w:val="center"/>
          </w:tcPr>
          <w:p w14:paraId="177A70D5" w14:textId="18680319" w:rsidR="00AC1075" w:rsidRPr="000B6052" w:rsidRDefault="00AC1075" w:rsidP="00637C6D">
            <w:pPr>
              <w:pStyle w:val="TableText0"/>
              <w:rPr>
                <w:b/>
                <w:bCs w:val="0"/>
                <w:sz w:val="19"/>
                <w:szCs w:val="19"/>
              </w:rPr>
            </w:pPr>
            <w:r w:rsidRPr="000B6052">
              <w:rPr>
                <w:b/>
                <w:bCs w:val="0"/>
                <w:sz w:val="19"/>
                <w:szCs w:val="19"/>
              </w:rPr>
              <w:t>Net cost to PBS/RPBS</w:t>
            </w:r>
            <w:r w:rsidR="00FC0AEF">
              <w:rPr>
                <w:b/>
                <w:bCs w:val="0"/>
                <w:sz w:val="19"/>
                <w:szCs w:val="19"/>
              </w:rPr>
              <w:t xml:space="preserve"> ($)</w:t>
            </w:r>
          </w:p>
        </w:tc>
        <w:tc>
          <w:tcPr>
            <w:tcW w:w="707" w:type="pct"/>
            <w:shd w:val="clear" w:color="auto" w:fill="auto"/>
            <w:vAlign w:val="center"/>
          </w:tcPr>
          <w:p w14:paraId="4F4764BC" w14:textId="0A41463F" w:rsidR="00AC1075" w:rsidRPr="000B6052" w:rsidRDefault="004E423C" w:rsidP="00637C6D">
            <w:pPr>
              <w:pStyle w:val="TableText0"/>
              <w:jc w:val="center"/>
              <w:rPr>
                <w:b/>
                <w:bCs w:val="0"/>
              </w:rPr>
            </w:pPr>
            <w:r w:rsidRPr="004E423C">
              <w:rPr>
                <w:b/>
                <w:bCs w:val="0"/>
                <w:color w:val="000000"/>
                <w:spacing w:val="178"/>
                <w:shd w:val="solid" w:color="000000" w:fill="000000"/>
                <w:fitText w:val="270" w:id="-1435825649"/>
                <w14:textFill>
                  <w14:solidFill>
                    <w14:srgbClr w14:val="000000">
                      <w14:alpha w14:val="100000"/>
                    </w14:srgbClr>
                  </w14:solidFill>
                </w14:textFill>
              </w:rPr>
              <w:t>|</w:t>
            </w:r>
            <w:r w:rsidRPr="004E423C">
              <w:rPr>
                <w:b/>
                <w:bCs w:val="0"/>
                <w:color w:val="000000"/>
                <w:spacing w:val="1"/>
                <w:shd w:val="solid" w:color="000000" w:fill="000000"/>
                <w:fitText w:val="270" w:id="-1435825649"/>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w:t>
            </w:r>
            <w:r w:rsidR="00265354" w:rsidRPr="00265354">
              <w:rPr>
                <w:szCs w:val="20"/>
                <w:vertAlign w:val="superscript"/>
              </w:rPr>
              <w:t>5</w:t>
            </w:r>
          </w:p>
        </w:tc>
        <w:tc>
          <w:tcPr>
            <w:tcW w:w="707" w:type="pct"/>
            <w:shd w:val="clear" w:color="auto" w:fill="auto"/>
            <w:vAlign w:val="center"/>
          </w:tcPr>
          <w:p w14:paraId="00F061D7" w14:textId="4EE47AB9" w:rsidR="00AC1075" w:rsidRPr="000B6052" w:rsidRDefault="004E423C" w:rsidP="00637C6D">
            <w:pPr>
              <w:pStyle w:val="TableText0"/>
              <w:jc w:val="center"/>
              <w:rPr>
                <w:b/>
                <w:bCs w:val="0"/>
              </w:rPr>
            </w:pPr>
            <w:r w:rsidRPr="004E423C">
              <w:rPr>
                <w:b/>
                <w:bCs w:val="0"/>
                <w:color w:val="000000"/>
                <w:spacing w:val="208"/>
                <w:shd w:val="solid" w:color="000000" w:fill="000000"/>
                <w:fitText w:val="300" w:id="-1435825648"/>
                <w14:textFill>
                  <w14:solidFill>
                    <w14:srgbClr w14:val="000000">
                      <w14:alpha w14:val="100000"/>
                    </w14:srgbClr>
                  </w14:solidFill>
                </w14:textFill>
              </w:rPr>
              <w:t>|</w:t>
            </w:r>
            <w:r w:rsidRPr="004E423C">
              <w:rPr>
                <w:b/>
                <w:bCs w:val="0"/>
                <w:color w:val="000000"/>
                <w:spacing w:val="1"/>
                <w:shd w:val="solid" w:color="000000" w:fill="000000"/>
                <w:fitText w:val="300" w:id="-1435825648"/>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10</w:t>
            </w:r>
          </w:p>
        </w:tc>
        <w:tc>
          <w:tcPr>
            <w:tcW w:w="708" w:type="pct"/>
            <w:shd w:val="clear" w:color="auto" w:fill="auto"/>
            <w:vAlign w:val="center"/>
          </w:tcPr>
          <w:p w14:paraId="20E61D1F" w14:textId="2EAE0E3E" w:rsidR="00AC1075" w:rsidRPr="000B6052" w:rsidRDefault="004E423C" w:rsidP="00637C6D">
            <w:pPr>
              <w:pStyle w:val="TableText0"/>
              <w:jc w:val="center"/>
              <w:rPr>
                <w:b/>
                <w:bCs w:val="0"/>
              </w:rPr>
            </w:pPr>
            <w:r w:rsidRPr="004E423C">
              <w:rPr>
                <w:b/>
                <w:bCs w:val="0"/>
                <w:color w:val="000000"/>
                <w:spacing w:val="208"/>
                <w:shd w:val="solid" w:color="000000" w:fill="000000"/>
                <w:fitText w:val="300" w:id="-1435825664"/>
                <w14:textFill>
                  <w14:solidFill>
                    <w14:srgbClr w14:val="000000">
                      <w14:alpha w14:val="100000"/>
                    </w14:srgbClr>
                  </w14:solidFill>
                </w14:textFill>
              </w:rPr>
              <w:t>|</w:t>
            </w:r>
            <w:r w:rsidRPr="004E423C">
              <w:rPr>
                <w:b/>
                <w:bCs w:val="0"/>
                <w:color w:val="000000"/>
                <w:spacing w:val="1"/>
                <w:shd w:val="solid" w:color="000000" w:fill="000000"/>
                <w:fitText w:val="300" w:id="-1435825664"/>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11</w:t>
            </w:r>
          </w:p>
        </w:tc>
        <w:tc>
          <w:tcPr>
            <w:tcW w:w="708" w:type="pct"/>
            <w:shd w:val="clear" w:color="auto" w:fill="auto"/>
            <w:vAlign w:val="center"/>
          </w:tcPr>
          <w:p w14:paraId="36F7E197" w14:textId="0ABA4152" w:rsidR="00AC1075" w:rsidRPr="000B6052" w:rsidRDefault="004E423C" w:rsidP="00637C6D">
            <w:pPr>
              <w:pStyle w:val="TableText0"/>
              <w:jc w:val="center"/>
              <w:rPr>
                <w:b/>
                <w:bCs w:val="0"/>
              </w:rPr>
            </w:pPr>
            <w:r w:rsidRPr="004E423C">
              <w:rPr>
                <w:b/>
                <w:bCs w:val="0"/>
                <w:color w:val="000000"/>
                <w:spacing w:val="208"/>
                <w:shd w:val="solid" w:color="000000" w:fill="000000"/>
                <w:fitText w:val="300" w:id="-1435825663"/>
                <w14:textFill>
                  <w14:solidFill>
                    <w14:srgbClr w14:val="000000">
                      <w14:alpha w14:val="100000"/>
                    </w14:srgbClr>
                  </w14:solidFill>
                </w14:textFill>
              </w:rPr>
              <w:t>|</w:t>
            </w:r>
            <w:r w:rsidRPr="004E423C">
              <w:rPr>
                <w:b/>
                <w:bCs w:val="0"/>
                <w:color w:val="000000"/>
                <w:spacing w:val="1"/>
                <w:shd w:val="solid" w:color="000000" w:fill="000000"/>
                <w:fitText w:val="300" w:id="-1435825663"/>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11</w:t>
            </w:r>
          </w:p>
        </w:tc>
        <w:tc>
          <w:tcPr>
            <w:tcW w:w="707" w:type="pct"/>
            <w:shd w:val="clear" w:color="auto" w:fill="auto"/>
            <w:vAlign w:val="center"/>
          </w:tcPr>
          <w:p w14:paraId="5E962D17" w14:textId="78615840" w:rsidR="00AC1075" w:rsidRPr="000B6052" w:rsidRDefault="004E423C" w:rsidP="00637C6D">
            <w:pPr>
              <w:pStyle w:val="TableText0"/>
              <w:jc w:val="center"/>
              <w:rPr>
                <w:b/>
                <w:bCs w:val="0"/>
              </w:rPr>
            </w:pPr>
            <w:r w:rsidRPr="004E423C">
              <w:rPr>
                <w:b/>
                <w:bCs w:val="0"/>
                <w:color w:val="000000"/>
                <w:spacing w:val="208"/>
                <w:shd w:val="solid" w:color="000000" w:fill="000000"/>
                <w:fitText w:val="300" w:id="-1435825662"/>
                <w14:textFill>
                  <w14:solidFill>
                    <w14:srgbClr w14:val="000000">
                      <w14:alpha w14:val="100000"/>
                    </w14:srgbClr>
                  </w14:solidFill>
                </w14:textFill>
              </w:rPr>
              <w:t>|</w:t>
            </w:r>
            <w:r w:rsidRPr="004E423C">
              <w:rPr>
                <w:b/>
                <w:bCs w:val="0"/>
                <w:color w:val="000000"/>
                <w:spacing w:val="1"/>
                <w:shd w:val="solid" w:color="000000" w:fill="000000"/>
                <w:fitText w:val="300" w:id="-1435825662"/>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11</w:t>
            </w:r>
          </w:p>
        </w:tc>
        <w:tc>
          <w:tcPr>
            <w:tcW w:w="679" w:type="pct"/>
            <w:vAlign w:val="center"/>
          </w:tcPr>
          <w:p w14:paraId="424CBB99" w14:textId="511C744E" w:rsidR="00AC1075" w:rsidRPr="000B6052" w:rsidRDefault="004E423C" w:rsidP="00637C6D">
            <w:pPr>
              <w:pStyle w:val="TableText0"/>
              <w:jc w:val="center"/>
              <w:rPr>
                <w:b/>
                <w:bCs w:val="0"/>
              </w:rPr>
            </w:pPr>
            <w:r w:rsidRPr="004E423C">
              <w:rPr>
                <w:b/>
                <w:bCs w:val="0"/>
                <w:color w:val="000000"/>
                <w:spacing w:val="45"/>
                <w:shd w:val="solid" w:color="000000" w:fill="000000"/>
                <w:fitText w:val="320" w:id="-1435825661"/>
                <w14:textFill>
                  <w14:solidFill>
                    <w14:srgbClr w14:val="000000">
                      <w14:alpha w14:val="100000"/>
                    </w14:srgbClr>
                  </w14:solidFill>
                </w14:textFill>
              </w:rPr>
              <w:t>|||</w:t>
            </w:r>
            <w:r w:rsidRPr="004E423C">
              <w:rPr>
                <w:b/>
                <w:bCs w:val="0"/>
                <w:color w:val="000000"/>
                <w:spacing w:val="2"/>
                <w:shd w:val="solid" w:color="000000" w:fill="000000"/>
                <w:fitText w:val="320" w:id="-1435825661"/>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11</w:t>
            </w:r>
          </w:p>
        </w:tc>
      </w:tr>
      <w:tr w:rsidR="00AC1075" w:rsidRPr="003639A6" w14:paraId="081F37B3" w14:textId="77777777" w:rsidTr="000B6052">
        <w:tc>
          <w:tcPr>
            <w:tcW w:w="784" w:type="pct"/>
            <w:shd w:val="clear" w:color="auto" w:fill="auto"/>
            <w:vAlign w:val="center"/>
          </w:tcPr>
          <w:p w14:paraId="0083D872" w14:textId="20ECA44D" w:rsidR="00AC1075" w:rsidRPr="003639A6" w:rsidRDefault="00AC1075" w:rsidP="00637C6D">
            <w:pPr>
              <w:pStyle w:val="TableText0"/>
              <w:rPr>
                <w:rFonts w:ascii="Times" w:hAnsi="Times"/>
              </w:rPr>
            </w:pPr>
            <w:r>
              <w:rPr>
                <w:sz w:val="19"/>
                <w:szCs w:val="19"/>
              </w:rPr>
              <w:t>Net cost to</w:t>
            </w:r>
            <w:r w:rsidRPr="003639A6">
              <w:rPr>
                <w:sz w:val="19"/>
                <w:szCs w:val="19"/>
              </w:rPr>
              <w:t xml:space="preserve"> MBS</w:t>
            </w:r>
            <w:r w:rsidR="00FC0AEF">
              <w:rPr>
                <w:sz w:val="19"/>
                <w:szCs w:val="19"/>
              </w:rPr>
              <w:t xml:space="preserve"> ($)</w:t>
            </w:r>
          </w:p>
        </w:tc>
        <w:tc>
          <w:tcPr>
            <w:tcW w:w="707" w:type="pct"/>
            <w:shd w:val="clear" w:color="auto" w:fill="auto"/>
          </w:tcPr>
          <w:p w14:paraId="5D133234" w14:textId="0DD1DB1E" w:rsidR="00AC1075" w:rsidRPr="00256B36" w:rsidRDefault="004E423C" w:rsidP="00637C6D">
            <w:pPr>
              <w:pStyle w:val="TableText0"/>
              <w:jc w:val="center"/>
              <w:rPr>
                <w:highlight w:val="lightGray"/>
                <w:vertAlign w:val="superscript"/>
              </w:rPr>
            </w:pPr>
            <w:r w:rsidRPr="004E423C">
              <w:rPr>
                <w:color w:val="000000"/>
                <w:spacing w:val="194"/>
                <w:shd w:val="solid" w:color="000000" w:fill="000000"/>
                <w:fitText w:val="280" w:id="-1435825660"/>
                <w14:textFill>
                  <w14:solidFill>
                    <w14:srgbClr w14:val="000000">
                      <w14:alpha w14:val="100000"/>
                    </w14:srgbClr>
                  </w14:solidFill>
                </w14:textFill>
              </w:rPr>
              <w:t>|</w:t>
            </w:r>
            <w:r w:rsidRPr="004E423C">
              <w:rPr>
                <w:color w:val="000000"/>
                <w:spacing w:val="1"/>
                <w:shd w:val="solid" w:color="000000" w:fill="000000"/>
                <w:fitText w:val="280" w:id="-1435825660"/>
                <w14:textFill>
                  <w14:solidFill>
                    <w14:srgbClr w14:val="000000">
                      <w14:alpha w14:val="100000"/>
                    </w14:srgbClr>
                  </w14:solidFill>
                </w14:textFill>
              </w:rPr>
              <w:t>|</w:t>
            </w:r>
            <w:r w:rsidR="00256B36" w:rsidRPr="00256B36">
              <w:rPr>
                <w:vertAlign w:val="superscript"/>
              </w:rPr>
              <w:t>12</w:t>
            </w:r>
          </w:p>
        </w:tc>
        <w:tc>
          <w:tcPr>
            <w:tcW w:w="707" w:type="pct"/>
            <w:shd w:val="clear" w:color="auto" w:fill="auto"/>
          </w:tcPr>
          <w:p w14:paraId="4479D5D9" w14:textId="487C31CF" w:rsidR="00AC1075" w:rsidRPr="00FC0AEF" w:rsidRDefault="004E423C" w:rsidP="00637C6D">
            <w:pPr>
              <w:pStyle w:val="TableText0"/>
              <w:jc w:val="center"/>
              <w:rPr>
                <w:highlight w:val="lightGray"/>
              </w:rPr>
            </w:pPr>
            <w:r w:rsidRPr="004E423C">
              <w:rPr>
                <w:color w:val="000000"/>
                <w:spacing w:val="194"/>
                <w:shd w:val="solid" w:color="000000" w:fill="000000"/>
                <w:fitText w:val="280" w:id="-1435825659"/>
                <w14:textFill>
                  <w14:solidFill>
                    <w14:srgbClr w14:val="000000">
                      <w14:alpha w14:val="100000"/>
                    </w14:srgbClr>
                  </w14:solidFill>
                </w14:textFill>
              </w:rPr>
              <w:t>|</w:t>
            </w:r>
            <w:r w:rsidRPr="004E423C">
              <w:rPr>
                <w:color w:val="000000"/>
                <w:spacing w:val="1"/>
                <w:shd w:val="solid" w:color="000000" w:fill="000000"/>
                <w:fitText w:val="280" w:id="-1435825659"/>
                <w14:textFill>
                  <w14:solidFill>
                    <w14:srgbClr w14:val="000000">
                      <w14:alpha w14:val="100000"/>
                    </w14:srgbClr>
                  </w14:solidFill>
                </w14:textFill>
              </w:rPr>
              <w:t>|</w:t>
            </w:r>
            <w:r w:rsidR="00256B36" w:rsidRPr="00256B36">
              <w:rPr>
                <w:vertAlign w:val="superscript"/>
              </w:rPr>
              <w:t>12</w:t>
            </w:r>
          </w:p>
        </w:tc>
        <w:tc>
          <w:tcPr>
            <w:tcW w:w="708" w:type="pct"/>
            <w:shd w:val="clear" w:color="auto" w:fill="auto"/>
          </w:tcPr>
          <w:p w14:paraId="110DCCC9" w14:textId="2B2C2028" w:rsidR="00AC1075" w:rsidRPr="00FC0AEF" w:rsidRDefault="004E423C" w:rsidP="00637C6D">
            <w:pPr>
              <w:pStyle w:val="TableText0"/>
              <w:jc w:val="center"/>
              <w:rPr>
                <w:highlight w:val="lightGray"/>
              </w:rPr>
            </w:pPr>
            <w:r w:rsidRPr="004E423C">
              <w:rPr>
                <w:color w:val="000000"/>
                <w:spacing w:val="194"/>
                <w:shd w:val="solid" w:color="000000" w:fill="000000"/>
                <w:fitText w:val="280" w:id="-1435825658"/>
                <w14:textFill>
                  <w14:solidFill>
                    <w14:srgbClr w14:val="000000">
                      <w14:alpha w14:val="100000"/>
                    </w14:srgbClr>
                  </w14:solidFill>
                </w14:textFill>
              </w:rPr>
              <w:t>|</w:t>
            </w:r>
            <w:r w:rsidRPr="004E423C">
              <w:rPr>
                <w:color w:val="000000"/>
                <w:spacing w:val="1"/>
                <w:shd w:val="solid" w:color="000000" w:fill="000000"/>
                <w:fitText w:val="280" w:id="-1435825658"/>
                <w14:textFill>
                  <w14:solidFill>
                    <w14:srgbClr w14:val="000000">
                      <w14:alpha w14:val="100000"/>
                    </w14:srgbClr>
                  </w14:solidFill>
                </w14:textFill>
              </w:rPr>
              <w:t>|</w:t>
            </w:r>
            <w:r w:rsidR="00256B36" w:rsidRPr="00256B36">
              <w:rPr>
                <w:vertAlign w:val="superscript"/>
              </w:rPr>
              <w:t>12</w:t>
            </w:r>
          </w:p>
        </w:tc>
        <w:tc>
          <w:tcPr>
            <w:tcW w:w="708" w:type="pct"/>
            <w:shd w:val="clear" w:color="auto" w:fill="auto"/>
          </w:tcPr>
          <w:p w14:paraId="59760486" w14:textId="32FE042A" w:rsidR="00AC1075" w:rsidRPr="00FC0AEF" w:rsidRDefault="004E423C" w:rsidP="00637C6D">
            <w:pPr>
              <w:pStyle w:val="TableText0"/>
              <w:jc w:val="center"/>
              <w:rPr>
                <w:highlight w:val="lightGray"/>
              </w:rPr>
            </w:pPr>
            <w:r w:rsidRPr="004E423C">
              <w:rPr>
                <w:color w:val="000000"/>
                <w:spacing w:val="194"/>
                <w:shd w:val="solid" w:color="000000" w:fill="000000"/>
                <w:fitText w:val="280" w:id="-1435825657"/>
                <w14:textFill>
                  <w14:solidFill>
                    <w14:srgbClr w14:val="000000">
                      <w14:alpha w14:val="100000"/>
                    </w14:srgbClr>
                  </w14:solidFill>
                </w14:textFill>
              </w:rPr>
              <w:t>|</w:t>
            </w:r>
            <w:r w:rsidRPr="004E423C">
              <w:rPr>
                <w:color w:val="000000"/>
                <w:spacing w:val="1"/>
                <w:shd w:val="solid" w:color="000000" w:fill="000000"/>
                <w:fitText w:val="280" w:id="-1435825657"/>
                <w14:textFill>
                  <w14:solidFill>
                    <w14:srgbClr w14:val="000000">
                      <w14:alpha w14:val="100000"/>
                    </w14:srgbClr>
                  </w14:solidFill>
                </w14:textFill>
              </w:rPr>
              <w:t>|</w:t>
            </w:r>
            <w:r w:rsidR="00256B36" w:rsidRPr="00256B36">
              <w:rPr>
                <w:vertAlign w:val="superscript"/>
              </w:rPr>
              <w:t>12</w:t>
            </w:r>
          </w:p>
        </w:tc>
        <w:tc>
          <w:tcPr>
            <w:tcW w:w="707" w:type="pct"/>
            <w:shd w:val="clear" w:color="auto" w:fill="auto"/>
          </w:tcPr>
          <w:p w14:paraId="1F9869CA" w14:textId="4592A84C" w:rsidR="00AC1075" w:rsidRPr="00FC0AEF" w:rsidRDefault="004E423C" w:rsidP="00637C6D">
            <w:pPr>
              <w:pStyle w:val="TableText0"/>
              <w:jc w:val="center"/>
              <w:rPr>
                <w:highlight w:val="lightGray"/>
              </w:rPr>
            </w:pPr>
            <w:r w:rsidRPr="004E423C">
              <w:rPr>
                <w:color w:val="000000"/>
                <w:spacing w:val="194"/>
                <w:shd w:val="solid" w:color="000000" w:fill="000000"/>
                <w:fitText w:val="280" w:id="-1435825656"/>
                <w14:textFill>
                  <w14:solidFill>
                    <w14:srgbClr w14:val="000000">
                      <w14:alpha w14:val="100000"/>
                    </w14:srgbClr>
                  </w14:solidFill>
                </w14:textFill>
              </w:rPr>
              <w:t>|</w:t>
            </w:r>
            <w:r w:rsidRPr="004E423C">
              <w:rPr>
                <w:color w:val="000000"/>
                <w:spacing w:val="1"/>
                <w:shd w:val="solid" w:color="000000" w:fill="000000"/>
                <w:fitText w:val="280" w:id="-1435825656"/>
                <w14:textFill>
                  <w14:solidFill>
                    <w14:srgbClr w14:val="000000">
                      <w14:alpha w14:val="100000"/>
                    </w14:srgbClr>
                  </w14:solidFill>
                </w14:textFill>
              </w:rPr>
              <w:t>|</w:t>
            </w:r>
            <w:r w:rsidR="00256B36" w:rsidRPr="00256B36">
              <w:rPr>
                <w:vertAlign w:val="superscript"/>
              </w:rPr>
              <w:t>12</w:t>
            </w:r>
          </w:p>
        </w:tc>
        <w:tc>
          <w:tcPr>
            <w:tcW w:w="679" w:type="pct"/>
          </w:tcPr>
          <w:p w14:paraId="351F2D72" w14:textId="0D365112" w:rsidR="00AC1075" w:rsidRPr="00FC0AEF" w:rsidRDefault="004E423C" w:rsidP="00637C6D">
            <w:pPr>
              <w:pStyle w:val="TableText0"/>
              <w:jc w:val="center"/>
              <w:rPr>
                <w:highlight w:val="lightGray"/>
              </w:rPr>
            </w:pPr>
            <w:r w:rsidRPr="004E423C">
              <w:rPr>
                <w:color w:val="000000"/>
                <w:spacing w:val="46"/>
                <w:shd w:val="solid" w:color="000000" w:fill="000000"/>
                <w:fitText w:val="310" w:id="-1435825655"/>
                <w14:textFill>
                  <w14:solidFill>
                    <w14:srgbClr w14:val="000000">
                      <w14:alpha w14:val="100000"/>
                    </w14:srgbClr>
                  </w14:solidFill>
                </w14:textFill>
              </w:rPr>
              <w:t>|||</w:t>
            </w:r>
            <w:r w:rsidRPr="004E423C">
              <w:rPr>
                <w:color w:val="000000"/>
                <w:spacing w:val="2"/>
                <w:shd w:val="solid" w:color="000000" w:fill="000000"/>
                <w:fitText w:val="310" w:id="-1435825655"/>
                <w14:textFill>
                  <w14:solidFill>
                    <w14:srgbClr w14:val="000000">
                      <w14:alpha w14:val="100000"/>
                    </w14:srgbClr>
                  </w14:solidFill>
                </w14:textFill>
              </w:rPr>
              <w:t>|</w:t>
            </w:r>
            <w:r w:rsidR="00256B36" w:rsidRPr="00256B36">
              <w:rPr>
                <w:vertAlign w:val="superscript"/>
              </w:rPr>
              <w:t>12</w:t>
            </w:r>
          </w:p>
        </w:tc>
      </w:tr>
      <w:tr w:rsidR="00AC1075" w:rsidRPr="000B6052" w14:paraId="6414AC0E" w14:textId="77777777" w:rsidTr="000B6052">
        <w:tc>
          <w:tcPr>
            <w:tcW w:w="784" w:type="pct"/>
            <w:shd w:val="clear" w:color="auto" w:fill="auto"/>
            <w:vAlign w:val="center"/>
          </w:tcPr>
          <w:p w14:paraId="30A873DE" w14:textId="78841B74" w:rsidR="00AC1075" w:rsidRPr="000B6052" w:rsidRDefault="00AC1075" w:rsidP="00637C6D">
            <w:pPr>
              <w:pStyle w:val="TableText0"/>
              <w:rPr>
                <w:b/>
                <w:bCs w:val="0"/>
                <w:sz w:val="19"/>
                <w:szCs w:val="19"/>
              </w:rPr>
            </w:pPr>
            <w:r w:rsidRPr="000B6052">
              <w:rPr>
                <w:b/>
                <w:bCs w:val="0"/>
                <w:sz w:val="19"/>
                <w:szCs w:val="19"/>
              </w:rPr>
              <w:t>Net cost to PBS/RPBS/MBS</w:t>
            </w:r>
            <w:r w:rsidR="00FC0AEF">
              <w:rPr>
                <w:b/>
                <w:bCs w:val="0"/>
                <w:sz w:val="19"/>
                <w:szCs w:val="19"/>
              </w:rPr>
              <w:t xml:space="preserve"> ($)</w:t>
            </w:r>
          </w:p>
        </w:tc>
        <w:tc>
          <w:tcPr>
            <w:tcW w:w="707" w:type="pct"/>
            <w:shd w:val="clear" w:color="auto" w:fill="auto"/>
            <w:vAlign w:val="center"/>
          </w:tcPr>
          <w:p w14:paraId="4971DB12" w14:textId="124A6B64" w:rsidR="00AC1075" w:rsidRPr="000B6052" w:rsidRDefault="004E423C" w:rsidP="00637C6D">
            <w:pPr>
              <w:pStyle w:val="TableText0"/>
              <w:jc w:val="center"/>
              <w:rPr>
                <w:b/>
                <w:bCs w:val="0"/>
              </w:rPr>
            </w:pPr>
            <w:r w:rsidRPr="004E423C">
              <w:rPr>
                <w:b/>
                <w:bCs w:val="0"/>
                <w:color w:val="000000"/>
                <w:spacing w:val="178"/>
                <w:shd w:val="solid" w:color="000000" w:fill="000000"/>
                <w:fitText w:val="270" w:id="-1435825654"/>
                <w14:textFill>
                  <w14:solidFill>
                    <w14:srgbClr w14:val="000000">
                      <w14:alpha w14:val="100000"/>
                    </w14:srgbClr>
                  </w14:solidFill>
                </w14:textFill>
              </w:rPr>
              <w:t>|</w:t>
            </w:r>
            <w:r w:rsidRPr="004E423C">
              <w:rPr>
                <w:b/>
                <w:bCs w:val="0"/>
                <w:color w:val="000000"/>
                <w:spacing w:val="1"/>
                <w:shd w:val="solid" w:color="000000" w:fill="000000"/>
                <w:fitText w:val="270" w:id="-1435825654"/>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w:t>
            </w:r>
            <w:r w:rsidR="00265354" w:rsidRPr="00265354">
              <w:rPr>
                <w:szCs w:val="20"/>
                <w:vertAlign w:val="superscript"/>
              </w:rPr>
              <w:t>5</w:t>
            </w:r>
          </w:p>
        </w:tc>
        <w:tc>
          <w:tcPr>
            <w:tcW w:w="707" w:type="pct"/>
            <w:shd w:val="clear" w:color="auto" w:fill="auto"/>
            <w:vAlign w:val="center"/>
          </w:tcPr>
          <w:p w14:paraId="2FEE300F" w14:textId="31572B08" w:rsidR="00AC1075" w:rsidRPr="000B6052" w:rsidRDefault="004E423C" w:rsidP="00637C6D">
            <w:pPr>
              <w:pStyle w:val="TableText0"/>
              <w:jc w:val="center"/>
              <w:rPr>
                <w:b/>
                <w:bCs w:val="0"/>
              </w:rPr>
            </w:pPr>
            <w:r w:rsidRPr="004E423C">
              <w:rPr>
                <w:b/>
                <w:bCs w:val="0"/>
                <w:color w:val="000000"/>
                <w:spacing w:val="208"/>
                <w:shd w:val="solid" w:color="000000" w:fill="000000"/>
                <w:fitText w:val="300" w:id="-1435825653"/>
                <w14:textFill>
                  <w14:solidFill>
                    <w14:srgbClr w14:val="000000">
                      <w14:alpha w14:val="100000"/>
                    </w14:srgbClr>
                  </w14:solidFill>
                </w14:textFill>
              </w:rPr>
              <w:t>|</w:t>
            </w:r>
            <w:r w:rsidRPr="004E423C">
              <w:rPr>
                <w:b/>
                <w:bCs w:val="0"/>
                <w:color w:val="000000"/>
                <w:spacing w:val="1"/>
                <w:shd w:val="solid" w:color="000000" w:fill="000000"/>
                <w:fitText w:val="300" w:id="-1435825653"/>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10</w:t>
            </w:r>
          </w:p>
        </w:tc>
        <w:tc>
          <w:tcPr>
            <w:tcW w:w="708" w:type="pct"/>
            <w:shd w:val="clear" w:color="auto" w:fill="auto"/>
            <w:vAlign w:val="center"/>
          </w:tcPr>
          <w:p w14:paraId="5FB68637" w14:textId="6B381130" w:rsidR="00AC1075" w:rsidRPr="000B6052" w:rsidRDefault="004E423C" w:rsidP="00637C6D">
            <w:pPr>
              <w:pStyle w:val="TableText0"/>
              <w:jc w:val="center"/>
              <w:rPr>
                <w:b/>
                <w:bCs w:val="0"/>
              </w:rPr>
            </w:pPr>
            <w:r w:rsidRPr="004E423C">
              <w:rPr>
                <w:b/>
                <w:bCs w:val="0"/>
                <w:color w:val="000000"/>
                <w:spacing w:val="208"/>
                <w:shd w:val="solid" w:color="000000" w:fill="000000"/>
                <w:fitText w:val="300" w:id="-1435825652"/>
                <w14:textFill>
                  <w14:solidFill>
                    <w14:srgbClr w14:val="000000">
                      <w14:alpha w14:val="100000"/>
                    </w14:srgbClr>
                  </w14:solidFill>
                </w14:textFill>
              </w:rPr>
              <w:t>|</w:t>
            </w:r>
            <w:r w:rsidRPr="004E423C">
              <w:rPr>
                <w:b/>
                <w:bCs w:val="0"/>
                <w:color w:val="000000"/>
                <w:spacing w:val="1"/>
                <w:shd w:val="solid" w:color="000000" w:fill="000000"/>
                <w:fitText w:val="300" w:id="-1435825652"/>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11</w:t>
            </w:r>
          </w:p>
        </w:tc>
        <w:tc>
          <w:tcPr>
            <w:tcW w:w="708" w:type="pct"/>
            <w:shd w:val="clear" w:color="auto" w:fill="auto"/>
            <w:vAlign w:val="center"/>
          </w:tcPr>
          <w:p w14:paraId="7847D2DB" w14:textId="7BECFE3E" w:rsidR="00AC1075" w:rsidRPr="000B6052" w:rsidRDefault="004E423C" w:rsidP="00637C6D">
            <w:pPr>
              <w:pStyle w:val="TableText0"/>
              <w:jc w:val="center"/>
              <w:rPr>
                <w:b/>
                <w:bCs w:val="0"/>
              </w:rPr>
            </w:pPr>
            <w:r w:rsidRPr="004E423C">
              <w:rPr>
                <w:b/>
                <w:bCs w:val="0"/>
                <w:color w:val="000000"/>
                <w:spacing w:val="208"/>
                <w:shd w:val="solid" w:color="000000" w:fill="000000"/>
                <w:fitText w:val="300" w:id="-1435825651"/>
                <w14:textFill>
                  <w14:solidFill>
                    <w14:srgbClr w14:val="000000">
                      <w14:alpha w14:val="100000"/>
                    </w14:srgbClr>
                  </w14:solidFill>
                </w14:textFill>
              </w:rPr>
              <w:t>|</w:t>
            </w:r>
            <w:r w:rsidRPr="004E423C">
              <w:rPr>
                <w:b/>
                <w:bCs w:val="0"/>
                <w:color w:val="000000"/>
                <w:spacing w:val="1"/>
                <w:shd w:val="solid" w:color="000000" w:fill="000000"/>
                <w:fitText w:val="300" w:id="-1435825651"/>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11</w:t>
            </w:r>
          </w:p>
        </w:tc>
        <w:tc>
          <w:tcPr>
            <w:tcW w:w="707" w:type="pct"/>
            <w:shd w:val="clear" w:color="auto" w:fill="auto"/>
            <w:vAlign w:val="center"/>
          </w:tcPr>
          <w:p w14:paraId="76710475" w14:textId="048A8103" w:rsidR="00AC1075" w:rsidRPr="000B6052" w:rsidRDefault="004E423C" w:rsidP="00637C6D">
            <w:pPr>
              <w:pStyle w:val="TableText0"/>
              <w:jc w:val="center"/>
              <w:rPr>
                <w:b/>
                <w:bCs w:val="0"/>
              </w:rPr>
            </w:pPr>
            <w:r w:rsidRPr="004E423C">
              <w:rPr>
                <w:b/>
                <w:bCs w:val="0"/>
                <w:color w:val="000000"/>
                <w:spacing w:val="208"/>
                <w:shd w:val="solid" w:color="000000" w:fill="000000"/>
                <w:fitText w:val="300" w:id="-1435825650"/>
                <w14:textFill>
                  <w14:solidFill>
                    <w14:srgbClr w14:val="000000">
                      <w14:alpha w14:val="100000"/>
                    </w14:srgbClr>
                  </w14:solidFill>
                </w14:textFill>
              </w:rPr>
              <w:t>|</w:t>
            </w:r>
            <w:r w:rsidRPr="004E423C">
              <w:rPr>
                <w:b/>
                <w:bCs w:val="0"/>
                <w:color w:val="000000"/>
                <w:spacing w:val="1"/>
                <w:shd w:val="solid" w:color="000000" w:fill="000000"/>
                <w:fitText w:val="300" w:id="-1435825650"/>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11</w:t>
            </w:r>
          </w:p>
        </w:tc>
        <w:tc>
          <w:tcPr>
            <w:tcW w:w="679" w:type="pct"/>
            <w:vAlign w:val="center"/>
          </w:tcPr>
          <w:p w14:paraId="68C4E1BB" w14:textId="5FAD111D" w:rsidR="00AC1075" w:rsidRPr="000B6052" w:rsidRDefault="004E423C" w:rsidP="00637C6D">
            <w:pPr>
              <w:pStyle w:val="TableText0"/>
              <w:jc w:val="center"/>
              <w:rPr>
                <w:b/>
                <w:bCs w:val="0"/>
              </w:rPr>
            </w:pPr>
            <w:r w:rsidRPr="004E423C">
              <w:rPr>
                <w:b/>
                <w:bCs w:val="0"/>
                <w:color w:val="000000"/>
                <w:spacing w:val="45"/>
                <w:shd w:val="solid" w:color="000000" w:fill="000000"/>
                <w:fitText w:val="320" w:id="-1435825649"/>
                <w14:textFill>
                  <w14:solidFill>
                    <w14:srgbClr w14:val="000000">
                      <w14:alpha w14:val="100000"/>
                    </w14:srgbClr>
                  </w14:solidFill>
                </w14:textFill>
              </w:rPr>
              <w:t>|||</w:t>
            </w:r>
            <w:r w:rsidRPr="004E423C">
              <w:rPr>
                <w:b/>
                <w:bCs w:val="0"/>
                <w:color w:val="000000"/>
                <w:spacing w:val="2"/>
                <w:shd w:val="solid" w:color="000000" w:fill="000000"/>
                <w:fitText w:val="320" w:id="-1435825649"/>
                <w14:textFill>
                  <w14:solidFill>
                    <w14:srgbClr w14:val="000000">
                      <w14:alpha w14:val="100000"/>
                    </w14:srgbClr>
                  </w14:solidFill>
                </w14:textFill>
              </w:rPr>
              <w:t>|</w:t>
            </w:r>
            <w:r w:rsidR="000B6052" w:rsidRPr="000B6052">
              <w:rPr>
                <w:b/>
                <w:bCs w:val="0"/>
                <w:vertAlign w:val="superscript"/>
              </w:rPr>
              <w:t>b</w:t>
            </w:r>
            <w:r w:rsidR="00256B36">
              <w:rPr>
                <w:b/>
                <w:bCs w:val="0"/>
                <w:vertAlign w:val="superscript"/>
              </w:rPr>
              <w:t xml:space="preserve"> 11</w:t>
            </w:r>
          </w:p>
        </w:tc>
      </w:tr>
    </w:tbl>
    <w:p w14:paraId="08198F39" w14:textId="77777777" w:rsidR="00AC1075" w:rsidRDefault="00AC1075" w:rsidP="00AC1075">
      <w:pPr>
        <w:pStyle w:val="TableFigureFooter"/>
      </w:pPr>
      <w:r>
        <w:t>Source: Table 82, p245, Table 84, p247, Table 86, p249 and Table 102, p261 of the submission, Table 103, p261, Table 105, p262, Table 106, p263; ‘Section 4_BIM.xsls’ financial workbook.</w:t>
      </w:r>
    </w:p>
    <w:p w14:paraId="57983407" w14:textId="77777777" w:rsidR="00AC1075" w:rsidRDefault="00AC1075" w:rsidP="00AC1075">
      <w:pPr>
        <w:pStyle w:val="TableFigureFooter"/>
        <w:rPr>
          <w:rStyle w:val="CommentReference"/>
        </w:rPr>
      </w:pPr>
      <w:r>
        <w:t>* The submission assumed Year 1 began in August 2023</w:t>
      </w:r>
    </w:p>
    <w:p w14:paraId="0510E4D6" w14:textId="77777777" w:rsidR="00AC1075" w:rsidRDefault="00AC1075" w:rsidP="00AC1075">
      <w:pPr>
        <w:pStyle w:val="TableFigureFooter"/>
      </w:pPr>
      <w:r w:rsidRPr="003639A6">
        <w:rPr>
          <w:vertAlign w:val="superscript"/>
        </w:rPr>
        <w:t>a</w:t>
      </w:r>
      <w:r>
        <w:t xml:space="preserve"> </w:t>
      </w:r>
      <w:r w:rsidRPr="003639A6">
        <w:t xml:space="preserve">Assuming </w:t>
      </w:r>
      <w:r>
        <w:t>17.55 infusions per treatment course</w:t>
      </w:r>
      <w:r w:rsidRPr="003639A6">
        <w:t xml:space="preserve"> as estimated by the submission.</w:t>
      </w:r>
      <w:r>
        <w:t xml:space="preserve"> I</w:t>
      </w:r>
      <w:r w:rsidRPr="005C1424">
        <w:t xml:space="preserve">nfusions </w:t>
      </w:r>
      <w:r>
        <w:t>were</w:t>
      </w:r>
      <w:r w:rsidRPr="005C1424">
        <w:t xml:space="preserve"> amortised across years</w:t>
      </w:r>
      <w:r>
        <w:t>.</w:t>
      </w:r>
    </w:p>
    <w:p w14:paraId="7427959E" w14:textId="362B952E" w:rsidR="00AC1075" w:rsidRDefault="000B6052" w:rsidP="00AC1075">
      <w:pPr>
        <w:pStyle w:val="TableFigureFooter"/>
      </w:pPr>
      <w:r w:rsidRPr="000B6052">
        <w:rPr>
          <w:vertAlign w:val="superscript"/>
        </w:rPr>
        <w:t>b</w:t>
      </w:r>
      <w:r>
        <w:t xml:space="preserve"> C</w:t>
      </w:r>
      <w:r w:rsidR="00AC1075" w:rsidRPr="00293397">
        <w:t xml:space="preserve">alculated during evaluation using </w:t>
      </w:r>
      <w:bookmarkEnd w:id="96"/>
      <w:r w:rsidR="00AC1075">
        <w:t>DPMA of $</w:t>
      </w:r>
      <w:r w:rsidR="004E423C" w:rsidRPr="004E423C">
        <w:rPr>
          <w:color w:val="000000"/>
          <w:spacing w:val="16"/>
          <w:shd w:val="solid" w:color="000000" w:fill="000000"/>
          <w:fitText w:val="430" w:id="-1435825648"/>
          <w14:textFill>
            <w14:solidFill>
              <w14:srgbClr w14:val="000000">
                <w14:alpha w14:val="100000"/>
              </w14:srgbClr>
            </w14:solidFill>
          </w14:textFill>
        </w:rPr>
        <w:t>|||  ||</w:t>
      </w:r>
      <w:r w:rsidR="004E423C" w:rsidRPr="004E423C">
        <w:rPr>
          <w:color w:val="000000"/>
          <w:spacing w:val="6"/>
          <w:shd w:val="solid" w:color="000000" w:fill="000000"/>
          <w:fitText w:val="430" w:id="-1435825648"/>
          <w14:textFill>
            <w14:solidFill>
              <w14:srgbClr w14:val="000000">
                <w14:alpha w14:val="100000"/>
              </w14:srgbClr>
            </w14:solidFill>
          </w14:textFill>
        </w:rPr>
        <w:t>|</w:t>
      </w:r>
      <w:r w:rsidR="00AC1075">
        <w:t xml:space="preserve"> (inclusive of </w:t>
      </w:r>
      <w:r w:rsidR="004E423C" w:rsidRPr="004E423C">
        <w:rPr>
          <w:color w:val="000000"/>
          <w:spacing w:val="16"/>
          <w:shd w:val="solid" w:color="000000" w:fill="000000"/>
          <w:fitText w:val="430" w:id="-1435825664"/>
          <w14:textFill>
            <w14:solidFill>
              <w14:srgbClr w14:val="000000">
                <w14:alpha w14:val="100000"/>
              </w14:srgbClr>
            </w14:solidFill>
          </w14:textFill>
        </w:rPr>
        <w:t>|||  ||</w:t>
      </w:r>
      <w:r w:rsidR="004E423C" w:rsidRPr="004E423C">
        <w:rPr>
          <w:color w:val="000000"/>
          <w:spacing w:val="6"/>
          <w:shd w:val="solid" w:color="000000" w:fill="000000"/>
          <w:fitText w:val="430" w:id="-1435825664"/>
          <w14:textFill>
            <w14:solidFill>
              <w14:srgbClr w14:val="000000">
                <w14:alpha w14:val="100000"/>
              </w14:srgbClr>
            </w14:solidFill>
          </w14:textFill>
        </w:rPr>
        <w:t>|</w:t>
      </w:r>
      <w:r w:rsidR="00AC1075">
        <w:t>% SPR) for nivolumab.</w:t>
      </w:r>
    </w:p>
    <w:p w14:paraId="240EE924" w14:textId="6B12D348" w:rsidR="00265354" w:rsidRDefault="00265354" w:rsidP="00AC1075">
      <w:pPr>
        <w:pStyle w:val="TableFigureFooter"/>
      </w:pPr>
    </w:p>
    <w:p w14:paraId="5FD92AA2" w14:textId="77777777" w:rsidR="00265354" w:rsidRPr="00987870" w:rsidRDefault="00265354" w:rsidP="00265354">
      <w:pPr>
        <w:pStyle w:val="TableFigureFooter"/>
        <w:keepNext/>
        <w:spacing w:after="0"/>
        <w:contextualSpacing w:val="0"/>
        <w:rPr>
          <w:i/>
        </w:rPr>
      </w:pPr>
      <w:r w:rsidRPr="00987870">
        <w:rPr>
          <w:i/>
        </w:rPr>
        <w:t>The redacted values correspond to the following ranges:</w:t>
      </w:r>
    </w:p>
    <w:p w14:paraId="4C405CC1" w14:textId="7ED89625" w:rsidR="00265354" w:rsidRDefault="00265354" w:rsidP="00AC1075">
      <w:pPr>
        <w:pStyle w:val="TableFigureFooter"/>
      </w:pPr>
      <w:r>
        <w:rPr>
          <w:vertAlign w:val="superscript"/>
        </w:rPr>
        <w:t>1</w:t>
      </w:r>
      <w:r>
        <w:t>&lt; 500</w:t>
      </w:r>
    </w:p>
    <w:p w14:paraId="560501C6" w14:textId="1233002E" w:rsidR="00265354" w:rsidRDefault="00265354" w:rsidP="00AC1075">
      <w:pPr>
        <w:pStyle w:val="TableFigureFooter"/>
      </w:pPr>
      <w:r>
        <w:rPr>
          <w:vertAlign w:val="superscript"/>
        </w:rPr>
        <w:t>2</w:t>
      </w:r>
      <w:r>
        <w:t>500 to &lt; 5,000</w:t>
      </w:r>
    </w:p>
    <w:p w14:paraId="499AB196" w14:textId="70364FD4" w:rsidR="00265354" w:rsidRDefault="00265354" w:rsidP="00AC1075">
      <w:pPr>
        <w:pStyle w:val="TableFigureFooter"/>
      </w:pPr>
      <w:r>
        <w:rPr>
          <w:vertAlign w:val="superscript"/>
        </w:rPr>
        <w:t>3</w:t>
      </w:r>
      <w:r>
        <w:t>5,000 to &lt; 15,000</w:t>
      </w:r>
    </w:p>
    <w:p w14:paraId="225CCA70" w14:textId="2C1E6F3A" w:rsidR="00265354" w:rsidRDefault="00265354" w:rsidP="00AC1075">
      <w:pPr>
        <w:pStyle w:val="TableFigureFooter"/>
      </w:pPr>
      <w:r>
        <w:rPr>
          <w:vertAlign w:val="superscript"/>
        </w:rPr>
        <w:t>4</w:t>
      </w:r>
      <w:r>
        <w:t>15,000 to &lt; 25,000</w:t>
      </w:r>
    </w:p>
    <w:p w14:paraId="269DC842" w14:textId="654AD0D7" w:rsidR="00265354" w:rsidRDefault="00265354" w:rsidP="00AC1075">
      <w:pPr>
        <w:pStyle w:val="TableFigureFooter"/>
      </w:pPr>
      <w:r>
        <w:rPr>
          <w:vertAlign w:val="superscript"/>
        </w:rPr>
        <w:t>5</w:t>
      </w:r>
      <w:r w:rsidRPr="00265354">
        <w:t>$0 to &lt; $10 million</w:t>
      </w:r>
    </w:p>
    <w:p w14:paraId="023AAF49" w14:textId="669831D3" w:rsidR="00265354" w:rsidRDefault="00265354" w:rsidP="00AC1075">
      <w:pPr>
        <w:pStyle w:val="TableFigureFooter"/>
      </w:pPr>
      <w:r>
        <w:rPr>
          <w:vertAlign w:val="superscript"/>
        </w:rPr>
        <w:t>6</w:t>
      </w:r>
      <w:r>
        <w:t>$60 million to &lt; $70 million</w:t>
      </w:r>
    </w:p>
    <w:p w14:paraId="77BC578C" w14:textId="05228429" w:rsidR="00265354" w:rsidRDefault="00265354" w:rsidP="00AC1075">
      <w:pPr>
        <w:pStyle w:val="TableFigureFooter"/>
      </w:pPr>
      <w:r>
        <w:rPr>
          <w:vertAlign w:val="superscript"/>
        </w:rPr>
        <w:t>7</w:t>
      </w:r>
      <w:r>
        <w:t>$100 million to &lt; $200 million</w:t>
      </w:r>
    </w:p>
    <w:p w14:paraId="1834D630" w14:textId="4BAF5E9E" w:rsidR="00256B36" w:rsidRDefault="00256B36" w:rsidP="00AC1075">
      <w:pPr>
        <w:pStyle w:val="TableFigureFooter"/>
      </w:pPr>
      <w:r>
        <w:rPr>
          <w:vertAlign w:val="superscript"/>
        </w:rPr>
        <w:t>8</w:t>
      </w:r>
      <w:r>
        <w:t>$40 million to &lt; $50 million</w:t>
      </w:r>
    </w:p>
    <w:p w14:paraId="21CDB9D4" w14:textId="03F68C5E" w:rsidR="00256B36" w:rsidRDefault="00256B36" w:rsidP="00AC1075">
      <w:pPr>
        <w:pStyle w:val="TableFigureFooter"/>
      </w:pPr>
      <w:r>
        <w:rPr>
          <w:vertAlign w:val="superscript"/>
        </w:rPr>
        <w:t>9</w:t>
      </w:r>
      <w:r>
        <w:t>$90 million to &lt; 100 million</w:t>
      </w:r>
    </w:p>
    <w:p w14:paraId="2473B729" w14:textId="2F624BFB" w:rsidR="00256B36" w:rsidRDefault="00256B36" w:rsidP="00AC1075">
      <w:pPr>
        <w:pStyle w:val="TableFigureFooter"/>
      </w:pPr>
      <w:r>
        <w:rPr>
          <w:vertAlign w:val="superscript"/>
        </w:rPr>
        <w:t>10</w:t>
      </w:r>
      <w:r>
        <w:t>$20 million to &lt; 30 million</w:t>
      </w:r>
    </w:p>
    <w:p w14:paraId="6909A1A4" w14:textId="7E94C66E" w:rsidR="00256B36" w:rsidRDefault="00256B36" w:rsidP="00AC1075">
      <w:pPr>
        <w:pStyle w:val="TableFigureFooter"/>
      </w:pPr>
      <w:r>
        <w:rPr>
          <w:vertAlign w:val="superscript"/>
        </w:rPr>
        <w:t>11</w:t>
      </w:r>
      <w:r>
        <w:t>$50 million to &lt; 60 million</w:t>
      </w:r>
    </w:p>
    <w:p w14:paraId="2C8D58DB" w14:textId="4ED3174D" w:rsidR="00256B36" w:rsidRPr="00256B36" w:rsidRDefault="00256B36" w:rsidP="00AC1075">
      <w:pPr>
        <w:pStyle w:val="TableFigureFooter"/>
      </w:pPr>
      <w:r>
        <w:rPr>
          <w:vertAlign w:val="superscript"/>
        </w:rPr>
        <w:t>12</w:t>
      </w:r>
      <w:r>
        <w:t>net cost saving</w:t>
      </w:r>
    </w:p>
    <w:p w14:paraId="2DA3D13A" w14:textId="77777777" w:rsidR="00AC1075" w:rsidRPr="00AC1075" w:rsidRDefault="00AC1075" w:rsidP="002D0446">
      <w:pPr>
        <w:pStyle w:val="ListParagraph"/>
        <w:numPr>
          <w:ilvl w:val="1"/>
          <w:numId w:val="44"/>
        </w:numPr>
      </w:pPr>
      <w:r w:rsidRPr="00AC1075">
        <w:t>The submission estimated there would be a decrease in expenditure to the MBS due to the decreased number of administrations.</w:t>
      </w:r>
    </w:p>
    <w:p w14:paraId="009E573F" w14:textId="65AF3B37" w:rsidR="00AC1075" w:rsidRPr="00AC1075" w:rsidRDefault="00AC1075" w:rsidP="002D0446">
      <w:pPr>
        <w:pStyle w:val="3-BodyText"/>
        <w:numPr>
          <w:ilvl w:val="1"/>
          <w:numId w:val="44"/>
        </w:numPr>
        <w:snapToGrid w:val="0"/>
      </w:pPr>
      <w:r w:rsidRPr="00AC1075">
        <w:t xml:space="preserve">The overall net cost to the Government of listing RELA+NIVO was estimated to be </w:t>
      </w:r>
      <w:r w:rsidR="002A3627" w:rsidRPr="002A3627">
        <w:t>$50 million to &lt; $60 million</w:t>
      </w:r>
      <w:r w:rsidRPr="00AC1075">
        <w:t xml:space="preserve"> in Year 6, and a total of</w:t>
      </w:r>
      <w:r w:rsidR="002A3627">
        <w:t xml:space="preserve"> </w:t>
      </w:r>
      <w:r w:rsidR="002A3627" w:rsidRPr="002A3627">
        <w:t>$200 million to &lt; $300 million</w:t>
      </w:r>
      <w:r w:rsidRPr="00AC1075">
        <w:t xml:space="preserve"> over the first 6 years of listing</w:t>
      </w:r>
      <w:r w:rsidRPr="00AC1075">
        <w:rPr>
          <w:color w:val="3366FF"/>
        </w:rPr>
        <w:t xml:space="preserve">. </w:t>
      </w:r>
    </w:p>
    <w:p w14:paraId="6B59B5FE" w14:textId="51686620" w:rsidR="008F3CB7" w:rsidRPr="00442648" w:rsidRDefault="00AC1075" w:rsidP="00442648">
      <w:pPr>
        <w:pStyle w:val="3-BodyText"/>
        <w:numPr>
          <w:ilvl w:val="1"/>
          <w:numId w:val="40"/>
        </w:numPr>
        <w:snapToGrid w:val="0"/>
        <w:ind w:left="1077" w:hanging="357"/>
      </w:pPr>
      <w:r w:rsidRPr="00AC1075">
        <w:t xml:space="preserve">The </w:t>
      </w:r>
      <w:r w:rsidR="00442648">
        <w:t xml:space="preserve">DUSC considered that the </w:t>
      </w:r>
      <w:r w:rsidRPr="00AC1075">
        <w:t>main sources of uncertainty relating to the estimated financial implications of RELA+NIVO in the unresectable Stage III or IV melanoma setting were:</w:t>
      </w:r>
      <w:r w:rsidR="00A33961">
        <w:rPr>
          <w:lang w:val="en-US"/>
        </w:rPr>
        <w:t>that the</w:t>
      </w:r>
      <w:r w:rsidR="008F3CB7" w:rsidRPr="00442648">
        <w:rPr>
          <w:lang w:val="en-US"/>
        </w:rPr>
        <w:t xml:space="preserve"> submission underestimated the growth rate in melanoma cases (&lt; 1%) compared to Australian Institute of Health and Welfare’s projections (2.9%</w:t>
      </w:r>
      <w:r w:rsidR="00442648">
        <w:rPr>
          <w:lang w:val="en-US"/>
        </w:rPr>
        <w:t xml:space="preserve"> to </w:t>
      </w:r>
      <w:r w:rsidR="008F3CB7" w:rsidRPr="00442648">
        <w:rPr>
          <w:lang w:val="en-US"/>
        </w:rPr>
        <w:t>3.7%)</w:t>
      </w:r>
      <w:r w:rsidR="00A33961">
        <w:rPr>
          <w:lang w:val="en-US"/>
        </w:rPr>
        <w:t>;</w:t>
      </w:r>
    </w:p>
    <w:p w14:paraId="324B86FC" w14:textId="406C59E4" w:rsidR="008F3CB7" w:rsidRPr="00442648" w:rsidRDefault="00A33961" w:rsidP="00442648">
      <w:pPr>
        <w:pStyle w:val="3-BodyText"/>
        <w:numPr>
          <w:ilvl w:val="1"/>
          <w:numId w:val="40"/>
        </w:numPr>
        <w:snapToGrid w:val="0"/>
        <w:ind w:left="1077" w:hanging="357"/>
      </w:pPr>
      <w:r>
        <w:rPr>
          <w:lang w:val="en-US"/>
        </w:rPr>
        <w:lastRenderedPageBreak/>
        <w:t>that t</w:t>
      </w:r>
      <w:r w:rsidR="008F3CB7" w:rsidRPr="00442648">
        <w:rPr>
          <w:lang w:val="en-US"/>
        </w:rPr>
        <w:t>he substitution rates of PD-1 monotherapy (nivolumab and pembrolizumab) and NIVO+IPI were uncertain as they were based on expert opinion, and then adjusted downwards by 15%</w:t>
      </w:r>
      <w:r w:rsidR="0058735A">
        <w:rPr>
          <w:lang w:val="en-US"/>
        </w:rPr>
        <w:t xml:space="preserve"> (the submission stated that the substitution rates represented a more aggressive uptake of new treatments and would not reflect actual clinical practice)</w:t>
      </w:r>
      <w:r w:rsidR="008F3CB7" w:rsidRPr="00442648">
        <w:rPr>
          <w:lang w:val="en-US"/>
        </w:rPr>
        <w:t>. DUSC considered that the substitution rates were difficult to estimate and agreed with the submission that the expert opinion estimates of 80% substitution of PD-1 monotherapy and 33% substitution of NIVO+IPI treatment seemed to be an overestimate. This was particularly true for certain subgroups of patients with poor clinical prognostic risk factors who would still likely be treated with IPI+NIVO (e.g. high LDH, BRAF+, patients brain metastases, etc.)</w:t>
      </w:r>
    </w:p>
    <w:p w14:paraId="2FF476EE" w14:textId="4E7DE3D2" w:rsidR="008F3CB7" w:rsidRPr="00442648" w:rsidRDefault="00A33961" w:rsidP="00442648">
      <w:pPr>
        <w:pStyle w:val="Bulletpoints"/>
        <w:numPr>
          <w:ilvl w:val="0"/>
          <w:numId w:val="40"/>
        </w:numPr>
        <w:ind w:left="1077" w:hanging="357"/>
        <w:contextualSpacing w:val="0"/>
      </w:pPr>
      <w:r>
        <w:t>r</w:t>
      </w:r>
      <w:r w:rsidR="008F3CB7" w:rsidRPr="00442648">
        <w:t xml:space="preserve">egarding the submissions forecast of the number of first-line metastatic therapy patients initiating PD-1 (based on PBS items for “Unresectable Stage III or Stage IV malignant melanoma”), DUSC agreed that the availability of adjuvant PD-1 treatments (i.e. for </w:t>
      </w:r>
      <w:r w:rsidR="00442648">
        <w:t>r</w:t>
      </w:r>
      <w:r w:rsidR="008F3CB7" w:rsidRPr="00442648">
        <w:t xml:space="preserve">esected </w:t>
      </w:r>
      <w:r w:rsidR="00442648">
        <w:t>s</w:t>
      </w:r>
      <w:r w:rsidR="008F3CB7" w:rsidRPr="00442648">
        <w:t>tage malignant melanoma) on the PBS from March 2020 meant that after this, patients were likely to have been treated earlier in their disease and may not have developed metastatic disease. Thus, it was appropriate to use the number of initiating first-line metastatic patients from March 2020 as the basis for the forecast. However, DUSC considered that some of these patients would relapse (i.e. those who have late relapses, greater than 6 months after adjuvant PD-1 inhibitor treatment) and be eligible for RELA+NIVO and that these patients had not been accounted for in the estimates</w:t>
      </w:r>
      <w:r>
        <w:t>; and</w:t>
      </w:r>
    </w:p>
    <w:p w14:paraId="2C319EE2" w14:textId="1A340C4B" w:rsidR="008F3CB7" w:rsidRPr="00442648" w:rsidRDefault="00A33961" w:rsidP="00442648">
      <w:pPr>
        <w:pStyle w:val="Bulletpoints"/>
        <w:numPr>
          <w:ilvl w:val="0"/>
          <w:numId w:val="40"/>
        </w:numPr>
        <w:ind w:left="1077" w:hanging="357"/>
        <w:contextualSpacing w:val="0"/>
      </w:pPr>
      <w:r>
        <w:t>that t</w:t>
      </w:r>
      <w:r w:rsidR="008F3CB7" w:rsidRPr="00442648">
        <w:t>he methods for estimating duration of treatment with RELA+NIVO and the substituted therapies, PD-1 monotherapy and NIVO+IPI, were complex and the estimates could not be verified by DUSC. The durations of treatment for RELA+NIVO and PD-1 monotherapy were based on the economic model plus some adjustments based on the 10% PBS sample analysis. The duration of treatment for NIVO+IPI w</w:t>
      </w:r>
      <w:r w:rsidR="00442648" w:rsidRPr="00442648">
        <w:t>as</w:t>
      </w:r>
      <w:r w:rsidR="008F3CB7" w:rsidRPr="00442648">
        <w:t xml:space="preserve"> based on the 10% PBS sample analysis with some adjustments based on the economic model. Overall DUSC considered that the </w:t>
      </w:r>
      <w:r w:rsidR="00442648" w:rsidRPr="00442648">
        <w:t xml:space="preserve">duration of </w:t>
      </w:r>
      <w:r w:rsidR="008F3CB7" w:rsidRPr="00442648">
        <w:t xml:space="preserve">RELA+NIVO </w:t>
      </w:r>
      <w:r w:rsidR="00442648" w:rsidRPr="00442648">
        <w:t>treatment</w:t>
      </w:r>
      <w:r w:rsidR="008F3CB7" w:rsidRPr="00442648">
        <w:t xml:space="preserve"> was possibly underestimated </w:t>
      </w:r>
      <w:r w:rsidR="00442648" w:rsidRPr="00442648">
        <w:t>as</w:t>
      </w:r>
      <w:r w:rsidR="008F3CB7" w:rsidRPr="00442648">
        <w:t xml:space="preserve"> the extrapolated average time to treatment discontinuation at 6 years was used as compared to 20 years in </w:t>
      </w:r>
      <w:r w:rsidR="00442648" w:rsidRPr="00442648">
        <w:t>the economic model</w:t>
      </w:r>
      <w:r w:rsidR="008F3CB7" w:rsidRPr="00442648">
        <w:t xml:space="preserve">. The </w:t>
      </w:r>
      <w:r w:rsidR="00442648" w:rsidRPr="00442648">
        <w:t xml:space="preserve">duration of </w:t>
      </w:r>
      <w:r w:rsidR="008F3CB7" w:rsidRPr="00442648">
        <w:t xml:space="preserve">nivolumab maintenance phase </w:t>
      </w:r>
      <w:r w:rsidR="00442648" w:rsidRPr="00442648">
        <w:t xml:space="preserve">as part </w:t>
      </w:r>
      <w:r w:rsidR="008F3CB7" w:rsidRPr="00442648">
        <w:t>of NIVO+IPI treatment was likely overestimated as the submission estimated it to be 20.01 months</w:t>
      </w:r>
      <w:r w:rsidR="00442648" w:rsidRPr="00442648">
        <w:t>, whereas</w:t>
      </w:r>
      <w:r w:rsidR="008F3CB7" w:rsidRPr="00442648">
        <w:t xml:space="preserve"> the CA209067 trial calculated it as 8.07 months over 3 years of follow-up. Th</w:t>
      </w:r>
      <w:r w:rsidR="00442648" w:rsidRPr="00442648">
        <w:t>e</w:t>
      </w:r>
      <w:r w:rsidR="008F3CB7" w:rsidRPr="00442648">
        <w:t xml:space="preserve"> overestimat</w:t>
      </w:r>
      <w:r w:rsidR="00442648" w:rsidRPr="00442648">
        <w:t xml:space="preserve">ion of the duration of treatment </w:t>
      </w:r>
      <w:r w:rsidR="008F3CB7" w:rsidRPr="00442648">
        <w:t>for a substituted therapy w</w:t>
      </w:r>
      <w:r w:rsidR="00442648" w:rsidRPr="00442648">
        <w:t xml:space="preserve">ould have resulted in </w:t>
      </w:r>
      <w:r w:rsidR="008F3CB7" w:rsidRPr="00442648">
        <w:t xml:space="preserve">an underestimate of </w:t>
      </w:r>
      <w:r w:rsidR="00442648" w:rsidRPr="00442648">
        <w:t xml:space="preserve">the </w:t>
      </w:r>
      <w:r w:rsidR="008F3CB7" w:rsidRPr="00442648">
        <w:t>net cost to the PBS.</w:t>
      </w:r>
    </w:p>
    <w:p w14:paraId="67126C27" w14:textId="3193DF21" w:rsidR="008D4848" w:rsidRPr="008D4848" w:rsidRDefault="008D4848" w:rsidP="002D0446">
      <w:pPr>
        <w:pStyle w:val="3-BodyText"/>
        <w:numPr>
          <w:ilvl w:val="1"/>
          <w:numId w:val="44"/>
        </w:numPr>
        <w:snapToGrid w:val="0"/>
      </w:pPr>
      <w:r w:rsidRPr="008D4848">
        <w:t>The pre-PBAC response stated</w:t>
      </w:r>
      <w:r w:rsidR="00A33961">
        <w:t xml:space="preserve"> that</w:t>
      </w:r>
      <w:r w:rsidRPr="008D4848">
        <w:t>:</w:t>
      </w:r>
    </w:p>
    <w:p w14:paraId="2A5C6A34" w14:textId="2DB6EDBD" w:rsidR="008D4848" w:rsidRDefault="008D4848" w:rsidP="00442648">
      <w:pPr>
        <w:pStyle w:val="ListBullet"/>
        <w:numPr>
          <w:ilvl w:val="0"/>
          <w:numId w:val="35"/>
        </w:numPr>
        <w:spacing w:after="120"/>
        <w:ind w:left="1077" w:hanging="357"/>
        <w:contextualSpacing w:val="0"/>
        <w:rPr>
          <w:rFonts w:asciiTheme="minorHAnsi" w:hAnsiTheme="minorHAnsi"/>
          <w:snapToGrid w:val="0"/>
        </w:rPr>
      </w:pPr>
      <w:r w:rsidRPr="008D4848">
        <w:rPr>
          <w:rFonts w:asciiTheme="minorHAnsi" w:hAnsiTheme="minorHAnsi"/>
          <w:snapToGrid w:val="0"/>
        </w:rPr>
        <w:t>the utilisation estimates reflect a reasonable estimate of long-term, real-world use of the intervention and comparator medicines</w:t>
      </w:r>
      <w:r w:rsidR="00A33961">
        <w:rPr>
          <w:rFonts w:asciiTheme="minorHAnsi" w:hAnsiTheme="minorHAnsi"/>
          <w:snapToGrid w:val="0"/>
        </w:rPr>
        <w:t>; and</w:t>
      </w:r>
    </w:p>
    <w:p w14:paraId="7045C5FF" w14:textId="4F195A4E" w:rsidR="008D4848" w:rsidRPr="008D4848" w:rsidRDefault="00A33961" w:rsidP="0053543A">
      <w:pPr>
        <w:pStyle w:val="ListParagraph"/>
        <w:numPr>
          <w:ilvl w:val="0"/>
          <w:numId w:val="35"/>
        </w:numPr>
        <w:ind w:left="1077" w:hanging="357"/>
        <w:contextualSpacing/>
      </w:pPr>
      <w:r>
        <w:lastRenderedPageBreak/>
        <w:t>d</w:t>
      </w:r>
      <w:r w:rsidR="00442648">
        <w:t xml:space="preserve">uration of treatment </w:t>
      </w:r>
      <w:r w:rsidR="008D4848" w:rsidRPr="008D4848">
        <w:t xml:space="preserve">was estimated utilising time-to-treatment-discontinuation Kaplan Meier curves from the economic model and the clinical trial evidence. </w:t>
      </w:r>
      <w:r w:rsidR="00442648">
        <w:t xml:space="preserve">In addition, duration of treatment </w:t>
      </w:r>
      <w:r w:rsidR="008D4848" w:rsidRPr="008D4848">
        <w:t xml:space="preserve">estimates for all therapies were based on the number of months of treatment for </w:t>
      </w:r>
      <w:r w:rsidR="00442648">
        <w:t>nivolumab</w:t>
      </w:r>
      <w:r w:rsidR="008D4848" w:rsidRPr="008D4848">
        <w:t xml:space="preserve"> monotherapy derived from the </w:t>
      </w:r>
      <w:r w:rsidR="00442648">
        <w:t xml:space="preserve">time-to-treatment discontinuation </w:t>
      </w:r>
      <w:r w:rsidR="008D4848" w:rsidRPr="008D4848">
        <w:t>curve and adjusted</w:t>
      </w:r>
      <w:r w:rsidR="00442648">
        <w:t xml:space="preserve"> </w:t>
      </w:r>
      <w:r>
        <w:t xml:space="preserve">(i) </w:t>
      </w:r>
      <w:r w:rsidR="00442648">
        <w:t>for a proportion of patients receiving treatment with BRAF inhibitors in the second line</w:t>
      </w:r>
      <w:r>
        <w:t xml:space="preserve"> setting; </w:t>
      </w:r>
      <w:r w:rsidR="00442648">
        <w:t xml:space="preserve">and </w:t>
      </w:r>
      <w:r>
        <w:t xml:space="preserve">(ii) </w:t>
      </w:r>
      <w:r w:rsidR="00442648">
        <w:t>to maint</w:t>
      </w:r>
      <w:r>
        <w:t>ain</w:t>
      </w:r>
      <w:r w:rsidR="00442648">
        <w:t xml:space="preserve"> the relative relationship of treatment duration between RELA+NIVO and </w:t>
      </w:r>
      <w:r>
        <w:t>PD-1 monotherapy as per the CA224047 trial and between NIVO+IPI and PD-1 mon0therapy as per PBS utilisation data</w:t>
      </w:r>
      <w:r w:rsidR="008D4848" w:rsidRPr="008D4848">
        <w:t xml:space="preserve">. Further, </w:t>
      </w:r>
      <w:r>
        <w:t xml:space="preserve">the pre-PBAC response stated that (i) </w:t>
      </w:r>
      <w:r w:rsidR="008D4848" w:rsidRPr="008D4848">
        <w:t xml:space="preserve">updated </w:t>
      </w:r>
      <w:r>
        <w:t>duration of treatment</w:t>
      </w:r>
      <w:r w:rsidR="008D4848" w:rsidRPr="008D4848">
        <w:t xml:space="preserve"> data from CM</w:t>
      </w:r>
      <w:r>
        <w:t>2090</w:t>
      </w:r>
      <w:r w:rsidR="008D4848" w:rsidRPr="008D4848">
        <w:t xml:space="preserve">67 at 7.5 years follow-up for </w:t>
      </w:r>
      <w:r>
        <w:t>nivolumab</w:t>
      </w:r>
      <w:r w:rsidR="008D4848" w:rsidRPr="008D4848">
        <w:t xml:space="preserve"> monotherapy support</w:t>
      </w:r>
      <w:r>
        <w:t>ed</w:t>
      </w:r>
      <w:r w:rsidR="008D4848" w:rsidRPr="008D4848">
        <w:t xml:space="preserve"> the validity of the </w:t>
      </w:r>
      <w:r>
        <w:t>treatment duration</w:t>
      </w:r>
      <w:r w:rsidR="008D4848" w:rsidRPr="008D4848">
        <w:t xml:space="preserve"> proposed in the submission as both </w:t>
      </w:r>
      <w:r>
        <w:t>we</w:t>
      </w:r>
      <w:r w:rsidR="008D4848" w:rsidRPr="008D4848">
        <w:t>re equivalent at 17.4 months</w:t>
      </w:r>
      <w:r>
        <w:t xml:space="preserve"> and (ii) </w:t>
      </w:r>
      <w:r w:rsidR="008D4848" w:rsidRPr="007D4B36">
        <w:t>CA209067</w:t>
      </w:r>
      <w:r w:rsidR="008D4848">
        <w:t xml:space="preserve"> </w:t>
      </w:r>
      <w:r w:rsidR="008D4848" w:rsidRPr="008D4848">
        <w:t xml:space="preserve">likely underestimated </w:t>
      </w:r>
      <w:r>
        <w:t>the duration of treatment</w:t>
      </w:r>
      <w:r w:rsidR="008D4848" w:rsidRPr="008D4848">
        <w:t xml:space="preserve"> for NIVO+IPI due to high discontinuation rates at the time of the trial</w:t>
      </w:r>
      <w:r>
        <w:t>; h</w:t>
      </w:r>
      <w:r w:rsidR="008D4848" w:rsidRPr="008D4848">
        <w:t xml:space="preserve">owever, as management of adverse events associated with ipilimumab has improved, it </w:t>
      </w:r>
      <w:r>
        <w:t>would be</w:t>
      </w:r>
      <w:r w:rsidR="008D4848" w:rsidRPr="008D4848">
        <w:t xml:space="preserve"> reasonable to anticipate longer duration of treatment with NIVO+IPI in the current setting.</w:t>
      </w:r>
    </w:p>
    <w:p w14:paraId="5374E01E" w14:textId="77777777" w:rsidR="00D24261" w:rsidRPr="00780A43" w:rsidRDefault="00D24261" w:rsidP="0074263A">
      <w:pPr>
        <w:pStyle w:val="4-SubsectionHeading"/>
        <w:rPr>
          <w:i/>
          <w:iCs/>
          <w:sz w:val="28"/>
          <w:szCs w:val="28"/>
        </w:rPr>
      </w:pPr>
      <w:bookmarkStart w:id="97" w:name="_Toc22897648"/>
      <w:bookmarkStart w:id="98" w:name="_Toc100844541"/>
      <w:bookmarkStart w:id="99" w:name="_Toc103768662"/>
      <w:r w:rsidRPr="00780A43">
        <w:rPr>
          <w:i/>
          <w:iCs/>
          <w:sz w:val="28"/>
          <w:szCs w:val="28"/>
        </w:rPr>
        <w:t>Quality Use of Medicines</w:t>
      </w:r>
      <w:bookmarkEnd w:id="97"/>
      <w:bookmarkEnd w:id="98"/>
      <w:bookmarkEnd w:id="99"/>
    </w:p>
    <w:p w14:paraId="45C6BEA8" w14:textId="77777777" w:rsidR="00D24261" w:rsidRPr="00557A8B" w:rsidRDefault="00D24261" w:rsidP="002D0446">
      <w:pPr>
        <w:pStyle w:val="3-BodyText"/>
        <w:numPr>
          <w:ilvl w:val="1"/>
          <w:numId w:val="45"/>
        </w:numPr>
        <w:ind w:left="709" w:hanging="709"/>
      </w:pPr>
      <w:r>
        <w:t>The submission included an extensive quality use of medicines approach to ensure the appropriate use of RELA+NIVO in the treatment of metastatic melanoma. The submission’s approach included physician education, immune-oncology preceptorship, peer to peer support, nursing and pharmacy in-services, a risk management plan, educational materials and tools, and guidance on monitoring and treating immune related adverse reactions.</w:t>
      </w:r>
    </w:p>
    <w:p w14:paraId="748D121D" w14:textId="77777777" w:rsidR="00D24261" w:rsidRPr="00780A43" w:rsidRDefault="00D24261" w:rsidP="0074263A">
      <w:pPr>
        <w:pStyle w:val="4-SubsectionHeading"/>
        <w:rPr>
          <w:i/>
          <w:iCs/>
          <w:sz w:val="28"/>
          <w:szCs w:val="28"/>
        </w:rPr>
      </w:pPr>
      <w:bookmarkStart w:id="100" w:name="_Toc22897649"/>
      <w:bookmarkStart w:id="101" w:name="_Toc100844542"/>
      <w:bookmarkStart w:id="102" w:name="_Toc103768663"/>
      <w:r w:rsidRPr="00780A43">
        <w:rPr>
          <w:i/>
          <w:iCs/>
          <w:sz w:val="28"/>
          <w:szCs w:val="28"/>
        </w:rPr>
        <w:t>Financial Management – Risk Sharing Arrangements</w:t>
      </w:r>
      <w:bookmarkEnd w:id="100"/>
      <w:bookmarkEnd w:id="101"/>
      <w:bookmarkEnd w:id="102"/>
    </w:p>
    <w:p w14:paraId="41A69BB9" w14:textId="4BE2A8BB" w:rsidR="00A33961" w:rsidRDefault="00473DA2" w:rsidP="002D0446">
      <w:pPr>
        <w:pStyle w:val="3-BodyText"/>
        <w:numPr>
          <w:ilvl w:val="1"/>
          <w:numId w:val="45"/>
        </w:numPr>
        <w:ind w:left="720" w:hanging="720"/>
      </w:pPr>
      <w:r>
        <w:t xml:space="preserve">The sponsor proposed to work with the Department to implement an appropriate Risk Sharing Arrangement to accompany </w:t>
      </w:r>
      <w:r w:rsidR="00E55FF3">
        <w:t xml:space="preserve">the </w:t>
      </w:r>
      <w:r>
        <w:t>PBS listing of RELA+NIVO</w:t>
      </w:r>
      <w:r w:rsidR="00A33961">
        <w:t xml:space="preserve"> including the </w:t>
      </w:r>
      <w:r w:rsidRPr="00E24CC7">
        <w:t xml:space="preserve">possible restructure of the existing melanoma </w:t>
      </w:r>
      <w:r w:rsidR="00F912CE">
        <w:t xml:space="preserve">PBS expenditure </w:t>
      </w:r>
      <w:r w:rsidRPr="00E24CC7">
        <w:t xml:space="preserve">caps to reflect the evolving melanoma market. </w:t>
      </w:r>
    </w:p>
    <w:p w14:paraId="181C3F4B" w14:textId="5FAE88D2" w:rsidR="008E7723" w:rsidRDefault="008E7723" w:rsidP="0053543A">
      <w:pPr>
        <w:pStyle w:val="3-BodyText"/>
        <w:ind w:left="420" w:firstLine="289"/>
        <w:rPr>
          <w:i/>
        </w:rPr>
      </w:pPr>
      <w:r w:rsidRPr="00A33961">
        <w:rPr>
          <w:i/>
        </w:rPr>
        <w:t>For more detail on PBAC’s view, see section 7 PBAC outcome.</w:t>
      </w:r>
    </w:p>
    <w:p w14:paraId="75712FC1" w14:textId="262B3357" w:rsidR="0077732D" w:rsidRDefault="0077732D" w:rsidP="0077732D">
      <w:pPr>
        <w:pStyle w:val="2-SectionHeading"/>
        <w:numPr>
          <w:ilvl w:val="0"/>
          <w:numId w:val="1"/>
        </w:numPr>
      </w:pPr>
      <w:r>
        <w:t>PBAC Outcome</w:t>
      </w:r>
    </w:p>
    <w:p w14:paraId="262A39B3" w14:textId="170D7CE2" w:rsidR="00B9160A" w:rsidRPr="0022312F" w:rsidRDefault="00A23598" w:rsidP="002D0446">
      <w:pPr>
        <w:pStyle w:val="3-BodyText"/>
        <w:numPr>
          <w:ilvl w:val="1"/>
          <w:numId w:val="46"/>
        </w:numPr>
      </w:pPr>
      <w:bookmarkStart w:id="103" w:name="_Hlk76381249"/>
      <w:bookmarkStart w:id="104" w:name="_Hlk76377955"/>
      <w:r w:rsidRPr="00CE42B4">
        <w:rPr>
          <w:lang w:val="en-GB"/>
        </w:rPr>
        <w:t>The PBAC did not recommend</w:t>
      </w:r>
      <w:r w:rsidR="00494A4E">
        <w:rPr>
          <w:lang w:val="en-GB"/>
        </w:rPr>
        <w:t xml:space="preserve"> the listing of </w:t>
      </w:r>
      <w:r w:rsidR="001153A0">
        <w:rPr>
          <w:lang w:val="en-GB"/>
        </w:rPr>
        <w:t>relatlimab with nivolumab</w:t>
      </w:r>
      <w:r w:rsidR="0086523E">
        <w:rPr>
          <w:lang w:val="en-GB"/>
        </w:rPr>
        <w:t xml:space="preserve"> </w:t>
      </w:r>
      <w:r w:rsidR="001153A0">
        <w:rPr>
          <w:lang w:val="en-GB"/>
        </w:rPr>
        <w:t xml:space="preserve">(RELA+NIVO) </w:t>
      </w:r>
      <w:r w:rsidR="00494A4E" w:rsidRPr="006421D0">
        <w:t xml:space="preserve">fixed dose combination product </w:t>
      </w:r>
      <w:r w:rsidR="00494A4E" w:rsidRPr="0074516E">
        <w:t>for the treatment of patients with unresectable Stage III or IV malignant melanoma.</w:t>
      </w:r>
      <w:r w:rsidR="0014401A">
        <w:t xml:space="preserve"> </w:t>
      </w:r>
      <w:r w:rsidR="00F72071">
        <w:rPr>
          <w:snapToGrid/>
          <w:lang w:val="en-US"/>
        </w:rPr>
        <w:t xml:space="preserve">The PBAC </w:t>
      </w:r>
      <w:r w:rsidR="001153A0">
        <w:rPr>
          <w:snapToGrid/>
          <w:lang w:val="en-US"/>
        </w:rPr>
        <w:t xml:space="preserve">considered </w:t>
      </w:r>
      <w:r w:rsidR="00F72071">
        <w:rPr>
          <w:snapToGrid/>
          <w:lang w:val="en-US"/>
        </w:rPr>
        <w:t>that the</w:t>
      </w:r>
      <w:r w:rsidR="0079058C">
        <w:rPr>
          <w:snapToGrid/>
          <w:lang w:val="en-US"/>
        </w:rPr>
        <w:t xml:space="preserve">re </w:t>
      </w:r>
      <w:r w:rsidR="002038B1">
        <w:rPr>
          <w:snapToGrid/>
          <w:lang w:val="en-US"/>
        </w:rPr>
        <w:t>i</w:t>
      </w:r>
      <w:r w:rsidR="004C001F">
        <w:rPr>
          <w:snapToGrid/>
          <w:lang w:val="en-US"/>
        </w:rPr>
        <w:t>s</w:t>
      </w:r>
      <w:r w:rsidR="0079058C">
        <w:rPr>
          <w:snapToGrid/>
          <w:lang w:val="en-US"/>
        </w:rPr>
        <w:t xml:space="preserve"> a </w:t>
      </w:r>
      <w:r w:rsidR="007A2B2F">
        <w:rPr>
          <w:snapToGrid/>
          <w:lang w:val="en-US"/>
        </w:rPr>
        <w:t>low</w:t>
      </w:r>
      <w:r w:rsidR="0079058C">
        <w:rPr>
          <w:snapToGrid/>
          <w:lang w:val="en-US"/>
        </w:rPr>
        <w:t xml:space="preserve"> clinical need </w:t>
      </w:r>
      <w:r w:rsidR="00972B39">
        <w:rPr>
          <w:snapToGrid/>
          <w:lang w:val="en-US"/>
        </w:rPr>
        <w:t xml:space="preserve">for RELA+NIVO as there </w:t>
      </w:r>
      <w:r w:rsidR="002038B1">
        <w:rPr>
          <w:snapToGrid/>
          <w:lang w:val="en-US"/>
        </w:rPr>
        <w:t xml:space="preserve">are </w:t>
      </w:r>
      <w:r w:rsidR="00972B39">
        <w:rPr>
          <w:snapToGrid/>
          <w:lang w:val="en-US"/>
        </w:rPr>
        <w:t>existing effective treatment options available on the PBS (</w:t>
      </w:r>
      <w:r w:rsidR="001D4C33">
        <w:rPr>
          <w:snapToGrid/>
          <w:lang w:val="en-US"/>
        </w:rPr>
        <w:t>programmed cell death protein 1 (P</w:t>
      </w:r>
      <w:r w:rsidR="00972B39">
        <w:rPr>
          <w:snapToGrid/>
          <w:lang w:val="en-US"/>
        </w:rPr>
        <w:t>D-1</w:t>
      </w:r>
      <w:r w:rsidR="001D4C33">
        <w:rPr>
          <w:snapToGrid/>
          <w:lang w:val="en-US"/>
        </w:rPr>
        <w:t>)</w:t>
      </w:r>
      <w:r w:rsidR="00972B39">
        <w:rPr>
          <w:snapToGrid/>
          <w:lang w:val="en-US"/>
        </w:rPr>
        <w:t xml:space="preserve"> monotherap</w:t>
      </w:r>
      <w:r w:rsidR="002038B1">
        <w:rPr>
          <w:snapToGrid/>
          <w:lang w:val="en-US"/>
        </w:rPr>
        <w:t>y</w:t>
      </w:r>
      <w:r w:rsidR="00972B39">
        <w:rPr>
          <w:snapToGrid/>
          <w:lang w:val="en-US"/>
        </w:rPr>
        <w:t xml:space="preserve"> </w:t>
      </w:r>
      <w:r w:rsidR="002038B1">
        <w:rPr>
          <w:snapToGrid/>
          <w:lang w:val="en-US"/>
        </w:rPr>
        <w:t>(</w:t>
      </w:r>
      <w:r w:rsidR="00972B39" w:rsidRPr="0022312F">
        <w:rPr>
          <w:snapToGrid/>
          <w:lang w:val="en-US"/>
        </w:rPr>
        <w:t>nivolumab and pembrolizumab)</w:t>
      </w:r>
      <w:r w:rsidR="002038B1" w:rsidRPr="0022312F">
        <w:rPr>
          <w:snapToGrid/>
          <w:lang w:val="en-US"/>
        </w:rPr>
        <w:t xml:space="preserve"> and combination </w:t>
      </w:r>
      <w:r w:rsidR="004C001F">
        <w:rPr>
          <w:snapToGrid/>
          <w:lang w:val="en-US"/>
        </w:rPr>
        <w:t xml:space="preserve">therapy </w:t>
      </w:r>
      <w:r w:rsidR="002038B1" w:rsidRPr="0022312F">
        <w:rPr>
          <w:snapToGrid/>
          <w:lang w:val="en-US"/>
        </w:rPr>
        <w:t>(nivolumab plus ipilimumab (NIVO+IPI)</w:t>
      </w:r>
      <w:r w:rsidR="00972B39" w:rsidRPr="0022312F">
        <w:rPr>
          <w:snapToGrid/>
          <w:lang w:val="en-US"/>
        </w:rPr>
        <w:t xml:space="preserve">). The PBAC considered that </w:t>
      </w:r>
      <w:r w:rsidR="0022312F" w:rsidRPr="0022312F">
        <w:rPr>
          <w:snapToGrid/>
          <w:lang w:val="en-US"/>
        </w:rPr>
        <w:t xml:space="preserve">the nominated primary comparator of </w:t>
      </w:r>
      <w:r w:rsidR="00972B39" w:rsidRPr="0022312F">
        <w:rPr>
          <w:snapToGrid/>
          <w:lang w:val="en-US"/>
        </w:rPr>
        <w:t xml:space="preserve">nivolumab </w:t>
      </w:r>
      <w:r w:rsidR="00972B39" w:rsidRPr="0022312F">
        <w:rPr>
          <w:snapToGrid/>
          <w:lang w:val="en-US"/>
        </w:rPr>
        <w:lastRenderedPageBreak/>
        <w:t xml:space="preserve">monotherapy was not appropriate and that the cost </w:t>
      </w:r>
      <w:r w:rsidR="006F0974" w:rsidRPr="0022312F">
        <w:rPr>
          <w:snapToGrid/>
          <w:lang w:val="en-US"/>
        </w:rPr>
        <w:t xml:space="preserve">utility </w:t>
      </w:r>
      <w:r w:rsidR="00972B39" w:rsidRPr="0022312F">
        <w:rPr>
          <w:snapToGrid/>
          <w:lang w:val="en-US"/>
        </w:rPr>
        <w:t xml:space="preserve">analysis </w:t>
      </w:r>
      <w:r w:rsidR="0022312F" w:rsidRPr="0022312F">
        <w:rPr>
          <w:snapToGrid/>
          <w:lang w:val="en-US"/>
        </w:rPr>
        <w:t xml:space="preserve">versus nivolumab monotherapy </w:t>
      </w:r>
      <w:r w:rsidR="00972B39" w:rsidRPr="0022312F">
        <w:rPr>
          <w:snapToGrid/>
          <w:lang w:val="en-US"/>
        </w:rPr>
        <w:t xml:space="preserve">was therefore not informative. The PBAC noted that the estimated financial impact of RELA+NIVO was high and uncertain. </w:t>
      </w:r>
    </w:p>
    <w:p w14:paraId="310881B4" w14:textId="079F0D18" w:rsidR="00311500" w:rsidRPr="00311500" w:rsidRDefault="00311500" w:rsidP="002D0446">
      <w:pPr>
        <w:pStyle w:val="3-BodyText"/>
        <w:numPr>
          <w:ilvl w:val="1"/>
          <w:numId w:val="46"/>
        </w:numPr>
      </w:pPr>
      <w:r>
        <w:t>The PBAC considered that the proposed place in therapy of RELA+NIVO, as a first line alternative to currently available PD-1 based therapies (i.e. pembrolizumab, nivolumab or NIVO+IPI) was reasonable.</w:t>
      </w:r>
    </w:p>
    <w:p w14:paraId="412B9410" w14:textId="2F59E9C7" w:rsidR="001D4C33" w:rsidRPr="009762A0" w:rsidRDefault="001D4C33" w:rsidP="002D0446">
      <w:pPr>
        <w:pStyle w:val="3-BodyText"/>
        <w:numPr>
          <w:ilvl w:val="1"/>
          <w:numId w:val="46"/>
        </w:numPr>
      </w:pPr>
      <w:r>
        <w:rPr>
          <w:snapToGrid/>
          <w:lang w:val="en-US"/>
        </w:rPr>
        <w:t xml:space="preserve">The PBAC considered that the nomination of nivolumab monotherapy as the primary comparator was </w:t>
      </w:r>
      <w:r w:rsidR="007528FB">
        <w:rPr>
          <w:snapToGrid/>
          <w:lang w:val="en-US"/>
        </w:rPr>
        <w:t xml:space="preserve">not appropriate. </w:t>
      </w:r>
      <w:r w:rsidR="004C001F">
        <w:rPr>
          <w:snapToGrid/>
          <w:lang w:val="en-US"/>
        </w:rPr>
        <w:t xml:space="preserve">The PBAC noted that the submission nominated NIVO+IPI as a secondary comparator. </w:t>
      </w:r>
      <w:r w:rsidR="007528FB">
        <w:rPr>
          <w:snapToGrid/>
          <w:lang w:val="en-US"/>
        </w:rPr>
        <w:t xml:space="preserve">The PBAC considered that NIVO+IPI would have been a more reasonable </w:t>
      </w:r>
      <w:r w:rsidR="004C001F">
        <w:rPr>
          <w:snapToGrid/>
          <w:lang w:val="en-US"/>
        </w:rPr>
        <w:t xml:space="preserve">primary </w:t>
      </w:r>
      <w:r w:rsidR="007528FB">
        <w:rPr>
          <w:snapToGrid/>
          <w:lang w:val="en-US"/>
        </w:rPr>
        <w:t>comparator as clinical guidelines recommend the use of combination therapy over PD-1 inhibitor monotherapy if tolerated</w:t>
      </w:r>
      <w:r w:rsidR="002038B1">
        <w:rPr>
          <w:snapToGrid/>
          <w:lang w:val="en-US"/>
        </w:rPr>
        <w:t xml:space="preserve"> and</w:t>
      </w:r>
      <w:r w:rsidR="0022312F">
        <w:rPr>
          <w:snapToGrid/>
          <w:lang w:val="en-US"/>
        </w:rPr>
        <w:t>,</w:t>
      </w:r>
      <w:r w:rsidR="002038B1">
        <w:rPr>
          <w:snapToGrid/>
          <w:lang w:val="en-US"/>
        </w:rPr>
        <w:t xml:space="preserve"> as a </w:t>
      </w:r>
      <w:r w:rsidR="00A20F49">
        <w:rPr>
          <w:snapToGrid/>
          <w:lang w:val="en-US"/>
        </w:rPr>
        <w:t xml:space="preserve">combination treatment, </w:t>
      </w:r>
      <w:r w:rsidR="002038B1">
        <w:rPr>
          <w:snapToGrid/>
          <w:lang w:val="en-US"/>
        </w:rPr>
        <w:t xml:space="preserve">RELA+NIVO is </w:t>
      </w:r>
      <w:r w:rsidR="00A20F49">
        <w:rPr>
          <w:snapToGrid/>
          <w:lang w:val="en-US"/>
        </w:rPr>
        <w:t>more likely to replace combination treatment (NIVO+IPI) rather than monotherapy</w:t>
      </w:r>
      <w:r w:rsidR="009762A0">
        <w:rPr>
          <w:snapToGrid/>
          <w:lang w:val="en-US"/>
        </w:rPr>
        <w:t>.</w:t>
      </w:r>
    </w:p>
    <w:p w14:paraId="773EC5C9" w14:textId="5721948B" w:rsidR="00311500" w:rsidRDefault="00311500" w:rsidP="002D0446">
      <w:pPr>
        <w:pStyle w:val="3-BodyText"/>
        <w:numPr>
          <w:ilvl w:val="1"/>
          <w:numId w:val="46"/>
        </w:numPr>
      </w:pPr>
      <w:r>
        <w:t xml:space="preserve">The PBAC noted that the submission was based on one randomised controlled trial comparing RELA+NIVO with nivolumab monotherapy (CA224047) and an indirect treatment comparison </w:t>
      </w:r>
      <w:r w:rsidR="00930047">
        <w:t xml:space="preserve">(ITC) </w:t>
      </w:r>
      <w:r>
        <w:t>between RELA+NIVO (CA224047) and NIVO+IPI (CA209067) using nivolumab monotherapy as the common reference.</w:t>
      </w:r>
    </w:p>
    <w:p w14:paraId="0271D3EA" w14:textId="7E1E09C0" w:rsidR="009762A0" w:rsidRPr="00930047" w:rsidRDefault="0053543A" w:rsidP="002D0446">
      <w:pPr>
        <w:pStyle w:val="3-BodyText"/>
        <w:numPr>
          <w:ilvl w:val="1"/>
          <w:numId w:val="46"/>
        </w:numPr>
      </w:pPr>
      <w:r>
        <w:t>T</w:t>
      </w:r>
      <w:r w:rsidR="00311500">
        <w:t xml:space="preserve">he PBAC </w:t>
      </w:r>
      <w:r>
        <w:t>noted that the submission described RELA+NIVO as superior in terms of effectiveness compared to nivolumab monotherapy.</w:t>
      </w:r>
      <w:r w:rsidRPr="0053543A">
        <w:rPr>
          <w:lang w:val="en-GB"/>
        </w:rPr>
        <w:t xml:space="preserve"> </w:t>
      </w:r>
      <w:r w:rsidRPr="00FC74A2">
        <w:rPr>
          <w:lang w:val="en-GB"/>
        </w:rPr>
        <w:t xml:space="preserve">The PBAC </w:t>
      </w:r>
      <w:r>
        <w:rPr>
          <w:lang w:val="en-GB"/>
        </w:rPr>
        <w:t>considered that this claim was supported by the data</w:t>
      </w:r>
      <w:r w:rsidRPr="00FC74A2">
        <w:rPr>
          <w:lang w:val="en-GB"/>
        </w:rPr>
        <w:t xml:space="preserve"> </w:t>
      </w:r>
      <w:r>
        <w:rPr>
          <w:lang w:val="en-GB"/>
        </w:rPr>
        <w:t xml:space="preserve">but noted that </w:t>
      </w:r>
      <w:r w:rsidRPr="00FC74A2">
        <w:rPr>
          <w:lang w:val="en-GB"/>
        </w:rPr>
        <w:t xml:space="preserve">given </w:t>
      </w:r>
      <w:r w:rsidR="00A20F49">
        <w:rPr>
          <w:lang w:val="en-GB"/>
        </w:rPr>
        <w:t>the</w:t>
      </w:r>
      <w:r w:rsidRPr="00FC74A2">
        <w:rPr>
          <w:lang w:val="en-GB"/>
        </w:rPr>
        <w:t xml:space="preserve"> difference in </w:t>
      </w:r>
      <w:r w:rsidR="00B87E72">
        <w:rPr>
          <w:lang w:val="en-GB"/>
        </w:rPr>
        <w:t>overall survival (OS)</w:t>
      </w:r>
      <w:r w:rsidRPr="00FC74A2">
        <w:rPr>
          <w:lang w:val="en-GB"/>
        </w:rPr>
        <w:t xml:space="preserve"> observed between RELA+NIVO and </w:t>
      </w:r>
      <w:r w:rsidR="00A20F49">
        <w:rPr>
          <w:lang w:val="en-GB"/>
        </w:rPr>
        <w:t xml:space="preserve">nivolumab </w:t>
      </w:r>
      <w:r w:rsidRPr="00FC74A2">
        <w:rPr>
          <w:lang w:val="en-GB"/>
        </w:rPr>
        <w:t xml:space="preserve">monotherapy </w:t>
      </w:r>
      <w:r w:rsidR="00A20F49">
        <w:rPr>
          <w:lang w:val="en-GB"/>
        </w:rPr>
        <w:t>was not statistically significant</w:t>
      </w:r>
      <w:r w:rsidR="00A20F49" w:rsidRPr="00FC74A2">
        <w:rPr>
          <w:lang w:val="en-GB"/>
        </w:rPr>
        <w:t xml:space="preserve"> </w:t>
      </w:r>
      <w:r w:rsidRPr="00FC74A2">
        <w:rPr>
          <w:lang w:val="en-GB"/>
        </w:rPr>
        <w:t>(HR = 0.80; 95% CI: 0.64, 1.01)</w:t>
      </w:r>
      <w:r>
        <w:rPr>
          <w:lang w:val="en-GB"/>
        </w:rPr>
        <w:t xml:space="preserve"> and as the data were immature (median OS for the RELA+NIVO arm was not reached </w:t>
      </w:r>
      <w:r w:rsidR="00930047">
        <w:rPr>
          <w:lang w:val="en-GB"/>
        </w:rPr>
        <w:t xml:space="preserve">after a median </w:t>
      </w:r>
      <w:r w:rsidRPr="00BD6125">
        <w:rPr>
          <w:lang w:val="en-GB"/>
        </w:rPr>
        <w:t>follow up of 19.27 months</w:t>
      </w:r>
      <w:r>
        <w:rPr>
          <w:lang w:val="en-GB"/>
        </w:rPr>
        <w:t>),</w:t>
      </w:r>
      <w:r w:rsidRPr="00BD6125">
        <w:rPr>
          <w:lang w:val="en-GB"/>
        </w:rPr>
        <w:t xml:space="preserve"> </w:t>
      </w:r>
      <w:r w:rsidRPr="00FC74A2">
        <w:rPr>
          <w:lang w:val="en-GB"/>
        </w:rPr>
        <w:t xml:space="preserve">the magnitude of the </w:t>
      </w:r>
      <w:r>
        <w:rPr>
          <w:lang w:val="en-GB"/>
        </w:rPr>
        <w:t>treatment effect</w:t>
      </w:r>
      <w:r w:rsidRPr="00BD6125">
        <w:rPr>
          <w:lang w:val="en-GB"/>
        </w:rPr>
        <w:t xml:space="preserve"> was uncertain.</w:t>
      </w:r>
    </w:p>
    <w:p w14:paraId="7214BCC4" w14:textId="3A328026" w:rsidR="00930047" w:rsidRPr="00930047" w:rsidRDefault="00930047" w:rsidP="002D0446">
      <w:pPr>
        <w:pStyle w:val="3-BodyText"/>
        <w:numPr>
          <w:ilvl w:val="1"/>
          <w:numId w:val="46"/>
        </w:numPr>
      </w:pPr>
      <w:r>
        <w:rPr>
          <w:lang w:val="en-GB"/>
        </w:rPr>
        <w:t xml:space="preserve">The PBAC considered that the claim that RELA+NIVO was inferior compared to nivolumab monotherapy in terms of safety was appropriate, noting that RELA+NIVO was associated with more Grade </w:t>
      </w:r>
      <w:r>
        <w:rPr>
          <w:rFonts w:cstheme="minorHAnsi"/>
          <w:lang w:val="en-GB"/>
        </w:rPr>
        <w:t>≥</w:t>
      </w:r>
      <w:r>
        <w:rPr>
          <w:lang w:val="en-GB"/>
        </w:rPr>
        <w:t xml:space="preserve"> 3 treatment-related adverse events (AEs) and more AEs resulting in discontinuation from the CA224047 trial.</w:t>
      </w:r>
    </w:p>
    <w:p w14:paraId="13932F71" w14:textId="61690A93" w:rsidR="00B87E72" w:rsidRDefault="00930047" w:rsidP="002D0446">
      <w:pPr>
        <w:pStyle w:val="3-BodyText"/>
        <w:numPr>
          <w:ilvl w:val="1"/>
          <w:numId w:val="46"/>
        </w:numPr>
      </w:pPr>
      <w:r>
        <w:t>The PBAC considered that the ITC between RELA+NIVO and NIVO+IPI was the more appropriate comparison</w:t>
      </w:r>
      <w:r w:rsidR="00B87E72">
        <w:t xml:space="preserve">. The PBAC </w:t>
      </w:r>
      <w:r w:rsidR="007C6A36">
        <w:t xml:space="preserve">noted that the results of the ITC showed no statistically significant differences between RELA+NIVO and NIVO+IPI in terms of OS (HR = 0.94; 95% CI: 0.68, 1.30) or progression free survival (PFS; HR = 1.01; 95% CI: 0.76, 1.36). However, </w:t>
      </w:r>
      <w:r w:rsidR="00B87E72">
        <w:t>considered that the clinical claim that RELA+NIVO was non-inferior in terms of effectiveness compared to NIVO+IPI was uncertain due to the</w:t>
      </w:r>
      <w:r>
        <w:t xml:space="preserve"> transitivity issues between the trials </w:t>
      </w:r>
      <w:r w:rsidR="004A30C4">
        <w:t>(paragraph 6.10)</w:t>
      </w:r>
      <w:r w:rsidR="00B87E72">
        <w:t xml:space="preserve">. The PBAC noted the submission presented a matching-adjusted </w:t>
      </w:r>
      <w:r w:rsidR="0014280A">
        <w:t xml:space="preserve">indirect </w:t>
      </w:r>
      <w:r w:rsidR="00B87E72">
        <w:t>comparison (MAIC) to adjust for differences in baseline characteristics between the trials</w:t>
      </w:r>
      <w:r w:rsidR="007C6A36">
        <w:t>. The PBAC noted that although the MAIC estimates for efficacy were similar to the ITC estimates,</w:t>
      </w:r>
      <w:r w:rsidR="00B87E72">
        <w:t xml:space="preserve"> the data cut-offs applied were not consistent with those applied in the ITC analysis for </w:t>
      </w:r>
      <w:r w:rsidR="007C6A36">
        <w:t>PFS</w:t>
      </w:r>
      <w:r w:rsidR="00B87E72">
        <w:t>, OS and safety</w:t>
      </w:r>
      <w:r w:rsidR="007C6A36">
        <w:t xml:space="preserve"> which may have biased the results.</w:t>
      </w:r>
    </w:p>
    <w:p w14:paraId="38693529" w14:textId="497B64BC" w:rsidR="005E639E" w:rsidRDefault="005E639E" w:rsidP="002D0446">
      <w:pPr>
        <w:pStyle w:val="3-BodyText"/>
        <w:numPr>
          <w:ilvl w:val="1"/>
          <w:numId w:val="46"/>
        </w:numPr>
      </w:pPr>
      <w:r>
        <w:rPr>
          <w:rStyle w:val="CommentReference"/>
          <w:rFonts w:asciiTheme="minorHAnsi" w:hAnsiTheme="minorHAnsi"/>
          <w:b w:val="0"/>
          <w:sz w:val="24"/>
          <w:szCs w:val="24"/>
          <w:lang w:val="en-US"/>
        </w:rPr>
        <w:lastRenderedPageBreak/>
        <w:t xml:space="preserve">In addition, in </w:t>
      </w:r>
      <w:r w:rsidRPr="009B79B0">
        <w:rPr>
          <w:lang w:val="en-GB"/>
        </w:rPr>
        <w:t xml:space="preserve">comparing </w:t>
      </w:r>
      <w:r w:rsidR="003246A8">
        <w:rPr>
          <w:lang w:val="en-GB"/>
        </w:rPr>
        <w:t xml:space="preserve">the populations recruited in </w:t>
      </w:r>
      <w:r w:rsidRPr="007D4B36">
        <w:t xml:space="preserve">CA224047 </w:t>
      </w:r>
      <w:r>
        <w:t xml:space="preserve">and </w:t>
      </w:r>
      <w:r w:rsidRPr="007D4B36">
        <w:t>CA209067</w:t>
      </w:r>
      <w:r w:rsidRPr="009B79B0">
        <w:rPr>
          <w:lang w:val="en-GB"/>
        </w:rPr>
        <w:t xml:space="preserve">, the PBAC noted patients with </w:t>
      </w:r>
      <w:r>
        <w:rPr>
          <w:lang w:val="en-GB"/>
        </w:rPr>
        <w:t xml:space="preserve">metastatic melanoma disease with </w:t>
      </w:r>
      <w:r w:rsidRPr="009B79B0">
        <w:rPr>
          <w:lang w:val="en-GB"/>
        </w:rPr>
        <w:t xml:space="preserve">higher risk </w:t>
      </w:r>
      <w:r>
        <w:rPr>
          <w:lang w:val="en-GB"/>
        </w:rPr>
        <w:t xml:space="preserve">features </w:t>
      </w:r>
      <w:r w:rsidRPr="009B79B0">
        <w:rPr>
          <w:lang w:val="en-GB"/>
        </w:rPr>
        <w:t>w</w:t>
      </w:r>
      <w:r>
        <w:rPr>
          <w:lang w:val="en-GB"/>
        </w:rPr>
        <w:t xml:space="preserve">ould </w:t>
      </w:r>
      <w:r w:rsidR="0022312F">
        <w:rPr>
          <w:lang w:val="en-GB"/>
        </w:rPr>
        <w:t xml:space="preserve">have been unlikely to </w:t>
      </w:r>
      <w:r>
        <w:rPr>
          <w:lang w:val="en-GB"/>
        </w:rPr>
        <w:t xml:space="preserve">have been </w:t>
      </w:r>
      <w:r w:rsidRPr="009B79B0">
        <w:rPr>
          <w:lang w:val="en-GB"/>
        </w:rPr>
        <w:t xml:space="preserve">enrolled in </w:t>
      </w:r>
      <w:r>
        <w:rPr>
          <w:lang w:val="en-GB"/>
        </w:rPr>
        <w:t xml:space="preserve">trial </w:t>
      </w:r>
      <w:r w:rsidRPr="009B79B0">
        <w:rPr>
          <w:lang w:val="en-GB"/>
        </w:rPr>
        <w:t>CA224047, as the standard of care for these patients is NIVO+IPI. The PBAC therefore considered that the CA</w:t>
      </w:r>
      <w:r w:rsidRPr="007D4B36">
        <w:t>224047</w:t>
      </w:r>
      <w:r>
        <w:t xml:space="preserve"> population </w:t>
      </w:r>
      <w:r w:rsidR="003246A8">
        <w:t>likely had a</w:t>
      </w:r>
      <w:r>
        <w:t xml:space="preserve"> lower risk</w:t>
      </w:r>
      <w:r w:rsidR="003246A8">
        <w:t xml:space="preserve"> profile</w:t>
      </w:r>
      <w:r>
        <w:t xml:space="preserve"> and that </w:t>
      </w:r>
      <w:r w:rsidRPr="009B79B0">
        <w:rPr>
          <w:lang w:val="en-GB"/>
        </w:rPr>
        <w:t xml:space="preserve">it </w:t>
      </w:r>
      <w:r>
        <w:rPr>
          <w:lang w:val="en-GB"/>
        </w:rPr>
        <w:t>wa</w:t>
      </w:r>
      <w:r w:rsidRPr="009B79B0">
        <w:rPr>
          <w:lang w:val="en-GB"/>
        </w:rPr>
        <w:t xml:space="preserve">s unclear whether RELA+NIVO </w:t>
      </w:r>
      <w:r>
        <w:rPr>
          <w:lang w:val="en-GB"/>
        </w:rPr>
        <w:t>wa</w:t>
      </w:r>
      <w:r w:rsidRPr="009B79B0">
        <w:rPr>
          <w:lang w:val="en-GB"/>
        </w:rPr>
        <w:t xml:space="preserve">s </w:t>
      </w:r>
      <w:r>
        <w:rPr>
          <w:lang w:val="en-GB"/>
        </w:rPr>
        <w:t xml:space="preserve">as </w:t>
      </w:r>
      <w:r w:rsidRPr="009B79B0">
        <w:rPr>
          <w:lang w:val="en-GB"/>
        </w:rPr>
        <w:t xml:space="preserve">effective </w:t>
      </w:r>
      <w:r>
        <w:rPr>
          <w:lang w:val="en-GB"/>
        </w:rPr>
        <w:t>in</w:t>
      </w:r>
      <w:r w:rsidRPr="009B79B0">
        <w:rPr>
          <w:lang w:val="en-GB"/>
        </w:rPr>
        <w:t xml:space="preserve"> higher risk patients.</w:t>
      </w:r>
    </w:p>
    <w:p w14:paraId="0DC5B6A5" w14:textId="75092926" w:rsidR="007C6A36" w:rsidRDefault="007C6A36" w:rsidP="002D0446">
      <w:pPr>
        <w:pStyle w:val="3-BodyText"/>
        <w:numPr>
          <w:ilvl w:val="1"/>
          <w:numId w:val="46"/>
        </w:numPr>
      </w:pPr>
      <w:r>
        <w:t xml:space="preserve">The PBAC considered that the claim that RELA+NIVO </w:t>
      </w:r>
      <w:r w:rsidR="005D2A65">
        <w:t xml:space="preserve">was superior compared to NIVO+IPI in terms of safety was not adequately supported by the data. The PBAC noted the differences in rates of Grade </w:t>
      </w:r>
      <w:r w:rsidR="005D2A65">
        <w:rPr>
          <w:rFonts w:cstheme="minorHAnsi"/>
        </w:rPr>
        <w:t>≥</w:t>
      </w:r>
      <w:r w:rsidR="005D2A65">
        <w:t xml:space="preserve"> 3 AEs and other drug-related AEs were higher in the nivolumab monotherapy arm of CA209067 compared to the nivolumab monotherapy arm of CA224047. The PBAC considered that these differences were possibly a result of the transitivity </w:t>
      </w:r>
      <w:r w:rsidR="00C73D6C">
        <w:t>issues</w:t>
      </w:r>
      <w:r w:rsidR="005D2A65">
        <w:t xml:space="preserve"> between the trial populations and </w:t>
      </w:r>
      <w:r w:rsidR="00C73D6C">
        <w:t xml:space="preserve">differences in </w:t>
      </w:r>
      <w:r w:rsidR="005D2A65">
        <w:t>the investigator assessment of AEs</w:t>
      </w:r>
      <w:r w:rsidR="00C73D6C">
        <w:t>, meaning that a meaningful comparison of AEs between the trials was difficult</w:t>
      </w:r>
      <w:r w:rsidR="005D2A65">
        <w:t>.</w:t>
      </w:r>
      <w:r w:rsidR="007A2B2F">
        <w:t xml:space="preserve"> </w:t>
      </w:r>
    </w:p>
    <w:p w14:paraId="4D03C987" w14:textId="28AD16A8" w:rsidR="001A43BA" w:rsidRDefault="005E639E" w:rsidP="002D0446">
      <w:pPr>
        <w:pStyle w:val="3-BodyText"/>
        <w:numPr>
          <w:ilvl w:val="1"/>
          <w:numId w:val="46"/>
        </w:numPr>
      </w:pPr>
      <w:r>
        <w:t xml:space="preserve">The PBAC noted that the submission presented a cost utility analysis comparing RELA+NIVO with nivolumab monotherapy. </w:t>
      </w:r>
      <w:r w:rsidR="004C001F">
        <w:t xml:space="preserve">No economic comparison versus NIVO+IPI was presented in the submission. </w:t>
      </w:r>
      <w:r w:rsidR="001A43BA">
        <w:t xml:space="preserve">The PBAC considered that the economic model presented was not informative as nivolumab monotherapy was not the appropriate </w:t>
      </w:r>
      <w:r w:rsidR="00AB3ACB">
        <w:t>primary</w:t>
      </w:r>
      <w:r w:rsidR="003246A8">
        <w:t xml:space="preserve"> </w:t>
      </w:r>
      <w:r w:rsidR="001A43BA">
        <w:t xml:space="preserve">comparator. </w:t>
      </w:r>
    </w:p>
    <w:p w14:paraId="755688F2" w14:textId="6DB89D38" w:rsidR="00B87E72" w:rsidRDefault="008D0937" w:rsidP="002D0446">
      <w:pPr>
        <w:pStyle w:val="3-BodyText"/>
        <w:numPr>
          <w:ilvl w:val="1"/>
          <w:numId w:val="46"/>
        </w:numPr>
      </w:pPr>
      <w:r>
        <w:t xml:space="preserve">The PBAC </w:t>
      </w:r>
      <w:r w:rsidR="005E639E">
        <w:t xml:space="preserve">considered that </w:t>
      </w:r>
      <w:r w:rsidR="001A43BA">
        <w:t xml:space="preserve">a more appropriate </w:t>
      </w:r>
      <w:r w:rsidR="0022312F">
        <w:t xml:space="preserve">economic evaluation </w:t>
      </w:r>
      <w:r w:rsidR="001A43BA">
        <w:t xml:space="preserve">would be a cost minimisation approach comparing RELA+NIVO with NIVO+IPI. </w:t>
      </w:r>
    </w:p>
    <w:p w14:paraId="7A050DAF" w14:textId="4F554196" w:rsidR="00C73D6C" w:rsidRDefault="00C73D6C" w:rsidP="002D0446">
      <w:pPr>
        <w:pStyle w:val="3-BodyText"/>
        <w:numPr>
          <w:ilvl w:val="1"/>
          <w:numId w:val="46"/>
        </w:numPr>
      </w:pPr>
      <w:r>
        <w:t xml:space="preserve">The PBAC noted that the estimated financial impact of listing RELA+NIVO was </w:t>
      </w:r>
      <w:r w:rsidR="00D651F9">
        <w:t>high (</w:t>
      </w:r>
      <w:r w:rsidR="00256B36" w:rsidRPr="00256B36">
        <w:t>$200 million to &lt; $300 million</w:t>
      </w:r>
      <w:r w:rsidR="00131518">
        <w:t xml:space="preserve"> </w:t>
      </w:r>
      <w:r w:rsidR="00D651F9">
        <w:t>over the first 6 years). The PBAC noted the uncertainties in the estimates highlighted by DUSC (paragraph 6.60)</w:t>
      </w:r>
      <w:r w:rsidR="00BC6F7C">
        <w:t>. In particular, the PBAC considered</w:t>
      </w:r>
      <w:r w:rsidR="00740D6A">
        <w:rPr>
          <w:lang w:val="en-US"/>
        </w:rPr>
        <w:t xml:space="preserve"> that t</w:t>
      </w:r>
      <w:r w:rsidR="00740D6A" w:rsidRPr="00442648">
        <w:rPr>
          <w:lang w:val="en-US"/>
        </w:rPr>
        <w:t xml:space="preserve">he substitution rates of PD-1 monotherapy and NIVO+IPI were </w:t>
      </w:r>
      <w:r w:rsidR="00740D6A">
        <w:rPr>
          <w:lang w:val="en-US"/>
        </w:rPr>
        <w:t xml:space="preserve">highly </w:t>
      </w:r>
      <w:r w:rsidR="00740D6A" w:rsidRPr="00442648">
        <w:rPr>
          <w:lang w:val="en-US"/>
        </w:rPr>
        <w:t>uncertain</w:t>
      </w:r>
      <w:r w:rsidR="00740D6A">
        <w:rPr>
          <w:lang w:val="en-US"/>
        </w:rPr>
        <w:t xml:space="preserve">, noting that the submission considered the </w:t>
      </w:r>
      <w:r w:rsidR="00740D6A" w:rsidRPr="00442648">
        <w:rPr>
          <w:lang w:val="en-US"/>
        </w:rPr>
        <w:t>expert opinion</w:t>
      </w:r>
      <w:r w:rsidR="00740D6A">
        <w:rPr>
          <w:lang w:val="en-US"/>
        </w:rPr>
        <w:t xml:space="preserve"> sought was unlikely to reflect clinical practice</w:t>
      </w:r>
      <w:r w:rsidR="00740D6A" w:rsidRPr="00442648">
        <w:rPr>
          <w:lang w:val="en-US"/>
        </w:rPr>
        <w:t xml:space="preserve">, and </w:t>
      </w:r>
      <w:r w:rsidR="00740D6A">
        <w:rPr>
          <w:lang w:val="en-US"/>
        </w:rPr>
        <w:t xml:space="preserve">the substantially higher </w:t>
      </w:r>
      <w:r w:rsidR="0022312F">
        <w:rPr>
          <w:lang w:val="en-US"/>
        </w:rPr>
        <w:t>substitution</w:t>
      </w:r>
      <w:r w:rsidR="00740D6A">
        <w:rPr>
          <w:lang w:val="en-US"/>
        </w:rPr>
        <w:t xml:space="preserve"> </w:t>
      </w:r>
      <w:r w:rsidR="0022312F">
        <w:rPr>
          <w:lang w:val="en-US"/>
        </w:rPr>
        <w:t>of</w:t>
      </w:r>
      <w:r w:rsidR="00740D6A">
        <w:rPr>
          <w:lang w:val="en-US"/>
        </w:rPr>
        <w:t xml:space="preserve"> monotherapy versus that for NIVO+IPI was not justified.</w:t>
      </w:r>
      <w:r w:rsidR="00D651F9">
        <w:t xml:space="preserve"> </w:t>
      </w:r>
    </w:p>
    <w:p w14:paraId="5A7961E1" w14:textId="7DDE9D21" w:rsidR="00657596" w:rsidRDefault="00657596" w:rsidP="002D0446">
      <w:pPr>
        <w:pStyle w:val="3-BodyText"/>
        <w:numPr>
          <w:ilvl w:val="1"/>
          <w:numId w:val="46"/>
        </w:numPr>
      </w:pPr>
      <w:r>
        <w:t>The PBAC noted that the proposed restriction was generally consistent with the current PBS listing for NIVO+IPI for the treatment of unresectable Stage III or IV malignant melanoma and considered that this was reasonable.</w:t>
      </w:r>
    </w:p>
    <w:p w14:paraId="3C511C08" w14:textId="3E5000FC" w:rsidR="00E61877" w:rsidRPr="002D5024" w:rsidRDefault="00E61877" w:rsidP="002D0446">
      <w:pPr>
        <w:widowControl w:val="0"/>
        <w:numPr>
          <w:ilvl w:val="1"/>
          <w:numId w:val="46"/>
        </w:numPr>
        <w:spacing w:after="120"/>
        <w:rPr>
          <w:rFonts w:asciiTheme="minorHAnsi" w:hAnsiTheme="minorHAnsi"/>
          <w:snapToGrid w:val="0"/>
        </w:rPr>
      </w:pPr>
      <w:r w:rsidRPr="002D5024">
        <w:rPr>
          <w:rFonts w:asciiTheme="minorHAnsi" w:hAnsiTheme="minorHAnsi"/>
          <w:snapToGrid w:val="0"/>
        </w:rPr>
        <w:t>The PBAC considered a resubmission for RELA+NIVO should:</w:t>
      </w:r>
    </w:p>
    <w:p w14:paraId="225B86D6" w14:textId="47FB4030" w:rsidR="00657596" w:rsidRPr="00657596" w:rsidRDefault="00BC6F7C" w:rsidP="00A3402E">
      <w:pPr>
        <w:pStyle w:val="ListBullet"/>
        <w:numPr>
          <w:ilvl w:val="0"/>
          <w:numId w:val="36"/>
        </w:numPr>
        <w:spacing w:after="120"/>
        <w:ind w:left="1077" w:hanging="357"/>
        <w:contextualSpacing w:val="0"/>
        <w:rPr>
          <w:lang w:val="en-GB"/>
        </w:rPr>
      </w:pPr>
      <w:r>
        <w:t>n</w:t>
      </w:r>
      <w:r w:rsidR="00657596">
        <w:t xml:space="preserve">ominate NIVO+IPI as the </w:t>
      </w:r>
      <w:r w:rsidR="00AB3ACB">
        <w:t xml:space="preserve">primary </w:t>
      </w:r>
      <w:r w:rsidR="00657596">
        <w:t xml:space="preserve">comparator </w:t>
      </w:r>
      <w:r w:rsidR="00A3402E">
        <w:t>and present a clinical comparison of RELA+NIVO versus NIVO+IPI</w:t>
      </w:r>
      <w:r>
        <w:t xml:space="preserve"> that addresses the </w:t>
      </w:r>
      <w:r w:rsidR="00A85ED5">
        <w:t xml:space="preserve">transitivity </w:t>
      </w:r>
      <w:r>
        <w:t>issues raised in the evaluation</w:t>
      </w:r>
      <w:r w:rsidR="00657596">
        <w:t>;</w:t>
      </w:r>
    </w:p>
    <w:p w14:paraId="6398F318" w14:textId="67505430" w:rsidR="00657596" w:rsidRPr="00657596" w:rsidRDefault="00BC6F7C" w:rsidP="00A3402E">
      <w:pPr>
        <w:pStyle w:val="ListBullet"/>
        <w:numPr>
          <w:ilvl w:val="0"/>
          <w:numId w:val="36"/>
        </w:numPr>
        <w:spacing w:after="120"/>
        <w:ind w:left="1077" w:hanging="357"/>
        <w:contextualSpacing w:val="0"/>
        <w:rPr>
          <w:lang w:val="en-GB"/>
        </w:rPr>
      </w:pPr>
      <w:r>
        <w:t>p</w:t>
      </w:r>
      <w:r w:rsidR="00657596">
        <w:t>resent a</w:t>
      </w:r>
      <w:r w:rsidR="00AB3ACB">
        <w:t xml:space="preserve">n economic evaluation </w:t>
      </w:r>
      <w:r w:rsidR="00A3402E">
        <w:t>between RELA+NIVO and</w:t>
      </w:r>
      <w:r w:rsidR="00657596">
        <w:t xml:space="preserve"> NIVO+IPI</w:t>
      </w:r>
      <w:r w:rsidR="00AB3ACB">
        <w:t xml:space="preserve"> using a cost minimisation approach</w:t>
      </w:r>
      <w:r w:rsidR="00657596">
        <w:t>;</w:t>
      </w:r>
    </w:p>
    <w:p w14:paraId="47C34CD2" w14:textId="35B82079" w:rsidR="00657596" w:rsidRPr="00A3402E" w:rsidRDefault="00BC6F7C" w:rsidP="00A3402E">
      <w:pPr>
        <w:pStyle w:val="ListBullet"/>
        <w:numPr>
          <w:ilvl w:val="0"/>
          <w:numId w:val="36"/>
        </w:numPr>
        <w:spacing w:after="120"/>
        <w:ind w:left="1077" w:hanging="357"/>
        <w:contextualSpacing w:val="0"/>
        <w:rPr>
          <w:lang w:val="en-GB"/>
        </w:rPr>
      </w:pPr>
      <w:r>
        <w:lastRenderedPageBreak/>
        <w:t>p</w:t>
      </w:r>
      <w:r w:rsidR="00657596">
        <w:t>resent revised financial impact estimates</w:t>
      </w:r>
      <w:r w:rsidR="00AB3ACB">
        <w:t xml:space="preserve"> addressing the issues raised in the evaluation and by DUSC</w:t>
      </w:r>
      <w:r w:rsidR="00A3402E">
        <w:t>.</w:t>
      </w:r>
    </w:p>
    <w:p w14:paraId="23E8A5C5" w14:textId="75283511" w:rsidR="00E61877" w:rsidRPr="00542ECF" w:rsidRDefault="00E61877" w:rsidP="002D0446">
      <w:pPr>
        <w:widowControl w:val="0"/>
        <w:numPr>
          <w:ilvl w:val="1"/>
          <w:numId w:val="46"/>
        </w:numPr>
        <w:spacing w:after="120"/>
      </w:pPr>
      <w:r w:rsidRPr="00542ECF">
        <w:t>The resubmission may be lodged at any future standard due date for PBAC submissions using the standard re-entry pathway.</w:t>
      </w:r>
    </w:p>
    <w:p w14:paraId="341ED66B" w14:textId="176D758E" w:rsidR="00A23598" w:rsidRPr="00525B39" w:rsidRDefault="00A23598" w:rsidP="002D0446">
      <w:pPr>
        <w:widowControl w:val="0"/>
        <w:numPr>
          <w:ilvl w:val="1"/>
          <w:numId w:val="46"/>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eligible for an Independent Review.</w:t>
      </w:r>
      <w:r>
        <w:rPr>
          <w:rFonts w:asciiTheme="minorHAnsi" w:hAnsiTheme="minorHAnsi"/>
          <w:bCs/>
          <w:snapToGrid w:val="0"/>
          <w:lang w:val="en-GB"/>
        </w:rPr>
        <w:t xml:space="preserve"> </w:t>
      </w:r>
      <w:r w:rsidRPr="00611FB4" w:rsidDel="00611FB4">
        <w:rPr>
          <w:rFonts w:asciiTheme="minorHAnsi" w:hAnsiTheme="minorHAnsi"/>
          <w:bCs/>
          <w:snapToGrid w:val="0"/>
          <w:lang w:val="en-GB"/>
        </w:rPr>
        <w:t xml:space="preserve"> </w:t>
      </w:r>
      <w:r>
        <w:rPr>
          <w:rFonts w:asciiTheme="minorHAnsi" w:hAnsiTheme="minorHAnsi"/>
          <w:bCs/>
          <w:snapToGrid w:val="0"/>
          <w:lang w:val="en-GB"/>
        </w:rPr>
        <w:t xml:space="preserve"> </w:t>
      </w:r>
    </w:p>
    <w:p w14:paraId="21051689" w14:textId="77777777" w:rsidR="00A23598" w:rsidRPr="00525B39" w:rsidRDefault="00A23598" w:rsidP="00A23598">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B3E5A83" w14:textId="0D9EA830" w:rsidR="00A23598" w:rsidRDefault="00A23598" w:rsidP="00A23598">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625D5C5B" w14:textId="3422B077" w:rsidR="0077732D" w:rsidRDefault="0077732D" w:rsidP="0077732D">
      <w:pPr>
        <w:pStyle w:val="2-SectionHeading"/>
        <w:numPr>
          <w:ilvl w:val="0"/>
          <w:numId w:val="1"/>
        </w:numPr>
      </w:pPr>
      <w:r>
        <w:t>Context for Decision</w:t>
      </w:r>
    </w:p>
    <w:p w14:paraId="2FC2E00F" w14:textId="77777777" w:rsidR="00E75776" w:rsidRPr="007129F2" w:rsidRDefault="00E75776" w:rsidP="00E75776">
      <w:pPr>
        <w:spacing w:after="120"/>
        <w:ind w:left="426"/>
        <w:rPr>
          <w:bCs/>
          <w:lang w:val="en-GB"/>
        </w:rPr>
      </w:pPr>
      <w:bookmarkStart w:id="105" w:name="_Hlk112834232"/>
      <w:bookmarkStart w:id="106" w:name="_Hlk113436879"/>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80CD32E" w14:textId="53758CFC" w:rsidR="0077732D" w:rsidRDefault="0077732D" w:rsidP="0077732D">
      <w:pPr>
        <w:pStyle w:val="2-SectionHeading"/>
        <w:numPr>
          <w:ilvl w:val="0"/>
          <w:numId w:val="1"/>
        </w:numPr>
      </w:pPr>
      <w:r>
        <w:t>Sponsor’s Comment</w:t>
      </w:r>
    </w:p>
    <w:bookmarkEnd w:id="105"/>
    <w:p w14:paraId="77E5B0F5" w14:textId="77777777" w:rsidR="00E75776" w:rsidRPr="001179AC" w:rsidRDefault="00E75776" w:rsidP="00E75776">
      <w:pPr>
        <w:spacing w:after="120"/>
        <w:ind w:left="426"/>
        <w:rPr>
          <w:bCs/>
        </w:rPr>
      </w:pPr>
      <w:r w:rsidRPr="00C07617">
        <w:rPr>
          <w:bCs/>
        </w:rPr>
        <w:t>The sponsor had no comment.</w:t>
      </w:r>
    </w:p>
    <w:bookmarkEnd w:id="106"/>
    <w:p w14:paraId="77B761B6" w14:textId="77777777" w:rsidR="00E75776" w:rsidRDefault="00E75776" w:rsidP="00A23598">
      <w:pPr>
        <w:rPr>
          <w:rFonts w:asciiTheme="minorHAnsi" w:hAnsiTheme="minorHAnsi"/>
          <w:bCs/>
          <w:snapToGrid w:val="0"/>
          <w:lang w:val="en-GB"/>
        </w:rPr>
      </w:pPr>
    </w:p>
    <w:p w14:paraId="02233E24" w14:textId="77777777" w:rsidR="00A23598" w:rsidRPr="00525B39" w:rsidRDefault="00A23598" w:rsidP="00A23598">
      <w:pPr>
        <w:widowControl w:val="0"/>
        <w:rPr>
          <w:rFonts w:asciiTheme="minorHAnsi" w:hAnsiTheme="minorHAnsi"/>
          <w:b/>
          <w:bCs/>
          <w:snapToGrid w:val="0"/>
        </w:rPr>
      </w:pPr>
    </w:p>
    <w:bookmarkEnd w:id="0"/>
    <w:bookmarkEnd w:id="103"/>
    <w:bookmarkEnd w:id="104"/>
    <w:p w14:paraId="5A706DC5" w14:textId="2CDFC6AE" w:rsidR="003247E0" w:rsidRDefault="003247E0" w:rsidP="00A4031E">
      <w:pPr>
        <w:rPr>
          <w:rFonts w:ascii="Arial" w:hAnsi="Arial"/>
          <w:sz w:val="22"/>
          <w:szCs w:val="22"/>
        </w:rPr>
      </w:pPr>
      <w:r w:rsidRPr="00E23F1C">
        <w:rPr>
          <w:rFonts w:ascii="Arial" w:hAnsi="Arial"/>
          <w:sz w:val="22"/>
          <w:szCs w:val="22"/>
        </w:rPr>
        <w:br/>
      </w:r>
    </w:p>
    <w:sectPr w:rsidR="003247E0" w:rsidSect="00495E70">
      <w:headerReference w:type="default" r:id="rId15"/>
      <w:footerReference w:type="defaul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4CED" w14:textId="77777777" w:rsidR="00D87D56" w:rsidRDefault="00D87D56" w:rsidP="00124A51">
      <w:r>
        <w:separator/>
      </w:r>
    </w:p>
    <w:p w14:paraId="187728D8" w14:textId="77777777" w:rsidR="00D87D56" w:rsidRDefault="00D87D56"/>
  </w:endnote>
  <w:endnote w:type="continuationSeparator" w:id="0">
    <w:p w14:paraId="3406C9BD" w14:textId="77777777" w:rsidR="00D87D56" w:rsidRDefault="00D87D56" w:rsidP="00124A51">
      <w:r>
        <w:continuationSeparator/>
      </w:r>
    </w:p>
    <w:p w14:paraId="0376261D" w14:textId="77777777" w:rsidR="00D87D56" w:rsidRDefault="00D87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08691"/>
      <w:docPartObj>
        <w:docPartGallery w:val="Page Numbers (Bottom of Page)"/>
        <w:docPartUnique/>
      </w:docPartObj>
    </w:sdtPr>
    <w:sdtEndPr>
      <w:rPr>
        <w:b/>
        <w:bCs/>
        <w:noProof/>
      </w:rPr>
    </w:sdtEndPr>
    <w:sdtContent>
      <w:p w14:paraId="51BE5EBF" w14:textId="720E4217" w:rsidR="00D87D56" w:rsidRDefault="00D87D56" w:rsidP="00BB59AD">
        <w:pPr>
          <w:pStyle w:val="Header"/>
          <w:ind w:left="360"/>
        </w:pPr>
      </w:p>
      <w:p w14:paraId="42B0E6E9" w14:textId="143BB5E9" w:rsidR="00D87D56" w:rsidRPr="008E7723" w:rsidRDefault="00D87D56">
        <w:pPr>
          <w:pStyle w:val="Footer"/>
          <w:jc w:val="center"/>
          <w:rPr>
            <w:b/>
            <w:bCs/>
          </w:rPr>
        </w:pPr>
        <w:r w:rsidRPr="008E7723">
          <w:rPr>
            <w:b/>
            <w:bCs/>
          </w:rPr>
          <w:fldChar w:fldCharType="begin"/>
        </w:r>
        <w:r w:rsidRPr="008E7723">
          <w:rPr>
            <w:b/>
            <w:bCs/>
          </w:rPr>
          <w:instrText xml:space="preserve"> PAGE   \* MERGEFORMAT </w:instrText>
        </w:r>
        <w:r w:rsidRPr="008E7723">
          <w:rPr>
            <w:b/>
            <w:bCs/>
          </w:rPr>
          <w:fldChar w:fldCharType="separate"/>
        </w:r>
        <w:r w:rsidRPr="008E7723">
          <w:rPr>
            <w:b/>
            <w:bCs/>
            <w:noProof/>
          </w:rPr>
          <w:t>2</w:t>
        </w:r>
        <w:r w:rsidRPr="008E7723">
          <w:rPr>
            <w:b/>
            <w:bCs/>
            <w:noProof/>
          </w:rPr>
          <w:fldChar w:fldCharType="end"/>
        </w:r>
      </w:p>
    </w:sdtContent>
  </w:sdt>
  <w:p w14:paraId="5FA7B331" w14:textId="4CB0F913" w:rsidR="00D87D56" w:rsidRDefault="00D8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B584" w14:textId="77777777" w:rsidR="00D87D56" w:rsidRDefault="00D87D56" w:rsidP="00124A51">
      <w:r>
        <w:separator/>
      </w:r>
    </w:p>
    <w:p w14:paraId="4DEC4113" w14:textId="77777777" w:rsidR="00D87D56" w:rsidRDefault="00D87D56"/>
  </w:footnote>
  <w:footnote w:type="continuationSeparator" w:id="0">
    <w:p w14:paraId="5E0CDA76" w14:textId="77777777" w:rsidR="00D87D56" w:rsidRDefault="00D87D56" w:rsidP="00124A51">
      <w:r>
        <w:continuationSeparator/>
      </w:r>
    </w:p>
    <w:p w14:paraId="2E25C665" w14:textId="77777777" w:rsidR="00D87D56" w:rsidRDefault="00D87D56"/>
  </w:footnote>
  <w:footnote w:id="1">
    <w:p w14:paraId="2CECA983" w14:textId="77777777" w:rsidR="00D87D56" w:rsidRDefault="00D87D56" w:rsidP="003A415A">
      <w:pPr>
        <w:pStyle w:val="FootnoteText"/>
        <w:jc w:val="left"/>
      </w:pPr>
      <w:r>
        <w:rPr>
          <w:rStyle w:val="FootnoteReference"/>
        </w:rPr>
        <w:footnoteRef/>
      </w:r>
      <w:r>
        <w:t xml:space="preserve"> Cancer Australia, (2021), Melanoma of the skin, </w:t>
      </w:r>
      <w:hyperlink r:id="rId1" w:history="1">
        <w:r>
          <w:rPr>
            <w:rStyle w:val="Hyperlink"/>
          </w:rPr>
          <w:t>https://www.canceraustralia.gov.au/cancer-types/melanoma/statistics</w:t>
        </w:r>
      </w:hyperlink>
    </w:p>
  </w:footnote>
  <w:footnote w:id="2">
    <w:p w14:paraId="0E2FDC16" w14:textId="77777777" w:rsidR="00D87D56" w:rsidRDefault="00D87D56" w:rsidP="003A415A">
      <w:pPr>
        <w:pStyle w:val="FootnoteText"/>
        <w:jc w:val="left"/>
      </w:pPr>
      <w:r>
        <w:rPr>
          <w:rStyle w:val="FootnoteReference"/>
        </w:rPr>
        <w:footnoteRef/>
      </w:r>
      <w:r>
        <w:t xml:space="preserve"> Australian Institute of Health and Welfare (AIHW), (2021), Cancer data in Australia, </w:t>
      </w:r>
      <w:hyperlink r:id="rId2" w:history="1">
        <w:r>
          <w:rPr>
            <w:rStyle w:val="Hyperlink"/>
          </w:rPr>
          <w:t>https://www.aihw.gov.au/reports/cancer/cancer-data-in-australia/contents/cancer-summary-data-visualisation</w:t>
        </w:r>
      </w:hyperlink>
      <w:r>
        <w:t xml:space="preserve"> </w:t>
      </w:r>
    </w:p>
  </w:footnote>
  <w:footnote w:id="3">
    <w:p w14:paraId="5DCA42D4" w14:textId="0623A05A" w:rsidR="00D87D56" w:rsidRDefault="00D87D56" w:rsidP="003A415A">
      <w:pPr>
        <w:pStyle w:val="FootnoteText"/>
        <w:jc w:val="left"/>
      </w:pPr>
      <w:r>
        <w:rPr>
          <w:rStyle w:val="FootnoteReference"/>
        </w:rPr>
        <w:footnoteRef/>
      </w:r>
      <w:r>
        <w:t xml:space="preserve"> National Cancer Control Indicators, (2019), </w:t>
      </w:r>
      <w:r w:rsidRPr="002E383D">
        <w:t>Relative survival by stage at diagnosis (melanoma)</w:t>
      </w:r>
      <w:r>
        <w:t xml:space="preserve">, </w:t>
      </w:r>
      <w:hyperlink r:id="rId3" w:history="1">
        <w:r w:rsidRPr="006D3F98">
          <w:rPr>
            <w:rStyle w:val="Hyperlink"/>
          </w:rPr>
          <w:t>https://ncci.canceraustralia.gov.au/outcomes/relative-survival-rate/relative-survival-stage-diagnosis-melanoma</w:t>
        </w:r>
      </w:hyperlink>
    </w:p>
  </w:footnote>
  <w:footnote w:id="4">
    <w:p w14:paraId="5D1AF522" w14:textId="77777777" w:rsidR="00D87D56" w:rsidRDefault="00D87D56" w:rsidP="003A415A">
      <w:pPr>
        <w:pStyle w:val="FootnoteText"/>
        <w:jc w:val="left"/>
      </w:pPr>
      <w:r>
        <w:rPr>
          <w:rStyle w:val="FootnoteReference"/>
        </w:rPr>
        <w:footnoteRef/>
      </w:r>
      <w:r>
        <w:t xml:space="preserve"> National Comprehensive Cancer Network, NCCN Clinical Practice Guidelines in Oncology, Melanoma: Cutaneous, Version 3.2022, </w:t>
      </w:r>
      <w:hyperlink r:id="rId4" w:history="1">
        <w:r w:rsidRPr="00BB1CE4">
          <w:rPr>
            <w:rStyle w:val="Hyperlink"/>
          </w:rPr>
          <w:t>https://www.nccn.org/professionals/physician_gls/pdf/cutaneous_melanoma.pdf</w:t>
        </w:r>
      </w:hyperlink>
      <w:r>
        <w:t xml:space="preserve"> </w:t>
      </w:r>
    </w:p>
  </w:footnote>
  <w:footnote w:id="5">
    <w:p w14:paraId="35C5D8FD" w14:textId="77777777" w:rsidR="00D87D56" w:rsidRDefault="00D87D56" w:rsidP="003A415A">
      <w:pPr>
        <w:pStyle w:val="FootnoteText"/>
        <w:jc w:val="left"/>
      </w:pPr>
      <w:r>
        <w:rPr>
          <w:rStyle w:val="FootnoteReference"/>
        </w:rPr>
        <w:footnoteRef/>
      </w:r>
      <w:r>
        <w:t xml:space="preserve"> National Comprehensive Cancer Network, NCCN Clinical Practice Guidelines in Oncology, Melanoma: Cutaneous, Version 2.2022, </w:t>
      </w:r>
      <w:hyperlink r:id="rId5" w:history="1">
        <w:r w:rsidRPr="000A6CE8">
          <w:rPr>
            <w:rStyle w:val="Hyperlink"/>
          </w:rPr>
          <w:t>https://www.nccn.org/professionals/physician_gls/pdf/cutaneous_melanoma.pdf</w:t>
        </w:r>
      </w:hyperlink>
      <w:r>
        <w:t xml:space="preserve"> </w:t>
      </w:r>
    </w:p>
  </w:footnote>
  <w:footnote w:id="6">
    <w:p w14:paraId="0927BF11" w14:textId="6FE8B9EE" w:rsidR="00D87D56" w:rsidRPr="003A415A" w:rsidRDefault="00D87D56">
      <w:pPr>
        <w:pStyle w:val="FootnoteText"/>
      </w:pPr>
      <w:r w:rsidRPr="003A415A">
        <w:rPr>
          <w:rStyle w:val="FootnoteReference"/>
        </w:rPr>
        <w:footnoteRef/>
      </w:r>
      <w:r w:rsidRPr="003A415A">
        <w:t xml:space="preserve"> </w:t>
      </w:r>
      <w:r w:rsidRPr="003A415A">
        <w:rPr>
          <w:bCs/>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DC5F" w14:textId="4414F015" w:rsidR="00D87D56" w:rsidRPr="00056684" w:rsidRDefault="00E75776" w:rsidP="00BB59AD">
    <w:pPr>
      <w:pStyle w:val="Header"/>
      <w:ind w:left="360"/>
      <w:rPr>
        <w:rFonts w:asciiTheme="minorHAnsi" w:hAnsiTheme="minorHAnsi"/>
        <w:i/>
        <w:color w:val="808080"/>
      </w:rPr>
    </w:pPr>
    <w:r>
      <w:rPr>
        <w:rFonts w:asciiTheme="minorHAnsi" w:hAnsiTheme="minorHAnsi"/>
        <w:i/>
        <w:color w:val="808080"/>
      </w:rPr>
      <w:t>Public Summary Document</w:t>
    </w:r>
    <w:r w:rsidR="00D87D56" w:rsidRPr="00056684">
      <w:rPr>
        <w:rFonts w:asciiTheme="minorHAnsi" w:hAnsiTheme="minorHAnsi"/>
        <w:i/>
        <w:color w:val="808080"/>
      </w:rPr>
      <w:t xml:space="preserve"> – </w:t>
    </w:r>
    <w:r w:rsidR="00D87D56">
      <w:rPr>
        <w:rFonts w:asciiTheme="minorHAnsi" w:hAnsiTheme="minorHAnsi"/>
        <w:i/>
        <w:color w:val="808080"/>
      </w:rPr>
      <w:t>July 2022</w:t>
    </w:r>
    <w:r w:rsidR="00D87D56" w:rsidRPr="00056684">
      <w:rPr>
        <w:rFonts w:asciiTheme="minorHAnsi" w:hAnsiTheme="minorHAnsi"/>
        <w:i/>
        <w:color w:val="808080"/>
      </w:rPr>
      <w:t xml:space="preserve"> PBAC Meeting</w:t>
    </w:r>
  </w:p>
  <w:p w14:paraId="5E83BD6D" w14:textId="77777777" w:rsidR="00D87D56" w:rsidRDefault="00D87D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122E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16A4A"/>
    <w:multiLevelType w:val="multilevel"/>
    <w:tmpl w:val="AA0A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367D0"/>
    <w:multiLevelType w:val="hybridMultilevel"/>
    <w:tmpl w:val="78F48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CA0F07"/>
    <w:multiLevelType w:val="hybridMultilevel"/>
    <w:tmpl w:val="4A343310"/>
    <w:lvl w:ilvl="0" w:tplc="53904AFA">
      <w:start w:val="1"/>
      <w:numFmt w:val="bullet"/>
      <w:lvlText w:val="•"/>
      <w:lvlJc w:val="left"/>
      <w:pPr>
        <w:tabs>
          <w:tab w:val="num" w:pos="720"/>
        </w:tabs>
        <w:ind w:left="720" w:hanging="360"/>
      </w:pPr>
      <w:rPr>
        <w:rFonts w:ascii="Arial" w:hAnsi="Arial" w:hint="default"/>
      </w:rPr>
    </w:lvl>
    <w:lvl w:ilvl="1" w:tplc="A7DE8E90">
      <w:numFmt w:val="bullet"/>
      <w:lvlText w:val="•"/>
      <w:lvlJc w:val="left"/>
      <w:pPr>
        <w:tabs>
          <w:tab w:val="num" w:pos="1440"/>
        </w:tabs>
        <w:ind w:left="1440" w:hanging="360"/>
      </w:pPr>
      <w:rPr>
        <w:rFonts w:ascii="Arial" w:hAnsi="Arial" w:hint="default"/>
      </w:rPr>
    </w:lvl>
    <w:lvl w:ilvl="2" w:tplc="CBF62808" w:tentative="1">
      <w:start w:val="1"/>
      <w:numFmt w:val="bullet"/>
      <w:lvlText w:val="•"/>
      <w:lvlJc w:val="left"/>
      <w:pPr>
        <w:tabs>
          <w:tab w:val="num" w:pos="2160"/>
        </w:tabs>
        <w:ind w:left="2160" w:hanging="360"/>
      </w:pPr>
      <w:rPr>
        <w:rFonts w:ascii="Arial" w:hAnsi="Arial" w:hint="default"/>
      </w:rPr>
    </w:lvl>
    <w:lvl w:ilvl="3" w:tplc="21D69486" w:tentative="1">
      <w:start w:val="1"/>
      <w:numFmt w:val="bullet"/>
      <w:lvlText w:val="•"/>
      <w:lvlJc w:val="left"/>
      <w:pPr>
        <w:tabs>
          <w:tab w:val="num" w:pos="2880"/>
        </w:tabs>
        <w:ind w:left="2880" w:hanging="360"/>
      </w:pPr>
      <w:rPr>
        <w:rFonts w:ascii="Arial" w:hAnsi="Arial" w:hint="default"/>
      </w:rPr>
    </w:lvl>
    <w:lvl w:ilvl="4" w:tplc="6324C51A" w:tentative="1">
      <w:start w:val="1"/>
      <w:numFmt w:val="bullet"/>
      <w:lvlText w:val="•"/>
      <w:lvlJc w:val="left"/>
      <w:pPr>
        <w:tabs>
          <w:tab w:val="num" w:pos="3600"/>
        </w:tabs>
        <w:ind w:left="3600" w:hanging="360"/>
      </w:pPr>
      <w:rPr>
        <w:rFonts w:ascii="Arial" w:hAnsi="Arial" w:hint="default"/>
      </w:rPr>
    </w:lvl>
    <w:lvl w:ilvl="5" w:tplc="2CA65134" w:tentative="1">
      <w:start w:val="1"/>
      <w:numFmt w:val="bullet"/>
      <w:lvlText w:val="•"/>
      <w:lvlJc w:val="left"/>
      <w:pPr>
        <w:tabs>
          <w:tab w:val="num" w:pos="4320"/>
        </w:tabs>
        <w:ind w:left="4320" w:hanging="360"/>
      </w:pPr>
      <w:rPr>
        <w:rFonts w:ascii="Arial" w:hAnsi="Arial" w:hint="default"/>
      </w:rPr>
    </w:lvl>
    <w:lvl w:ilvl="6" w:tplc="D2189A20" w:tentative="1">
      <w:start w:val="1"/>
      <w:numFmt w:val="bullet"/>
      <w:lvlText w:val="•"/>
      <w:lvlJc w:val="left"/>
      <w:pPr>
        <w:tabs>
          <w:tab w:val="num" w:pos="5040"/>
        </w:tabs>
        <w:ind w:left="5040" w:hanging="360"/>
      </w:pPr>
      <w:rPr>
        <w:rFonts w:ascii="Arial" w:hAnsi="Arial" w:hint="default"/>
      </w:rPr>
    </w:lvl>
    <w:lvl w:ilvl="7" w:tplc="68CCC284" w:tentative="1">
      <w:start w:val="1"/>
      <w:numFmt w:val="bullet"/>
      <w:lvlText w:val="•"/>
      <w:lvlJc w:val="left"/>
      <w:pPr>
        <w:tabs>
          <w:tab w:val="num" w:pos="5760"/>
        </w:tabs>
        <w:ind w:left="5760" w:hanging="360"/>
      </w:pPr>
      <w:rPr>
        <w:rFonts w:ascii="Arial" w:hAnsi="Arial" w:hint="default"/>
      </w:rPr>
    </w:lvl>
    <w:lvl w:ilvl="8" w:tplc="D37252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1821F2"/>
    <w:multiLevelType w:val="multilevel"/>
    <w:tmpl w:val="F78A12BE"/>
    <w:lvl w:ilvl="0">
      <w:start w:val="1"/>
      <w:numFmt w:val="bullet"/>
      <w:lvlText w:val=""/>
      <w:lvlJc w:val="left"/>
      <w:pPr>
        <w:ind w:left="720" w:hanging="72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6C1ADB"/>
    <w:multiLevelType w:val="hybridMultilevel"/>
    <w:tmpl w:val="F816FD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B6274A"/>
    <w:multiLevelType w:val="hybridMultilevel"/>
    <w:tmpl w:val="D68C5E22"/>
    <w:lvl w:ilvl="0" w:tplc="DCFAE39E">
      <w:start w:val="1"/>
      <w:numFmt w:val="decimal"/>
      <w:lvlText w:val="%1."/>
      <w:lvlJc w:val="left"/>
      <w:pPr>
        <w:ind w:left="360" w:hanging="360"/>
      </w:pPr>
      <w:rPr>
        <w:rFonts w:hint="default"/>
        <w:b w:val="0"/>
        <w:bCs w:val="0"/>
        <w:i/>
        <w:iCs/>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B87970"/>
    <w:multiLevelType w:val="hybridMultilevel"/>
    <w:tmpl w:val="20104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103E1F"/>
    <w:multiLevelType w:val="hybridMultilevel"/>
    <w:tmpl w:val="D08AD6A6"/>
    <w:lvl w:ilvl="0" w:tplc="436289AC">
      <w:start w:val="1"/>
      <w:numFmt w:val="bullet"/>
      <w:lvlText w:val="•"/>
      <w:lvlJc w:val="left"/>
      <w:pPr>
        <w:tabs>
          <w:tab w:val="num" w:pos="720"/>
        </w:tabs>
        <w:ind w:left="720" w:hanging="360"/>
      </w:pPr>
      <w:rPr>
        <w:rFonts w:ascii="Arial" w:hAnsi="Arial" w:hint="default"/>
      </w:rPr>
    </w:lvl>
    <w:lvl w:ilvl="1" w:tplc="0DC21FC2" w:tentative="1">
      <w:start w:val="1"/>
      <w:numFmt w:val="bullet"/>
      <w:lvlText w:val="•"/>
      <w:lvlJc w:val="left"/>
      <w:pPr>
        <w:tabs>
          <w:tab w:val="num" w:pos="1440"/>
        </w:tabs>
        <w:ind w:left="1440" w:hanging="360"/>
      </w:pPr>
      <w:rPr>
        <w:rFonts w:ascii="Arial" w:hAnsi="Arial" w:hint="default"/>
      </w:rPr>
    </w:lvl>
    <w:lvl w:ilvl="2" w:tplc="E050DB06" w:tentative="1">
      <w:start w:val="1"/>
      <w:numFmt w:val="bullet"/>
      <w:lvlText w:val="•"/>
      <w:lvlJc w:val="left"/>
      <w:pPr>
        <w:tabs>
          <w:tab w:val="num" w:pos="2160"/>
        </w:tabs>
        <w:ind w:left="2160" w:hanging="360"/>
      </w:pPr>
      <w:rPr>
        <w:rFonts w:ascii="Arial" w:hAnsi="Arial" w:hint="default"/>
      </w:rPr>
    </w:lvl>
    <w:lvl w:ilvl="3" w:tplc="0958C17C" w:tentative="1">
      <w:start w:val="1"/>
      <w:numFmt w:val="bullet"/>
      <w:lvlText w:val="•"/>
      <w:lvlJc w:val="left"/>
      <w:pPr>
        <w:tabs>
          <w:tab w:val="num" w:pos="2880"/>
        </w:tabs>
        <w:ind w:left="2880" w:hanging="360"/>
      </w:pPr>
      <w:rPr>
        <w:rFonts w:ascii="Arial" w:hAnsi="Arial" w:hint="default"/>
      </w:rPr>
    </w:lvl>
    <w:lvl w:ilvl="4" w:tplc="3E7A1AB0" w:tentative="1">
      <w:start w:val="1"/>
      <w:numFmt w:val="bullet"/>
      <w:lvlText w:val="•"/>
      <w:lvlJc w:val="left"/>
      <w:pPr>
        <w:tabs>
          <w:tab w:val="num" w:pos="3600"/>
        </w:tabs>
        <w:ind w:left="3600" w:hanging="360"/>
      </w:pPr>
      <w:rPr>
        <w:rFonts w:ascii="Arial" w:hAnsi="Arial" w:hint="default"/>
      </w:rPr>
    </w:lvl>
    <w:lvl w:ilvl="5" w:tplc="53E28D4A" w:tentative="1">
      <w:start w:val="1"/>
      <w:numFmt w:val="bullet"/>
      <w:lvlText w:val="•"/>
      <w:lvlJc w:val="left"/>
      <w:pPr>
        <w:tabs>
          <w:tab w:val="num" w:pos="4320"/>
        </w:tabs>
        <w:ind w:left="4320" w:hanging="360"/>
      </w:pPr>
      <w:rPr>
        <w:rFonts w:ascii="Arial" w:hAnsi="Arial" w:hint="default"/>
      </w:rPr>
    </w:lvl>
    <w:lvl w:ilvl="6" w:tplc="BA0C008A" w:tentative="1">
      <w:start w:val="1"/>
      <w:numFmt w:val="bullet"/>
      <w:lvlText w:val="•"/>
      <w:lvlJc w:val="left"/>
      <w:pPr>
        <w:tabs>
          <w:tab w:val="num" w:pos="5040"/>
        </w:tabs>
        <w:ind w:left="5040" w:hanging="360"/>
      </w:pPr>
      <w:rPr>
        <w:rFonts w:ascii="Arial" w:hAnsi="Arial" w:hint="default"/>
      </w:rPr>
    </w:lvl>
    <w:lvl w:ilvl="7" w:tplc="1F986EFC" w:tentative="1">
      <w:start w:val="1"/>
      <w:numFmt w:val="bullet"/>
      <w:lvlText w:val="•"/>
      <w:lvlJc w:val="left"/>
      <w:pPr>
        <w:tabs>
          <w:tab w:val="num" w:pos="5760"/>
        </w:tabs>
        <w:ind w:left="5760" w:hanging="360"/>
      </w:pPr>
      <w:rPr>
        <w:rFonts w:ascii="Arial" w:hAnsi="Arial" w:hint="default"/>
      </w:rPr>
    </w:lvl>
    <w:lvl w:ilvl="8" w:tplc="2EFE19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4974F0"/>
    <w:multiLevelType w:val="hybridMultilevel"/>
    <w:tmpl w:val="731C5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932EE"/>
    <w:multiLevelType w:val="hybridMultilevel"/>
    <w:tmpl w:val="37482C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04AD8"/>
    <w:multiLevelType w:val="hybridMultilevel"/>
    <w:tmpl w:val="E60864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2D1E7C"/>
    <w:multiLevelType w:val="hybridMultilevel"/>
    <w:tmpl w:val="51DE31B0"/>
    <w:lvl w:ilvl="0" w:tplc="B5840700">
      <w:start w:val="1"/>
      <w:numFmt w:val="bullet"/>
      <w:lvlText w:val="•"/>
      <w:lvlJc w:val="left"/>
      <w:pPr>
        <w:tabs>
          <w:tab w:val="num" w:pos="720"/>
        </w:tabs>
        <w:ind w:left="720" w:hanging="360"/>
      </w:pPr>
      <w:rPr>
        <w:rFonts w:ascii="Arial" w:hAnsi="Arial" w:hint="default"/>
      </w:rPr>
    </w:lvl>
    <w:lvl w:ilvl="1" w:tplc="D71A90D6">
      <w:start w:val="1"/>
      <w:numFmt w:val="bullet"/>
      <w:lvlText w:val="•"/>
      <w:lvlJc w:val="left"/>
      <w:pPr>
        <w:tabs>
          <w:tab w:val="num" w:pos="1440"/>
        </w:tabs>
        <w:ind w:left="1440" w:hanging="360"/>
      </w:pPr>
      <w:rPr>
        <w:rFonts w:ascii="Arial" w:hAnsi="Arial" w:hint="default"/>
      </w:rPr>
    </w:lvl>
    <w:lvl w:ilvl="2" w:tplc="0F0ECA20" w:tentative="1">
      <w:start w:val="1"/>
      <w:numFmt w:val="bullet"/>
      <w:lvlText w:val="•"/>
      <w:lvlJc w:val="left"/>
      <w:pPr>
        <w:tabs>
          <w:tab w:val="num" w:pos="2160"/>
        </w:tabs>
        <w:ind w:left="2160" w:hanging="360"/>
      </w:pPr>
      <w:rPr>
        <w:rFonts w:ascii="Arial" w:hAnsi="Arial" w:hint="default"/>
      </w:rPr>
    </w:lvl>
    <w:lvl w:ilvl="3" w:tplc="D4A0879A" w:tentative="1">
      <w:start w:val="1"/>
      <w:numFmt w:val="bullet"/>
      <w:lvlText w:val="•"/>
      <w:lvlJc w:val="left"/>
      <w:pPr>
        <w:tabs>
          <w:tab w:val="num" w:pos="2880"/>
        </w:tabs>
        <w:ind w:left="2880" w:hanging="360"/>
      </w:pPr>
      <w:rPr>
        <w:rFonts w:ascii="Arial" w:hAnsi="Arial" w:hint="default"/>
      </w:rPr>
    </w:lvl>
    <w:lvl w:ilvl="4" w:tplc="ABA692D0" w:tentative="1">
      <w:start w:val="1"/>
      <w:numFmt w:val="bullet"/>
      <w:lvlText w:val="•"/>
      <w:lvlJc w:val="left"/>
      <w:pPr>
        <w:tabs>
          <w:tab w:val="num" w:pos="3600"/>
        </w:tabs>
        <w:ind w:left="3600" w:hanging="360"/>
      </w:pPr>
      <w:rPr>
        <w:rFonts w:ascii="Arial" w:hAnsi="Arial" w:hint="default"/>
      </w:rPr>
    </w:lvl>
    <w:lvl w:ilvl="5" w:tplc="D37E2A70" w:tentative="1">
      <w:start w:val="1"/>
      <w:numFmt w:val="bullet"/>
      <w:lvlText w:val="•"/>
      <w:lvlJc w:val="left"/>
      <w:pPr>
        <w:tabs>
          <w:tab w:val="num" w:pos="4320"/>
        </w:tabs>
        <w:ind w:left="4320" w:hanging="360"/>
      </w:pPr>
      <w:rPr>
        <w:rFonts w:ascii="Arial" w:hAnsi="Arial" w:hint="default"/>
      </w:rPr>
    </w:lvl>
    <w:lvl w:ilvl="6" w:tplc="8AD81BB6" w:tentative="1">
      <w:start w:val="1"/>
      <w:numFmt w:val="bullet"/>
      <w:lvlText w:val="•"/>
      <w:lvlJc w:val="left"/>
      <w:pPr>
        <w:tabs>
          <w:tab w:val="num" w:pos="5040"/>
        </w:tabs>
        <w:ind w:left="5040" w:hanging="360"/>
      </w:pPr>
      <w:rPr>
        <w:rFonts w:ascii="Arial" w:hAnsi="Arial" w:hint="default"/>
      </w:rPr>
    </w:lvl>
    <w:lvl w:ilvl="7" w:tplc="7B644E46" w:tentative="1">
      <w:start w:val="1"/>
      <w:numFmt w:val="bullet"/>
      <w:lvlText w:val="•"/>
      <w:lvlJc w:val="left"/>
      <w:pPr>
        <w:tabs>
          <w:tab w:val="num" w:pos="5760"/>
        </w:tabs>
        <w:ind w:left="5760" w:hanging="360"/>
      </w:pPr>
      <w:rPr>
        <w:rFonts w:ascii="Arial" w:hAnsi="Arial" w:hint="default"/>
      </w:rPr>
    </w:lvl>
    <w:lvl w:ilvl="8" w:tplc="2A4E5C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6C21F8"/>
    <w:multiLevelType w:val="multilevel"/>
    <w:tmpl w:val="E67829AE"/>
    <w:lvl w:ilvl="0">
      <w:start w:val="6"/>
      <w:numFmt w:val="decimal"/>
      <w:lvlText w:val="%1"/>
      <w:lvlJc w:val="left"/>
      <w:pPr>
        <w:ind w:left="420" w:hanging="420"/>
      </w:pPr>
      <w:rPr>
        <w:rFonts w:hint="default"/>
        <w:i w:val="0"/>
      </w:rPr>
    </w:lvl>
    <w:lvl w:ilvl="1">
      <w:start w:val="55"/>
      <w:numFmt w:val="decimal"/>
      <w:lvlText w:val="%1.%2"/>
      <w:lvlJc w:val="left"/>
      <w:pPr>
        <w:ind w:left="4956" w:hanging="420"/>
      </w:pPr>
      <w:rPr>
        <w:rFonts w:asciiTheme="minorHAnsi" w:hAnsiTheme="minorHAnsi" w:cstheme="minorHAnsi" w:hint="default"/>
        <w:b w:val="0"/>
        <w:bCs/>
        <w:i w:val="0"/>
        <w:color w:val="auto"/>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4" w15:restartNumberingAfterBreak="0">
    <w:nsid w:val="329259DF"/>
    <w:multiLevelType w:val="hybridMultilevel"/>
    <w:tmpl w:val="68B6A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F46B50"/>
    <w:multiLevelType w:val="hybridMultilevel"/>
    <w:tmpl w:val="6D6ADBF4"/>
    <w:lvl w:ilvl="0" w:tplc="0C090001">
      <w:start w:val="1"/>
      <w:numFmt w:val="bullet"/>
      <w:lvlText w:val=""/>
      <w:lvlJc w:val="left"/>
      <w:pPr>
        <w:ind w:left="408" w:hanging="360"/>
      </w:pPr>
      <w:rPr>
        <w:rFonts w:ascii="Symbol" w:hAnsi="Symbol" w:hint="default"/>
      </w:rPr>
    </w:lvl>
    <w:lvl w:ilvl="1" w:tplc="0C090001">
      <w:start w:val="1"/>
      <w:numFmt w:val="bullet"/>
      <w:lvlText w:val=""/>
      <w:lvlJc w:val="left"/>
      <w:pPr>
        <w:ind w:left="1128" w:hanging="360"/>
      </w:pPr>
      <w:rPr>
        <w:rFonts w:ascii="Symbol" w:hAnsi="Symbol"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6" w15:restartNumberingAfterBreak="0">
    <w:nsid w:val="357A3668"/>
    <w:multiLevelType w:val="multilevel"/>
    <w:tmpl w:val="5770F318"/>
    <w:lvl w:ilvl="0">
      <w:start w:val="7"/>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7C030A"/>
    <w:multiLevelType w:val="hybridMultilevel"/>
    <w:tmpl w:val="9B48A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073E40"/>
    <w:multiLevelType w:val="hybridMultilevel"/>
    <w:tmpl w:val="ACFCC8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7851A6C"/>
    <w:multiLevelType w:val="hybridMultilevel"/>
    <w:tmpl w:val="8E2A8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C06BAD"/>
    <w:multiLevelType w:val="hybridMultilevel"/>
    <w:tmpl w:val="27DC7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87C89"/>
    <w:multiLevelType w:val="multilevel"/>
    <w:tmpl w:val="F7B0CA3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376C72"/>
    <w:multiLevelType w:val="hybridMultilevel"/>
    <w:tmpl w:val="669AA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D32A3D"/>
    <w:multiLevelType w:val="multilevel"/>
    <w:tmpl w:val="7780D0E2"/>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61BCC"/>
    <w:multiLevelType w:val="multilevel"/>
    <w:tmpl w:val="7ABC2332"/>
    <w:lvl w:ilvl="0">
      <w:start w:val="6"/>
      <w:numFmt w:val="decimal"/>
      <w:lvlText w:val="%1"/>
      <w:lvlJc w:val="left"/>
      <w:pPr>
        <w:ind w:left="420" w:hanging="420"/>
      </w:pPr>
      <w:rPr>
        <w:rFonts w:hint="default"/>
        <w:i w:val="0"/>
      </w:rPr>
    </w:lvl>
    <w:lvl w:ilvl="1">
      <w:start w:val="85"/>
      <w:numFmt w:val="decimal"/>
      <w:lvlText w:val="%1.%2"/>
      <w:lvlJc w:val="left"/>
      <w:pPr>
        <w:ind w:left="4956" w:hanging="420"/>
      </w:pPr>
      <w:rPr>
        <w:rFonts w:asciiTheme="minorHAnsi" w:hAnsiTheme="minorHAnsi" w:cstheme="minorHAnsi" w:hint="default"/>
        <w:b w:val="0"/>
        <w:bCs/>
        <w:i w:val="0"/>
        <w:color w:val="auto"/>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7" w15:restartNumberingAfterBreak="0">
    <w:nsid w:val="5020133B"/>
    <w:multiLevelType w:val="hybridMultilevel"/>
    <w:tmpl w:val="C840DD8C"/>
    <w:lvl w:ilvl="0" w:tplc="EF88D37C">
      <w:start w:val="1"/>
      <w:numFmt w:val="bullet"/>
      <w:lvlText w:val="•"/>
      <w:lvlJc w:val="left"/>
      <w:pPr>
        <w:tabs>
          <w:tab w:val="num" w:pos="720"/>
        </w:tabs>
        <w:ind w:left="720" w:hanging="360"/>
      </w:pPr>
      <w:rPr>
        <w:rFonts w:ascii="Arial" w:hAnsi="Arial" w:hint="default"/>
      </w:rPr>
    </w:lvl>
    <w:lvl w:ilvl="1" w:tplc="DB806A0E" w:tentative="1">
      <w:start w:val="1"/>
      <w:numFmt w:val="bullet"/>
      <w:lvlText w:val="•"/>
      <w:lvlJc w:val="left"/>
      <w:pPr>
        <w:tabs>
          <w:tab w:val="num" w:pos="1440"/>
        </w:tabs>
        <w:ind w:left="1440" w:hanging="360"/>
      </w:pPr>
      <w:rPr>
        <w:rFonts w:ascii="Arial" w:hAnsi="Arial" w:hint="default"/>
      </w:rPr>
    </w:lvl>
    <w:lvl w:ilvl="2" w:tplc="1656223A" w:tentative="1">
      <w:start w:val="1"/>
      <w:numFmt w:val="bullet"/>
      <w:lvlText w:val="•"/>
      <w:lvlJc w:val="left"/>
      <w:pPr>
        <w:tabs>
          <w:tab w:val="num" w:pos="2160"/>
        </w:tabs>
        <w:ind w:left="2160" w:hanging="360"/>
      </w:pPr>
      <w:rPr>
        <w:rFonts w:ascii="Arial" w:hAnsi="Arial" w:hint="default"/>
      </w:rPr>
    </w:lvl>
    <w:lvl w:ilvl="3" w:tplc="94483BAE" w:tentative="1">
      <w:start w:val="1"/>
      <w:numFmt w:val="bullet"/>
      <w:lvlText w:val="•"/>
      <w:lvlJc w:val="left"/>
      <w:pPr>
        <w:tabs>
          <w:tab w:val="num" w:pos="2880"/>
        </w:tabs>
        <w:ind w:left="2880" w:hanging="360"/>
      </w:pPr>
      <w:rPr>
        <w:rFonts w:ascii="Arial" w:hAnsi="Arial" w:hint="default"/>
      </w:rPr>
    </w:lvl>
    <w:lvl w:ilvl="4" w:tplc="07F6A892" w:tentative="1">
      <w:start w:val="1"/>
      <w:numFmt w:val="bullet"/>
      <w:lvlText w:val="•"/>
      <w:lvlJc w:val="left"/>
      <w:pPr>
        <w:tabs>
          <w:tab w:val="num" w:pos="3600"/>
        </w:tabs>
        <w:ind w:left="3600" w:hanging="360"/>
      </w:pPr>
      <w:rPr>
        <w:rFonts w:ascii="Arial" w:hAnsi="Arial" w:hint="default"/>
      </w:rPr>
    </w:lvl>
    <w:lvl w:ilvl="5" w:tplc="615ED8BA" w:tentative="1">
      <w:start w:val="1"/>
      <w:numFmt w:val="bullet"/>
      <w:lvlText w:val="•"/>
      <w:lvlJc w:val="left"/>
      <w:pPr>
        <w:tabs>
          <w:tab w:val="num" w:pos="4320"/>
        </w:tabs>
        <w:ind w:left="4320" w:hanging="360"/>
      </w:pPr>
      <w:rPr>
        <w:rFonts w:ascii="Arial" w:hAnsi="Arial" w:hint="default"/>
      </w:rPr>
    </w:lvl>
    <w:lvl w:ilvl="6" w:tplc="F25E902E" w:tentative="1">
      <w:start w:val="1"/>
      <w:numFmt w:val="bullet"/>
      <w:lvlText w:val="•"/>
      <w:lvlJc w:val="left"/>
      <w:pPr>
        <w:tabs>
          <w:tab w:val="num" w:pos="5040"/>
        </w:tabs>
        <w:ind w:left="5040" w:hanging="360"/>
      </w:pPr>
      <w:rPr>
        <w:rFonts w:ascii="Arial" w:hAnsi="Arial" w:hint="default"/>
      </w:rPr>
    </w:lvl>
    <w:lvl w:ilvl="7" w:tplc="A34E899E" w:tentative="1">
      <w:start w:val="1"/>
      <w:numFmt w:val="bullet"/>
      <w:lvlText w:val="•"/>
      <w:lvlJc w:val="left"/>
      <w:pPr>
        <w:tabs>
          <w:tab w:val="num" w:pos="5760"/>
        </w:tabs>
        <w:ind w:left="5760" w:hanging="360"/>
      </w:pPr>
      <w:rPr>
        <w:rFonts w:ascii="Arial" w:hAnsi="Arial" w:hint="default"/>
      </w:rPr>
    </w:lvl>
    <w:lvl w:ilvl="8" w:tplc="F5C2A1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C84F38"/>
    <w:multiLevelType w:val="hybridMultilevel"/>
    <w:tmpl w:val="7DA810D8"/>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start w:val="1"/>
      <w:numFmt w:val="bullet"/>
      <w:lvlText w:val=""/>
      <w:lvlJc w:val="left"/>
      <w:pPr>
        <w:ind w:left="2169" w:hanging="360"/>
      </w:pPr>
      <w:rPr>
        <w:rFonts w:ascii="Wingdings" w:hAnsi="Wingdings" w:hint="default"/>
      </w:rPr>
    </w:lvl>
    <w:lvl w:ilvl="3" w:tplc="0C090001">
      <w:start w:val="1"/>
      <w:numFmt w:val="bullet"/>
      <w:lvlText w:val=""/>
      <w:lvlJc w:val="left"/>
      <w:pPr>
        <w:ind w:left="2889" w:hanging="360"/>
      </w:pPr>
      <w:rPr>
        <w:rFonts w:ascii="Symbol" w:hAnsi="Symbol" w:hint="default"/>
      </w:rPr>
    </w:lvl>
    <w:lvl w:ilvl="4" w:tplc="0C090003">
      <w:start w:val="1"/>
      <w:numFmt w:val="bullet"/>
      <w:lvlText w:val="o"/>
      <w:lvlJc w:val="left"/>
      <w:pPr>
        <w:ind w:left="3609" w:hanging="360"/>
      </w:pPr>
      <w:rPr>
        <w:rFonts w:ascii="Courier New" w:hAnsi="Courier New" w:cs="Courier New" w:hint="default"/>
      </w:rPr>
    </w:lvl>
    <w:lvl w:ilvl="5" w:tplc="0C090005">
      <w:start w:val="1"/>
      <w:numFmt w:val="bullet"/>
      <w:lvlText w:val=""/>
      <w:lvlJc w:val="left"/>
      <w:pPr>
        <w:ind w:left="4329" w:hanging="360"/>
      </w:pPr>
      <w:rPr>
        <w:rFonts w:ascii="Wingdings" w:hAnsi="Wingdings" w:hint="default"/>
      </w:rPr>
    </w:lvl>
    <w:lvl w:ilvl="6" w:tplc="0C090001">
      <w:start w:val="1"/>
      <w:numFmt w:val="bullet"/>
      <w:lvlText w:val=""/>
      <w:lvlJc w:val="left"/>
      <w:pPr>
        <w:ind w:left="5049" w:hanging="360"/>
      </w:pPr>
      <w:rPr>
        <w:rFonts w:ascii="Symbol" w:hAnsi="Symbol" w:hint="default"/>
      </w:rPr>
    </w:lvl>
    <w:lvl w:ilvl="7" w:tplc="0C090003">
      <w:start w:val="1"/>
      <w:numFmt w:val="bullet"/>
      <w:lvlText w:val="o"/>
      <w:lvlJc w:val="left"/>
      <w:pPr>
        <w:ind w:left="5769" w:hanging="360"/>
      </w:pPr>
      <w:rPr>
        <w:rFonts w:ascii="Courier New" w:hAnsi="Courier New" w:cs="Courier New" w:hint="default"/>
      </w:rPr>
    </w:lvl>
    <w:lvl w:ilvl="8" w:tplc="0C090005">
      <w:start w:val="1"/>
      <w:numFmt w:val="bullet"/>
      <w:lvlText w:val=""/>
      <w:lvlJc w:val="left"/>
      <w:pPr>
        <w:ind w:left="6489" w:hanging="360"/>
      </w:pPr>
      <w:rPr>
        <w:rFonts w:ascii="Wingdings" w:hAnsi="Wingdings" w:hint="default"/>
      </w:rPr>
    </w:lvl>
  </w:abstractNum>
  <w:abstractNum w:abstractNumId="29" w15:restartNumberingAfterBreak="0">
    <w:nsid w:val="516016CD"/>
    <w:multiLevelType w:val="multilevel"/>
    <w:tmpl w:val="F7B0CA3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8451D5"/>
    <w:multiLevelType w:val="hybridMultilevel"/>
    <w:tmpl w:val="CA62C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6C19F7"/>
    <w:multiLevelType w:val="hybridMultilevel"/>
    <w:tmpl w:val="D8EC929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E77434B"/>
    <w:multiLevelType w:val="hybridMultilevel"/>
    <w:tmpl w:val="B1ACA78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F520C79"/>
    <w:multiLevelType w:val="multilevel"/>
    <w:tmpl w:val="6870F71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7FF7271"/>
    <w:multiLevelType w:val="hybridMultilevel"/>
    <w:tmpl w:val="619610F0"/>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7343B"/>
    <w:multiLevelType w:val="hybridMultilevel"/>
    <w:tmpl w:val="CF2A1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F22442"/>
    <w:multiLevelType w:val="hybridMultilevel"/>
    <w:tmpl w:val="421EFE0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A61C3E"/>
    <w:multiLevelType w:val="multilevel"/>
    <w:tmpl w:val="7780D0E2"/>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BA2F2E"/>
    <w:multiLevelType w:val="multilevel"/>
    <w:tmpl w:val="56FE9EE4"/>
    <w:lvl w:ilvl="0">
      <w:start w:val="6"/>
      <w:numFmt w:val="decimal"/>
      <w:lvlText w:val="%1"/>
      <w:lvlJc w:val="left"/>
      <w:pPr>
        <w:ind w:left="420" w:hanging="420"/>
      </w:pPr>
      <w:rPr>
        <w:rFonts w:hint="default"/>
        <w:i w:val="0"/>
      </w:rPr>
    </w:lvl>
    <w:lvl w:ilvl="1">
      <w:start w:val="1"/>
      <w:numFmt w:val="bullet"/>
      <w:lvlText w:val=""/>
      <w:lvlJc w:val="left"/>
      <w:pPr>
        <w:ind w:left="420" w:hanging="420"/>
      </w:pPr>
      <w:rPr>
        <w:rFonts w:ascii="Symbol" w:hAnsi="Symbo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2" w15:restartNumberingAfterBreak="0">
    <w:nsid w:val="784D033C"/>
    <w:multiLevelType w:val="multilevel"/>
    <w:tmpl w:val="45FC285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5313A9"/>
    <w:multiLevelType w:val="multilevel"/>
    <w:tmpl w:val="E19CAD32"/>
    <w:lvl w:ilvl="0">
      <w:start w:val="6"/>
      <w:numFmt w:val="decimal"/>
      <w:lvlText w:val="%1"/>
      <w:lvlJc w:val="left"/>
      <w:pPr>
        <w:ind w:left="720" w:hanging="720"/>
      </w:pPr>
      <w:rPr>
        <w:rFonts w:hint="default"/>
        <w:b/>
      </w:rPr>
    </w:lvl>
    <w:lvl w:ilvl="1">
      <w:start w:val="79"/>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206EAB"/>
    <w:multiLevelType w:val="hybridMultilevel"/>
    <w:tmpl w:val="DAEADDA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5" w15:restartNumberingAfterBreak="0">
    <w:nsid w:val="7E4D236A"/>
    <w:multiLevelType w:val="hybridMultilevel"/>
    <w:tmpl w:val="8DD47C8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6"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42"/>
  </w:num>
  <w:num w:numId="2">
    <w:abstractNumId w:val="24"/>
  </w:num>
  <w:num w:numId="3">
    <w:abstractNumId w:val="25"/>
  </w:num>
  <w:num w:numId="4">
    <w:abstractNumId w:val="22"/>
  </w:num>
  <w:num w:numId="5">
    <w:abstractNumId w:val="11"/>
  </w:num>
  <w:num w:numId="6">
    <w:abstractNumId w:val="18"/>
  </w:num>
  <w:num w:numId="7">
    <w:abstractNumId w:val="28"/>
  </w:num>
  <w:num w:numId="8">
    <w:abstractNumId w:val="9"/>
  </w:num>
  <w:num w:numId="9">
    <w:abstractNumId w:val="17"/>
  </w:num>
  <w:num w:numId="10">
    <w:abstractNumId w:val="29"/>
  </w:num>
  <w:num w:numId="11">
    <w:abstractNumId w:val="21"/>
  </w:num>
  <w:num w:numId="12">
    <w:abstractNumId w:val="4"/>
  </w:num>
  <w:num w:numId="13">
    <w:abstractNumId w:val="2"/>
  </w:num>
  <w:num w:numId="14">
    <w:abstractNumId w:val="35"/>
  </w:num>
  <w:num w:numId="15">
    <w:abstractNumId w:val="33"/>
  </w:num>
  <w:num w:numId="16">
    <w:abstractNumId w:val="20"/>
  </w:num>
  <w:num w:numId="17">
    <w:abstractNumId w:val="32"/>
  </w:num>
  <w:num w:numId="18">
    <w:abstractNumId w:val="6"/>
  </w:num>
  <w:num w:numId="19">
    <w:abstractNumId w:val="46"/>
  </w:num>
  <w:num w:numId="20">
    <w:abstractNumId w:val="1"/>
  </w:num>
  <w:num w:numId="21">
    <w:abstractNumId w:val="39"/>
  </w:num>
  <w:num w:numId="22">
    <w:abstractNumId w:val="13"/>
  </w:num>
  <w:num w:numId="23">
    <w:abstractNumId w:val="34"/>
  </w:num>
  <w:num w:numId="24">
    <w:abstractNumId w:val="10"/>
  </w:num>
  <w:num w:numId="25">
    <w:abstractNumId w:val="41"/>
  </w:num>
  <w:num w:numId="26">
    <w:abstractNumId w:val="44"/>
  </w:num>
  <w:num w:numId="27">
    <w:abstractNumId w:val="45"/>
  </w:num>
  <w:num w:numId="28">
    <w:abstractNumId w:val="30"/>
  </w:num>
  <w:num w:numId="29">
    <w:abstractNumId w:val="31"/>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2"/>
  </w:num>
  <w:num w:numId="33">
    <w:abstractNumId w:val="3"/>
  </w:num>
  <w:num w:numId="34">
    <w:abstractNumId w:val="37"/>
  </w:num>
  <w:num w:numId="35">
    <w:abstractNumId w:val="7"/>
  </w:num>
  <w:num w:numId="36">
    <w:abstractNumId w:val="38"/>
  </w:num>
  <w:num w:numId="37">
    <w:abstractNumId w:val="8"/>
  </w:num>
  <w:num w:numId="38">
    <w:abstractNumId w:val="27"/>
  </w:num>
  <w:num w:numId="39">
    <w:abstractNumId w:val="15"/>
  </w:num>
  <w:num w:numId="40">
    <w:abstractNumId w:val="40"/>
  </w:num>
  <w:num w:numId="41">
    <w:abstractNumId w:val="19"/>
  </w:num>
  <w:num w:numId="42">
    <w:abstractNumId w:val="14"/>
  </w:num>
  <w:num w:numId="43">
    <w:abstractNumId w:val="23"/>
  </w:num>
  <w:num w:numId="44">
    <w:abstractNumId w:val="43"/>
  </w:num>
  <w:num w:numId="45">
    <w:abstractNumId w:val="26"/>
  </w:num>
  <w:num w:numId="46">
    <w:abstractNumId w:val="16"/>
  </w:num>
  <w:num w:numId="4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0E"/>
    <w:rsid w:val="00000790"/>
    <w:rsid w:val="0000110B"/>
    <w:rsid w:val="00002AF1"/>
    <w:rsid w:val="0000313F"/>
    <w:rsid w:val="00003499"/>
    <w:rsid w:val="000039B7"/>
    <w:rsid w:val="00004F33"/>
    <w:rsid w:val="000058CC"/>
    <w:rsid w:val="00005F6B"/>
    <w:rsid w:val="0000639A"/>
    <w:rsid w:val="00007A3C"/>
    <w:rsid w:val="00007C4F"/>
    <w:rsid w:val="00007EA3"/>
    <w:rsid w:val="000115BD"/>
    <w:rsid w:val="00011D78"/>
    <w:rsid w:val="00012E8C"/>
    <w:rsid w:val="00013247"/>
    <w:rsid w:val="000132C2"/>
    <w:rsid w:val="00014EEE"/>
    <w:rsid w:val="00015112"/>
    <w:rsid w:val="0001560B"/>
    <w:rsid w:val="00015886"/>
    <w:rsid w:val="000162EF"/>
    <w:rsid w:val="00016513"/>
    <w:rsid w:val="000207C9"/>
    <w:rsid w:val="0002108F"/>
    <w:rsid w:val="0002225F"/>
    <w:rsid w:val="00023763"/>
    <w:rsid w:val="00023CE8"/>
    <w:rsid w:val="00025D2F"/>
    <w:rsid w:val="000274B8"/>
    <w:rsid w:val="000312FA"/>
    <w:rsid w:val="00033784"/>
    <w:rsid w:val="00033863"/>
    <w:rsid w:val="00035C13"/>
    <w:rsid w:val="00035DC0"/>
    <w:rsid w:val="00036829"/>
    <w:rsid w:val="00040895"/>
    <w:rsid w:val="00042836"/>
    <w:rsid w:val="00042BA5"/>
    <w:rsid w:val="000433A9"/>
    <w:rsid w:val="000435EE"/>
    <w:rsid w:val="00043C37"/>
    <w:rsid w:val="00044515"/>
    <w:rsid w:val="00045017"/>
    <w:rsid w:val="00045A2B"/>
    <w:rsid w:val="00046622"/>
    <w:rsid w:val="0004698F"/>
    <w:rsid w:val="0005059F"/>
    <w:rsid w:val="0005239A"/>
    <w:rsid w:val="00052A13"/>
    <w:rsid w:val="0005335B"/>
    <w:rsid w:val="000539D0"/>
    <w:rsid w:val="00054621"/>
    <w:rsid w:val="000546D7"/>
    <w:rsid w:val="00054CE4"/>
    <w:rsid w:val="000555FD"/>
    <w:rsid w:val="00056ECF"/>
    <w:rsid w:val="00057189"/>
    <w:rsid w:val="000602FB"/>
    <w:rsid w:val="000604DF"/>
    <w:rsid w:val="00060577"/>
    <w:rsid w:val="00061384"/>
    <w:rsid w:val="000625C5"/>
    <w:rsid w:val="00064C4E"/>
    <w:rsid w:val="00064DF3"/>
    <w:rsid w:val="000653B5"/>
    <w:rsid w:val="00065D1D"/>
    <w:rsid w:val="00066360"/>
    <w:rsid w:val="00066AF8"/>
    <w:rsid w:val="00067EA7"/>
    <w:rsid w:val="00070006"/>
    <w:rsid w:val="00070519"/>
    <w:rsid w:val="00071248"/>
    <w:rsid w:val="000720B9"/>
    <w:rsid w:val="000737F7"/>
    <w:rsid w:val="000758C2"/>
    <w:rsid w:val="0007672F"/>
    <w:rsid w:val="000768DF"/>
    <w:rsid w:val="00076B54"/>
    <w:rsid w:val="00077250"/>
    <w:rsid w:val="000774F0"/>
    <w:rsid w:val="00080909"/>
    <w:rsid w:val="000812CA"/>
    <w:rsid w:val="0008170A"/>
    <w:rsid w:val="00081E63"/>
    <w:rsid w:val="0008258D"/>
    <w:rsid w:val="00083E99"/>
    <w:rsid w:val="00084CB9"/>
    <w:rsid w:val="00084FA8"/>
    <w:rsid w:val="000856C5"/>
    <w:rsid w:val="00085C31"/>
    <w:rsid w:val="00086129"/>
    <w:rsid w:val="00087900"/>
    <w:rsid w:val="000902D9"/>
    <w:rsid w:val="000906B1"/>
    <w:rsid w:val="000909EA"/>
    <w:rsid w:val="00090B8C"/>
    <w:rsid w:val="00090C7E"/>
    <w:rsid w:val="00091646"/>
    <w:rsid w:val="00092600"/>
    <w:rsid w:val="0009262B"/>
    <w:rsid w:val="00092724"/>
    <w:rsid w:val="00092F7F"/>
    <w:rsid w:val="00093310"/>
    <w:rsid w:val="000939F3"/>
    <w:rsid w:val="0009445C"/>
    <w:rsid w:val="00094A22"/>
    <w:rsid w:val="00094AC0"/>
    <w:rsid w:val="00094B4B"/>
    <w:rsid w:val="00094D24"/>
    <w:rsid w:val="00095200"/>
    <w:rsid w:val="00095FE5"/>
    <w:rsid w:val="00096284"/>
    <w:rsid w:val="000977F9"/>
    <w:rsid w:val="000A1BC0"/>
    <w:rsid w:val="000A235A"/>
    <w:rsid w:val="000A29DB"/>
    <w:rsid w:val="000A2A77"/>
    <w:rsid w:val="000A579E"/>
    <w:rsid w:val="000A5B8A"/>
    <w:rsid w:val="000A6039"/>
    <w:rsid w:val="000A7453"/>
    <w:rsid w:val="000A7D08"/>
    <w:rsid w:val="000B0121"/>
    <w:rsid w:val="000B0670"/>
    <w:rsid w:val="000B0E75"/>
    <w:rsid w:val="000B1AEF"/>
    <w:rsid w:val="000B2A58"/>
    <w:rsid w:val="000B2DCB"/>
    <w:rsid w:val="000B34D0"/>
    <w:rsid w:val="000B46D1"/>
    <w:rsid w:val="000B56C1"/>
    <w:rsid w:val="000B56E0"/>
    <w:rsid w:val="000B5CE0"/>
    <w:rsid w:val="000B6052"/>
    <w:rsid w:val="000B6CAC"/>
    <w:rsid w:val="000B7612"/>
    <w:rsid w:val="000B78AE"/>
    <w:rsid w:val="000C027D"/>
    <w:rsid w:val="000C35D4"/>
    <w:rsid w:val="000C3DF9"/>
    <w:rsid w:val="000C5566"/>
    <w:rsid w:val="000C59AD"/>
    <w:rsid w:val="000C6713"/>
    <w:rsid w:val="000C6781"/>
    <w:rsid w:val="000C7D22"/>
    <w:rsid w:val="000D1BFC"/>
    <w:rsid w:val="000D1D5D"/>
    <w:rsid w:val="000D1F9F"/>
    <w:rsid w:val="000D281A"/>
    <w:rsid w:val="000D2848"/>
    <w:rsid w:val="000D326A"/>
    <w:rsid w:val="000D3429"/>
    <w:rsid w:val="000D47FC"/>
    <w:rsid w:val="000D51FB"/>
    <w:rsid w:val="000D5B0B"/>
    <w:rsid w:val="000D63D9"/>
    <w:rsid w:val="000D750C"/>
    <w:rsid w:val="000E0640"/>
    <w:rsid w:val="000E135D"/>
    <w:rsid w:val="000E1A07"/>
    <w:rsid w:val="000E3F9B"/>
    <w:rsid w:val="000E635F"/>
    <w:rsid w:val="000E75CF"/>
    <w:rsid w:val="000F00BA"/>
    <w:rsid w:val="000F1DFD"/>
    <w:rsid w:val="000F1FDE"/>
    <w:rsid w:val="000F316A"/>
    <w:rsid w:val="000F35D9"/>
    <w:rsid w:val="000F3C74"/>
    <w:rsid w:val="000F4A84"/>
    <w:rsid w:val="000F4BB8"/>
    <w:rsid w:val="000F4FA9"/>
    <w:rsid w:val="000F4FEA"/>
    <w:rsid w:val="000F53FB"/>
    <w:rsid w:val="000F7127"/>
    <w:rsid w:val="000F7B54"/>
    <w:rsid w:val="000F7F9C"/>
    <w:rsid w:val="00100F8A"/>
    <w:rsid w:val="00102240"/>
    <w:rsid w:val="0010452E"/>
    <w:rsid w:val="00105AE2"/>
    <w:rsid w:val="001060C6"/>
    <w:rsid w:val="00106B80"/>
    <w:rsid w:val="001070D5"/>
    <w:rsid w:val="0011032E"/>
    <w:rsid w:val="0011156F"/>
    <w:rsid w:val="001127BC"/>
    <w:rsid w:val="001128F8"/>
    <w:rsid w:val="0011348B"/>
    <w:rsid w:val="001153A0"/>
    <w:rsid w:val="001156B4"/>
    <w:rsid w:val="00115982"/>
    <w:rsid w:val="00116C53"/>
    <w:rsid w:val="00121799"/>
    <w:rsid w:val="00121BA7"/>
    <w:rsid w:val="001222FC"/>
    <w:rsid w:val="0012247A"/>
    <w:rsid w:val="00123902"/>
    <w:rsid w:val="00124A51"/>
    <w:rsid w:val="00126621"/>
    <w:rsid w:val="0012670A"/>
    <w:rsid w:val="00126B1D"/>
    <w:rsid w:val="001275BA"/>
    <w:rsid w:val="001301E9"/>
    <w:rsid w:val="00131518"/>
    <w:rsid w:val="00131A39"/>
    <w:rsid w:val="00131D82"/>
    <w:rsid w:val="00132B22"/>
    <w:rsid w:val="00132D6D"/>
    <w:rsid w:val="00133D36"/>
    <w:rsid w:val="00136D34"/>
    <w:rsid w:val="00137645"/>
    <w:rsid w:val="00137DE0"/>
    <w:rsid w:val="0014015A"/>
    <w:rsid w:val="00140E99"/>
    <w:rsid w:val="001419D8"/>
    <w:rsid w:val="0014280A"/>
    <w:rsid w:val="00143F67"/>
    <w:rsid w:val="0014401A"/>
    <w:rsid w:val="00144F16"/>
    <w:rsid w:val="00145198"/>
    <w:rsid w:val="00145540"/>
    <w:rsid w:val="001456B0"/>
    <w:rsid w:val="00150981"/>
    <w:rsid w:val="001530DE"/>
    <w:rsid w:val="00156F8F"/>
    <w:rsid w:val="00157130"/>
    <w:rsid w:val="001576B1"/>
    <w:rsid w:val="00157A6D"/>
    <w:rsid w:val="0016047B"/>
    <w:rsid w:val="00160A4C"/>
    <w:rsid w:val="00161F1F"/>
    <w:rsid w:val="0016240E"/>
    <w:rsid w:val="00162913"/>
    <w:rsid w:val="00163EFF"/>
    <w:rsid w:val="00163F66"/>
    <w:rsid w:val="00165550"/>
    <w:rsid w:val="00165666"/>
    <w:rsid w:val="001661FB"/>
    <w:rsid w:val="001671A0"/>
    <w:rsid w:val="0016767F"/>
    <w:rsid w:val="00172A25"/>
    <w:rsid w:val="00172D40"/>
    <w:rsid w:val="001733D4"/>
    <w:rsid w:val="00173565"/>
    <w:rsid w:val="00173B07"/>
    <w:rsid w:val="001751FA"/>
    <w:rsid w:val="001754CB"/>
    <w:rsid w:val="00181D9C"/>
    <w:rsid w:val="001823DB"/>
    <w:rsid w:val="00183AFE"/>
    <w:rsid w:val="00183BD4"/>
    <w:rsid w:val="00184B0E"/>
    <w:rsid w:val="0018724F"/>
    <w:rsid w:val="0018752F"/>
    <w:rsid w:val="0018793A"/>
    <w:rsid w:val="00190213"/>
    <w:rsid w:val="001912A8"/>
    <w:rsid w:val="00193838"/>
    <w:rsid w:val="00194AD8"/>
    <w:rsid w:val="00195222"/>
    <w:rsid w:val="00195442"/>
    <w:rsid w:val="001975D8"/>
    <w:rsid w:val="001A0FE1"/>
    <w:rsid w:val="001A0FEE"/>
    <w:rsid w:val="001A178E"/>
    <w:rsid w:val="001A43BA"/>
    <w:rsid w:val="001A43FA"/>
    <w:rsid w:val="001A47C5"/>
    <w:rsid w:val="001A4C77"/>
    <w:rsid w:val="001A59FB"/>
    <w:rsid w:val="001A5E9E"/>
    <w:rsid w:val="001A6354"/>
    <w:rsid w:val="001A6366"/>
    <w:rsid w:val="001A7AE8"/>
    <w:rsid w:val="001B204E"/>
    <w:rsid w:val="001B2372"/>
    <w:rsid w:val="001B3443"/>
    <w:rsid w:val="001B4D20"/>
    <w:rsid w:val="001B4EB1"/>
    <w:rsid w:val="001B4EB9"/>
    <w:rsid w:val="001B761F"/>
    <w:rsid w:val="001C049E"/>
    <w:rsid w:val="001C270D"/>
    <w:rsid w:val="001C2A9B"/>
    <w:rsid w:val="001C4290"/>
    <w:rsid w:val="001C4299"/>
    <w:rsid w:val="001C4677"/>
    <w:rsid w:val="001C4874"/>
    <w:rsid w:val="001C5F94"/>
    <w:rsid w:val="001C6E66"/>
    <w:rsid w:val="001C7FAD"/>
    <w:rsid w:val="001D10D2"/>
    <w:rsid w:val="001D1100"/>
    <w:rsid w:val="001D1391"/>
    <w:rsid w:val="001D25D7"/>
    <w:rsid w:val="001D264B"/>
    <w:rsid w:val="001D26F8"/>
    <w:rsid w:val="001D4C33"/>
    <w:rsid w:val="001D50B2"/>
    <w:rsid w:val="001D5BEE"/>
    <w:rsid w:val="001D629D"/>
    <w:rsid w:val="001D7645"/>
    <w:rsid w:val="001D7EFE"/>
    <w:rsid w:val="001E1E86"/>
    <w:rsid w:val="001E238E"/>
    <w:rsid w:val="001E2483"/>
    <w:rsid w:val="001E2B1E"/>
    <w:rsid w:val="001E2CFF"/>
    <w:rsid w:val="001E2F24"/>
    <w:rsid w:val="001E30D3"/>
    <w:rsid w:val="001E30D4"/>
    <w:rsid w:val="001E34DF"/>
    <w:rsid w:val="001E52EB"/>
    <w:rsid w:val="001E5CCA"/>
    <w:rsid w:val="001E61D2"/>
    <w:rsid w:val="001E6F70"/>
    <w:rsid w:val="001E740C"/>
    <w:rsid w:val="001F09B3"/>
    <w:rsid w:val="001F1235"/>
    <w:rsid w:val="001F1CB3"/>
    <w:rsid w:val="001F2A49"/>
    <w:rsid w:val="001F34D9"/>
    <w:rsid w:val="001F38B5"/>
    <w:rsid w:val="001F4081"/>
    <w:rsid w:val="001F5C7A"/>
    <w:rsid w:val="001F6E92"/>
    <w:rsid w:val="001F7361"/>
    <w:rsid w:val="00200A8E"/>
    <w:rsid w:val="002011B0"/>
    <w:rsid w:val="00201AC5"/>
    <w:rsid w:val="00203181"/>
    <w:rsid w:val="002031AF"/>
    <w:rsid w:val="00203783"/>
    <w:rsid w:val="0020385F"/>
    <w:rsid w:val="002038B1"/>
    <w:rsid w:val="002060F2"/>
    <w:rsid w:val="002061C4"/>
    <w:rsid w:val="002068A0"/>
    <w:rsid w:val="00207021"/>
    <w:rsid w:val="0020732F"/>
    <w:rsid w:val="00207D00"/>
    <w:rsid w:val="002105C1"/>
    <w:rsid w:val="002111A6"/>
    <w:rsid w:val="0021369E"/>
    <w:rsid w:val="00213EF5"/>
    <w:rsid w:val="002145D6"/>
    <w:rsid w:val="00216613"/>
    <w:rsid w:val="00216BF5"/>
    <w:rsid w:val="0022312F"/>
    <w:rsid w:val="00223B49"/>
    <w:rsid w:val="00223D5A"/>
    <w:rsid w:val="00224DD4"/>
    <w:rsid w:val="002278A0"/>
    <w:rsid w:val="002309CC"/>
    <w:rsid w:val="00230CB2"/>
    <w:rsid w:val="00231860"/>
    <w:rsid w:val="0023209F"/>
    <w:rsid w:val="0023241E"/>
    <w:rsid w:val="00233C01"/>
    <w:rsid w:val="0023413C"/>
    <w:rsid w:val="002346F0"/>
    <w:rsid w:val="0023629D"/>
    <w:rsid w:val="00237255"/>
    <w:rsid w:val="0023753B"/>
    <w:rsid w:val="00237D12"/>
    <w:rsid w:val="00237E5C"/>
    <w:rsid w:val="002424AF"/>
    <w:rsid w:val="002439DC"/>
    <w:rsid w:val="002441D2"/>
    <w:rsid w:val="00244DC8"/>
    <w:rsid w:val="002458BA"/>
    <w:rsid w:val="00245CE9"/>
    <w:rsid w:val="0024636C"/>
    <w:rsid w:val="00246FE0"/>
    <w:rsid w:val="002470CB"/>
    <w:rsid w:val="00247717"/>
    <w:rsid w:val="00247925"/>
    <w:rsid w:val="00251006"/>
    <w:rsid w:val="00251021"/>
    <w:rsid w:val="002520BC"/>
    <w:rsid w:val="002524D5"/>
    <w:rsid w:val="0025329F"/>
    <w:rsid w:val="00253942"/>
    <w:rsid w:val="00253B1D"/>
    <w:rsid w:val="00254DCF"/>
    <w:rsid w:val="0025534B"/>
    <w:rsid w:val="0025556B"/>
    <w:rsid w:val="00255BB7"/>
    <w:rsid w:val="00256B36"/>
    <w:rsid w:val="00257541"/>
    <w:rsid w:val="00257A39"/>
    <w:rsid w:val="00257AC4"/>
    <w:rsid w:val="00257D2F"/>
    <w:rsid w:val="00260B30"/>
    <w:rsid w:val="00261B6A"/>
    <w:rsid w:val="00261EEF"/>
    <w:rsid w:val="00262A1A"/>
    <w:rsid w:val="00262A87"/>
    <w:rsid w:val="00262BAC"/>
    <w:rsid w:val="00264156"/>
    <w:rsid w:val="00264D26"/>
    <w:rsid w:val="00265354"/>
    <w:rsid w:val="002657E2"/>
    <w:rsid w:val="00267642"/>
    <w:rsid w:val="00267974"/>
    <w:rsid w:val="00267AEA"/>
    <w:rsid w:val="002700E6"/>
    <w:rsid w:val="0027294B"/>
    <w:rsid w:val="00273EB4"/>
    <w:rsid w:val="00274682"/>
    <w:rsid w:val="00275455"/>
    <w:rsid w:val="00275C5A"/>
    <w:rsid w:val="00281014"/>
    <w:rsid w:val="002831C7"/>
    <w:rsid w:val="002839A2"/>
    <w:rsid w:val="002845DD"/>
    <w:rsid w:val="002861B1"/>
    <w:rsid w:val="0028665D"/>
    <w:rsid w:val="00286ECB"/>
    <w:rsid w:val="00292876"/>
    <w:rsid w:val="00293397"/>
    <w:rsid w:val="00293896"/>
    <w:rsid w:val="0029460A"/>
    <w:rsid w:val="0029580F"/>
    <w:rsid w:val="00295A02"/>
    <w:rsid w:val="002A14AB"/>
    <w:rsid w:val="002A1658"/>
    <w:rsid w:val="002A2ADE"/>
    <w:rsid w:val="002A2F50"/>
    <w:rsid w:val="002A3627"/>
    <w:rsid w:val="002A3A09"/>
    <w:rsid w:val="002A4629"/>
    <w:rsid w:val="002A47AA"/>
    <w:rsid w:val="002B05A1"/>
    <w:rsid w:val="002B09A4"/>
    <w:rsid w:val="002B1C1F"/>
    <w:rsid w:val="002B33D2"/>
    <w:rsid w:val="002B432F"/>
    <w:rsid w:val="002B53F8"/>
    <w:rsid w:val="002B62B3"/>
    <w:rsid w:val="002B65B0"/>
    <w:rsid w:val="002B6754"/>
    <w:rsid w:val="002B6CCE"/>
    <w:rsid w:val="002C0AB8"/>
    <w:rsid w:val="002C0C4E"/>
    <w:rsid w:val="002C1151"/>
    <w:rsid w:val="002C2510"/>
    <w:rsid w:val="002C2775"/>
    <w:rsid w:val="002C27C1"/>
    <w:rsid w:val="002C2CFE"/>
    <w:rsid w:val="002C3054"/>
    <w:rsid w:val="002C5099"/>
    <w:rsid w:val="002C5252"/>
    <w:rsid w:val="002C5889"/>
    <w:rsid w:val="002C603E"/>
    <w:rsid w:val="002C63A6"/>
    <w:rsid w:val="002C66DE"/>
    <w:rsid w:val="002C6E1F"/>
    <w:rsid w:val="002C71CE"/>
    <w:rsid w:val="002C7A98"/>
    <w:rsid w:val="002C7E91"/>
    <w:rsid w:val="002D023D"/>
    <w:rsid w:val="002D0446"/>
    <w:rsid w:val="002D08F8"/>
    <w:rsid w:val="002D0A6D"/>
    <w:rsid w:val="002D336A"/>
    <w:rsid w:val="002D5024"/>
    <w:rsid w:val="002D577C"/>
    <w:rsid w:val="002D6FC2"/>
    <w:rsid w:val="002D7025"/>
    <w:rsid w:val="002E1071"/>
    <w:rsid w:val="002E15B9"/>
    <w:rsid w:val="002E1C5D"/>
    <w:rsid w:val="002E1D7E"/>
    <w:rsid w:val="002E2158"/>
    <w:rsid w:val="002E2868"/>
    <w:rsid w:val="002E2A91"/>
    <w:rsid w:val="002E3770"/>
    <w:rsid w:val="002E383D"/>
    <w:rsid w:val="002E4F02"/>
    <w:rsid w:val="002E7722"/>
    <w:rsid w:val="002F07BA"/>
    <w:rsid w:val="002F0DA9"/>
    <w:rsid w:val="002F1014"/>
    <w:rsid w:val="002F3BC0"/>
    <w:rsid w:val="002F45B1"/>
    <w:rsid w:val="002F5A58"/>
    <w:rsid w:val="002F643C"/>
    <w:rsid w:val="002F71C0"/>
    <w:rsid w:val="002F74F1"/>
    <w:rsid w:val="003007F9"/>
    <w:rsid w:val="00301017"/>
    <w:rsid w:val="0030155F"/>
    <w:rsid w:val="003030DE"/>
    <w:rsid w:val="003034EE"/>
    <w:rsid w:val="00305485"/>
    <w:rsid w:val="0030587B"/>
    <w:rsid w:val="00306D98"/>
    <w:rsid w:val="0030786C"/>
    <w:rsid w:val="0031031A"/>
    <w:rsid w:val="00310981"/>
    <w:rsid w:val="00311500"/>
    <w:rsid w:val="0031167E"/>
    <w:rsid w:val="003124D9"/>
    <w:rsid w:val="00312594"/>
    <w:rsid w:val="00315498"/>
    <w:rsid w:val="00316474"/>
    <w:rsid w:val="003170BC"/>
    <w:rsid w:val="00317DC4"/>
    <w:rsid w:val="003205A9"/>
    <w:rsid w:val="00320614"/>
    <w:rsid w:val="00322107"/>
    <w:rsid w:val="00322355"/>
    <w:rsid w:val="00322846"/>
    <w:rsid w:val="00322B2A"/>
    <w:rsid w:val="003246A8"/>
    <w:rsid w:val="003247E0"/>
    <w:rsid w:val="00324D24"/>
    <w:rsid w:val="003251CD"/>
    <w:rsid w:val="003252E1"/>
    <w:rsid w:val="00326BCB"/>
    <w:rsid w:val="00326DA7"/>
    <w:rsid w:val="003270E4"/>
    <w:rsid w:val="003302DD"/>
    <w:rsid w:val="00330DAA"/>
    <w:rsid w:val="00330F5C"/>
    <w:rsid w:val="00333FA0"/>
    <w:rsid w:val="00334DC6"/>
    <w:rsid w:val="00335139"/>
    <w:rsid w:val="00335720"/>
    <w:rsid w:val="00336154"/>
    <w:rsid w:val="003366C9"/>
    <w:rsid w:val="003371B0"/>
    <w:rsid w:val="00340B62"/>
    <w:rsid w:val="00340DF1"/>
    <w:rsid w:val="0034197D"/>
    <w:rsid w:val="00344DAC"/>
    <w:rsid w:val="003517F9"/>
    <w:rsid w:val="003519DC"/>
    <w:rsid w:val="00351BA9"/>
    <w:rsid w:val="003537ED"/>
    <w:rsid w:val="00353F57"/>
    <w:rsid w:val="00353FE7"/>
    <w:rsid w:val="00354716"/>
    <w:rsid w:val="00354F64"/>
    <w:rsid w:val="0035620E"/>
    <w:rsid w:val="00360345"/>
    <w:rsid w:val="00360F95"/>
    <w:rsid w:val="00361A05"/>
    <w:rsid w:val="00361CBD"/>
    <w:rsid w:val="00361E49"/>
    <w:rsid w:val="00361F98"/>
    <w:rsid w:val="003624C4"/>
    <w:rsid w:val="00362510"/>
    <w:rsid w:val="00363B00"/>
    <w:rsid w:val="003654AC"/>
    <w:rsid w:val="00366F53"/>
    <w:rsid w:val="003710CF"/>
    <w:rsid w:val="00371AF7"/>
    <w:rsid w:val="00371EC9"/>
    <w:rsid w:val="0037358A"/>
    <w:rsid w:val="003750F6"/>
    <w:rsid w:val="00375FA3"/>
    <w:rsid w:val="003760FC"/>
    <w:rsid w:val="0038007B"/>
    <w:rsid w:val="0038139A"/>
    <w:rsid w:val="0038365C"/>
    <w:rsid w:val="0038369B"/>
    <w:rsid w:val="00383B78"/>
    <w:rsid w:val="00385182"/>
    <w:rsid w:val="00385A9D"/>
    <w:rsid w:val="00386470"/>
    <w:rsid w:val="003866E4"/>
    <w:rsid w:val="00387493"/>
    <w:rsid w:val="00387FD9"/>
    <w:rsid w:val="003902B1"/>
    <w:rsid w:val="003914A5"/>
    <w:rsid w:val="003914F6"/>
    <w:rsid w:val="0039179C"/>
    <w:rsid w:val="00396896"/>
    <w:rsid w:val="00396FD0"/>
    <w:rsid w:val="003A134C"/>
    <w:rsid w:val="003A1A7A"/>
    <w:rsid w:val="003A2392"/>
    <w:rsid w:val="003A2831"/>
    <w:rsid w:val="003A2A32"/>
    <w:rsid w:val="003A2CAE"/>
    <w:rsid w:val="003A3CB6"/>
    <w:rsid w:val="003A3ED1"/>
    <w:rsid w:val="003A415A"/>
    <w:rsid w:val="003A44DB"/>
    <w:rsid w:val="003B3971"/>
    <w:rsid w:val="003B55D1"/>
    <w:rsid w:val="003B5B61"/>
    <w:rsid w:val="003B65AF"/>
    <w:rsid w:val="003B6A82"/>
    <w:rsid w:val="003C1654"/>
    <w:rsid w:val="003C18D3"/>
    <w:rsid w:val="003C1B75"/>
    <w:rsid w:val="003C2F49"/>
    <w:rsid w:val="003C5542"/>
    <w:rsid w:val="003C5666"/>
    <w:rsid w:val="003C6018"/>
    <w:rsid w:val="003C7AD1"/>
    <w:rsid w:val="003C7D19"/>
    <w:rsid w:val="003C7D2F"/>
    <w:rsid w:val="003D09EB"/>
    <w:rsid w:val="003D1828"/>
    <w:rsid w:val="003D1DE4"/>
    <w:rsid w:val="003D1E9A"/>
    <w:rsid w:val="003D1F42"/>
    <w:rsid w:val="003D2422"/>
    <w:rsid w:val="003D2E4B"/>
    <w:rsid w:val="003D39A1"/>
    <w:rsid w:val="003D3FBF"/>
    <w:rsid w:val="003D437A"/>
    <w:rsid w:val="003D4A30"/>
    <w:rsid w:val="003D7452"/>
    <w:rsid w:val="003D745A"/>
    <w:rsid w:val="003D79BB"/>
    <w:rsid w:val="003D7C98"/>
    <w:rsid w:val="003D7D9D"/>
    <w:rsid w:val="003E0543"/>
    <w:rsid w:val="003E0597"/>
    <w:rsid w:val="003E096B"/>
    <w:rsid w:val="003E1601"/>
    <w:rsid w:val="003E63E1"/>
    <w:rsid w:val="003E749E"/>
    <w:rsid w:val="003E7FAF"/>
    <w:rsid w:val="003F156F"/>
    <w:rsid w:val="003F1AB8"/>
    <w:rsid w:val="003F1D27"/>
    <w:rsid w:val="003F4156"/>
    <w:rsid w:val="003F58F7"/>
    <w:rsid w:val="003F5ADF"/>
    <w:rsid w:val="003F6673"/>
    <w:rsid w:val="003F685E"/>
    <w:rsid w:val="00400083"/>
    <w:rsid w:val="00400B29"/>
    <w:rsid w:val="00401831"/>
    <w:rsid w:val="0040504B"/>
    <w:rsid w:val="004059F4"/>
    <w:rsid w:val="00407FE5"/>
    <w:rsid w:val="004101B0"/>
    <w:rsid w:val="00410326"/>
    <w:rsid w:val="00410708"/>
    <w:rsid w:val="00410D15"/>
    <w:rsid w:val="00410EC7"/>
    <w:rsid w:val="00411B39"/>
    <w:rsid w:val="0041216B"/>
    <w:rsid w:val="004123DB"/>
    <w:rsid w:val="004127A7"/>
    <w:rsid w:val="00413A1E"/>
    <w:rsid w:val="00414476"/>
    <w:rsid w:val="00414B67"/>
    <w:rsid w:val="00414C2E"/>
    <w:rsid w:val="0041500C"/>
    <w:rsid w:val="004151CF"/>
    <w:rsid w:val="00416364"/>
    <w:rsid w:val="004168FE"/>
    <w:rsid w:val="0041692E"/>
    <w:rsid w:val="00417873"/>
    <w:rsid w:val="00417BAF"/>
    <w:rsid w:val="004200FD"/>
    <w:rsid w:val="0042047F"/>
    <w:rsid w:val="004209C8"/>
    <w:rsid w:val="00420AA6"/>
    <w:rsid w:val="00420B9F"/>
    <w:rsid w:val="0042192C"/>
    <w:rsid w:val="00422260"/>
    <w:rsid w:val="0042413F"/>
    <w:rsid w:val="00424818"/>
    <w:rsid w:val="00430713"/>
    <w:rsid w:val="004319F8"/>
    <w:rsid w:val="00431E55"/>
    <w:rsid w:val="004321F6"/>
    <w:rsid w:val="00432939"/>
    <w:rsid w:val="00433044"/>
    <w:rsid w:val="00433DB3"/>
    <w:rsid w:val="00434088"/>
    <w:rsid w:val="0043582D"/>
    <w:rsid w:val="004375B9"/>
    <w:rsid w:val="00437C31"/>
    <w:rsid w:val="00442648"/>
    <w:rsid w:val="00442740"/>
    <w:rsid w:val="004428D0"/>
    <w:rsid w:val="00443CB8"/>
    <w:rsid w:val="00444185"/>
    <w:rsid w:val="004443A7"/>
    <w:rsid w:val="0044442C"/>
    <w:rsid w:val="00445941"/>
    <w:rsid w:val="004464EB"/>
    <w:rsid w:val="004467FA"/>
    <w:rsid w:val="00447D26"/>
    <w:rsid w:val="00447DFC"/>
    <w:rsid w:val="004523BE"/>
    <w:rsid w:val="004533BA"/>
    <w:rsid w:val="00455D45"/>
    <w:rsid w:val="00457265"/>
    <w:rsid w:val="0046125C"/>
    <w:rsid w:val="004613E6"/>
    <w:rsid w:val="00461851"/>
    <w:rsid w:val="00464595"/>
    <w:rsid w:val="00464F4A"/>
    <w:rsid w:val="004658B5"/>
    <w:rsid w:val="004679BE"/>
    <w:rsid w:val="00471EA5"/>
    <w:rsid w:val="0047265F"/>
    <w:rsid w:val="00472A79"/>
    <w:rsid w:val="00472E1A"/>
    <w:rsid w:val="00473B72"/>
    <w:rsid w:val="00473DA2"/>
    <w:rsid w:val="00473F19"/>
    <w:rsid w:val="00474F42"/>
    <w:rsid w:val="00475E22"/>
    <w:rsid w:val="00477075"/>
    <w:rsid w:val="004804A0"/>
    <w:rsid w:val="00480595"/>
    <w:rsid w:val="0048088E"/>
    <w:rsid w:val="00480F2B"/>
    <w:rsid w:val="00482616"/>
    <w:rsid w:val="00482720"/>
    <w:rsid w:val="004835E7"/>
    <w:rsid w:val="00483B86"/>
    <w:rsid w:val="00484603"/>
    <w:rsid w:val="004849E5"/>
    <w:rsid w:val="004867E2"/>
    <w:rsid w:val="00490B17"/>
    <w:rsid w:val="00491B3A"/>
    <w:rsid w:val="00492CFD"/>
    <w:rsid w:val="00494207"/>
    <w:rsid w:val="00494A4E"/>
    <w:rsid w:val="00494DD5"/>
    <w:rsid w:val="00495E70"/>
    <w:rsid w:val="004962D2"/>
    <w:rsid w:val="00497B61"/>
    <w:rsid w:val="004A0DA1"/>
    <w:rsid w:val="004A13D6"/>
    <w:rsid w:val="004A30C4"/>
    <w:rsid w:val="004A3D54"/>
    <w:rsid w:val="004A4237"/>
    <w:rsid w:val="004A52E9"/>
    <w:rsid w:val="004A6040"/>
    <w:rsid w:val="004A6597"/>
    <w:rsid w:val="004A7848"/>
    <w:rsid w:val="004A78DF"/>
    <w:rsid w:val="004B1CB4"/>
    <w:rsid w:val="004B2ECF"/>
    <w:rsid w:val="004B2F18"/>
    <w:rsid w:val="004B327A"/>
    <w:rsid w:val="004B3AE5"/>
    <w:rsid w:val="004B3DDB"/>
    <w:rsid w:val="004B44FD"/>
    <w:rsid w:val="004B5CFC"/>
    <w:rsid w:val="004B6F79"/>
    <w:rsid w:val="004B714D"/>
    <w:rsid w:val="004B749F"/>
    <w:rsid w:val="004B774D"/>
    <w:rsid w:val="004C001F"/>
    <w:rsid w:val="004C4AED"/>
    <w:rsid w:val="004C61C0"/>
    <w:rsid w:val="004C6F8B"/>
    <w:rsid w:val="004D1A27"/>
    <w:rsid w:val="004D1CCC"/>
    <w:rsid w:val="004D2C2D"/>
    <w:rsid w:val="004D2F8A"/>
    <w:rsid w:val="004D6511"/>
    <w:rsid w:val="004D69B5"/>
    <w:rsid w:val="004D7227"/>
    <w:rsid w:val="004E0571"/>
    <w:rsid w:val="004E0E7F"/>
    <w:rsid w:val="004E0EB8"/>
    <w:rsid w:val="004E102C"/>
    <w:rsid w:val="004E1280"/>
    <w:rsid w:val="004E18E9"/>
    <w:rsid w:val="004E2ADC"/>
    <w:rsid w:val="004E319D"/>
    <w:rsid w:val="004E3FA1"/>
    <w:rsid w:val="004E423C"/>
    <w:rsid w:val="004E43B2"/>
    <w:rsid w:val="004E647A"/>
    <w:rsid w:val="004F1D02"/>
    <w:rsid w:val="004F2679"/>
    <w:rsid w:val="004F2A41"/>
    <w:rsid w:val="004F2F21"/>
    <w:rsid w:val="004F3DE5"/>
    <w:rsid w:val="004F5A03"/>
    <w:rsid w:val="004F6913"/>
    <w:rsid w:val="004F76D4"/>
    <w:rsid w:val="004F7865"/>
    <w:rsid w:val="004F7A65"/>
    <w:rsid w:val="00500268"/>
    <w:rsid w:val="0050174E"/>
    <w:rsid w:val="00501854"/>
    <w:rsid w:val="00501AF4"/>
    <w:rsid w:val="0050219B"/>
    <w:rsid w:val="00503F17"/>
    <w:rsid w:val="005054D6"/>
    <w:rsid w:val="00506928"/>
    <w:rsid w:val="005077EF"/>
    <w:rsid w:val="00511AD5"/>
    <w:rsid w:val="00511DC7"/>
    <w:rsid w:val="005142C5"/>
    <w:rsid w:val="0051501B"/>
    <w:rsid w:val="00515060"/>
    <w:rsid w:val="005152B5"/>
    <w:rsid w:val="00515B3A"/>
    <w:rsid w:val="0051703A"/>
    <w:rsid w:val="00520C84"/>
    <w:rsid w:val="0052123C"/>
    <w:rsid w:val="00521319"/>
    <w:rsid w:val="00521AFD"/>
    <w:rsid w:val="0052290F"/>
    <w:rsid w:val="00522987"/>
    <w:rsid w:val="00522BC8"/>
    <w:rsid w:val="005231F8"/>
    <w:rsid w:val="00523C28"/>
    <w:rsid w:val="00526548"/>
    <w:rsid w:val="00530498"/>
    <w:rsid w:val="0053059B"/>
    <w:rsid w:val="00531122"/>
    <w:rsid w:val="0053117D"/>
    <w:rsid w:val="0053176B"/>
    <w:rsid w:val="00532BC8"/>
    <w:rsid w:val="0053543A"/>
    <w:rsid w:val="00536F42"/>
    <w:rsid w:val="00537182"/>
    <w:rsid w:val="0054086F"/>
    <w:rsid w:val="00541EDD"/>
    <w:rsid w:val="00542743"/>
    <w:rsid w:val="00542C2D"/>
    <w:rsid w:val="00542ECF"/>
    <w:rsid w:val="005439C4"/>
    <w:rsid w:val="005478BD"/>
    <w:rsid w:val="005479E3"/>
    <w:rsid w:val="00551985"/>
    <w:rsid w:val="00552BD3"/>
    <w:rsid w:val="005532A0"/>
    <w:rsid w:val="00555109"/>
    <w:rsid w:val="00556B35"/>
    <w:rsid w:val="00557007"/>
    <w:rsid w:val="0055741A"/>
    <w:rsid w:val="005611B7"/>
    <w:rsid w:val="005618D4"/>
    <w:rsid w:val="00562D42"/>
    <w:rsid w:val="00565DF0"/>
    <w:rsid w:val="0056696F"/>
    <w:rsid w:val="005676BC"/>
    <w:rsid w:val="005700BF"/>
    <w:rsid w:val="00572269"/>
    <w:rsid w:val="00572437"/>
    <w:rsid w:val="0057244A"/>
    <w:rsid w:val="0057284A"/>
    <w:rsid w:val="00572CE3"/>
    <w:rsid w:val="00572F26"/>
    <w:rsid w:val="005750C5"/>
    <w:rsid w:val="005750D7"/>
    <w:rsid w:val="005752DE"/>
    <w:rsid w:val="00575C3D"/>
    <w:rsid w:val="00575D8D"/>
    <w:rsid w:val="00575E36"/>
    <w:rsid w:val="00575FEA"/>
    <w:rsid w:val="0057658D"/>
    <w:rsid w:val="00576972"/>
    <w:rsid w:val="00581916"/>
    <w:rsid w:val="00583699"/>
    <w:rsid w:val="0058560B"/>
    <w:rsid w:val="00585BA3"/>
    <w:rsid w:val="00585CDD"/>
    <w:rsid w:val="005862BE"/>
    <w:rsid w:val="005866B3"/>
    <w:rsid w:val="00587058"/>
    <w:rsid w:val="0058735A"/>
    <w:rsid w:val="00590598"/>
    <w:rsid w:val="00590A54"/>
    <w:rsid w:val="00591957"/>
    <w:rsid w:val="005942D6"/>
    <w:rsid w:val="00595818"/>
    <w:rsid w:val="0059583A"/>
    <w:rsid w:val="00597BF9"/>
    <w:rsid w:val="005A04CA"/>
    <w:rsid w:val="005A26D0"/>
    <w:rsid w:val="005A309A"/>
    <w:rsid w:val="005A373D"/>
    <w:rsid w:val="005B0B58"/>
    <w:rsid w:val="005B1FA1"/>
    <w:rsid w:val="005B2270"/>
    <w:rsid w:val="005B2AF8"/>
    <w:rsid w:val="005B3729"/>
    <w:rsid w:val="005B4280"/>
    <w:rsid w:val="005B4E53"/>
    <w:rsid w:val="005B5857"/>
    <w:rsid w:val="005B633C"/>
    <w:rsid w:val="005B6EDF"/>
    <w:rsid w:val="005B77A1"/>
    <w:rsid w:val="005C05EA"/>
    <w:rsid w:val="005C08E9"/>
    <w:rsid w:val="005C19C4"/>
    <w:rsid w:val="005C1B83"/>
    <w:rsid w:val="005C1E26"/>
    <w:rsid w:val="005C25FF"/>
    <w:rsid w:val="005C2D55"/>
    <w:rsid w:val="005C346B"/>
    <w:rsid w:val="005C35EF"/>
    <w:rsid w:val="005C3CC2"/>
    <w:rsid w:val="005C4F0E"/>
    <w:rsid w:val="005C694F"/>
    <w:rsid w:val="005D044D"/>
    <w:rsid w:val="005D0ABD"/>
    <w:rsid w:val="005D18AD"/>
    <w:rsid w:val="005D26B4"/>
    <w:rsid w:val="005D2A65"/>
    <w:rsid w:val="005D5852"/>
    <w:rsid w:val="005D6231"/>
    <w:rsid w:val="005E093D"/>
    <w:rsid w:val="005E1BCC"/>
    <w:rsid w:val="005E234B"/>
    <w:rsid w:val="005E3718"/>
    <w:rsid w:val="005E4732"/>
    <w:rsid w:val="005E5177"/>
    <w:rsid w:val="005E54CE"/>
    <w:rsid w:val="005E639E"/>
    <w:rsid w:val="005E68F4"/>
    <w:rsid w:val="005E6CBC"/>
    <w:rsid w:val="005E72FF"/>
    <w:rsid w:val="005E73C0"/>
    <w:rsid w:val="005F2706"/>
    <w:rsid w:val="005F2C12"/>
    <w:rsid w:val="005F2CF0"/>
    <w:rsid w:val="005F6A8F"/>
    <w:rsid w:val="005F6BB7"/>
    <w:rsid w:val="005F7588"/>
    <w:rsid w:val="005F7642"/>
    <w:rsid w:val="006009E4"/>
    <w:rsid w:val="0060135C"/>
    <w:rsid w:val="00603836"/>
    <w:rsid w:val="00603DB9"/>
    <w:rsid w:val="0060575A"/>
    <w:rsid w:val="00606FBA"/>
    <w:rsid w:val="00607669"/>
    <w:rsid w:val="006076F4"/>
    <w:rsid w:val="00607AFD"/>
    <w:rsid w:val="0061030A"/>
    <w:rsid w:val="006118C2"/>
    <w:rsid w:val="0061265D"/>
    <w:rsid w:val="00612F97"/>
    <w:rsid w:val="0061345D"/>
    <w:rsid w:val="0061549B"/>
    <w:rsid w:val="006162FB"/>
    <w:rsid w:val="00616802"/>
    <w:rsid w:val="00616B01"/>
    <w:rsid w:val="00617E12"/>
    <w:rsid w:val="006206B7"/>
    <w:rsid w:val="00620C25"/>
    <w:rsid w:val="00621477"/>
    <w:rsid w:val="00621ADA"/>
    <w:rsid w:val="00622331"/>
    <w:rsid w:val="006229C1"/>
    <w:rsid w:val="00622B69"/>
    <w:rsid w:val="00623F7B"/>
    <w:rsid w:val="006274CB"/>
    <w:rsid w:val="00630ACF"/>
    <w:rsid w:val="00630CED"/>
    <w:rsid w:val="00631238"/>
    <w:rsid w:val="0063158F"/>
    <w:rsid w:val="00631D6B"/>
    <w:rsid w:val="00632183"/>
    <w:rsid w:val="006330A1"/>
    <w:rsid w:val="0063315D"/>
    <w:rsid w:val="00633460"/>
    <w:rsid w:val="006343B1"/>
    <w:rsid w:val="0063479F"/>
    <w:rsid w:val="00634D43"/>
    <w:rsid w:val="006353F0"/>
    <w:rsid w:val="006357B5"/>
    <w:rsid w:val="006364A1"/>
    <w:rsid w:val="0063678E"/>
    <w:rsid w:val="006379F5"/>
    <w:rsid w:val="00637BFD"/>
    <w:rsid w:val="00637C6B"/>
    <w:rsid w:val="00637C6D"/>
    <w:rsid w:val="006408A3"/>
    <w:rsid w:val="00641C4E"/>
    <w:rsid w:val="00641FB3"/>
    <w:rsid w:val="006421D0"/>
    <w:rsid w:val="0064434C"/>
    <w:rsid w:val="00645366"/>
    <w:rsid w:val="006471CC"/>
    <w:rsid w:val="00647A29"/>
    <w:rsid w:val="00650092"/>
    <w:rsid w:val="0065079F"/>
    <w:rsid w:val="00652A28"/>
    <w:rsid w:val="0065379F"/>
    <w:rsid w:val="00655840"/>
    <w:rsid w:val="00655C04"/>
    <w:rsid w:val="00656188"/>
    <w:rsid w:val="0065715A"/>
    <w:rsid w:val="00657596"/>
    <w:rsid w:val="00657903"/>
    <w:rsid w:val="006579D1"/>
    <w:rsid w:val="006610F1"/>
    <w:rsid w:val="00661C6B"/>
    <w:rsid w:val="00664E36"/>
    <w:rsid w:val="0066645C"/>
    <w:rsid w:val="00670A75"/>
    <w:rsid w:val="00671004"/>
    <w:rsid w:val="00671B39"/>
    <w:rsid w:val="00672646"/>
    <w:rsid w:val="00673027"/>
    <w:rsid w:val="00673612"/>
    <w:rsid w:val="00673659"/>
    <w:rsid w:val="00673A4B"/>
    <w:rsid w:val="00674D76"/>
    <w:rsid w:val="00674E42"/>
    <w:rsid w:val="0067606F"/>
    <w:rsid w:val="00677881"/>
    <w:rsid w:val="006802F1"/>
    <w:rsid w:val="006813F8"/>
    <w:rsid w:val="00682112"/>
    <w:rsid w:val="00682BA6"/>
    <w:rsid w:val="00684583"/>
    <w:rsid w:val="00684637"/>
    <w:rsid w:val="00684A24"/>
    <w:rsid w:val="00686957"/>
    <w:rsid w:val="00686EFB"/>
    <w:rsid w:val="006872BA"/>
    <w:rsid w:val="00690795"/>
    <w:rsid w:val="00690B1B"/>
    <w:rsid w:val="00691648"/>
    <w:rsid w:val="006917D7"/>
    <w:rsid w:val="0069434C"/>
    <w:rsid w:val="00694F44"/>
    <w:rsid w:val="00695565"/>
    <w:rsid w:val="0069623B"/>
    <w:rsid w:val="00696F51"/>
    <w:rsid w:val="006972C3"/>
    <w:rsid w:val="00697702"/>
    <w:rsid w:val="006979A5"/>
    <w:rsid w:val="00697D3E"/>
    <w:rsid w:val="006A169C"/>
    <w:rsid w:val="006A18F9"/>
    <w:rsid w:val="006A3004"/>
    <w:rsid w:val="006A3A47"/>
    <w:rsid w:val="006A41FB"/>
    <w:rsid w:val="006A48EB"/>
    <w:rsid w:val="006A6684"/>
    <w:rsid w:val="006A6B99"/>
    <w:rsid w:val="006A7E5F"/>
    <w:rsid w:val="006B0125"/>
    <w:rsid w:val="006B1477"/>
    <w:rsid w:val="006B1B06"/>
    <w:rsid w:val="006B1FEB"/>
    <w:rsid w:val="006B261B"/>
    <w:rsid w:val="006B2C90"/>
    <w:rsid w:val="006B2DD5"/>
    <w:rsid w:val="006B35E3"/>
    <w:rsid w:val="006B35E6"/>
    <w:rsid w:val="006B465A"/>
    <w:rsid w:val="006B66CF"/>
    <w:rsid w:val="006B6DD0"/>
    <w:rsid w:val="006B6DE4"/>
    <w:rsid w:val="006C0399"/>
    <w:rsid w:val="006C07A2"/>
    <w:rsid w:val="006C07E0"/>
    <w:rsid w:val="006C0CC2"/>
    <w:rsid w:val="006C2A8E"/>
    <w:rsid w:val="006C3255"/>
    <w:rsid w:val="006C3461"/>
    <w:rsid w:val="006C3F26"/>
    <w:rsid w:val="006C4E54"/>
    <w:rsid w:val="006C51DB"/>
    <w:rsid w:val="006C5488"/>
    <w:rsid w:val="006C5541"/>
    <w:rsid w:val="006C62C6"/>
    <w:rsid w:val="006C731A"/>
    <w:rsid w:val="006D0D17"/>
    <w:rsid w:val="006D1187"/>
    <w:rsid w:val="006D221D"/>
    <w:rsid w:val="006D3C7D"/>
    <w:rsid w:val="006D4659"/>
    <w:rsid w:val="006D5D5F"/>
    <w:rsid w:val="006D5F90"/>
    <w:rsid w:val="006D68FB"/>
    <w:rsid w:val="006D788F"/>
    <w:rsid w:val="006E188D"/>
    <w:rsid w:val="006E2868"/>
    <w:rsid w:val="006E2900"/>
    <w:rsid w:val="006E2E0B"/>
    <w:rsid w:val="006E2FBC"/>
    <w:rsid w:val="006E7DFB"/>
    <w:rsid w:val="006F0974"/>
    <w:rsid w:val="006F2772"/>
    <w:rsid w:val="006F306C"/>
    <w:rsid w:val="006F63A5"/>
    <w:rsid w:val="0070142B"/>
    <w:rsid w:val="0070276E"/>
    <w:rsid w:val="00702F8F"/>
    <w:rsid w:val="00706193"/>
    <w:rsid w:val="007079FC"/>
    <w:rsid w:val="00711A36"/>
    <w:rsid w:val="00714389"/>
    <w:rsid w:val="00714C26"/>
    <w:rsid w:val="0071529C"/>
    <w:rsid w:val="00716B78"/>
    <w:rsid w:val="00717027"/>
    <w:rsid w:val="007170DA"/>
    <w:rsid w:val="007172AD"/>
    <w:rsid w:val="00720801"/>
    <w:rsid w:val="00722B1B"/>
    <w:rsid w:val="0072416F"/>
    <w:rsid w:val="00727C94"/>
    <w:rsid w:val="00730B0C"/>
    <w:rsid w:val="00731B0A"/>
    <w:rsid w:val="00731EAE"/>
    <w:rsid w:val="00733073"/>
    <w:rsid w:val="00733ACF"/>
    <w:rsid w:val="00735033"/>
    <w:rsid w:val="00735328"/>
    <w:rsid w:val="0073685B"/>
    <w:rsid w:val="00740C50"/>
    <w:rsid w:val="00740D6A"/>
    <w:rsid w:val="00741ACA"/>
    <w:rsid w:val="00742221"/>
    <w:rsid w:val="0074263A"/>
    <w:rsid w:val="007447D1"/>
    <w:rsid w:val="007449BF"/>
    <w:rsid w:val="00744D3B"/>
    <w:rsid w:val="0074516E"/>
    <w:rsid w:val="00745FCB"/>
    <w:rsid w:val="00746BC0"/>
    <w:rsid w:val="007510B4"/>
    <w:rsid w:val="00752142"/>
    <w:rsid w:val="007523F9"/>
    <w:rsid w:val="007528FB"/>
    <w:rsid w:val="0075357E"/>
    <w:rsid w:val="007573E8"/>
    <w:rsid w:val="00760C4E"/>
    <w:rsid w:val="00760F9E"/>
    <w:rsid w:val="00760FD2"/>
    <w:rsid w:val="007627BE"/>
    <w:rsid w:val="00764F03"/>
    <w:rsid w:val="00765B1A"/>
    <w:rsid w:val="00766251"/>
    <w:rsid w:val="00766335"/>
    <w:rsid w:val="007671FE"/>
    <w:rsid w:val="0076760C"/>
    <w:rsid w:val="00772312"/>
    <w:rsid w:val="007725C1"/>
    <w:rsid w:val="007729A8"/>
    <w:rsid w:val="00773B6E"/>
    <w:rsid w:val="0077489B"/>
    <w:rsid w:val="007748D9"/>
    <w:rsid w:val="0077595A"/>
    <w:rsid w:val="0077732D"/>
    <w:rsid w:val="00777335"/>
    <w:rsid w:val="00780A43"/>
    <w:rsid w:val="00780FEE"/>
    <w:rsid w:val="007843F2"/>
    <w:rsid w:val="00784A76"/>
    <w:rsid w:val="00785A9F"/>
    <w:rsid w:val="0079058C"/>
    <w:rsid w:val="007912DD"/>
    <w:rsid w:val="007925DF"/>
    <w:rsid w:val="007A08AA"/>
    <w:rsid w:val="007A0A12"/>
    <w:rsid w:val="007A0A81"/>
    <w:rsid w:val="007A1278"/>
    <w:rsid w:val="007A132D"/>
    <w:rsid w:val="007A1345"/>
    <w:rsid w:val="007A1BA2"/>
    <w:rsid w:val="007A1CD2"/>
    <w:rsid w:val="007A2B2F"/>
    <w:rsid w:val="007A2DDB"/>
    <w:rsid w:val="007A37C8"/>
    <w:rsid w:val="007A39B6"/>
    <w:rsid w:val="007A3B53"/>
    <w:rsid w:val="007A5D06"/>
    <w:rsid w:val="007A64AE"/>
    <w:rsid w:val="007A70BA"/>
    <w:rsid w:val="007A75DF"/>
    <w:rsid w:val="007A7BA7"/>
    <w:rsid w:val="007B013E"/>
    <w:rsid w:val="007B0D68"/>
    <w:rsid w:val="007B17B5"/>
    <w:rsid w:val="007B1A1B"/>
    <w:rsid w:val="007B251D"/>
    <w:rsid w:val="007B4F58"/>
    <w:rsid w:val="007B528D"/>
    <w:rsid w:val="007B63CA"/>
    <w:rsid w:val="007B676B"/>
    <w:rsid w:val="007B6845"/>
    <w:rsid w:val="007B77D1"/>
    <w:rsid w:val="007C0006"/>
    <w:rsid w:val="007C07C7"/>
    <w:rsid w:val="007C0A9F"/>
    <w:rsid w:val="007C1CD9"/>
    <w:rsid w:val="007C30BF"/>
    <w:rsid w:val="007C32EF"/>
    <w:rsid w:val="007C361D"/>
    <w:rsid w:val="007C4363"/>
    <w:rsid w:val="007C4AFD"/>
    <w:rsid w:val="007C4B84"/>
    <w:rsid w:val="007C5582"/>
    <w:rsid w:val="007C6A36"/>
    <w:rsid w:val="007C70FF"/>
    <w:rsid w:val="007C772C"/>
    <w:rsid w:val="007C7C25"/>
    <w:rsid w:val="007D004F"/>
    <w:rsid w:val="007D0B38"/>
    <w:rsid w:val="007D28F0"/>
    <w:rsid w:val="007D4AC0"/>
    <w:rsid w:val="007D4B36"/>
    <w:rsid w:val="007D5440"/>
    <w:rsid w:val="007D69EB"/>
    <w:rsid w:val="007E128F"/>
    <w:rsid w:val="007E2DC5"/>
    <w:rsid w:val="007E4B27"/>
    <w:rsid w:val="007E660C"/>
    <w:rsid w:val="007E74C9"/>
    <w:rsid w:val="007F0F18"/>
    <w:rsid w:val="007F1017"/>
    <w:rsid w:val="007F1C35"/>
    <w:rsid w:val="007F48E8"/>
    <w:rsid w:val="007F4A3F"/>
    <w:rsid w:val="007F4A61"/>
    <w:rsid w:val="007F5255"/>
    <w:rsid w:val="007F56C4"/>
    <w:rsid w:val="007F56CC"/>
    <w:rsid w:val="007F61C2"/>
    <w:rsid w:val="0080167F"/>
    <w:rsid w:val="008023DD"/>
    <w:rsid w:val="00805142"/>
    <w:rsid w:val="00805FCE"/>
    <w:rsid w:val="00806F00"/>
    <w:rsid w:val="008078CF"/>
    <w:rsid w:val="00807A8B"/>
    <w:rsid w:val="00811383"/>
    <w:rsid w:val="00811A4B"/>
    <w:rsid w:val="00811BD8"/>
    <w:rsid w:val="00811EF8"/>
    <w:rsid w:val="00812149"/>
    <w:rsid w:val="008122D1"/>
    <w:rsid w:val="00812CAC"/>
    <w:rsid w:val="00813179"/>
    <w:rsid w:val="00816361"/>
    <w:rsid w:val="008166EF"/>
    <w:rsid w:val="00816FEF"/>
    <w:rsid w:val="00817068"/>
    <w:rsid w:val="008200C8"/>
    <w:rsid w:val="00820A8C"/>
    <w:rsid w:val="00820E4D"/>
    <w:rsid w:val="008215FB"/>
    <w:rsid w:val="00821EE5"/>
    <w:rsid w:val="00822C28"/>
    <w:rsid w:val="00823174"/>
    <w:rsid w:val="00825628"/>
    <w:rsid w:val="00825751"/>
    <w:rsid w:val="00825DDC"/>
    <w:rsid w:val="00826009"/>
    <w:rsid w:val="008264EB"/>
    <w:rsid w:val="008265BE"/>
    <w:rsid w:val="0082712C"/>
    <w:rsid w:val="00827A31"/>
    <w:rsid w:val="0083047E"/>
    <w:rsid w:val="008308A2"/>
    <w:rsid w:val="00833B05"/>
    <w:rsid w:val="008362B4"/>
    <w:rsid w:val="00837656"/>
    <w:rsid w:val="008376EE"/>
    <w:rsid w:val="00840765"/>
    <w:rsid w:val="00840CA2"/>
    <w:rsid w:val="0084374F"/>
    <w:rsid w:val="008440EE"/>
    <w:rsid w:val="008449AD"/>
    <w:rsid w:val="00844A22"/>
    <w:rsid w:val="00845A5F"/>
    <w:rsid w:val="008467B1"/>
    <w:rsid w:val="00847703"/>
    <w:rsid w:val="00847DF5"/>
    <w:rsid w:val="0085309D"/>
    <w:rsid w:val="00854715"/>
    <w:rsid w:val="0085564B"/>
    <w:rsid w:val="00856897"/>
    <w:rsid w:val="00856E9A"/>
    <w:rsid w:val="0086075D"/>
    <w:rsid w:val="00860E19"/>
    <w:rsid w:val="00861F30"/>
    <w:rsid w:val="008622BC"/>
    <w:rsid w:val="008622D2"/>
    <w:rsid w:val="00862502"/>
    <w:rsid w:val="00862CC1"/>
    <w:rsid w:val="0086523E"/>
    <w:rsid w:val="00865C82"/>
    <w:rsid w:val="008660D4"/>
    <w:rsid w:val="00867831"/>
    <w:rsid w:val="00867FD3"/>
    <w:rsid w:val="00871FA9"/>
    <w:rsid w:val="008728E9"/>
    <w:rsid w:val="008739EE"/>
    <w:rsid w:val="00873E80"/>
    <w:rsid w:val="00874C75"/>
    <w:rsid w:val="00877886"/>
    <w:rsid w:val="00880D9C"/>
    <w:rsid w:val="00881779"/>
    <w:rsid w:val="00882874"/>
    <w:rsid w:val="00882E3C"/>
    <w:rsid w:val="00883787"/>
    <w:rsid w:val="00883ABF"/>
    <w:rsid w:val="00884853"/>
    <w:rsid w:val="008855E4"/>
    <w:rsid w:val="00885C89"/>
    <w:rsid w:val="00885F7C"/>
    <w:rsid w:val="00886A29"/>
    <w:rsid w:val="00886CD2"/>
    <w:rsid w:val="00890370"/>
    <w:rsid w:val="00891A8A"/>
    <w:rsid w:val="00891E6F"/>
    <w:rsid w:val="008921A0"/>
    <w:rsid w:val="00892513"/>
    <w:rsid w:val="0089275D"/>
    <w:rsid w:val="00892A36"/>
    <w:rsid w:val="00893239"/>
    <w:rsid w:val="00893622"/>
    <w:rsid w:val="00894489"/>
    <w:rsid w:val="00895F03"/>
    <w:rsid w:val="008963A5"/>
    <w:rsid w:val="00896D5D"/>
    <w:rsid w:val="008A0594"/>
    <w:rsid w:val="008A2047"/>
    <w:rsid w:val="008A3363"/>
    <w:rsid w:val="008A3371"/>
    <w:rsid w:val="008A3C3E"/>
    <w:rsid w:val="008A79DE"/>
    <w:rsid w:val="008B1757"/>
    <w:rsid w:val="008B38CB"/>
    <w:rsid w:val="008B3958"/>
    <w:rsid w:val="008B7682"/>
    <w:rsid w:val="008B7992"/>
    <w:rsid w:val="008B7D7E"/>
    <w:rsid w:val="008C288E"/>
    <w:rsid w:val="008C5610"/>
    <w:rsid w:val="008C5739"/>
    <w:rsid w:val="008C6BC2"/>
    <w:rsid w:val="008C6DC7"/>
    <w:rsid w:val="008C7E45"/>
    <w:rsid w:val="008C7ECB"/>
    <w:rsid w:val="008D0937"/>
    <w:rsid w:val="008D163D"/>
    <w:rsid w:val="008D291C"/>
    <w:rsid w:val="008D3B86"/>
    <w:rsid w:val="008D4755"/>
    <w:rsid w:val="008D4848"/>
    <w:rsid w:val="008D4C3D"/>
    <w:rsid w:val="008D5C26"/>
    <w:rsid w:val="008D743C"/>
    <w:rsid w:val="008E0D3C"/>
    <w:rsid w:val="008E1B9E"/>
    <w:rsid w:val="008E34BE"/>
    <w:rsid w:val="008E44B8"/>
    <w:rsid w:val="008E55AB"/>
    <w:rsid w:val="008E7723"/>
    <w:rsid w:val="008F120A"/>
    <w:rsid w:val="008F27E0"/>
    <w:rsid w:val="008F35A9"/>
    <w:rsid w:val="008F385C"/>
    <w:rsid w:val="008F3CB7"/>
    <w:rsid w:val="008F48EB"/>
    <w:rsid w:val="008F4F0B"/>
    <w:rsid w:val="008F65F1"/>
    <w:rsid w:val="009013B9"/>
    <w:rsid w:val="009046C4"/>
    <w:rsid w:val="009062A5"/>
    <w:rsid w:val="00910AA7"/>
    <w:rsid w:val="00910FA7"/>
    <w:rsid w:val="00911272"/>
    <w:rsid w:val="0091283E"/>
    <w:rsid w:val="009135D6"/>
    <w:rsid w:val="00913DF5"/>
    <w:rsid w:val="00914C77"/>
    <w:rsid w:val="00917EC3"/>
    <w:rsid w:val="00921ACB"/>
    <w:rsid w:val="00922E7B"/>
    <w:rsid w:val="0092369B"/>
    <w:rsid w:val="009255AD"/>
    <w:rsid w:val="00925FC8"/>
    <w:rsid w:val="009262C2"/>
    <w:rsid w:val="00930047"/>
    <w:rsid w:val="00930079"/>
    <w:rsid w:val="00931AE1"/>
    <w:rsid w:val="00932093"/>
    <w:rsid w:val="00934988"/>
    <w:rsid w:val="00934AEB"/>
    <w:rsid w:val="00934CFB"/>
    <w:rsid w:val="00935A89"/>
    <w:rsid w:val="00936ED7"/>
    <w:rsid w:val="00937089"/>
    <w:rsid w:val="00937B8B"/>
    <w:rsid w:val="00940F7D"/>
    <w:rsid w:val="00941780"/>
    <w:rsid w:val="00943F98"/>
    <w:rsid w:val="00944096"/>
    <w:rsid w:val="00944F8A"/>
    <w:rsid w:val="00946075"/>
    <w:rsid w:val="0095009C"/>
    <w:rsid w:val="009510A2"/>
    <w:rsid w:val="00951727"/>
    <w:rsid w:val="00953257"/>
    <w:rsid w:val="00953E4E"/>
    <w:rsid w:val="0095474C"/>
    <w:rsid w:val="0095486B"/>
    <w:rsid w:val="00956CE5"/>
    <w:rsid w:val="00956CFC"/>
    <w:rsid w:val="00960040"/>
    <w:rsid w:val="009600A9"/>
    <w:rsid w:val="0096050B"/>
    <w:rsid w:val="009613B2"/>
    <w:rsid w:val="00962CB9"/>
    <w:rsid w:val="0096351F"/>
    <w:rsid w:val="00964312"/>
    <w:rsid w:val="0096491F"/>
    <w:rsid w:val="00964CED"/>
    <w:rsid w:val="00965B8A"/>
    <w:rsid w:val="00965F00"/>
    <w:rsid w:val="0097071F"/>
    <w:rsid w:val="009717AC"/>
    <w:rsid w:val="00972B39"/>
    <w:rsid w:val="00972E77"/>
    <w:rsid w:val="0097358B"/>
    <w:rsid w:val="009751C1"/>
    <w:rsid w:val="0097549F"/>
    <w:rsid w:val="009762A0"/>
    <w:rsid w:val="00976B11"/>
    <w:rsid w:val="00977DDE"/>
    <w:rsid w:val="009811F1"/>
    <w:rsid w:val="00983E57"/>
    <w:rsid w:val="00984DDB"/>
    <w:rsid w:val="00985DE2"/>
    <w:rsid w:val="0098675D"/>
    <w:rsid w:val="00991F7C"/>
    <w:rsid w:val="009926E0"/>
    <w:rsid w:val="009936F3"/>
    <w:rsid w:val="00993B2A"/>
    <w:rsid w:val="00993EBC"/>
    <w:rsid w:val="00993EEC"/>
    <w:rsid w:val="0099451E"/>
    <w:rsid w:val="00995FB4"/>
    <w:rsid w:val="00996B1A"/>
    <w:rsid w:val="00996D80"/>
    <w:rsid w:val="00996ED3"/>
    <w:rsid w:val="009A1B30"/>
    <w:rsid w:val="009A2DCC"/>
    <w:rsid w:val="009A4171"/>
    <w:rsid w:val="009A5081"/>
    <w:rsid w:val="009A5ABC"/>
    <w:rsid w:val="009A733C"/>
    <w:rsid w:val="009A7F10"/>
    <w:rsid w:val="009B0A5B"/>
    <w:rsid w:val="009B0E97"/>
    <w:rsid w:val="009B2A9F"/>
    <w:rsid w:val="009B3E26"/>
    <w:rsid w:val="009B40FE"/>
    <w:rsid w:val="009B454E"/>
    <w:rsid w:val="009B5258"/>
    <w:rsid w:val="009B5780"/>
    <w:rsid w:val="009B5EA1"/>
    <w:rsid w:val="009B665E"/>
    <w:rsid w:val="009B6A01"/>
    <w:rsid w:val="009B79B0"/>
    <w:rsid w:val="009C3706"/>
    <w:rsid w:val="009C3A3A"/>
    <w:rsid w:val="009C6CEA"/>
    <w:rsid w:val="009C7B85"/>
    <w:rsid w:val="009D0254"/>
    <w:rsid w:val="009D1A64"/>
    <w:rsid w:val="009D2E69"/>
    <w:rsid w:val="009D53E9"/>
    <w:rsid w:val="009D5B91"/>
    <w:rsid w:val="009D792E"/>
    <w:rsid w:val="009E0DFE"/>
    <w:rsid w:val="009E31F6"/>
    <w:rsid w:val="009E4C07"/>
    <w:rsid w:val="009E5448"/>
    <w:rsid w:val="009E60B5"/>
    <w:rsid w:val="009F06BA"/>
    <w:rsid w:val="009F1958"/>
    <w:rsid w:val="009F1A4D"/>
    <w:rsid w:val="009F23C4"/>
    <w:rsid w:val="009F2CA8"/>
    <w:rsid w:val="00A01184"/>
    <w:rsid w:val="00A016F9"/>
    <w:rsid w:val="00A037C2"/>
    <w:rsid w:val="00A03D43"/>
    <w:rsid w:val="00A04380"/>
    <w:rsid w:val="00A05472"/>
    <w:rsid w:val="00A05518"/>
    <w:rsid w:val="00A05860"/>
    <w:rsid w:val="00A05C32"/>
    <w:rsid w:val="00A0653F"/>
    <w:rsid w:val="00A06CA1"/>
    <w:rsid w:val="00A101B8"/>
    <w:rsid w:val="00A11BA9"/>
    <w:rsid w:val="00A11CD0"/>
    <w:rsid w:val="00A13948"/>
    <w:rsid w:val="00A1555B"/>
    <w:rsid w:val="00A155C5"/>
    <w:rsid w:val="00A16AD8"/>
    <w:rsid w:val="00A20F49"/>
    <w:rsid w:val="00A21C95"/>
    <w:rsid w:val="00A21CF3"/>
    <w:rsid w:val="00A23598"/>
    <w:rsid w:val="00A24813"/>
    <w:rsid w:val="00A26971"/>
    <w:rsid w:val="00A27AEC"/>
    <w:rsid w:val="00A320AF"/>
    <w:rsid w:val="00A320DB"/>
    <w:rsid w:val="00A32BD0"/>
    <w:rsid w:val="00A33961"/>
    <w:rsid w:val="00A3402E"/>
    <w:rsid w:val="00A34724"/>
    <w:rsid w:val="00A34F07"/>
    <w:rsid w:val="00A35D16"/>
    <w:rsid w:val="00A3642D"/>
    <w:rsid w:val="00A37743"/>
    <w:rsid w:val="00A37BCD"/>
    <w:rsid w:val="00A4031E"/>
    <w:rsid w:val="00A40901"/>
    <w:rsid w:val="00A41689"/>
    <w:rsid w:val="00A42529"/>
    <w:rsid w:val="00A42592"/>
    <w:rsid w:val="00A43589"/>
    <w:rsid w:val="00A43C59"/>
    <w:rsid w:val="00A465C7"/>
    <w:rsid w:val="00A50ECD"/>
    <w:rsid w:val="00A518F3"/>
    <w:rsid w:val="00A52729"/>
    <w:rsid w:val="00A53675"/>
    <w:rsid w:val="00A558C2"/>
    <w:rsid w:val="00A55EF2"/>
    <w:rsid w:val="00A564D7"/>
    <w:rsid w:val="00A56B6A"/>
    <w:rsid w:val="00A5723C"/>
    <w:rsid w:val="00A578DC"/>
    <w:rsid w:val="00A633D6"/>
    <w:rsid w:val="00A636D1"/>
    <w:rsid w:val="00A63F6B"/>
    <w:rsid w:val="00A640E2"/>
    <w:rsid w:val="00A64D65"/>
    <w:rsid w:val="00A6560B"/>
    <w:rsid w:val="00A65E97"/>
    <w:rsid w:val="00A6725B"/>
    <w:rsid w:val="00A674B6"/>
    <w:rsid w:val="00A674BA"/>
    <w:rsid w:val="00A70605"/>
    <w:rsid w:val="00A71439"/>
    <w:rsid w:val="00A73134"/>
    <w:rsid w:val="00A75E2A"/>
    <w:rsid w:val="00A76001"/>
    <w:rsid w:val="00A777B2"/>
    <w:rsid w:val="00A77DC7"/>
    <w:rsid w:val="00A80545"/>
    <w:rsid w:val="00A825D4"/>
    <w:rsid w:val="00A828F6"/>
    <w:rsid w:val="00A82B73"/>
    <w:rsid w:val="00A85051"/>
    <w:rsid w:val="00A85B82"/>
    <w:rsid w:val="00A85ED5"/>
    <w:rsid w:val="00A86E8B"/>
    <w:rsid w:val="00A86F20"/>
    <w:rsid w:val="00A87164"/>
    <w:rsid w:val="00A93072"/>
    <w:rsid w:val="00A938BD"/>
    <w:rsid w:val="00A93953"/>
    <w:rsid w:val="00A95805"/>
    <w:rsid w:val="00A959D8"/>
    <w:rsid w:val="00A95A37"/>
    <w:rsid w:val="00A96E65"/>
    <w:rsid w:val="00AA0CC0"/>
    <w:rsid w:val="00AA105D"/>
    <w:rsid w:val="00AA113D"/>
    <w:rsid w:val="00AA5A82"/>
    <w:rsid w:val="00AA6546"/>
    <w:rsid w:val="00AA6BD5"/>
    <w:rsid w:val="00AA6BD8"/>
    <w:rsid w:val="00AA6C7D"/>
    <w:rsid w:val="00AA7FD6"/>
    <w:rsid w:val="00AB006C"/>
    <w:rsid w:val="00AB042A"/>
    <w:rsid w:val="00AB19EF"/>
    <w:rsid w:val="00AB2777"/>
    <w:rsid w:val="00AB2D34"/>
    <w:rsid w:val="00AB3430"/>
    <w:rsid w:val="00AB357E"/>
    <w:rsid w:val="00AB37B9"/>
    <w:rsid w:val="00AB3ACB"/>
    <w:rsid w:val="00AB4974"/>
    <w:rsid w:val="00AB4AD1"/>
    <w:rsid w:val="00AB5E07"/>
    <w:rsid w:val="00AB5E54"/>
    <w:rsid w:val="00AB7CFA"/>
    <w:rsid w:val="00AC0F82"/>
    <w:rsid w:val="00AC1075"/>
    <w:rsid w:val="00AC2A67"/>
    <w:rsid w:val="00AC34BB"/>
    <w:rsid w:val="00AC4DEF"/>
    <w:rsid w:val="00AC5B48"/>
    <w:rsid w:val="00AC7464"/>
    <w:rsid w:val="00AC79DD"/>
    <w:rsid w:val="00AD097D"/>
    <w:rsid w:val="00AD1450"/>
    <w:rsid w:val="00AD20DB"/>
    <w:rsid w:val="00AD4B97"/>
    <w:rsid w:val="00AD6502"/>
    <w:rsid w:val="00AD7065"/>
    <w:rsid w:val="00AE0695"/>
    <w:rsid w:val="00AE3E7E"/>
    <w:rsid w:val="00AE4864"/>
    <w:rsid w:val="00AE4A03"/>
    <w:rsid w:val="00AF1315"/>
    <w:rsid w:val="00AF172F"/>
    <w:rsid w:val="00AF19BF"/>
    <w:rsid w:val="00AF1DAD"/>
    <w:rsid w:val="00AF2DC3"/>
    <w:rsid w:val="00AF456E"/>
    <w:rsid w:val="00B00896"/>
    <w:rsid w:val="00B01047"/>
    <w:rsid w:val="00B033E5"/>
    <w:rsid w:val="00B03A63"/>
    <w:rsid w:val="00B05B84"/>
    <w:rsid w:val="00B11573"/>
    <w:rsid w:val="00B13463"/>
    <w:rsid w:val="00B134D9"/>
    <w:rsid w:val="00B15A67"/>
    <w:rsid w:val="00B201A4"/>
    <w:rsid w:val="00B201D1"/>
    <w:rsid w:val="00B2136C"/>
    <w:rsid w:val="00B213A6"/>
    <w:rsid w:val="00B235B0"/>
    <w:rsid w:val="00B23A0C"/>
    <w:rsid w:val="00B23E1E"/>
    <w:rsid w:val="00B23F1C"/>
    <w:rsid w:val="00B24B74"/>
    <w:rsid w:val="00B24DF6"/>
    <w:rsid w:val="00B315ED"/>
    <w:rsid w:val="00B344E9"/>
    <w:rsid w:val="00B34FE2"/>
    <w:rsid w:val="00B35166"/>
    <w:rsid w:val="00B35551"/>
    <w:rsid w:val="00B357D8"/>
    <w:rsid w:val="00B360F4"/>
    <w:rsid w:val="00B362A0"/>
    <w:rsid w:val="00B36581"/>
    <w:rsid w:val="00B36A00"/>
    <w:rsid w:val="00B37BFC"/>
    <w:rsid w:val="00B37DB8"/>
    <w:rsid w:val="00B40358"/>
    <w:rsid w:val="00B41614"/>
    <w:rsid w:val="00B41B3C"/>
    <w:rsid w:val="00B42851"/>
    <w:rsid w:val="00B42F80"/>
    <w:rsid w:val="00B435CB"/>
    <w:rsid w:val="00B44BFE"/>
    <w:rsid w:val="00B505C8"/>
    <w:rsid w:val="00B50DB8"/>
    <w:rsid w:val="00B53654"/>
    <w:rsid w:val="00B53905"/>
    <w:rsid w:val="00B547C3"/>
    <w:rsid w:val="00B54B5B"/>
    <w:rsid w:val="00B5562E"/>
    <w:rsid w:val="00B55862"/>
    <w:rsid w:val="00B55D65"/>
    <w:rsid w:val="00B57000"/>
    <w:rsid w:val="00B60939"/>
    <w:rsid w:val="00B60AFD"/>
    <w:rsid w:val="00B61290"/>
    <w:rsid w:val="00B61378"/>
    <w:rsid w:val="00B614C9"/>
    <w:rsid w:val="00B61EB3"/>
    <w:rsid w:val="00B623CF"/>
    <w:rsid w:val="00B62715"/>
    <w:rsid w:val="00B6359A"/>
    <w:rsid w:val="00B65611"/>
    <w:rsid w:val="00B66DD9"/>
    <w:rsid w:val="00B678F9"/>
    <w:rsid w:val="00B70E8E"/>
    <w:rsid w:val="00B7126C"/>
    <w:rsid w:val="00B71EAB"/>
    <w:rsid w:val="00B72A49"/>
    <w:rsid w:val="00B75179"/>
    <w:rsid w:val="00B76251"/>
    <w:rsid w:val="00B764A9"/>
    <w:rsid w:val="00B7677E"/>
    <w:rsid w:val="00B76C92"/>
    <w:rsid w:val="00B77D7D"/>
    <w:rsid w:val="00B80169"/>
    <w:rsid w:val="00B818A4"/>
    <w:rsid w:val="00B83BAC"/>
    <w:rsid w:val="00B84117"/>
    <w:rsid w:val="00B858F0"/>
    <w:rsid w:val="00B85AA2"/>
    <w:rsid w:val="00B863F6"/>
    <w:rsid w:val="00B8649C"/>
    <w:rsid w:val="00B8695D"/>
    <w:rsid w:val="00B87E72"/>
    <w:rsid w:val="00B87F0A"/>
    <w:rsid w:val="00B901B3"/>
    <w:rsid w:val="00B90A1A"/>
    <w:rsid w:val="00B9160A"/>
    <w:rsid w:val="00B92234"/>
    <w:rsid w:val="00B92D0B"/>
    <w:rsid w:val="00B94945"/>
    <w:rsid w:val="00B94DD6"/>
    <w:rsid w:val="00B9657C"/>
    <w:rsid w:val="00BA0C6C"/>
    <w:rsid w:val="00BA322D"/>
    <w:rsid w:val="00BA63FA"/>
    <w:rsid w:val="00BB00B3"/>
    <w:rsid w:val="00BB0BDD"/>
    <w:rsid w:val="00BB176C"/>
    <w:rsid w:val="00BB2A73"/>
    <w:rsid w:val="00BB3A45"/>
    <w:rsid w:val="00BB4ACC"/>
    <w:rsid w:val="00BB59AD"/>
    <w:rsid w:val="00BB703E"/>
    <w:rsid w:val="00BB732D"/>
    <w:rsid w:val="00BB7405"/>
    <w:rsid w:val="00BB7A1A"/>
    <w:rsid w:val="00BC3631"/>
    <w:rsid w:val="00BC591F"/>
    <w:rsid w:val="00BC6F7C"/>
    <w:rsid w:val="00BC7D6D"/>
    <w:rsid w:val="00BD0B78"/>
    <w:rsid w:val="00BD2108"/>
    <w:rsid w:val="00BD34F9"/>
    <w:rsid w:val="00BD36EA"/>
    <w:rsid w:val="00BD4A61"/>
    <w:rsid w:val="00BD6125"/>
    <w:rsid w:val="00BD68A3"/>
    <w:rsid w:val="00BD6938"/>
    <w:rsid w:val="00BD6CF3"/>
    <w:rsid w:val="00BD7577"/>
    <w:rsid w:val="00BE0ECA"/>
    <w:rsid w:val="00BE2180"/>
    <w:rsid w:val="00BE21F2"/>
    <w:rsid w:val="00BE2A51"/>
    <w:rsid w:val="00BE4275"/>
    <w:rsid w:val="00BE61B2"/>
    <w:rsid w:val="00BF0375"/>
    <w:rsid w:val="00BF06AE"/>
    <w:rsid w:val="00BF0F95"/>
    <w:rsid w:val="00BF1409"/>
    <w:rsid w:val="00BF2433"/>
    <w:rsid w:val="00BF266C"/>
    <w:rsid w:val="00BF50BC"/>
    <w:rsid w:val="00BF61C9"/>
    <w:rsid w:val="00BF6C94"/>
    <w:rsid w:val="00BF706A"/>
    <w:rsid w:val="00C00424"/>
    <w:rsid w:val="00C027ED"/>
    <w:rsid w:val="00C02DDE"/>
    <w:rsid w:val="00C02F4A"/>
    <w:rsid w:val="00C04300"/>
    <w:rsid w:val="00C05EE6"/>
    <w:rsid w:val="00C07E29"/>
    <w:rsid w:val="00C1179F"/>
    <w:rsid w:val="00C12C14"/>
    <w:rsid w:val="00C15429"/>
    <w:rsid w:val="00C15F04"/>
    <w:rsid w:val="00C179B3"/>
    <w:rsid w:val="00C17E3F"/>
    <w:rsid w:val="00C200AA"/>
    <w:rsid w:val="00C2293F"/>
    <w:rsid w:val="00C236BE"/>
    <w:rsid w:val="00C237ED"/>
    <w:rsid w:val="00C24632"/>
    <w:rsid w:val="00C25418"/>
    <w:rsid w:val="00C25D9C"/>
    <w:rsid w:val="00C2778B"/>
    <w:rsid w:val="00C27BC7"/>
    <w:rsid w:val="00C302EE"/>
    <w:rsid w:val="00C31649"/>
    <w:rsid w:val="00C31D2A"/>
    <w:rsid w:val="00C3434C"/>
    <w:rsid w:val="00C37482"/>
    <w:rsid w:val="00C40385"/>
    <w:rsid w:val="00C41768"/>
    <w:rsid w:val="00C41B7A"/>
    <w:rsid w:val="00C41F2C"/>
    <w:rsid w:val="00C44598"/>
    <w:rsid w:val="00C467BC"/>
    <w:rsid w:val="00C475AA"/>
    <w:rsid w:val="00C509A1"/>
    <w:rsid w:val="00C52377"/>
    <w:rsid w:val="00C53C98"/>
    <w:rsid w:val="00C55296"/>
    <w:rsid w:val="00C563C7"/>
    <w:rsid w:val="00C56FCF"/>
    <w:rsid w:val="00C5756D"/>
    <w:rsid w:val="00C57B6C"/>
    <w:rsid w:val="00C606FF"/>
    <w:rsid w:val="00C628A6"/>
    <w:rsid w:val="00C64344"/>
    <w:rsid w:val="00C65108"/>
    <w:rsid w:val="00C65576"/>
    <w:rsid w:val="00C66165"/>
    <w:rsid w:val="00C7060A"/>
    <w:rsid w:val="00C7151A"/>
    <w:rsid w:val="00C717E3"/>
    <w:rsid w:val="00C71F60"/>
    <w:rsid w:val="00C72241"/>
    <w:rsid w:val="00C7331A"/>
    <w:rsid w:val="00C73D6C"/>
    <w:rsid w:val="00C750C8"/>
    <w:rsid w:val="00C7560F"/>
    <w:rsid w:val="00C80A0E"/>
    <w:rsid w:val="00C80FCD"/>
    <w:rsid w:val="00C814C9"/>
    <w:rsid w:val="00C81F11"/>
    <w:rsid w:val="00C8213F"/>
    <w:rsid w:val="00C82C04"/>
    <w:rsid w:val="00C8504B"/>
    <w:rsid w:val="00C85154"/>
    <w:rsid w:val="00C86777"/>
    <w:rsid w:val="00C869D3"/>
    <w:rsid w:val="00C8797A"/>
    <w:rsid w:val="00C900B8"/>
    <w:rsid w:val="00C90C71"/>
    <w:rsid w:val="00C90F14"/>
    <w:rsid w:val="00C919A9"/>
    <w:rsid w:val="00C91FD1"/>
    <w:rsid w:val="00C92924"/>
    <w:rsid w:val="00C92BD6"/>
    <w:rsid w:val="00C931CF"/>
    <w:rsid w:val="00C938CF"/>
    <w:rsid w:val="00C93A00"/>
    <w:rsid w:val="00C93C73"/>
    <w:rsid w:val="00C94053"/>
    <w:rsid w:val="00C94CFD"/>
    <w:rsid w:val="00C9624D"/>
    <w:rsid w:val="00C969DA"/>
    <w:rsid w:val="00C97B17"/>
    <w:rsid w:val="00CA0E6B"/>
    <w:rsid w:val="00CA192B"/>
    <w:rsid w:val="00CA2C77"/>
    <w:rsid w:val="00CA3FF6"/>
    <w:rsid w:val="00CA42E5"/>
    <w:rsid w:val="00CA444F"/>
    <w:rsid w:val="00CA5245"/>
    <w:rsid w:val="00CA71F4"/>
    <w:rsid w:val="00CA7365"/>
    <w:rsid w:val="00CA7B09"/>
    <w:rsid w:val="00CB08FA"/>
    <w:rsid w:val="00CB12A5"/>
    <w:rsid w:val="00CB1CAC"/>
    <w:rsid w:val="00CB2F2A"/>
    <w:rsid w:val="00CB5B1A"/>
    <w:rsid w:val="00CB6B22"/>
    <w:rsid w:val="00CB7F5F"/>
    <w:rsid w:val="00CC0904"/>
    <w:rsid w:val="00CC1576"/>
    <w:rsid w:val="00CC1B39"/>
    <w:rsid w:val="00CC2017"/>
    <w:rsid w:val="00CC2469"/>
    <w:rsid w:val="00CC35EA"/>
    <w:rsid w:val="00CC3848"/>
    <w:rsid w:val="00CC481E"/>
    <w:rsid w:val="00CC4948"/>
    <w:rsid w:val="00CC5F88"/>
    <w:rsid w:val="00CC71F4"/>
    <w:rsid w:val="00CD1C65"/>
    <w:rsid w:val="00CD2B6E"/>
    <w:rsid w:val="00CD3F77"/>
    <w:rsid w:val="00CD54E9"/>
    <w:rsid w:val="00CD6ADC"/>
    <w:rsid w:val="00CD7193"/>
    <w:rsid w:val="00CE38C8"/>
    <w:rsid w:val="00CE3B76"/>
    <w:rsid w:val="00CE4001"/>
    <w:rsid w:val="00CE4E6C"/>
    <w:rsid w:val="00CE6274"/>
    <w:rsid w:val="00CE77B6"/>
    <w:rsid w:val="00CF17D5"/>
    <w:rsid w:val="00CF2B8D"/>
    <w:rsid w:val="00CF456B"/>
    <w:rsid w:val="00CF48FC"/>
    <w:rsid w:val="00CF5A22"/>
    <w:rsid w:val="00CF65CD"/>
    <w:rsid w:val="00CF6C2D"/>
    <w:rsid w:val="00CF6EC6"/>
    <w:rsid w:val="00D0262E"/>
    <w:rsid w:val="00D03BE3"/>
    <w:rsid w:val="00D047BF"/>
    <w:rsid w:val="00D0597D"/>
    <w:rsid w:val="00D05E3D"/>
    <w:rsid w:val="00D06139"/>
    <w:rsid w:val="00D06337"/>
    <w:rsid w:val="00D06E9A"/>
    <w:rsid w:val="00D07063"/>
    <w:rsid w:val="00D07ED7"/>
    <w:rsid w:val="00D110BD"/>
    <w:rsid w:val="00D13675"/>
    <w:rsid w:val="00D141B5"/>
    <w:rsid w:val="00D141E1"/>
    <w:rsid w:val="00D15314"/>
    <w:rsid w:val="00D17D6C"/>
    <w:rsid w:val="00D213FD"/>
    <w:rsid w:val="00D2155B"/>
    <w:rsid w:val="00D215A3"/>
    <w:rsid w:val="00D21D8C"/>
    <w:rsid w:val="00D23A23"/>
    <w:rsid w:val="00D23D11"/>
    <w:rsid w:val="00D24261"/>
    <w:rsid w:val="00D244B6"/>
    <w:rsid w:val="00D2754D"/>
    <w:rsid w:val="00D27B27"/>
    <w:rsid w:val="00D30028"/>
    <w:rsid w:val="00D3159F"/>
    <w:rsid w:val="00D33BE9"/>
    <w:rsid w:val="00D33F93"/>
    <w:rsid w:val="00D3445C"/>
    <w:rsid w:val="00D357FF"/>
    <w:rsid w:val="00D35879"/>
    <w:rsid w:val="00D40A23"/>
    <w:rsid w:val="00D41F8D"/>
    <w:rsid w:val="00D424C7"/>
    <w:rsid w:val="00D43B2A"/>
    <w:rsid w:val="00D43D83"/>
    <w:rsid w:val="00D44276"/>
    <w:rsid w:val="00D47575"/>
    <w:rsid w:val="00D5243B"/>
    <w:rsid w:val="00D533EC"/>
    <w:rsid w:val="00D56A95"/>
    <w:rsid w:val="00D6087C"/>
    <w:rsid w:val="00D61712"/>
    <w:rsid w:val="00D651F9"/>
    <w:rsid w:val="00D6694F"/>
    <w:rsid w:val="00D7031C"/>
    <w:rsid w:val="00D70F16"/>
    <w:rsid w:val="00D72F57"/>
    <w:rsid w:val="00D76A44"/>
    <w:rsid w:val="00D807B3"/>
    <w:rsid w:val="00D80C6B"/>
    <w:rsid w:val="00D815EF"/>
    <w:rsid w:val="00D81F26"/>
    <w:rsid w:val="00D8223C"/>
    <w:rsid w:val="00D827F7"/>
    <w:rsid w:val="00D85351"/>
    <w:rsid w:val="00D8577A"/>
    <w:rsid w:val="00D86231"/>
    <w:rsid w:val="00D87D56"/>
    <w:rsid w:val="00D9167E"/>
    <w:rsid w:val="00D91923"/>
    <w:rsid w:val="00D92337"/>
    <w:rsid w:val="00D93753"/>
    <w:rsid w:val="00D969BC"/>
    <w:rsid w:val="00DA22AA"/>
    <w:rsid w:val="00DA28A0"/>
    <w:rsid w:val="00DA3167"/>
    <w:rsid w:val="00DA4DC3"/>
    <w:rsid w:val="00DA64F6"/>
    <w:rsid w:val="00DA654F"/>
    <w:rsid w:val="00DA76E9"/>
    <w:rsid w:val="00DA77A5"/>
    <w:rsid w:val="00DA7B49"/>
    <w:rsid w:val="00DB0979"/>
    <w:rsid w:val="00DB0FA2"/>
    <w:rsid w:val="00DB13C6"/>
    <w:rsid w:val="00DB151A"/>
    <w:rsid w:val="00DB3DBF"/>
    <w:rsid w:val="00DB484F"/>
    <w:rsid w:val="00DC04F6"/>
    <w:rsid w:val="00DC0690"/>
    <w:rsid w:val="00DC1D65"/>
    <w:rsid w:val="00DC2371"/>
    <w:rsid w:val="00DC242E"/>
    <w:rsid w:val="00DC3C57"/>
    <w:rsid w:val="00DC5501"/>
    <w:rsid w:val="00DC62DD"/>
    <w:rsid w:val="00DC7154"/>
    <w:rsid w:val="00DC7E8A"/>
    <w:rsid w:val="00DD09D9"/>
    <w:rsid w:val="00DD0F78"/>
    <w:rsid w:val="00DD2139"/>
    <w:rsid w:val="00DD273C"/>
    <w:rsid w:val="00DD3F28"/>
    <w:rsid w:val="00DD4537"/>
    <w:rsid w:val="00DD455D"/>
    <w:rsid w:val="00DD48CE"/>
    <w:rsid w:val="00DD4E15"/>
    <w:rsid w:val="00DD4E33"/>
    <w:rsid w:val="00DD4F1E"/>
    <w:rsid w:val="00DD54A7"/>
    <w:rsid w:val="00DD78A5"/>
    <w:rsid w:val="00DE1990"/>
    <w:rsid w:val="00DE21E1"/>
    <w:rsid w:val="00DE2304"/>
    <w:rsid w:val="00DE3138"/>
    <w:rsid w:val="00DE37BB"/>
    <w:rsid w:val="00DE37F8"/>
    <w:rsid w:val="00DE4FCB"/>
    <w:rsid w:val="00DE54FC"/>
    <w:rsid w:val="00DE5836"/>
    <w:rsid w:val="00DE5D07"/>
    <w:rsid w:val="00DE63DB"/>
    <w:rsid w:val="00DE65C5"/>
    <w:rsid w:val="00DE72A7"/>
    <w:rsid w:val="00DE7832"/>
    <w:rsid w:val="00DF14BB"/>
    <w:rsid w:val="00DF151C"/>
    <w:rsid w:val="00DF18FC"/>
    <w:rsid w:val="00DF363B"/>
    <w:rsid w:val="00DF5D2B"/>
    <w:rsid w:val="00DF66B8"/>
    <w:rsid w:val="00DF7145"/>
    <w:rsid w:val="00E00E8E"/>
    <w:rsid w:val="00E02140"/>
    <w:rsid w:val="00E0360C"/>
    <w:rsid w:val="00E05630"/>
    <w:rsid w:val="00E06B61"/>
    <w:rsid w:val="00E06DBB"/>
    <w:rsid w:val="00E10149"/>
    <w:rsid w:val="00E10371"/>
    <w:rsid w:val="00E11340"/>
    <w:rsid w:val="00E12073"/>
    <w:rsid w:val="00E122A1"/>
    <w:rsid w:val="00E1280A"/>
    <w:rsid w:val="00E1398A"/>
    <w:rsid w:val="00E14975"/>
    <w:rsid w:val="00E14EF8"/>
    <w:rsid w:val="00E15888"/>
    <w:rsid w:val="00E1588A"/>
    <w:rsid w:val="00E16372"/>
    <w:rsid w:val="00E169AE"/>
    <w:rsid w:val="00E17532"/>
    <w:rsid w:val="00E20050"/>
    <w:rsid w:val="00E20335"/>
    <w:rsid w:val="00E2051E"/>
    <w:rsid w:val="00E20E4D"/>
    <w:rsid w:val="00E20ED6"/>
    <w:rsid w:val="00E2127C"/>
    <w:rsid w:val="00E21358"/>
    <w:rsid w:val="00E2249B"/>
    <w:rsid w:val="00E22A0D"/>
    <w:rsid w:val="00E23D5C"/>
    <w:rsid w:val="00E23F1C"/>
    <w:rsid w:val="00E244F6"/>
    <w:rsid w:val="00E25F2D"/>
    <w:rsid w:val="00E2771E"/>
    <w:rsid w:val="00E3006C"/>
    <w:rsid w:val="00E311EF"/>
    <w:rsid w:val="00E3135B"/>
    <w:rsid w:val="00E31A21"/>
    <w:rsid w:val="00E32180"/>
    <w:rsid w:val="00E33455"/>
    <w:rsid w:val="00E3389C"/>
    <w:rsid w:val="00E33E33"/>
    <w:rsid w:val="00E34011"/>
    <w:rsid w:val="00E34948"/>
    <w:rsid w:val="00E3615B"/>
    <w:rsid w:val="00E37569"/>
    <w:rsid w:val="00E401B2"/>
    <w:rsid w:val="00E41380"/>
    <w:rsid w:val="00E41E30"/>
    <w:rsid w:val="00E42F73"/>
    <w:rsid w:val="00E43D70"/>
    <w:rsid w:val="00E466F3"/>
    <w:rsid w:val="00E47915"/>
    <w:rsid w:val="00E47B2C"/>
    <w:rsid w:val="00E5050F"/>
    <w:rsid w:val="00E51560"/>
    <w:rsid w:val="00E53FC8"/>
    <w:rsid w:val="00E54347"/>
    <w:rsid w:val="00E55424"/>
    <w:rsid w:val="00E55915"/>
    <w:rsid w:val="00E55BB5"/>
    <w:rsid w:val="00E55FF3"/>
    <w:rsid w:val="00E56692"/>
    <w:rsid w:val="00E570FD"/>
    <w:rsid w:val="00E60495"/>
    <w:rsid w:val="00E61877"/>
    <w:rsid w:val="00E61ECC"/>
    <w:rsid w:val="00E621CC"/>
    <w:rsid w:val="00E64675"/>
    <w:rsid w:val="00E65E79"/>
    <w:rsid w:val="00E66BA2"/>
    <w:rsid w:val="00E67416"/>
    <w:rsid w:val="00E718B6"/>
    <w:rsid w:val="00E723BA"/>
    <w:rsid w:val="00E72CF2"/>
    <w:rsid w:val="00E730EF"/>
    <w:rsid w:val="00E73339"/>
    <w:rsid w:val="00E73581"/>
    <w:rsid w:val="00E74A29"/>
    <w:rsid w:val="00E75261"/>
    <w:rsid w:val="00E75776"/>
    <w:rsid w:val="00E76C33"/>
    <w:rsid w:val="00E77083"/>
    <w:rsid w:val="00E80F1F"/>
    <w:rsid w:val="00E81C11"/>
    <w:rsid w:val="00E82C17"/>
    <w:rsid w:val="00E833F7"/>
    <w:rsid w:val="00E83BDF"/>
    <w:rsid w:val="00E84C94"/>
    <w:rsid w:val="00E8537A"/>
    <w:rsid w:val="00E857B6"/>
    <w:rsid w:val="00E86286"/>
    <w:rsid w:val="00E871F3"/>
    <w:rsid w:val="00E87A1D"/>
    <w:rsid w:val="00E9094A"/>
    <w:rsid w:val="00E91D35"/>
    <w:rsid w:val="00E926A5"/>
    <w:rsid w:val="00E9323F"/>
    <w:rsid w:val="00E94447"/>
    <w:rsid w:val="00E94859"/>
    <w:rsid w:val="00E9584E"/>
    <w:rsid w:val="00EA06C6"/>
    <w:rsid w:val="00EA17C3"/>
    <w:rsid w:val="00EA2C6B"/>
    <w:rsid w:val="00EA2CAA"/>
    <w:rsid w:val="00EA3864"/>
    <w:rsid w:val="00EA3C55"/>
    <w:rsid w:val="00EA3C59"/>
    <w:rsid w:val="00EA4728"/>
    <w:rsid w:val="00EA497E"/>
    <w:rsid w:val="00EA6735"/>
    <w:rsid w:val="00EA7671"/>
    <w:rsid w:val="00EA7933"/>
    <w:rsid w:val="00EA7F1C"/>
    <w:rsid w:val="00EB15B6"/>
    <w:rsid w:val="00EB1AC8"/>
    <w:rsid w:val="00EB3035"/>
    <w:rsid w:val="00EB3D06"/>
    <w:rsid w:val="00EB4916"/>
    <w:rsid w:val="00EB4EF0"/>
    <w:rsid w:val="00EB4FF1"/>
    <w:rsid w:val="00EB5543"/>
    <w:rsid w:val="00EB6CE2"/>
    <w:rsid w:val="00EB7A9C"/>
    <w:rsid w:val="00EC002A"/>
    <w:rsid w:val="00EC00C9"/>
    <w:rsid w:val="00EC0DD9"/>
    <w:rsid w:val="00EC181F"/>
    <w:rsid w:val="00EC2649"/>
    <w:rsid w:val="00EC31ED"/>
    <w:rsid w:val="00EC550C"/>
    <w:rsid w:val="00EC5836"/>
    <w:rsid w:val="00EC688C"/>
    <w:rsid w:val="00EC79C3"/>
    <w:rsid w:val="00ED0F30"/>
    <w:rsid w:val="00ED38CA"/>
    <w:rsid w:val="00ED57EA"/>
    <w:rsid w:val="00ED5BD4"/>
    <w:rsid w:val="00ED652E"/>
    <w:rsid w:val="00ED7927"/>
    <w:rsid w:val="00EE07D3"/>
    <w:rsid w:val="00EE1996"/>
    <w:rsid w:val="00EE1C01"/>
    <w:rsid w:val="00EE22AF"/>
    <w:rsid w:val="00EE4F6E"/>
    <w:rsid w:val="00EE5050"/>
    <w:rsid w:val="00EE5BD0"/>
    <w:rsid w:val="00EE648E"/>
    <w:rsid w:val="00EE78D3"/>
    <w:rsid w:val="00EF0171"/>
    <w:rsid w:val="00EF05E7"/>
    <w:rsid w:val="00EF0E96"/>
    <w:rsid w:val="00EF16FD"/>
    <w:rsid w:val="00EF1B25"/>
    <w:rsid w:val="00EF1C4C"/>
    <w:rsid w:val="00EF1DA0"/>
    <w:rsid w:val="00EF4092"/>
    <w:rsid w:val="00EF4747"/>
    <w:rsid w:val="00EF4BF8"/>
    <w:rsid w:val="00EF6FDE"/>
    <w:rsid w:val="00EF74F8"/>
    <w:rsid w:val="00F01773"/>
    <w:rsid w:val="00F02253"/>
    <w:rsid w:val="00F03C2E"/>
    <w:rsid w:val="00F04A66"/>
    <w:rsid w:val="00F04B4B"/>
    <w:rsid w:val="00F0516C"/>
    <w:rsid w:val="00F055CC"/>
    <w:rsid w:val="00F06394"/>
    <w:rsid w:val="00F067A2"/>
    <w:rsid w:val="00F077AB"/>
    <w:rsid w:val="00F07B9E"/>
    <w:rsid w:val="00F1006A"/>
    <w:rsid w:val="00F103A2"/>
    <w:rsid w:val="00F1116F"/>
    <w:rsid w:val="00F1263A"/>
    <w:rsid w:val="00F13296"/>
    <w:rsid w:val="00F1596E"/>
    <w:rsid w:val="00F15B77"/>
    <w:rsid w:val="00F179BA"/>
    <w:rsid w:val="00F23FAD"/>
    <w:rsid w:val="00F24837"/>
    <w:rsid w:val="00F2575F"/>
    <w:rsid w:val="00F2662C"/>
    <w:rsid w:val="00F27565"/>
    <w:rsid w:val="00F310D4"/>
    <w:rsid w:val="00F31D5A"/>
    <w:rsid w:val="00F32CC5"/>
    <w:rsid w:val="00F3368D"/>
    <w:rsid w:val="00F33975"/>
    <w:rsid w:val="00F33DE9"/>
    <w:rsid w:val="00F34DFC"/>
    <w:rsid w:val="00F35E6D"/>
    <w:rsid w:val="00F3619A"/>
    <w:rsid w:val="00F36431"/>
    <w:rsid w:val="00F40AAA"/>
    <w:rsid w:val="00F40BA7"/>
    <w:rsid w:val="00F40F9D"/>
    <w:rsid w:val="00F41941"/>
    <w:rsid w:val="00F41ACD"/>
    <w:rsid w:val="00F42380"/>
    <w:rsid w:val="00F43D1E"/>
    <w:rsid w:val="00F44A63"/>
    <w:rsid w:val="00F44BE6"/>
    <w:rsid w:val="00F46AD4"/>
    <w:rsid w:val="00F46CB6"/>
    <w:rsid w:val="00F46F83"/>
    <w:rsid w:val="00F4756D"/>
    <w:rsid w:val="00F47A6D"/>
    <w:rsid w:val="00F47DE8"/>
    <w:rsid w:val="00F47F97"/>
    <w:rsid w:val="00F506FD"/>
    <w:rsid w:val="00F50DEC"/>
    <w:rsid w:val="00F542C1"/>
    <w:rsid w:val="00F55E73"/>
    <w:rsid w:val="00F55EDA"/>
    <w:rsid w:val="00F56C80"/>
    <w:rsid w:val="00F60092"/>
    <w:rsid w:val="00F60DA3"/>
    <w:rsid w:val="00F61C18"/>
    <w:rsid w:val="00F61CA4"/>
    <w:rsid w:val="00F6461F"/>
    <w:rsid w:val="00F64674"/>
    <w:rsid w:val="00F65F4B"/>
    <w:rsid w:val="00F67A69"/>
    <w:rsid w:val="00F70BFF"/>
    <w:rsid w:val="00F70C9D"/>
    <w:rsid w:val="00F72071"/>
    <w:rsid w:val="00F747A6"/>
    <w:rsid w:val="00F74CD9"/>
    <w:rsid w:val="00F775BC"/>
    <w:rsid w:val="00F80A7B"/>
    <w:rsid w:val="00F80E5D"/>
    <w:rsid w:val="00F81E78"/>
    <w:rsid w:val="00F8307D"/>
    <w:rsid w:val="00F83705"/>
    <w:rsid w:val="00F851CE"/>
    <w:rsid w:val="00F8558D"/>
    <w:rsid w:val="00F91219"/>
    <w:rsid w:val="00F912CE"/>
    <w:rsid w:val="00F91C11"/>
    <w:rsid w:val="00F92444"/>
    <w:rsid w:val="00F926FD"/>
    <w:rsid w:val="00F93201"/>
    <w:rsid w:val="00F9393E"/>
    <w:rsid w:val="00F94A6E"/>
    <w:rsid w:val="00F96110"/>
    <w:rsid w:val="00F964EB"/>
    <w:rsid w:val="00F96FD0"/>
    <w:rsid w:val="00F97127"/>
    <w:rsid w:val="00F97A01"/>
    <w:rsid w:val="00F97A78"/>
    <w:rsid w:val="00FA0B20"/>
    <w:rsid w:val="00FA24E7"/>
    <w:rsid w:val="00FA4B66"/>
    <w:rsid w:val="00FA5EE6"/>
    <w:rsid w:val="00FA6FC7"/>
    <w:rsid w:val="00FA7956"/>
    <w:rsid w:val="00FB018E"/>
    <w:rsid w:val="00FB0B76"/>
    <w:rsid w:val="00FB2FCB"/>
    <w:rsid w:val="00FB7C55"/>
    <w:rsid w:val="00FC0AEF"/>
    <w:rsid w:val="00FC1074"/>
    <w:rsid w:val="00FC1884"/>
    <w:rsid w:val="00FC1988"/>
    <w:rsid w:val="00FC1D7D"/>
    <w:rsid w:val="00FC371D"/>
    <w:rsid w:val="00FC5F0B"/>
    <w:rsid w:val="00FC5F5E"/>
    <w:rsid w:val="00FC7488"/>
    <w:rsid w:val="00FC74A2"/>
    <w:rsid w:val="00FD1B14"/>
    <w:rsid w:val="00FD2100"/>
    <w:rsid w:val="00FD2734"/>
    <w:rsid w:val="00FD2805"/>
    <w:rsid w:val="00FD436C"/>
    <w:rsid w:val="00FD446D"/>
    <w:rsid w:val="00FD4F2C"/>
    <w:rsid w:val="00FD5201"/>
    <w:rsid w:val="00FD5219"/>
    <w:rsid w:val="00FD6394"/>
    <w:rsid w:val="00FE0C09"/>
    <w:rsid w:val="00FE0E6C"/>
    <w:rsid w:val="00FE16DD"/>
    <w:rsid w:val="00FE1CDC"/>
    <w:rsid w:val="00FE70C3"/>
    <w:rsid w:val="00FF2AD9"/>
    <w:rsid w:val="00FF359F"/>
    <w:rsid w:val="00FF3DCF"/>
    <w:rsid w:val="00FF492C"/>
    <w:rsid w:val="00FF4A21"/>
    <w:rsid w:val="00FF50A4"/>
    <w:rsid w:val="00FF5AA3"/>
    <w:rsid w:val="00FF5AD8"/>
    <w:rsid w:val="00FF762B"/>
    <w:rsid w:val="00FF7C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028"/>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74263A"/>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63A"/>
    <w:rPr>
      <w:rFonts w:ascii="Calibri" w:hAnsi="Calibri" w:cs="Arial"/>
      <w:b/>
      <w:sz w:val="24"/>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_CC_Bullet,Bullet1,Section 5,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MSD Table Grid,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numId w:val="0"/>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val="0"/>
      <w:snapToGrid w:val="0"/>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Heading1Char">
    <w:name w:val="Heading 1 Char"/>
    <w:basedOn w:val="DefaultParagraphFont"/>
    <w:link w:val="Heading1"/>
    <w:uiPriority w:val="1"/>
    <w:rsid w:val="00A5723C"/>
    <w:rPr>
      <w:rFonts w:ascii="Calibri" w:hAnsi="Calibri" w:cs="Arial"/>
      <w:b/>
      <w:caps/>
      <w:sz w:val="32"/>
      <w:szCs w:val="24"/>
    </w:rPr>
  </w:style>
  <w:style w:type="character" w:customStyle="1" w:styleId="Heading3Char">
    <w:name w:val="Heading 3 Char"/>
    <w:basedOn w:val="DefaultParagraphFont"/>
    <w:link w:val="Heading3"/>
    <w:rsid w:val="00A5723C"/>
    <w:rPr>
      <w:rFonts w:ascii="Calibri" w:hAnsi="Calibri" w:cs="Arial"/>
      <w:sz w:val="24"/>
      <w:szCs w:val="24"/>
      <w:u w:val="single"/>
    </w:rPr>
  </w:style>
  <w:style w:type="character" w:customStyle="1" w:styleId="Heading4Char">
    <w:name w:val="Heading 4 Char"/>
    <w:basedOn w:val="DefaultParagraphFont"/>
    <w:link w:val="Heading4"/>
    <w:rsid w:val="00A5723C"/>
    <w:rPr>
      <w:rFonts w:ascii="Calibri" w:hAnsi="Calibri" w:cs="Arial"/>
      <w:b/>
      <w:bCs/>
      <w:i/>
      <w:sz w:val="26"/>
      <w:szCs w:val="28"/>
    </w:rPr>
  </w:style>
  <w:style w:type="character" w:customStyle="1" w:styleId="Heading5Char">
    <w:name w:val="Heading 5 Char"/>
    <w:basedOn w:val="DefaultParagraphFont"/>
    <w:link w:val="Heading5"/>
    <w:rsid w:val="00A5723C"/>
    <w:rPr>
      <w:rFonts w:ascii="Calibri" w:hAnsi="Calibri" w:cs="Arial"/>
      <w:b/>
      <w:bCs/>
      <w:iCs/>
      <w:sz w:val="26"/>
      <w:szCs w:val="26"/>
    </w:rPr>
  </w:style>
  <w:style w:type="character" w:customStyle="1" w:styleId="Heading6Char">
    <w:name w:val="Heading 6 Char"/>
    <w:basedOn w:val="DefaultParagraphFont"/>
    <w:link w:val="Heading6"/>
    <w:rsid w:val="00A5723C"/>
    <w:rPr>
      <w:rFonts w:ascii="Calibri" w:hAnsi="Calibri" w:cs="Arial"/>
      <w:b/>
      <w:bCs/>
      <w:i/>
      <w:sz w:val="24"/>
      <w:szCs w:val="24"/>
    </w:rPr>
  </w:style>
  <w:style w:type="paragraph" w:customStyle="1" w:styleId="msonormal0">
    <w:name w:val="msonormal"/>
    <w:basedOn w:val="Normal"/>
    <w:uiPriority w:val="99"/>
    <w:rsid w:val="00A5723C"/>
    <w:pPr>
      <w:snapToGrid w:val="0"/>
      <w:spacing w:before="100" w:after="100"/>
      <w:jc w:val="left"/>
    </w:pPr>
    <w:rPr>
      <w:rFonts w:ascii="Times New Roman" w:hAnsi="Times New Roman" w:cs="Times New Roman"/>
      <w:lang w:val="en-GB"/>
    </w:rPr>
  </w:style>
  <w:style w:type="paragraph" w:styleId="FootnoteText">
    <w:name w:val="footnote text"/>
    <w:basedOn w:val="Normal"/>
    <w:link w:val="FootnoteTextChar"/>
    <w:semiHidden/>
    <w:unhideWhenUsed/>
    <w:rsid w:val="00A5723C"/>
    <w:rPr>
      <w:sz w:val="20"/>
      <w:szCs w:val="20"/>
    </w:rPr>
  </w:style>
  <w:style w:type="character" w:customStyle="1" w:styleId="FootnoteTextChar">
    <w:name w:val="Footnote Text Char"/>
    <w:basedOn w:val="DefaultParagraphFont"/>
    <w:link w:val="FootnoteText"/>
    <w:semiHidden/>
    <w:rsid w:val="00A5723C"/>
    <w:rPr>
      <w:rFonts w:ascii="Calibri" w:hAnsi="Calibri" w:cs="Arial"/>
    </w:rPr>
  </w:style>
  <w:style w:type="character" w:customStyle="1" w:styleId="HeaderChar1">
    <w:name w:val="Header Char1"/>
    <w:aliases w:val="Page Header Char1,Header title Char1,he=header Char1,cntr/bld Char1"/>
    <w:basedOn w:val="DefaultParagraphFont"/>
    <w:semiHidden/>
    <w:rsid w:val="00A5723C"/>
    <w:rPr>
      <w:rFonts w:ascii="Calibri" w:hAnsi="Calibri" w:cs="Arial"/>
      <w:sz w:val="24"/>
      <w:szCs w:val="24"/>
    </w:rPr>
  </w:style>
  <w:style w:type="paragraph" w:customStyle="1" w:styleId="Default">
    <w:name w:val="Default"/>
    <w:rsid w:val="00A5723C"/>
    <w:pPr>
      <w:autoSpaceDE w:val="0"/>
      <w:autoSpaceDN w:val="0"/>
      <w:adjustRightInd w:val="0"/>
    </w:pPr>
    <w:rPr>
      <w:rFonts w:ascii="Trebuchet MS" w:hAnsi="Trebuchet MS" w:cs="Trebuchet MS"/>
      <w:color w:val="000000"/>
      <w:sz w:val="24"/>
      <w:szCs w:val="24"/>
    </w:rPr>
  </w:style>
  <w:style w:type="paragraph" w:customStyle="1" w:styleId="PBACTabletext">
    <w:name w:val="PBAC Table text"/>
    <w:qFormat/>
    <w:rsid w:val="00A5723C"/>
    <w:pPr>
      <w:keepNext/>
      <w:keepLines/>
      <w:suppressLineNumbers/>
      <w:spacing w:after="20"/>
      <w:textboxTightWrap w:val="allLines"/>
    </w:pPr>
    <w:rPr>
      <w:rFonts w:ascii="Trebuchet MS" w:hAnsi="Trebuchet MS" w:cs="Arial"/>
      <w:szCs w:val="24"/>
      <w:lang w:eastAsia="en-GB"/>
    </w:rPr>
  </w:style>
  <w:style w:type="character" w:customStyle="1" w:styleId="TableHeadingChar">
    <w:name w:val="Table Heading Char"/>
    <w:link w:val="TableHeading0"/>
    <w:locked/>
    <w:rsid w:val="00A5723C"/>
    <w:rPr>
      <w:rFonts w:ascii="Arial Narrow" w:eastAsiaTheme="majorEastAsia" w:hAnsi="Arial Narrow" w:cs="Arial"/>
      <w:b/>
      <w:lang w:bidi="en-US"/>
    </w:rPr>
  </w:style>
  <w:style w:type="paragraph" w:customStyle="1" w:styleId="TableHeading0">
    <w:name w:val="Table Heading"/>
    <w:basedOn w:val="Tabletext"/>
    <w:link w:val="TableHeadingChar"/>
    <w:qFormat/>
    <w:rsid w:val="00A5723C"/>
    <w:pPr>
      <w:keepNext/>
      <w:keepLines/>
    </w:pPr>
    <w:rPr>
      <w:rFonts w:eastAsiaTheme="majorEastAsia" w:cs="Arial"/>
      <w:b/>
      <w:snapToGrid/>
      <w:szCs w:val="20"/>
      <w:lang w:bidi="en-US"/>
    </w:rPr>
  </w:style>
  <w:style w:type="paragraph" w:customStyle="1" w:styleId="Tableheadingrow">
    <w:name w:val="Table heading row"/>
    <w:qFormat/>
    <w:rsid w:val="00A5723C"/>
    <w:pPr>
      <w:keepNext/>
    </w:pPr>
    <w:rPr>
      <w:rFonts w:ascii="Arial Narrow" w:eastAsiaTheme="majorEastAsia" w:hAnsi="Arial Narrow"/>
      <w:b/>
      <w:szCs w:val="24"/>
      <w:lang w:val="en-US"/>
    </w:rPr>
  </w:style>
  <w:style w:type="character" w:customStyle="1" w:styleId="TableFigureCaptionChar">
    <w:name w:val="Table/Figure Caption Char"/>
    <w:basedOn w:val="DefaultParagraphFont"/>
    <w:link w:val="TableFigureCaption"/>
    <w:locked/>
    <w:rsid w:val="00A5723C"/>
    <w:rPr>
      <w:rFonts w:ascii="Arial Narrow" w:eastAsiaTheme="majorEastAsia" w:hAnsi="Arial Narrow" w:cstheme="majorBidi"/>
      <w:b/>
      <w:bCs/>
      <w:szCs w:val="24"/>
    </w:rPr>
  </w:style>
  <w:style w:type="paragraph" w:customStyle="1" w:styleId="TableFigureCaption">
    <w:name w:val="Table/Figure Caption"/>
    <w:link w:val="TableFigureCaptionChar"/>
    <w:qFormat/>
    <w:rsid w:val="00A5723C"/>
    <w:pPr>
      <w:keepNext/>
    </w:pPr>
    <w:rPr>
      <w:rFonts w:ascii="Arial Narrow" w:eastAsiaTheme="majorEastAsia" w:hAnsi="Arial Narrow" w:cstheme="majorBidi"/>
      <w:b/>
      <w:bCs/>
      <w:szCs w:val="24"/>
    </w:rPr>
  </w:style>
  <w:style w:type="paragraph" w:customStyle="1" w:styleId="PBACTblFignote">
    <w:name w:val="PBAC Tbl/Fig note"/>
    <w:qFormat/>
    <w:rsid w:val="00A5723C"/>
    <w:pPr>
      <w:keepNext/>
      <w:keepLines/>
      <w:spacing w:after="360"/>
      <w:contextualSpacing/>
      <w:textboxTightWrap w:val="allLines"/>
    </w:pPr>
    <w:rPr>
      <w:rFonts w:ascii="Trebuchet MS" w:hAnsi="Trebuchet MS" w:cs="Arial"/>
      <w:sz w:val="16"/>
      <w:szCs w:val="24"/>
      <w:lang w:eastAsia="en-GB"/>
    </w:rPr>
  </w:style>
  <w:style w:type="character" w:styleId="FootnoteReference">
    <w:name w:val="footnote reference"/>
    <w:basedOn w:val="DefaultParagraphFont"/>
    <w:unhideWhenUsed/>
    <w:rsid w:val="00A5723C"/>
    <w:rPr>
      <w:vertAlign w:val="superscript"/>
    </w:rPr>
  </w:style>
  <w:style w:type="character" w:styleId="PlaceholderText">
    <w:name w:val="Placeholder Text"/>
    <w:basedOn w:val="DefaultParagraphFont"/>
    <w:uiPriority w:val="99"/>
    <w:semiHidden/>
    <w:rsid w:val="00A5723C"/>
    <w:rPr>
      <w:color w:val="808080"/>
    </w:rPr>
  </w:style>
  <w:style w:type="table" w:customStyle="1" w:styleId="Summarybox3">
    <w:name w:val="Summary box3"/>
    <w:basedOn w:val="TableNormal"/>
    <w:uiPriority w:val="59"/>
    <w:rsid w:val="00A572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1D2A"/>
    <w:rPr>
      <w:color w:val="605E5C"/>
      <w:shd w:val="clear" w:color="auto" w:fill="E1DFDD"/>
    </w:rPr>
  </w:style>
  <w:style w:type="character" w:customStyle="1" w:styleId="cf01">
    <w:name w:val="cf01"/>
    <w:basedOn w:val="DefaultParagraphFont"/>
    <w:rsid w:val="00216613"/>
    <w:rPr>
      <w:rFonts w:ascii="Segoe UI" w:hAnsi="Segoe UI" w:cs="Segoe UI" w:hint="default"/>
      <w:sz w:val="18"/>
      <w:szCs w:val="18"/>
    </w:rPr>
  </w:style>
  <w:style w:type="paragraph" w:styleId="EndnoteText">
    <w:name w:val="endnote text"/>
    <w:basedOn w:val="Normal"/>
    <w:link w:val="EndnoteTextChar"/>
    <w:semiHidden/>
    <w:unhideWhenUsed/>
    <w:rsid w:val="00E73339"/>
    <w:rPr>
      <w:sz w:val="20"/>
      <w:szCs w:val="20"/>
    </w:rPr>
  </w:style>
  <w:style w:type="character" w:customStyle="1" w:styleId="EndnoteTextChar">
    <w:name w:val="Endnote Text Char"/>
    <w:basedOn w:val="DefaultParagraphFont"/>
    <w:link w:val="EndnoteText"/>
    <w:semiHidden/>
    <w:rsid w:val="00E73339"/>
    <w:rPr>
      <w:rFonts w:ascii="Calibri" w:hAnsi="Calibri" w:cs="Arial"/>
    </w:rPr>
  </w:style>
  <w:style w:type="character" w:styleId="EndnoteReference">
    <w:name w:val="endnote reference"/>
    <w:basedOn w:val="DefaultParagraphFont"/>
    <w:semiHidden/>
    <w:unhideWhenUsed/>
    <w:rsid w:val="00E73339"/>
    <w:rPr>
      <w:vertAlign w:val="superscript"/>
    </w:rPr>
  </w:style>
  <w:style w:type="character" w:styleId="UnresolvedMention">
    <w:name w:val="Unresolved Mention"/>
    <w:basedOn w:val="DefaultParagraphFont"/>
    <w:uiPriority w:val="99"/>
    <w:semiHidden/>
    <w:unhideWhenUsed/>
    <w:rsid w:val="00A3642D"/>
    <w:rPr>
      <w:color w:val="605E5C"/>
      <w:shd w:val="clear" w:color="auto" w:fill="E1DFDD"/>
    </w:rPr>
  </w:style>
  <w:style w:type="paragraph" w:customStyle="1" w:styleId="3-SubsectionHeading">
    <w:name w:val="3-Subsection Heading"/>
    <w:basedOn w:val="Heading2"/>
    <w:next w:val="Normal"/>
    <w:link w:val="3-SubsectionHeadingChar"/>
    <w:qFormat/>
    <w:rsid w:val="00FB018E"/>
    <w:pPr>
      <w:keepNext/>
      <w:spacing w:before="120" w:after="120"/>
      <w:outlineLvl w:val="9"/>
    </w:pPr>
    <w:rPr>
      <w:rFonts w:asciiTheme="minorHAnsi" w:eastAsiaTheme="majorEastAsia" w:hAnsiTheme="minorHAnsi" w:cstheme="majorBidi"/>
      <w:i/>
      <w:spacing w:val="5"/>
      <w:kern w:val="28"/>
      <w:sz w:val="28"/>
      <w:szCs w:val="36"/>
      <w:lang w:eastAsia="en-US"/>
    </w:rPr>
  </w:style>
  <w:style w:type="character" w:customStyle="1" w:styleId="3-SubsectionHeadingChar">
    <w:name w:val="3-Subsection Heading Char"/>
    <w:basedOn w:val="Heading2Char"/>
    <w:link w:val="3-SubsectionHeading"/>
    <w:rsid w:val="00FB018E"/>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436">
      <w:bodyDiv w:val="1"/>
      <w:marLeft w:val="0"/>
      <w:marRight w:val="0"/>
      <w:marTop w:val="0"/>
      <w:marBottom w:val="0"/>
      <w:divBdr>
        <w:top w:val="none" w:sz="0" w:space="0" w:color="auto"/>
        <w:left w:val="none" w:sz="0" w:space="0" w:color="auto"/>
        <w:bottom w:val="none" w:sz="0" w:space="0" w:color="auto"/>
        <w:right w:val="none" w:sz="0" w:space="0" w:color="auto"/>
      </w:divBdr>
    </w:div>
    <w:div w:id="96146488">
      <w:bodyDiv w:val="1"/>
      <w:marLeft w:val="0"/>
      <w:marRight w:val="0"/>
      <w:marTop w:val="0"/>
      <w:marBottom w:val="0"/>
      <w:divBdr>
        <w:top w:val="none" w:sz="0" w:space="0" w:color="auto"/>
        <w:left w:val="none" w:sz="0" w:space="0" w:color="auto"/>
        <w:bottom w:val="none" w:sz="0" w:space="0" w:color="auto"/>
        <w:right w:val="none" w:sz="0" w:space="0" w:color="auto"/>
      </w:divBdr>
      <w:divsChild>
        <w:div w:id="1338070536">
          <w:marLeft w:val="446"/>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8747946">
      <w:bodyDiv w:val="1"/>
      <w:marLeft w:val="0"/>
      <w:marRight w:val="0"/>
      <w:marTop w:val="0"/>
      <w:marBottom w:val="0"/>
      <w:divBdr>
        <w:top w:val="none" w:sz="0" w:space="0" w:color="auto"/>
        <w:left w:val="none" w:sz="0" w:space="0" w:color="auto"/>
        <w:bottom w:val="none" w:sz="0" w:space="0" w:color="auto"/>
        <w:right w:val="none" w:sz="0" w:space="0" w:color="auto"/>
      </w:divBdr>
      <w:divsChild>
        <w:div w:id="2028942512">
          <w:marLeft w:val="360"/>
          <w:marRight w:val="0"/>
          <w:marTop w:val="200"/>
          <w:marBottom w:val="0"/>
          <w:divBdr>
            <w:top w:val="none" w:sz="0" w:space="0" w:color="auto"/>
            <w:left w:val="none" w:sz="0" w:space="0" w:color="auto"/>
            <w:bottom w:val="none" w:sz="0" w:space="0" w:color="auto"/>
            <w:right w:val="none" w:sz="0" w:space="0" w:color="auto"/>
          </w:divBdr>
        </w:div>
        <w:div w:id="617684730">
          <w:marLeft w:val="360"/>
          <w:marRight w:val="0"/>
          <w:marTop w:val="200"/>
          <w:marBottom w:val="0"/>
          <w:divBdr>
            <w:top w:val="none" w:sz="0" w:space="0" w:color="auto"/>
            <w:left w:val="none" w:sz="0" w:space="0" w:color="auto"/>
            <w:bottom w:val="none" w:sz="0" w:space="0" w:color="auto"/>
            <w:right w:val="none" w:sz="0" w:space="0" w:color="auto"/>
          </w:divBdr>
        </w:div>
        <w:div w:id="689456059">
          <w:marLeft w:val="360"/>
          <w:marRight w:val="0"/>
          <w:marTop w:val="200"/>
          <w:marBottom w:val="0"/>
          <w:divBdr>
            <w:top w:val="none" w:sz="0" w:space="0" w:color="auto"/>
            <w:left w:val="none" w:sz="0" w:space="0" w:color="auto"/>
            <w:bottom w:val="none" w:sz="0" w:space="0" w:color="auto"/>
            <w:right w:val="none" w:sz="0" w:space="0" w:color="auto"/>
          </w:divBdr>
        </w:div>
        <w:div w:id="1187868221">
          <w:marLeft w:val="360"/>
          <w:marRight w:val="0"/>
          <w:marTop w:val="200"/>
          <w:marBottom w:val="0"/>
          <w:divBdr>
            <w:top w:val="none" w:sz="0" w:space="0" w:color="auto"/>
            <w:left w:val="none" w:sz="0" w:space="0" w:color="auto"/>
            <w:bottom w:val="none" w:sz="0" w:space="0" w:color="auto"/>
            <w:right w:val="none" w:sz="0" w:space="0" w:color="auto"/>
          </w:divBdr>
        </w:div>
        <w:div w:id="641234677">
          <w:marLeft w:val="360"/>
          <w:marRight w:val="0"/>
          <w:marTop w:val="200"/>
          <w:marBottom w:val="0"/>
          <w:divBdr>
            <w:top w:val="none" w:sz="0" w:space="0" w:color="auto"/>
            <w:left w:val="none" w:sz="0" w:space="0" w:color="auto"/>
            <w:bottom w:val="none" w:sz="0" w:space="0" w:color="auto"/>
            <w:right w:val="none" w:sz="0" w:space="0" w:color="auto"/>
          </w:divBdr>
        </w:div>
        <w:div w:id="1561282388">
          <w:marLeft w:val="360"/>
          <w:marRight w:val="0"/>
          <w:marTop w:val="2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7525260">
      <w:bodyDiv w:val="1"/>
      <w:marLeft w:val="0"/>
      <w:marRight w:val="0"/>
      <w:marTop w:val="0"/>
      <w:marBottom w:val="0"/>
      <w:divBdr>
        <w:top w:val="none" w:sz="0" w:space="0" w:color="auto"/>
        <w:left w:val="none" w:sz="0" w:space="0" w:color="auto"/>
        <w:bottom w:val="none" w:sz="0" w:space="0" w:color="auto"/>
        <w:right w:val="none" w:sz="0" w:space="0" w:color="auto"/>
      </w:divBdr>
    </w:div>
    <w:div w:id="174150157">
      <w:bodyDiv w:val="1"/>
      <w:marLeft w:val="0"/>
      <w:marRight w:val="0"/>
      <w:marTop w:val="0"/>
      <w:marBottom w:val="0"/>
      <w:divBdr>
        <w:top w:val="none" w:sz="0" w:space="0" w:color="auto"/>
        <w:left w:val="none" w:sz="0" w:space="0" w:color="auto"/>
        <w:bottom w:val="none" w:sz="0" w:space="0" w:color="auto"/>
        <w:right w:val="none" w:sz="0" w:space="0" w:color="auto"/>
      </w:divBdr>
    </w:div>
    <w:div w:id="185603840">
      <w:bodyDiv w:val="1"/>
      <w:marLeft w:val="0"/>
      <w:marRight w:val="0"/>
      <w:marTop w:val="0"/>
      <w:marBottom w:val="0"/>
      <w:divBdr>
        <w:top w:val="none" w:sz="0" w:space="0" w:color="auto"/>
        <w:left w:val="none" w:sz="0" w:space="0" w:color="auto"/>
        <w:bottom w:val="none" w:sz="0" w:space="0" w:color="auto"/>
        <w:right w:val="none" w:sz="0" w:space="0" w:color="auto"/>
      </w:divBdr>
    </w:div>
    <w:div w:id="287317729">
      <w:bodyDiv w:val="1"/>
      <w:marLeft w:val="0"/>
      <w:marRight w:val="0"/>
      <w:marTop w:val="0"/>
      <w:marBottom w:val="0"/>
      <w:divBdr>
        <w:top w:val="none" w:sz="0" w:space="0" w:color="auto"/>
        <w:left w:val="none" w:sz="0" w:space="0" w:color="auto"/>
        <w:bottom w:val="none" w:sz="0" w:space="0" w:color="auto"/>
        <w:right w:val="none" w:sz="0" w:space="0" w:color="auto"/>
      </w:divBdr>
    </w:div>
    <w:div w:id="292058868">
      <w:bodyDiv w:val="1"/>
      <w:marLeft w:val="0"/>
      <w:marRight w:val="0"/>
      <w:marTop w:val="0"/>
      <w:marBottom w:val="0"/>
      <w:divBdr>
        <w:top w:val="none" w:sz="0" w:space="0" w:color="auto"/>
        <w:left w:val="none" w:sz="0" w:space="0" w:color="auto"/>
        <w:bottom w:val="none" w:sz="0" w:space="0" w:color="auto"/>
        <w:right w:val="none" w:sz="0" w:space="0" w:color="auto"/>
      </w:divBdr>
    </w:div>
    <w:div w:id="30516835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2953829">
      <w:bodyDiv w:val="1"/>
      <w:marLeft w:val="0"/>
      <w:marRight w:val="0"/>
      <w:marTop w:val="0"/>
      <w:marBottom w:val="0"/>
      <w:divBdr>
        <w:top w:val="none" w:sz="0" w:space="0" w:color="auto"/>
        <w:left w:val="none" w:sz="0" w:space="0" w:color="auto"/>
        <w:bottom w:val="none" w:sz="0" w:space="0" w:color="auto"/>
        <w:right w:val="none" w:sz="0" w:space="0" w:color="auto"/>
      </w:divBdr>
      <w:divsChild>
        <w:div w:id="649141278">
          <w:marLeft w:val="360"/>
          <w:marRight w:val="0"/>
          <w:marTop w:val="200"/>
          <w:marBottom w:val="0"/>
          <w:divBdr>
            <w:top w:val="none" w:sz="0" w:space="0" w:color="auto"/>
            <w:left w:val="none" w:sz="0" w:space="0" w:color="auto"/>
            <w:bottom w:val="none" w:sz="0" w:space="0" w:color="auto"/>
            <w:right w:val="none" w:sz="0" w:space="0" w:color="auto"/>
          </w:divBdr>
        </w:div>
        <w:div w:id="1244678810">
          <w:marLeft w:val="1080"/>
          <w:marRight w:val="0"/>
          <w:marTop w:val="100"/>
          <w:marBottom w:val="0"/>
          <w:divBdr>
            <w:top w:val="none" w:sz="0" w:space="0" w:color="auto"/>
            <w:left w:val="none" w:sz="0" w:space="0" w:color="auto"/>
            <w:bottom w:val="none" w:sz="0" w:space="0" w:color="auto"/>
            <w:right w:val="none" w:sz="0" w:space="0" w:color="auto"/>
          </w:divBdr>
        </w:div>
        <w:div w:id="541065550">
          <w:marLeft w:val="1080"/>
          <w:marRight w:val="0"/>
          <w:marTop w:val="100"/>
          <w:marBottom w:val="0"/>
          <w:divBdr>
            <w:top w:val="none" w:sz="0" w:space="0" w:color="auto"/>
            <w:left w:val="none" w:sz="0" w:space="0" w:color="auto"/>
            <w:bottom w:val="none" w:sz="0" w:space="0" w:color="auto"/>
            <w:right w:val="none" w:sz="0" w:space="0" w:color="auto"/>
          </w:divBdr>
        </w:div>
      </w:divsChild>
    </w:div>
    <w:div w:id="369188853">
      <w:bodyDiv w:val="1"/>
      <w:marLeft w:val="0"/>
      <w:marRight w:val="0"/>
      <w:marTop w:val="0"/>
      <w:marBottom w:val="0"/>
      <w:divBdr>
        <w:top w:val="none" w:sz="0" w:space="0" w:color="auto"/>
        <w:left w:val="none" w:sz="0" w:space="0" w:color="auto"/>
        <w:bottom w:val="none" w:sz="0" w:space="0" w:color="auto"/>
        <w:right w:val="none" w:sz="0" w:space="0" w:color="auto"/>
      </w:divBdr>
      <w:divsChild>
        <w:div w:id="305791343">
          <w:marLeft w:val="360"/>
          <w:marRight w:val="0"/>
          <w:marTop w:val="200"/>
          <w:marBottom w:val="0"/>
          <w:divBdr>
            <w:top w:val="none" w:sz="0" w:space="0" w:color="auto"/>
            <w:left w:val="none" w:sz="0" w:space="0" w:color="auto"/>
            <w:bottom w:val="none" w:sz="0" w:space="0" w:color="auto"/>
            <w:right w:val="none" w:sz="0" w:space="0" w:color="auto"/>
          </w:divBdr>
        </w:div>
      </w:divsChild>
    </w:div>
    <w:div w:id="425853069">
      <w:bodyDiv w:val="1"/>
      <w:marLeft w:val="0"/>
      <w:marRight w:val="0"/>
      <w:marTop w:val="0"/>
      <w:marBottom w:val="0"/>
      <w:divBdr>
        <w:top w:val="none" w:sz="0" w:space="0" w:color="auto"/>
        <w:left w:val="none" w:sz="0" w:space="0" w:color="auto"/>
        <w:bottom w:val="none" w:sz="0" w:space="0" w:color="auto"/>
        <w:right w:val="none" w:sz="0" w:space="0" w:color="auto"/>
      </w:divBdr>
      <w:divsChild>
        <w:div w:id="379475864">
          <w:marLeft w:val="360"/>
          <w:marRight w:val="0"/>
          <w:marTop w:val="200"/>
          <w:marBottom w:val="0"/>
          <w:divBdr>
            <w:top w:val="none" w:sz="0" w:space="0" w:color="auto"/>
            <w:left w:val="none" w:sz="0" w:space="0" w:color="auto"/>
            <w:bottom w:val="none" w:sz="0" w:space="0" w:color="auto"/>
            <w:right w:val="none" w:sz="0" w:space="0" w:color="auto"/>
          </w:divBdr>
        </w:div>
        <w:div w:id="114831618">
          <w:marLeft w:val="1080"/>
          <w:marRight w:val="0"/>
          <w:marTop w:val="100"/>
          <w:marBottom w:val="0"/>
          <w:divBdr>
            <w:top w:val="none" w:sz="0" w:space="0" w:color="auto"/>
            <w:left w:val="none" w:sz="0" w:space="0" w:color="auto"/>
            <w:bottom w:val="none" w:sz="0" w:space="0" w:color="auto"/>
            <w:right w:val="none" w:sz="0" w:space="0" w:color="auto"/>
          </w:divBdr>
        </w:div>
        <w:div w:id="1625577227">
          <w:marLeft w:val="1080"/>
          <w:marRight w:val="0"/>
          <w:marTop w:val="100"/>
          <w:marBottom w:val="0"/>
          <w:divBdr>
            <w:top w:val="none" w:sz="0" w:space="0" w:color="auto"/>
            <w:left w:val="none" w:sz="0" w:space="0" w:color="auto"/>
            <w:bottom w:val="none" w:sz="0" w:space="0" w:color="auto"/>
            <w:right w:val="none" w:sz="0" w:space="0" w:color="auto"/>
          </w:divBdr>
        </w:div>
        <w:div w:id="497506688">
          <w:marLeft w:val="1080"/>
          <w:marRight w:val="0"/>
          <w:marTop w:val="100"/>
          <w:marBottom w:val="0"/>
          <w:divBdr>
            <w:top w:val="none" w:sz="0" w:space="0" w:color="auto"/>
            <w:left w:val="none" w:sz="0" w:space="0" w:color="auto"/>
            <w:bottom w:val="none" w:sz="0" w:space="0" w:color="auto"/>
            <w:right w:val="none" w:sz="0" w:space="0" w:color="auto"/>
          </w:divBdr>
        </w:div>
        <w:div w:id="1590119634">
          <w:marLeft w:val="1080"/>
          <w:marRight w:val="0"/>
          <w:marTop w:val="100"/>
          <w:marBottom w:val="0"/>
          <w:divBdr>
            <w:top w:val="none" w:sz="0" w:space="0" w:color="auto"/>
            <w:left w:val="none" w:sz="0" w:space="0" w:color="auto"/>
            <w:bottom w:val="none" w:sz="0" w:space="0" w:color="auto"/>
            <w:right w:val="none" w:sz="0" w:space="0" w:color="auto"/>
          </w:divBdr>
        </w:div>
        <w:div w:id="1483426248">
          <w:marLeft w:val="1080"/>
          <w:marRight w:val="0"/>
          <w:marTop w:val="100"/>
          <w:marBottom w:val="0"/>
          <w:divBdr>
            <w:top w:val="none" w:sz="0" w:space="0" w:color="auto"/>
            <w:left w:val="none" w:sz="0" w:space="0" w:color="auto"/>
            <w:bottom w:val="none" w:sz="0" w:space="0" w:color="auto"/>
            <w:right w:val="none" w:sz="0" w:space="0" w:color="auto"/>
          </w:divBdr>
        </w:div>
        <w:div w:id="2130540633">
          <w:marLeft w:val="1080"/>
          <w:marRight w:val="0"/>
          <w:marTop w:val="100"/>
          <w:marBottom w:val="0"/>
          <w:divBdr>
            <w:top w:val="none" w:sz="0" w:space="0" w:color="auto"/>
            <w:left w:val="none" w:sz="0" w:space="0" w:color="auto"/>
            <w:bottom w:val="none" w:sz="0" w:space="0" w:color="auto"/>
            <w:right w:val="none" w:sz="0" w:space="0" w:color="auto"/>
          </w:divBdr>
        </w:div>
      </w:divsChild>
    </w:div>
    <w:div w:id="494420868">
      <w:bodyDiv w:val="1"/>
      <w:marLeft w:val="0"/>
      <w:marRight w:val="0"/>
      <w:marTop w:val="0"/>
      <w:marBottom w:val="0"/>
      <w:divBdr>
        <w:top w:val="none" w:sz="0" w:space="0" w:color="auto"/>
        <w:left w:val="none" w:sz="0" w:space="0" w:color="auto"/>
        <w:bottom w:val="none" w:sz="0" w:space="0" w:color="auto"/>
        <w:right w:val="none" w:sz="0" w:space="0" w:color="auto"/>
      </w:divBdr>
    </w:div>
    <w:div w:id="500005690">
      <w:bodyDiv w:val="1"/>
      <w:marLeft w:val="0"/>
      <w:marRight w:val="0"/>
      <w:marTop w:val="0"/>
      <w:marBottom w:val="0"/>
      <w:divBdr>
        <w:top w:val="none" w:sz="0" w:space="0" w:color="auto"/>
        <w:left w:val="none" w:sz="0" w:space="0" w:color="auto"/>
        <w:bottom w:val="none" w:sz="0" w:space="0" w:color="auto"/>
        <w:right w:val="none" w:sz="0" w:space="0" w:color="auto"/>
      </w:divBdr>
      <w:divsChild>
        <w:div w:id="2125994620">
          <w:marLeft w:val="360"/>
          <w:marRight w:val="0"/>
          <w:marTop w:val="200"/>
          <w:marBottom w:val="0"/>
          <w:divBdr>
            <w:top w:val="none" w:sz="0" w:space="0" w:color="auto"/>
            <w:left w:val="none" w:sz="0" w:space="0" w:color="auto"/>
            <w:bottom w:val="none" w:sz="0" w:space="0" w:color="auto"/>
            <w:right w:val="none" w:sz="0" w:space="0" w:color="auto"/>
          </w:divBdr>
        </w:div>
        <w:div w:id="2036270014">
          <w:marLeft w:val="1080"/>
          <w:marRight w:val="0"/>
          <w:marTop w:val="100"/>
          <w:marBottom w:val="0"/>
          <w:divBdr>
            <w:top w:val="none" w:sz="0" w:space="0" w:color="auto"/>
            <w:left w:val="none" w:sz="0" w:space="0" w:color="auto"/>
            <w:bottom w:val="none" w:sz="0" w:space="0" w:color="auto"/>
            <w:right w:val="none" w:sz="0" w:space="0" w:color="auto"/>
          </w:divBdr>
        </w:div>
      </w:divsChild>
    </w:div>
    <w:div w:id="514930089">
      <w:bodyDiv w:val="1"/>
      <w:marLeft w:val="0"/>
      <w:marRight w:val="0"/>
      <w:marTop w:val="0"/>
      <w:marBottom w:val="0"/>
      <w:divBdr>
        <w:top w:val="none" w:sz="0" w:space="0" w:color="auto"/>
        <w:left w:val="none" w:sz="0" w:space="0" w:color="auto"/>
        <w:bottom w:val="none" w:sz="0" w:space="0" w:color="auto"/>
        <w:right w:val="none" w:sz="0" w:space="0" w:color="auto"/>
      </w:divBdr>
    </w:div>
    <w:div w:id="537088520">
      <w:bodyDiv w:val="1"/>
      <w:marLeft w:val="0"/>
      <w:marRight w:val="0"/>
      <w:marTop w:val="0"/>
      <w:marBottom w:val="0"/>
      <w:divBdr>
        <w:top w:val="none" w:sz="0" w:space="0" w:color="auto"/>
        <w:left w:val="none" w:sz="0" w:space="0" w:color="auto"/>
        <w:bottom w:val="none" w:sz="0" w:space="0" w:color="auto"/>
        <w:right w:val="none" w:sz="0" w:space="0" w:color="auto"/>
      </w:divBdr>
    </w:div>
    <w:div w:id="544100597">
      <w:bodyDiv w:val="1"/>
      <w:marLeft w:val="0"/>
      <w:marRight w:val="0"/>
      <w:marTop w:val="0"/>
      <w:marBottom w:val="0"/>
      <w:divBdr>
        <w:top w:val="none" w:sz="0" w:space="0" w:color="auto"/>
        <w:left w:val="none" w:sz="0" w:space="0" w:color="auto"/>
        <w:bottom w:val="none" w:sz="0" w:space="0" w:color="auto"/>
        <w:right w:val="none" w:sz="0" w:space="0" w:color="auto"/>
      </w:divBdr>
    </w:div>
    <w:div w:id="623510151">
      <w:bodyDiv w:val="1"/>
      <w:marLeft w:val="0"/>
      <w:marRight w:val="0"/>
      <w:marTop w:val="0"/>
      <w:marBottom w:val="0"/>
      <w:divBdr>
        <w:top w:val="none" w:sz="0" w:space="0" w:color="auto"/>
        <w:left w:val="none" w:sz="0" w:space="0" w:color="auto"/>
        <w:bottom w:val="none" w:sz="0" w:space="0" w:color="auto"/>
        <w:right w:val="none" w:sz="0" w:space="0" w:color="auto"/>
      </w:divBdr>
    </w:div>
    <w:div w:id="680817872">
      <w:bodyDiv w:val="1"/>
      <w:marLeft w:val="0"/>
      <w:marRight w:val="0"/>
      <w:marTop w:val="0"/>
      <w:marBottom w:val="0"/>
      <w:divBdr>
        <w:top w:val="none" w:sz="0" w:space="0" w:color="auto"/>
        <w:left w:val="none" w:sz="0" w:space="0" w:color="auto"/>
        <w:bottom w:val="none" w:sz="0" w:space="0" w:color="auto"/>
        <w:right w:val="none" w:sz="0" w:space="0" w:color="auto"/>
      </w:divBdr>
      <w:divsChild>
        <w:div w:id="273365788">
          <w:marLeft w:val="1267"/>
          <w:marRight w:val="0"/>
          <w:marTop w:val="0"/>
          <w:marBottom w:val="0"/>
          <w:divBdr>
            <w:top w:val="none" w:sz="0" w:space="0" w:color="auto"/>
            <w:left w:val="none" w:sz="0" w:space="0" w:color="auto"/>
            <w:bottom w:val="none" w:sz="0" w:space="0" w:color="auto"/>
            <w:right w:val="none" w:sz="0" w:space="0" w:color="auto"/>
          </w:divBdr>
        </w:div>
        <w:div w:id="1243221985">
          <w:marLeft w:val="1267"/>
          <w:marRight w:val="0"/>
          <w:marTop w:val="0"/>
          <w:marBottom w:val="0"/>
          <w:divBdr>
            <w:top w:val="none" w:sz="0" w:space="0" w:color="auto"/>
            <w:left w:val="none" w:sz="0" w:space="0" w:color="auto"/>
            <w:bottom w:val="none" w:sz="0" w:space="0" w:color="auto"/>
            <w:right w:val="none" w:sz="0" w:space="0" w:color="auto"/>
          </w:divBdr>
        </w:div>
      </w:divsChild>
    </w:div>
    <w:div w:id="729235698">
      <w:bodyDiv w:val="1"/>
      <w:marLeft w:val="0"/>
      <w:marRight w:val="0"/>
      <w:marTop w:val="0"/>
      <w:marBottom w:val="0"/>
      <w:divBdr>
        <w:top w:val="none" w:sz="0" w:space="0" w:color="auto"/>
        <w:left w:val="none" w:sz="0" w:space="0" w:color="auto"/>
        <w:bottom w:val="none" w:sz="0" w:space="0" w:color="auto"/>
        <w:right w:val="none" w:sz="0" w:space="0" w:color="auto"/>
      </w:divBdr>
    </w:div>
    <w:div w:id="751049197">
      <w:bodyDiv w:val="1"/>
      <w:marLeft w:val="0"/>
      <w:marRight w:val="0"/>
      <w:marTop w:val="0"/>
      <w:marBottom w:val="0"/>
      <w:divBdr>
        <w:top w:val="none" w:sz="0" w:space="0" w:color="auto"/>
        <w:left w:val="none" w:sz="0" w:space="0" w:color="auto"/>
        <w:bottom w:val="none" w:sz="0" w:space="0" w:color="auto"/>
        <w:right w:val="none" w:sz="0" w:space="0" w:color="auto"/>
      </w:divBdr>
      <w:divsChild>
        <w:div w:id="845091946">
          <w:marLeft w:val="360"/>
          <w:marRight w:val="0"/>
          <w:marTop w:val="200"/>
          <w:marBottom w:val="0"/>
          <w:divBdr>
            <w:top w:val="none" w:sz="0" w:space="0" w:color="auto"/>
            <w:left w:val="none" w:sz="0" w:space="0" w:color="auto"/>
            <w:bottom w:val="none" w:sz="0" w:space="0" w:color="auto"/>
            <w:right w:val="none" w:sz="0" w:space="0" w:color="auto"/>
          </w:divBdr>
        </w:div>
        <w:div w:id="66265318">
          <w:marLeft w:val="360"/>
          <w:marRight w:val="0"/>
          <w:marTop w:val="200"/>
          <w:marBottom w:val="0"/>
          <w:divBdr>
            <w:top w:val="none" w:sz="0" w:space="0" w:color="auto"/>
            <w:left w:val="none" w:sz="0" w:space="0" w:color="auto"/>
            <w:bottom w:val="none" w:sz="0" w:space="0" w:color="auto"/>
            <w:right w:val="none" w:sz="0" w:space="0" w:color="auto"/>
          </w:divBdr>
        </w:div>
        <w:div w:id="1335063810">
          <w:marLeft w:val="1080"/>
          <w:marRight w:val="0"/>
          <w:marTop w:val="100"/>
          <w:marBottom w:val="0"/>
          <w:divBdr>
            <w:top w:val="none" w:sz="0" w:space="0" w:color="auto"/>
            <w:left w:val="none" w:sz="0" w:space="0" w:color="auto"/>
            <w:bottom w:val="none" w:sz="0" w:space="0" w:color="auto"/>
            <w:right w:val="none" w:sz="0" w:space="0" w:color="auto"/>
          </w:divBdr>
        </w:div>
        <w:div w:id="1859346857">
          <w:marLeft w:val="1080"/>
          <w:marRight w:val="0"/>
          <w:marTop w:val="100"/>
          <w:marBottom w:val="0"/>
          <w:divBdr>
            <w:top w:val="none" w:sz="0" w:space="0" w:color="auto"/>
            <w:left w:val="none" w:sz="0" w:space="0" w:color="auto"/>
            <w:bottom w:val="none" w:sz="0" w:space="0" w:color="auto"/>
            <w:right w:val="none" w:sz="0" w:space="0" w:color="auto"/>
          </w:divBdr>
        </w:div>
        <w:div w:id="1100369797">
          <w:marLeft w:val="360"/>
          <w:marRight w:val="0"/>
          <w:marTop w:val="200"/>
          <w:marBottom w:val="0"/>
          <w:divBdr>
            <w:top w:val="none" w:sz="0" w:space="0" w:color="auto"/>
            <w:left w:val="none" w:sz="0" w:space="0" w:color="auto"/>
            <w:bottom w:val="none" w:sz="0" w:space="0" w:color="auto"/>
            <w:right w:val="none" w:sz="0" w:space="0" w:color="auto"/>
          </w:divBdr>
        </w:div>
        <w:div w:id="102309734">
          <w:marLeft w:val="1080"/>
          <w:marRight w:val="0"/>
          <w:marTop w:val="100"/>
          <w:marBottom w:val="0"/>
          <w:divBdr>
            <w:top w:val="none" w:sz="0" w:space="0" w:color="auto"/>
            <w:left w:val="none" w:sz="0" w:space="0" w:color="auto"/>
            <w:bottom w:val="none" w:sz="0" w:space="0" w:color="auto"/>
            <w:right w:val="none" w:sz="0" w:space="0" w:color="auto"/>
          </w:divBdr>
        </w:div>
        <w:div w:id="75053840">
          <w:marLeft w:val="1080"/>
          <w:marRight w:val="0"/>
          <w:marTop w:val="100"/>
          <w:marBottom w:val="0"/>
          <w:divBdr>
            <w:top w:val="none" w:sz="0" w:space="0" w:color="auto"/>
            <w:left w:val="none" w:sz="0" w:space="0" w:color="auto"/>
            <w:bottom w:val="none" w:sz="0" w:space="0" w:color="auto"/>
            <w:right w:val="none" w:sz="0" w:space="0" w:color="auto"/>
          </w:divBdr>
        </w:div>
        <w:div w:id="1946422891">
          <w:marLeft w:val="1080"/>
          <w:marRight w:val="0"/>
          <w:marTop w:val="100"/>
          <w:marBottom w:val="0"/>
          <w:divBdr>
            <w:top w:val="none" w:sz="0" w:space="0" w:color="auto"/>
            <w:left w:val="none" w:sz="0" w:space="0" w:color="auto"/>
            <w:bottom w:val="none" w:sz="0" w:space="0" w:color="auto"/>
            <w:right w:val="none" w:sz="0" w:space="0" w:color="auto"/>
          </w:divBdr>
        </w:div>
        <w:div w:id="1314946464">
          <w:marLeft w:val="360"/>
          <w:marRight w:val="0"/>
          <w:marTop w:val="200"/>
          <w:marBottom w:val="0"/>
          <w:divBdr>
            <w:top w:val="none" w:sz="0" w:space="0" w:color="auto"/>
            <w:left w:val="none" w:sz="0" w:space="0" w:color="auto"/>
            <w:bottom w:val="none" w:sz="0" w:space="0" w:color="auto"/>
            <w:right w:val="none" w:sz="0" w:space="0" w:color="auto"/>
          </w:divBdr>
        </w:div>
        <w:div w:id="1988048878">
          <w:marLeft w:val="1080"/>
          <w:marRight w:val="0"/>
          <w:marTop w:val="100"/>
          <w:marBottom w:val="0"/>
          <w:divBdr>
            <w:top w:val="none" w:sz="0" w:space="0" w:color="auto"/>
            <w:left w:val="none" w:sz="0" w:space="0" w:color="auto"/>
            <w:bottom w:val="none" w:sz="0" w:space="0" w:color="auto"/>
            <w:right w:val="none" w:sz="0" w:space="0" w:color="auto"/>
          </w:divBdr>
        </w:div>
        <w:div w:id="2135634782">
          <w:marLeft w:val="1080"/>
          <w:marRight w:val="0"/>
          <w:marTop w:val="100"/>
          <w:marBottom w:val="0"/>
          <w:divBdr>
            <w:top w:val="none" w:sz="0" w:space="0" w:color="auto"/>
            <w:left w:val="none" w:sz="0" w:space="0" w:color="auto"/>
            <w:bottom w:val="none" w:sz="0" w:space="0" w:color="auto"/>
            <w:right w:val="none" w:sz="0" w:space="0" w:color="auto"/>
          </w:divBdr>
        </w:div>
        <w:div w:id="163131491">
          <w:marLeft w:val="1080"/>
          <w:marRight w:val="0"/>
          <w:marTop w:val="100"/>
          <w:marBottom w:val="0"/>
          <w:divBdr>
            <w:top w:val="none" w:sz="0" w:space="0" w:color="auto"/>
            <w:left w:val="none" w:sz="0" w:space="0" w:color="auto"/>
            <w:bottom w:val="none" w:sz="0" w:space="0" w:color="auto"/>
            <w:right w:val="none" w:sz="0" w:space="0" w:color="auto"/>
          </w:divBdr>
        </w:div>
        <w:div w:id="303202260">
          <w:marLeft w:val="360"/>
          <w:marRight w:val="0"/>
          <w:marTop w:val="200"/>
          <w:marBottom w:val="0"/>
          <w:divBdr>
            <w:top w:val="none" w:sz="0" w:space="0" w:color="auto"/>
            <w:left w:val="none" w:sz="0" w:space="0" w:color="auto"/>
            <w:bottom w:val="none" w:sz="0" w:space="0" w:color="auto"/>
            <w:right w:val="none" w:sz="0" w:space="0" w:color="auto"/>
          </w:divBdr>
        </w:div>
        <w:div w:id="2020500520">
          <w:marLeft w:val="1080"/>
          <w:marRight w:val="0"/>
          <w:marTop w:val="100"/>
          <w:marBottom w:val="0"/>
          <w:divBdr>
            <w:top w:val="none" w:sz="0" w:space="0" w:color="auto"/>
            <w:left w:val="none" w:sz="0" w:space="0" w:color="auto"/>
            <w:bottom w:val="none" w:sz="0" w:space="0" w:color="auto"/>
            <w:right w:val="none" w:sz="0" w:space="0" w:color="auto"/>
          </w:divBdr>
        </w:div>
        <w:div w:id="2128425530">
          <w:marLeft w:val="360"/>
          <w:marRight w:val="0"/>
          <w:marTop w:val="200"/>
          <w:marBottom w:val="0"/>
          <w:divBdr>
            <w:top w:val="none" w:sz="0" w:space="0" w:color="auto"/>
            <w:left w:val="none" w:sz="0" w:space="0" w:color="auto"/>
            <w:bottom w:val="none" w:sz="0" w:space="0" w:color="auto"/>
            <w:right w:val="none" w:sz="0" w:space="0" w:color="auto"/>
          </w:divBdr>
        </w:div>
        <w:div w:id="1959532805">
          <w:marLeft w:val="1080"/>
          <w:marRight w:val="0"/>
          <w:marTop w:val="100"/>
          <w:marBottom w:val="0"/>
          <w:divBdr>
            <w:top w:val="none" w:sz="0" w:space="0" w:color="auto"/>
            <w:left w:val="none" w:sz="0" w:space="0" w:color="auto"/>
            <w:bottom w:val="none" w:sz="0" w:space="0" w:color="auto"/>
            <w:right w:val="none" w:sz="0" w:space="0" w:color="auto"/>
          </w:divBdr>
        </w:div>
        <w:div w:id="467012179">
          <w:marLeft w:val="360"/>
          <w:marRight w:val="0"/>
          <w:marTop w:val="200"/>
          <w:marBottom w:val="0"/>
          <w:divBdr>
            <w:top w:val="none" w:sz="0" w:space="0" w:color="auto"/>
            <w:left w:val="none" w:sz="0" w:space="0" w:color="auto"/>
            <w:bottom w:val="none" w:sz="0" w:space="0" w:color="auto"/>
            <w:right w:val="none" w:sz="0" w:space="0" w:color="auto"/>
          </w:divBdr>
        </w:div>
      </w:divsChild>
    </w:div>
    <w:div w:id="757822785">
      <w:bodyDiv w:val="1"/>
      <w:marLeft w:val="0"/>
      <w:marRight w:val="0"/>
      <w:marTop w:val="0"/>
      <w:marBottom w:val="0"/>
      <w:divBdr>
        <w:top w:val="none" w:sz="0" w:space="0" w:color="auto"/>
        <w:left w:val="none" w:sz="0" w:space="0" w:color="auto"/>
        <w:bottom w:val="none" w:sz="0" w:space="0" w:color="auto"/>
        <w:right w:val="none" w:sz="0" w:space="0" w:color="auto"/>
      </w:divBdr>
      <w:divsChild>
        <w:div w:id="1823306156">
          <w:marLeft w:val="547"/>
          <w:marRight w:val="0"/>
          <w:marTop w:val="0"/>
          <w:marBottom w:val="0"/>
          <w:divBdr>
            <w:top w:val="none" w:sz="0" w:space="0" w:color="auto"/>
            <w:left w:val="none" w:sz="0" w:space="0" w:color="auto"/>
            <w:bottom w:val="none" w:sz="0" w:space="0" w:color="auto"/>
            <w:right w:val="none" w:sz="0" w:space="0" w:color="auto"/>
          </w:divBdr>
        </w:div>
        <w:div w:id="242027777">
          <w:marLeft w:val="1267"/>
          <w:marRight w:val="0"/>
          <w:marTop w:val="0"/>
          <w:marBottom w:val="0"/>
          <w:divBdr>
            <w:top w:val="none" w:sz="0" w:space="0" w:color="auto"/>
            <w:left w:val="none" w:sz="0" w:space="0" w:color="auto"/>
            <w:bottom w:val="none" w:sz="0" w:space="0" w:color="auto"/>
            <w:right w:val="none" w:sz="0" w:space="0" w:color="auto"/>
          </w:divBdr>
        </w:div>
        <w:div w:id="1238589845">
          <w:marLeft w:val="1267"/>
          <w:marRight w:val="0"/>
          <w:marTop w:val="0"/>
          <w:marBottom w:val="0"/>
          <w:divBdr>
            <w:top w:val="none" w:sz="0" w:space="0" w:color="auto"/>
            <w:left w:val="none" w:sz="0" w:space="0" w:color="auto"/>
            <w:bottom w:val="none" w:sz="0" w:space="0" w:color="auto"/>
            <w:right w:val="none" w:sz="0" w:space="0" w:color="auto"/>
          </w:divBdr>
        </w:div>
      </w:divsChild>
    </w:div>
    <w:div w:id="757825443">
      <w:bodyDiv w:val="1"/>
      <w:marLeft w:val="0"/>
      <w:marRight w:val="0"/>
      <w:marTop w:val="0"/>
      <w:marBottom w:val="0"/>
      <w:divBdr>
        <w:top w:val="none" w:sz="0" w:space="0" w:color="auto"/>
        <w:left w:val="none" w:sz="0" w:space="0" w:color="auto"/>
        <w:bottom w:val="none" w:sz="0" w:space="0" w:color="auto"/>
        <w:right w:val="none" w:sz="0" w:space="0" w:color="auto"/>
      </w:divBdr>
      <w:divsChild>
        <w:div w:id="607733975">
          <w:marLeft w:val="360"/>
          <w:marRight w:val="0"/>
          <w:marTop w:val="200"/>
          <w:marBottom w:val="0"/>
          <w:divBdr>
            <w:top w:val="none" w:sz="0" w:space="0" w:color="auto"/>
            <w:left w:val="none" w:sz="0" w:space="0" w:color="auto"/>
            <w:bottom w:val="none" w:sz="0" w:space="0" w:color="auto"/>
            <w:right w:val="none" w:sz="0" w:space="0" w:color="auto"/>
          </w:divBdr>
        </w:div>
        <w:div w:id="1749497075">
          <w:marLeft w:val="360"/>
          <w:marRight w:val="0"/>
          <w:marTop w:val="200"/>
          <w:marBottom w:val="0"/>
          <w:divBdr>
            <w:top w:val="none" w:sz="0" w:space="0" w:color="auto"/>
            <w:left w:val="none" w:sz="0" w:space="0" w:color="auto"/>
            <w:bottom w:val="none" w:sz="0" w:space="0" w:color="auto"/>
            <w:right w:val="none" w:sz="0" w:space="0" w:color="auto"/>
          </w:divBdr>
        </w:div>
        <w:div w:id="445852443">
          <w:marLeft w:val="360"/>
          <w:marRight w:val="0"/>
          <w:marTop w:val="200"/>
          <w:marBottom w:val="0"/>
          <w:divBdr>
            <w:top w:val="none" w:sz="0" w:space="0" w:color="auto"/>
            <w:left w:val="none" w:sz="0" w:space="0" w:color="auto"/>
            <w:bottom w:val="none" w:sz="0" w:space="0" w:color="auto"/>
            <w:right w:val="none" w:sz="0" w:space="0" w:color="auto"/>
          </w:divBdr>
        </w:div>
      </w:divsChild>
    </w:div>
    <w:div w:id="784695107">
      <w:bodyDiv w:val="1"/>
      <w:marLeft w:val="0"/>
      <w:marRight w:val="0"/>
      <w:marTop w:val="0"/>
      <w:marBottom w:val="0"/>
      <w:divBdr>
        <w:top w:val="none" w:sz="0" w:space="0" w:color="auto"/>
        <w:left w:val="none" w:sz="0" w:space="0" w:color="auto"/>
        <w:bottom w:val="none" w:sz="0" w:space="0" w:color="auto"/>
        <w:right w:val="none" w:sz="0" w:space="0" w:color="auto"/>
      </w:divBdr>
      <w:divsChild>
        <w:div w:id="632710845">
          <w:marLeft w:val="360"/>
          <w:marRight w:val="0"/>
          <w:marTop w:val="200"/>
          <w:marBottom w:val="0"/>
          <w:divBdr>
            <w:top w:val="none" w:sz="0" w:space="0" w:color="auto"/>
            <w:left w:val="none" w:sz="0" w:space="0" w:color="auto"/>
            <w:bottom w:val="none" w:sz="0" w:space="0" w:color="auto"/>
            <w:right w:val="none" w:sz="0" w:space="0" w:color="auto"/>
          </w:divBdr>
        </w:div>
        <w:div w:id="1498422669">
          <w:marLeft w:val="1080"/>
          <w:marRight w:val="0"/>
          <w:marTop w:val="100"/>
          <w:marBottom w:val="0"/>
          <w:divBdr>
            <w:top w:val="none" w:sz="0" w:space="0" w:color="auto"/>
            <w:left w:val="none" w:sz="0" w:space="0" w:color="auto"/>
            <w:bottom w:val="none" w:sz="0" w:space="0" w:color="auto"/>
            <w:right w:val="none" w:sz="0" w:space="0" w:color="auto"/>
          </w:divBdr>
        </w:div>
        <w:div w:id="208877957">
          <w:marLeft w:val="1080"/>
          <w:marRight w:val="0"/>
          <w:marTop w:val="100"/>
          <w:marBottom w:val="0"/>
          <w:divBdr>
            <w:top w:val="none" w:sz="0" w:space="0" w:color="auto"/>
            <w:left w:val="none" w:sz="0" w:space="0" w:color="auto"/>
            <w:bottom w:val="none" w:sz="0" w:space="0" w:color="auto"/>
            <w:right w:val="none" w:sz="0" w:space="0" w:color="auto"/>
          </w:divBdr>
        </w:div>
      </w:divsChild>
    </w:div>
    <w:div w:id="801970114">
      <w:bodyDiv w:val="1"/>
      <w:marLeft w:val="0"/>
      <w:marRight w:val="0"/>
      <w:marTop w:val="0"/>
      <w:marBottom w:val="0"/>
      <w:divBdr>
        <w:top w:val="none" w:sz="0" w:space="0" w:color="auto"/>
        <w:left w:val="none" w:sz="0" w:space="0" w:color="auto"/>
        <w:bottom w:val="none" w:sz="0" w:space="0" w:color="auto"/>
        <w:right w:val="none" w:sz="0" w:space="0" w:color="auto"/>
      </w:divBdr>
      <w:divsChild>
        <w:div w:id="618535016">
          <w:marLeft w:val="360"/>
          <w:marRight w:val="0"/>
          <w:marTop w:val="200"/>
          <w:marBottom w:val="0"/>
          <w:divBdr>
            <w:top w:val="none" w:sz="0" w:space="0" w:color="auto"/>
            <w:left w:val="none" w:sz="0" w:space="0" w:color="auto"/>
            <w:bottom w:val="none" w:sz="0" w:space="0" w:color="auto"/>
            <w:right w:val="none" w:sz="0" w:space="0" w:color="auto"/>
          </w:divBdr>
        </w:div>
        <w:div w:id="1174149713">
          <w:marLeft w:val="360"/>
          <w:marRight w:val="0"/>
          <w:marTop w:val="200"/>
          <w:marBottom w:val="0"/>
          <w:divBdr>
            <w:top w:val="none" w:sz="0" w:space="0" w:color="auto"/>
            <w:left w:val="none" w:sz="0" w:space="0" w:color="auto"/>
            <w:bottom w:val="none" w:sz="0" w:space="0" w:color="auto"/>
            <w:right w:val="none" w:sz="0" w:space="0" w:color="auto"/>
          </w:divBdr>
        </w:div>
      </w:divsChild>
    </w:div>
    <w:div w:id="837885355">
      <w:bodyDiv w:val="1"/>
      <w:marLeft w:val="0"/>
      <w:marRight w:val="0"/>
      <w:marTop w:val="0"/>
      <w:marBottom w:val="0"/>
      <w:divBdr>
        <w:top w:val="none" w:sz="0" w:space="0" w:color="auto"/>
        <w:left w:val="none" w:sz="0" w:space="0" w:color="auto"/>
        <w:bottom w:val="none" w:sz="0" w:space="0" w:color="auto"/>
        <w:right w:val="none" w:sz="0" w:space="0" w:color="auto"/>
      </w:divBdr>
    </w:div>
    <w:div w:id="845168024">
      <w:bodyDiv w:val="1"/>
      <w:marLeft w:val="0"/>
      <w:marRight w:val="0"/>
      <w:marTop w:val="0"/>
      <w:marBottom w:val="0"/>
      <w:divBdr>
        <w:top w:val="none" w:sz="0" w:space="0" w:color="auto"/>
        <w:left w:val="none" w:sz="0" w:space="0" w:color="auto"/>
        <w:bottom w:val="none" w:sz="0" w:space="0" w:color="auto"/>
        <w:right w:val="none" w:sz="0" w:space="0" w:color="auto"/>
      </w:divBdr>
    </w:div>
    <w:div w:id="855385987">
      <w:bodyDiv w:val="1"/>
      <w:marLeft w:val="0"/>
      <w:marRight w:val="0"/>
      <w:marTop w:val="0"/>
      <w:marBottom w:val="0"/>
      <w:divBdr>
        <w:top w:val="none" w:sz="0" w:space="0" w:color="auto"/>
        <w:left w:val="none" w:sz="0" w:space="0" w:color="auto"/>
        <w:bottom w:val="none" w:sz="0" w:space="0" w:color="auto"/>
        <w:right w:val="none" w:sz="0" w:space="0" w:color="auto"/>
      </w:divBdr>
      <w:divsChild>
        <w:div w:id="1494177053">
          <w:marLeft w:val="446"/>
          <w:marRight w:val="0"/>
          <w:marTop w:val="0"/>
          <w:marBottom w:val="0"/>
          <w:divBdr>
            <w:top w:val="none" w:sz="0" w:space="0" w:color="auto"/>
            <w:left w:val="none" w:sz="0" w:space="0" w:color="auto"/>
            <w:bottom w:val="none" w:sz="0" w:space="0" w:color="auto"/>
            <w:right w:val="none" w:sz="0" w:space="0" w:color="auto"/>
          </w:divBdr>
        </w:div>
        <w:div w:id="2023972705">
          <w:marLeft w:val="446"/>
          <w:marRight w:val="0"/>
          <w:marTop w:val="0"/>
          <w:marBottom w:val="0"/>
          <w:divBdr>
            <w:top w:val="none" w:sz="0" w:space="0" w:color="auto"/>
            <w:left w:val="none" w:sz="0" w:space="0" w:color="auto"/>
            <w:bottom w:val="none" w:sz="0" w:space="0" w:color="auto"/>
            <w:right w:val="none" w:sz="0" w:space="0" w:color="auto"/>
          </w:divBdr>
        </w:div>
      </w:divsChild>
    </w:div>
    <w:div w:id="884028161">
      <w:bodyDiv w:val="1"/>
      <w:marLeft w:val="0"/>
      <w:marRight w:val="0"/>
      <w:marTop w:val="0"/>
      <w:marBottom w:val="0"/>
      <w:divBdr>
        <w:top w:val="none" w:sz="0" w:space="0" w:color="auto"/>
        <w:left w:val="none" w:sz="0" w:space="0" w:color="auto"/>
        <w:bottom w:val="none" w:sz="0" w:space="0" w:color="auto"/>
        <w:right w:val="none" w:sz="0" w:space="0" w:color="auto"/>
      </w:divBdr>
      <w:divsChild>
        <w:div w:id="879973049">
          <w:marLeft w:val="1080"/>
          <w:marRight w:val="0"/>
          <w:marTop w:val="100"/>
          <w:marBottom w:val="120"/>
          <w:divBdr>
            <w:top w:val="none" w:sz="0" w:space="0" w:color="auto"/>
            <w:left w:val="none" w:sz="0" w:space="0" w:color="auto"/>
            <w:bottom w:val="none" w:sz="0" w:space="0" w:color="auto"/>
            <w:right w:val="none" w:sz="0" w:space="0" w:color="auto"/>
          </w:divBdr>
        </w:div>
      </w:divsChild>
    </w:div>
    <w:div w:id="909077268">
      <w:bodyDiv w:val="1"/>
      <w:marLeft w:val="0"/>
      <w:marRight w:val="0"/>
      <w:marTop w:val="0"/>
      <w:marBottom w:val="0"/>
      <w:divBdr>
        <w:top w:val="none" w:sz="0" w:space="0" w:color="auto"/>
        <w:left w:val="none" w:sz="0" w:space="0" w:color="auto"/>
        <w:bottom w:val="none" w:sz="0" w:space="0" w:color="auto"/>
        <w:right w:val="none" w:sz="0" w:space="0" w:color="auto"/>
      </w:divBdr>
    </w:div>
    <w:div w:id="929048250">
      <w:bodyDiv w:val="1"/>
      <w:marLeft w:val="0"/>
      <w:marRight w:val="0"/>
      <w:marTop w:val="0"/>
      <w:marBottom w:val="0"/>
      <w:divBdr>
        <w:top w:val="none" w:sz="0" w:space="0" w:color="auto"/>
        <w:left w:val="none" w:sz="0" w:space="0" w:color="auto"/>
        <w:bottom w:val="none" w:sz="0" w:space="0" w:color="auto"/>
        <w:right w:val="none" w:sz="0" w:space="0" w:color="auto"/>
      </w:divBdr>
      <w:divsChild>
        <w:div w:id="896860775">
          <w:marLeft w:val="360"/>
          <w:marRight w:val="0"/>
          <w:marTop w:val="200"/>
          <w:marBottom w:val="0"/>
          <w:divBdr>
            <w:top w:val="none" w:sz="0" w:space="0" w:color="auto"/>
            <w:left w:val="none" w:sz="0" w:space="0" w:color="auto"/>
            <w:bottom w:val="none" w:sz="0" w:space="0" w:color="auto"/>
            <w:right w:val="none" w:sz="0" w:space="0" w:color="auto"/>
          </w:divBdr>
        </w:div>
        <w:div w:id="1762482226">
          <w:marLeft w:val="1080"/>
          <w:marRight w:val="0"/>
          <w:marTop w:val="100"/>
          <w:marBottom w:val="0"/>
          <w:divBdr>
            <w:top w:val="none" w:sz="0" w:space="0" w:color="auto"/>
            <w:left w:val="none" w:sz="0" w:space="0" w:color="auto"/>
            <w:bottom w:val="none" w:sz="0" w:space="0" w:color="auto"/>
            <w:right w:val="none" w:sz="0" w:space="0" w:color="auto"/>
          </w:divBdr>
        </w:div>
        <w:div w:id="1942487201">
          <w:marLeft w:val="1080"/>
          <w:marRight w:val="0"/>
          <w:marTop w:val="100"/>
          <w:marBottom w:val="0"/>
          <w:divBdr>
            <w:top w:val="none" w:sz="0" w:space="0" w:color="auto"/>
            <w:left w:val="none" w:sz="0" w:space="0" w:color="auto"/>
            <w:bottom w:val="none" w:sz="0" w:space="0" w:color="auto"/>
            <w:right w:val="none" w:sz="0" w:space="0" w:color="auto"/>
          </w:divBdr>
        </w:div>
        <w:div w:id="394205717">
          <w:marLeft w:val="360"/>
          <w:marRight w:val="0"/>
          <w:marTop w:val="200"/>
          <w:marBottom w:val="0"/>
          <w:divBdr>
            <w:top w:val="none" w:sz="0" w:space="0" w:color="auto"/>
            <w:left w:val="none" w:sz="0" w:space="0" w:color="auto"/>
            <w:bottom w:val="none" w:sz="0" w:space="0" w:color="auto"/>
            <w:right w:val="none" w:sz="0" w:space="0" w:color="auto"/>
          </w:divBdr>
        </w:div>
      </w:divsChild>
    </w:div>
    <w:div w:id="960458123">
      <w:bodyDiv w:val="1"/>
      <w:marLeft w:val="0"/>
      <w:marRight w:val="0"/>
      <w:marTop w:val="0"/>
      <w:marBottom w:val="0"/>
      <w:divBdr>
        <w:top w:val="none" w:sz="0" w:space="0" w:color="auto"/>
        <w:left w:val="none" w:sz="0" w:space="0" w:color="auto"/>
        <w:bottom w:val="none" w:sz="0" w:space="0" w:color="auto"/>
        <w:right w:val="none" w:sz="0" w:space="0" w:color="auto"/>
      </w:divBdr>
      <w:divsChild>
        <w:div w:id="688024482">
          <w:marLeft w:val="360"/>
          <w:marRight w:val="0"/>
          <w:marTop w:val="200"/>
          <w:marBottom w:val="0"/>
          <w:divBdr>
            <w:top w:val="none" w:sz="0" w:space="0" w:color="auto"/>
            <w:left w:val="none" w:sz="0" w:space="0" w:color="auto"/>
            <w:bottom w:val="none" w:sz="0" w:space="0" w:color="auto"/>
            <w:right w:val="none" w:sz="0" w:space="0" w:color="auto"/>
          </w:divBdr>
        </w:div>
        <w:div w:id="567610875">
          <w:marLeft w:val="360"/>
          <w:marRight w:val="0"/>
          <w:marTop w:val="200"/>
          <w:marBottom w:val="0"/>
          <w:divBdr>
            <w:top w:val="none" w:sz="0" w:space="0" w:color="auto"/>
            <w:left w:val="none" w:sz="0" w:space="0" w:color="auto"/>
            <w:bottom w:val="none" w:sz="0" w:space="0" w:color="auto"/>
            <w:right w:val="none" w:sz="0" w:space="0" w:color="auto"/>
          </w:divBdr>
        </w:div>
        <w:div w:id="1308820088">
          <w:marLeft w:val="1080"/>
          <w:marRight w:val="0"/>
          <w:marTop w:val="100"/>
          <w:marBottom w:val="0"/>
          <w:divBdr>
            <w:top w:val="none" w:sz="0" w:space="0" w:color="auto"/>
            <w:left w:val="none" w:sz="0" w:space="0" w:color="auto"/>
            <w:bottom w:val="none" w:sz="0" w:space="0" w:color="auto"/>
            <w:right w:val="none" w:sz="0" w:space="0" w:color="auto"/>
          </w:divBdr>
        </w:div>
      </w:divsChild>
    </w:div>
    <w:div w:id="962882744">
      <w:bodyDiv w:val="1"/>
      <w:marLeft w:val="0"/>
      <w:marRight w:val="0"/>
      <w:marTop w:val="0"/>
      <w:marBottom w:val="0"/>
      <w:divBdr>
        <w:top w:val="none" w:sz="0" w:space="0" w:color="auto"/>
        <w:left w:val="none" w:sz="0" w:space="0" w:color="auto"/>
        <w:bottom w:val="none" w:sz="0" w:space="0" w:color="auto"/>
        <w:right w:val="none" w:sz="0" w:space="0" w:color="auto"/>
      </w:divBdr>
    </w:div>
    <w:div w:id="1046415071">
      <w:bodyDiv w:val="1"/>
      <w:marLeft w:val="0"/>
      <w:marRight w:val="0"/>
      <w:marTop w:val="0"/>
      <w:marBottom w:val="0"/>
      <w:divBdr>
        <w:top w:val="none" w:sz="0" w:space="0" w:color="auto"/>
        <w:left w:val="none" w:sz="0" w:space="0" w:color="auto"/>
        <w:bottom w:val="none" w:sz="0" w:space="0" w:color="auto"/>
        <w:right w:val="none" w:sz="0" w:space="0" w:color="auto"/>
      </w:divBdr>
      <w:divsChild>
        <w:div w:id="796527615">
          <w:marLeft w:val="360"/>
          <w:marRight w:val="0"/>
          <w:marTop w:val="200"/>
          <w:marBottom w:val="0"/>
          <w:divBdr>
            <w:top w:val="none" w:sz="0" w:space="0" w:color="auto"/>
            <w:left w:val="none" w:sz="0" w:space="0" w:color="auto"/>
            <w:bottom w:val="none" w:sz="0" w:space="0" w:color="auto"/>
            <w:right w:val="none" w:sz="0" w:space="0" w:color="auto"/>
          </w:divBdr>
        </w:div>
      </w:divsChild>
    </w:div>
    <w:div w:id="1054236921">
      <w:bodyDiv w:val="1"/>
      <w:marLeft w:val="0"/>
      <w:marRight w:val="0"/>
      <w:marTop w:val="0"/>
      <w:marBottom w:val="0"/>
      <w:divBdr>
        <w:top w:val="none" w:sz="0" w:space="0" w:color="auto"/>
        <w:left w:val="none" w:sz="0" w:space="0" w:color="auto"/>
        <w:bottom w:val="none" w:sz="0" w:space="0" w:color="auto"/>
        <w:right w:val="none" w:sz="0" w:space="0" w:color="auto"/>
      </w:divBdr>
    </w:div>
    <w:div w:id="1103375446">
      <w:bodyDiv w:val="1"/>
      <w:marLeft w:val="0"/>
      <w:marRight w:val="0"/>
      <w:marTop w:val="0"/>
      <w:marBottom w:val="0"/>
      <w:divBdr>
        <w:top w:val="none" w:sz="0" w:space="0" w:color="auto"/>
        <w:left w:val="none" w:sz="0" w:space="0" w:color="auto"/>
        <w:bottom w:val="none" w:sz="0" w:space="0" w:color="auto"/>
        <w:right w:val="none" w:sz="0" w:space="0" w:color="auto"/>
      </w:divBdr>
    </w:div>
    <w:div w:id="113032512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5714">
      <w:bodyDiv w:val="1"/>
      <w:marLeft w:val="0"/>
      <w:marRight w:val="0"/>
      <w:marTop w:val="0"/>
      <w:marBottom w:val="0"/>
      <w:divBdr>
        <w:top w:val="none" w:sz="0" w:space="0" w:color="auto"/>
        <w:left w:val="none" w:sz="0" w:space="0" w:color="auto"/>
        <w:bottom w:val="none" w:sz="0" w:space="0" w:color="auto"/>
        <w:right w:val="none" w:sz="0" w:space="0" w:color="auto"/>
      </w:divBdr>
      <w:divsChild>
        <w:div w:id="1689528508">
          <w:marLeft w:val="360"/>
          <w:marRight w:val="0"/>
          <w:marTop w:val="200"/>
          <w:marBottom w:val="0"/>
          <w:divBdr>
            <w:top w:val="none" w:sz="0" w:space="0" w:color="auto"/>
            <w:left w:val="none" w:sz="0" w:space="0" w:color="auto"/>
            <w:bottom w:val="none" w:sz="0" w:space="0" w:color="auto"/>
            <w:right w:val="none" w:sz="0" w:space="0" w:color="auto"/>
          </w:divBdr>
        </w:div>
        <w:div w:id="1071849512">
          <w:marLeft w:val="1080"/>
          <w:marRight w:val="0"/>
          <w:marTop w:val="100"/>
          <w:marBottom w:val="0"/>
          <w:divBdr>
            <w:top w:val="none" w:sz="0" w:space="0" w:color="auto"/>
            <w:left w:val="none" w:sz="0" w:space="0" w:color="auto"/>
            <w:bottom w:val="none" w:sz="0" w:space="0" w:color="auto"/>
            <w:right w:val="none" w:sz="0" w:space="0" w:color="auto"/>
          </w:divBdr>
        </w:div>
        <w:div w:id="1443111919">
          <w:marLeft w:val="1800"/>
          <w:marRight w:val="0"/>
          <w:marTop w:val="100"/>
          <w:marBottom w:val="0"/>
          <w:divBdr>
            <w:top w:val="none" w:sz="0" w:space="0" w:color="auto"/>
            <w:left w:val="none" w:sz="0" w:space="0" w:color="auto"/>
            <w:bottom w:val="none" w:sz="0" w:space="0" w:color="auto"/>
            <w:right w:val="none" w:sz="0" w:space="0" w:color="auto"/>
          </w:divBdr>
        </w:div>
        <w:div w:id="1602494610">
          <w:marLeft w:val="360"/>
          <w:marRight w:val="0"/>
          <w:marTop w:val="200"/>
          <w:marBottom w:val="0"/>
          <w:divBdr>
            <w:top w:val="none" w:sz="0" w:space="0" w:color="auto"/>
            <w:left w:val="none" w:sz="0" w:space="0" w:color="auto"/>
            <w:bottom w:val="none" w:sz="0" w:space="0" w:color="auto"/>
            <w:right w:val="none" w:sz="0" w:space="0" w:color="auto"/>
          </w:divBdr>
        </w:div>
        <w:div w:id="161892651">
          <w:marLeft w:val="1080"/>
          <w:marRight w:val="0"/>
          <w:marTop w:val="100"/>
          <w:marBottom w:val="0"/>
          <w:divBdr>
            <w:top w:val="none" w:sz="0" w:space="0" w:color="auto"/>
            <w:left w:val="none" w:sz="0" w:space="0" w:color="auto"/>
            <w:bottom w:val="none" w:sz="0" w:space="0" w:color="auto"/>
            <w:right w:val="none" w:sz="0" w:space="0" w:color="auto"/>
          </w:divBdr>
        </w:div>
        <w:div w:id="1163853838">
          <w:marLeft w:val="360"/>
          <w:marRight w:val="0"/>
          <w:marTop w:val="200"/>
          <w:marBottom w:val="0"/>
          <w:divBdr>
            <w:top w:val="none" w:sz="0" w:space="0" w:color="auto"/>
            <w:left w:val="none" w:sz="0" w:space="0" w:color="auto"/>
            <w:bottom w:val="none" w:sz="0" w:space="0" w:color="auto"/>
            <w:right w:val="none" w:sz="0" w:space="0" w:color="auto"/>
          </w:divBdr>
        </w:div>
        <w:div w:id="550650433">
          <w:marLeft w:val="360"/>
          <w:marRight w:val="0"/>
          <w:marTop w:val="200"/>
          <w:marBottom w:val="0"/>
          <w:divBdr>
            <w:top w:val="none" w:sz="0" w:space="0" w:color="auto"/>
            <w:left w:val="none" w:sz="0" w:space="0" w:color="auto"/>
            <w:bottom w:val="none" w:sz="0" w:space="0" w:color="auto"/>
            <w:right w:val="none" w:sz="0" w:space="0" w:color="auto"/>
          </w:divBdr>
        </w:div>
      </w:divsChild>
    </w:div>
    <w:div w:id="1218318340">
      <w:bodyDiv w:val="1"/>
      <w:marLeft w:val="0"/>
      <w:marRight w:val="0"/>
      <w:marTop w:val="0"/>
      <w:marBottom w:val="0"/>
      <w:divBdr>
        <w:top w:val="none" w:sz="0" w:space="0" w:color="auto"/>
        <w:left w:val="none" w:sz="0" w:space="0" w:color="auto"/>
        <w:bottom w:val="none" w:sz="0" w:space="0" w:color="auto"/>
        <w:right w:val="none" w:sz="0" w:space="0" w:color="auto"/>
      </w:divBdr>
    </w:div>
    <w:div w:id="1248004274">
      <w:bodyDiv w:val="1"/>
      <w:marLeft w:val="0"/>
      <w:marRight w:val="0"/>
      <w:marTop w:val="0"/>
      <w:marBottom w:val="0"/>
      <w:divBdr>
        <w:top w:val="none" w:sz="0" w:space="0" w:color="auto"/>
        <w:left w:val="none" w:sz="0" w:space="0" w:color="auto"/>
        <w:bottom w:val="none" w:sz="0" w:space="0" w:color="auto"/>
        <w:right w:val="none" w:sz="0" w:space="0" w:color="auto"/>
      </w:divBdr>
    </w:div>
    <w:div w:id="1264537460">
      <w:bodyDiv w:val="1"/>
      <w:marLeft w:val="0"/>
      <w:marRight w:val="0"/>
      <w:marTop w:val="0"/>
      <w:marBottom w:val="0"/>
      <w:divBdr>
        <w:top w:val="none" w:sz="0" w:space="0" w:color="auto"/>
        <w:left w:val="none" w:sz="0" w:space="0" w:color="auto"/>
        <w:bottom w:val="none" w:sz="0" w:space="0" w:color="auto"/>
        <w:right w:val="none" w:sz="0" w:space="0" w:color="auto"/>
      </w:divBdr>
    </w:div>
    <w:div w:id="1273366569">
      <w:bodyDiv w:val="1"/>
      <w:marLeft w:val="0"/>
      <w:marRight w:val="0"/>
      <w:marTop w:val="0"/>
      <w:marBottom w:val="0"/>
      <w:divBdr>
        <w:top w:val="none" w:sz="0" w:space="0" w:color="auto"/>
        <w:left w:val="none" w:sz="0" w:space="0" w:color="auto"/>
        <w:bottom w:val="none" w:sz="0" w:space="0" w:color="auto"/>
        <w:right w:val="none" w:sz="0" w:space="0" w:color="auto"/>
      </w:divBdr>
    </w:div>
    <w:div w:id="1274282359">
      <w:bodyDiv w:val="1"/>
      <w:marLeft w:val="0"/>
      <w:marRight w:val="0"/>
      <w:marTop w:val="0"/>
      <w:marBottom w:val="0"/>
      <w:divBdr>
        <w:top w:val="none" w:sz="0" w:space="0" w:color="auto"/>
        <w:left w:val="none" w:sz="0" w:space="0" w:color="auto"/>
        <w:bottom w:val="none" w:sz="0" w:space="0" w:color="auto"/>
        <w:right w:val="none" w:sz="0" w:space="0" w:color="auto"/>
      </w:divBdr>
    </w:div>
    <w:div w:id="1288391811">
      <w:bodyDiv w:val="1"/>
      <w:marLeft w:val="0"/>
      <w:marRight w:val="0"/>
      <w:marTop w:val="0"/>
      <w:marBottom w:val="0"/>
      <w:divBdr>
        <w:top w:val="none" w:sz="0" w:space="0" w:color="auto"/>
        <w:left w:val="none" w:sz="0" w:space="0" w:color="auto"/>
        <w:bottom w:val="none" w:sz="0" w:space="0" w:color="auto"/>
        <w:right w:val="none" w:sz="0" w:space="0" w:color="auto"/>
      </w:divBdr>
      <w:divsChild>
        <w:div w:id="1346514545">
          <w:marLeft w:val="360"/>
          <w:marRight w:val="0"/>
          <w:marTop w:val="200"/>
          <w:marBottom w:val="0"/>
          <w:divBdr>
            <w:top w:val="none" w:sz="0" w:space="0" w:color="auto"/>
            <w:left w:val="none" w:sz="0" w:space="0" w:color="auto"/>
            <w:bottom w:val="none" w:sz="0" w:space="0" w:color="auto"/>
            <w:right w:val="none" w:sz="0" w:space="0" w:color="auto"/>
          </w:divBdr>
        </w:div>
      </w:divsChild>
    </w:div>
    <w:div w:id="1337884253">
      <w:bodyDiv w:val="1"/>
      <w:marLeft w:val="0"/>
      <w:marRight w:val="0"/>
      <w:marTop w:val="0"/>
      <w:marBottom w:val="0"/>
      <w:divBdr>
        <w:top w:val="none" w:sz="0" w:space="0" w:color="auto"/>
        <w:left w:val="none" w:sz="0" w:space="0" w:color="auto"/>
        <w:bottom w:val="none" w:sz="0" w:space="0" w:color="auto"/>
        <w:right w:val="none" w:sz="0" w:space="0" w:color="auto"/>
      </w:divBdr>
    </w:div>
    <w:div w:id="1372880163">
      <w:bodyDiv w:val="1"/>
      <w:marLeft w:val="0"/>
      <w:marRight w:val="0"/>
      <w:marTop w:val="0"/>
      <w:marBottom w:val="0"/>
      <w:divBdr>
        <w:top w:val="none" w:sz="0" w:space="0" w:color="auto"/>
        <w:left w:val="none" w:sz="0" w:space="0" w:color="auto"/>
        <w:bottom w:val="none" w:sz="0" w:space="0" w:color="auto"/>
        <w:right w:val="none" w:sz="0" w:space="0" w:color="auto"/>
      </w:divBdr>
    </w:div>
    <w:div w:id="1465352164">
      <w:bodyDiv w:val="1"/>
      <w:marLeft w:val="0"/>
      <w:marRight w:val="0"/>
      <w:marTop w:val="0"/>
      <w:marBottom w:val="0"/>
      <w:divBdr>
        <w:top w:val="none" w:sz="0" w:space="0" w:color="auto"/>
        <w:left w:val="none" w:sz="0" w:space="0" w:color="auto"/>
        <w:bottom w:val="none" w:sz="0" w:space="0" w:color="auto"/>
        <w:right w:val="none" w:sz="0" w:space="0" w:color="auto"/>
      </w:divBdr>
    </w:div>
    <w:div w:id="1467701423">
      <w:bodyDiv w:val="1"/>
      <w:marLeft w:val="0"/>
      <w:marRight w:val="0"/>
      <w:marTop w:val="0"/>
      <w:marBottom w:val="0"/>
      <w:divBdr>
        <w:top w:val="none" w:sz="0" w:space="0" w:color="auto"/>
        <w:left w:val="none" w:sz="0" w:space="0" w:color="auto"/>
        <w:bottom w:val="none" w:sz="0" w:space="0" w:color="auto"/>
        <w:right w:val="none" w:sz="0" w:space="0" w:color="auto"/>
      </w:divBdr>
    </w:div>
    <w:div w:id="1488478747">
      <w:bodyDiv w:val="1"/>
      <w:marLeft w:val="0"/>
      <w:marRight w:val="0"/>
      <w:marTop w:val="0"/>
      <w:marBottom w:val="0"/>
      <w:divBdr>
        <w:top w:val="none" w:sz="0" w:space="0" w:color="auto"/>
        <w:left w:val="none" w:sz="0" w:space="0" w:color="auto"/>
        <w:bottom w:val="none" w:sz="0" w:space="0" w:color="auto"/>
        <w:right w:val="none" w:sz="0" w:space="0" w:color="auto"/>
      </w:divBdr>
    </w:div>
    <w:div w:id="1494836128">
      <w:bodyDiv w:val="1"/>
      <w:marLeft w:val="0"/>
      <w:marRight w:val="0"/>
      <w:marTop w:val="0"/>
      <w:marBottom w:val="0"/>
      <w:divBdr>
        <w:top w:val="none" w:sz="0" w:space="0" w:color="auto"/>
        <w:left w:val="none" w:sz="0" w:space="0" w:color="auto"/>
        <w:bottom w:val="none" w:sz="0" w:space="0" w:color="auto"/>
        <w:right w:val="none" w:sz="0" w:space="0" w:color="auto"/>
      </w:divBdr>
      <w:divsChild>
        <w:div w:id="8797948">
          <w:marLeft w:val="1080"/>
          <w:marRight w:val="0"/>
          <w:marTop w:val="100"/>
          <w:marBottom w:val="120"/>
          <w:divBdr>
            <w:top w:val="none" w:sz="0" w:space="0" w:color="auto"/>
            <w:left w:val="none" w:sz="0" w:space="0" w:color="auto"/>
            <w:bottom w:val="none" w:sz="0" w:space="0" w:color="auto"/>
            <w:right w:val="none" w:sz="0" w:space="0" w:color="auto"/>
          </w:divBdr>
        </w:div>
      </w:divsChild>
    </w:div>
    <w:div w:id="1500803689">
      <w:bodyDiv w:val="1"/>
      <w:marLeft w:val="0"/>
      <w:marRight w:val="0"/>
      <w:marTop w:val="0"/>
      <w:marBottom w:val="0"/>
      <w:divBdr>
        <w:top w:val="none" w:sz="0" w:space="0" w:color="auto"/>
        <w:left w:val="none" w:sz="0" w:space="0" w:color="auto"/>
        <w:bottom w:val="none" w:sz="0" w:space="0" w:color="auto"/>
        <w:right w:val="none" w:sz="0" w:space="0" w:color="auto"/>
      </w:divBdr>
    </w:div>
    <w:div w:id="1526169371">
      <w:bodyDiv w:val="1"/>
      <w:marLeft w:val="0"/>
      <w:marRight w:val="0"/>
      <w:marTop w:val="0"/>
      <w:marBottom w:val="0"/>
      <w:divBdr>
        <w:top w:val="none" w:sz="0" w:space="0" w:color="auto"/>
        <w:left w:val="none" w:sz="0" w:space="0" w:color="auto"/>
        <w:bottom w:val="none" w:sz="0" w:space="0" w:color="auto"/>
        <w:right w:val="none" w:sz="0" w:space="0" w:color="auto"/>
      </w:divBdr>
    </w:div>
    <w:div w:id="1571618843">
      <w:bodyDiv w:val="1"/>
      <w:marLeft w:val="0"/>
      <w:marRight w:val="0"/>
      <w:marTop w:val="0"/>
      <w:marBottom w:val="0"/>
      <w:divBdr>
        <w:top w:val="none" w:sz="0" w:space="0" w:color="auto"/>
        <w:left w:val="none" w:sz="0" w:space="0" w:color="auto"/>
        <w:bottom w:val="none" w:sz="0" w:space="0" w:color="auto"/>
        <w:right w:val="none" w:sz="0" w:space="0" w:color="auto"/>
      </w:divBdr>
    </w:div>
    <w:div w:id="1592930763">
      <w:bodyDiv w:val="1"/>
      <w:marLeft w:val="0"/>
      <w:marRight w:val="0"/>
      <w:marTop w:val="0"/>
      <w:marBottom w:val="0"/>
      <w:divBdr>
        <w:top w:val="none" w:sz="0" w:space="0" w:color="auto"/>
        <w:left w:val="none" w:sz="0" w:space="0" w:color="auto"/>
        <w:bottom w:val="none" w:sz="0" w:space="0" w:color="auto"/>
        <w:right w:val="none" w:sz="0" w:space="0" w:color="auto"/>
      </w:divBdr>
      <w:divsChild>
        <w:div w:id="2138136734">
          <w:marLeft w:val="1080"/>
          <w:marRight w:val="0"/>
          <w:marTop w:val="100"/>
          <w:marBottom w:val="0"/>
          <w:divBdr>
            <w:top w:val="none" w:sz="0" w:space="0" w:color="auto"/>
            <w:left w:val="none" w:sz="0" w:space="0" w:color="auto"/>
            <w:bottom w:val="none" w:sz="0" w:space="0" w:color="auto"/>
            <w:right w:val="none" w:sz="0" w:space="0" w:color="auto"/>
          </w:divBdr>
        </w:div>
        <w:div w:id="1526555321">
          <w:marLeft w:val="1080"/>
          <w:marRight w:val="0"/>
          <w:marTop w:val="100"/>
          <w:marBottom w:val="0"/>
          <w:divBdr>
            <w:top w:val="none" w:sz="0" w:space="0" w:color="auto"/>
            <w:left w:val="none" w:sz="0" w:space="0" w:color="auto"/>
            <w:bottom w:val="none" w:sz="0" w:space="0" w:color="auto"/>
            <w:right w:val="none" w:sz="0" w:space="0" w:color="auto"/>
          </w:divBdr>
        </w:div>
        <w:div w:id="2020501254">
          <w:marLeft w:val="1080"/>
          <w:marRight w:val="0"/>
          <w:marTop w:val="100"/>
          <w:marBottom w:val="0"/>
          <w:divBdr>
            <w:top w:val="none" w:sz="0" w:space="0" w:color="auto"/>
            <w:left w:val="none" w:sz="0" w:space="0" w:color="auto"/>
            <w:bottom w:val="none" w:sz="0" w:space="0" w:color="auto"/>
            <w:right w:val="none" w:sz="0" w:space="0" w:color="auto"/>
          </w:divBdr>
        </w:div>
        <w:div w:id="1658991235">
          <w:marLeft w:val="360"/>
          <w:marRight w:val="0"/>
          <w:marTop w:val="200"/>
          <w:marBottom w:val="0"/>
          <w:divBdr>
            <w:top w:val="none" w:sz="0" w:space="0" w:color="auto"/>
            <w:left w:val="none" w:sz="0" w:space="0" w:color="auto"/>
            <w:bottom w:val="none" w:sz="0" w:space="0" w:color="auto"/>
            <w:right w:val="none" w:sz="0" w:space="0" w:color="auto"/>
          </w:divBdr>
        </w:div>
      </w:divsChild>
    </w:div>
    <w:div w:id="1602031460">
      <w:bodyDiv w:val="1"/>
      <w:marLeft w:val="0"/>
      <w:marRight w:val="0"/>
      <w:marTop w:val="0"/>
      <w:marBottom w:val="0"/>
      <w:divBdr>
        <w:top w:val="none" w:sz="0" w:space="0" w:color="auto"/>
        <w:left w:val="none" w:sz="0" w:space="0" w:color="auto"/>
        <w:bottom w:val="none" w:sz="0" w:space="0" w:color="auto"/>
        <w:right w:val="none" w:sz="0" w:space="0" w:color="auto"/>
      </w:divBdr>
    </w:div>
    <w:div w:id="1614090380">
      <w:bodyDiv w:val="1"/>
      <w:marLeft w:val="0"/>
      <w:marRight w:val="0"/>
      <w:marTop w:val="0"/>
      <w:marBottom w:val="0"/>
      <w:divBdr>
        <w:top w:val="none" w:sz="0" w:space="0" w:color="auto"/>
        <w:left w:val="none" w:sz="0" w:space="0" w:color="auto"/>
        <w:bottom w:val="none" w:sz="0" w:space="0" w:color="auto"/>
        <w:right w:val="none" w:sz="0" w:space="0" w:color="auto"/>
      </w:divBdr>
      <w:divsChild>
        <w:div w:id="1496531663">
          <w:marLeft w:val="1267"/>
          <w:marRight w:val="0"/>
          <w:marTop w:val="0"/>
          <w:marBottom w:val="0"/>
          <w:divBdr>
            <w:top w:val="none" w:sz="0" w:space="0" w:color="auto"/>
            <w:left w:val="none" w:sz="0" w:space="0" w:color="auto"/>
            <w:bottom w:val="none" w:sz="0" w:space="0" w:color="auto"/>
            <w:right w:val="none" w:sz="0" w:space="0" w:color="auto"/>
          </w:divBdr>
        </w:div>
        <w:div w:id="1290627702">
          <w:marLeft w:val="1267"/>
          <w:marRight w:val="0"/>
          <w:marTop w:val="0"/>
          <w:marBottom w:val="0"/>
          <w:divBdr>
            <w:top w:val="none" w:sz="0" w:space="0" w:color="auto"/>
            <w:left w:val="none" w:sz="0" w:space="0" w:color="auto"/>
            <w:bottom w:val="none" w:sz="0" w:space="0" w:color="auto"/>
            <w:right w:val="none" w:sz="0" w:space="0" w:color="auto"/>
          </w:divBdr>
        </w:div>
      </w:divsChild>
    </w:div>
    <w:div w:id="1630281617">
      <w:bodyDiv w:val="1"/>
      <w:marLeft w:val="0"/>
      <w:marRight w:val="0"/>
      <w:marTop w:val="0"/>
      <w:marBottom w:val="0"/>
      <w:divBdr>
        <w:top w:val="none" w:sz="0" w:space="0" w:color="auto"/>
        <w:left w:val="none" w:sz="0" w:space="0" w:color="auto"/>
        <w:bottom w:val="none" w:sz="0" w:space="0" w:color="auto"/>
        <w:right w:val="none" w:sz="0" w:space="0" w:color="auto"/>
      </w:divBdr>
    </w:div>
    <w:div w:id="1643534374">
      <w:bodyDiv w:val="1"/>
      <w:marLeft w:val="0"/>
      <w:marRight w:val="0"/>
      <w:marTop w:val="0"/>
      <w:marBottom w:val="0"/>
      <w:divBdr>
        <w:top w:val="none" w:sz="0" w:space="0" w:color="auto"/>
        <w:left w:val="none" w:sz="0" w:space="0" w:color="auto"/>
        <w:bottom w:val="none" w:sz="0" w:space="0" w:color="auto"/>
        <w:right w:val="none" w:sz="0" w:space="0" w:color="auto"/>
      </w:divBdr>
      <w:divsChild>
        <w:div w:id="114762714">
          <w:marLeft w:val="360"/>
          <w:marRight w:val="0"/>
          <w:marTop w:val="200"/>
          <w:marBottom w:val="0"/>
          <w:divBdr>
            <w:top w:val="none" w:sz="0" w:space="0" w:color="auto"/>
            <w:left w:val="none" w:sz="0" w:space="0" w:color="auto"/>
            <w:bottom w:val="none" w:sz="0" w:space="0" w:color="auto"/>
            <w:right w:val="none" w:sz="0" w:space="0" w:color="auto"/>
          </w:divBdr>
        </w:div>
        <w:div w:id="353001293">
          <w:marLeft w:val="1080"/>
          <w:marRight w:val="0"/>
          <w:marTop w:val="100"/>
          <w:marBottom w:val="0"/>
          <w:divBdr>
            <w:top w:val="none" w:sz="0" w:space="0" w:color="auto"/>
            <w:left w:val="none" w:sz="0" w:space="0" w:color="auto"/>
            <w:bottom w:val="none" w:sz="0" w:space="0" w:color="auto"/>
            <w:right w:val="none" w:sz="0" w:space="0" w:color="auto"/>
          </w:divBdr>
        </w:div>
        <w:div w:id="100691117">
          <w:marLeft w:val="1080"/>
          <w:marRight w:val="0"/>
          <w:marTop w:val="100"/>
          <w:marBottom w:val="0"/>
          <w:divBdr>
            <w:top w:val="none" w:sz="0" w:space="0" w:color="auto"/>
            <w:left w:val="none" w:sz="0" w:space="0" w:color="auto"/>
            <w:bottom w:val="none" w:sz="0" w:space="0" w:color="auto"/>
            <w:right w:val="none" w:sz="0" w:space="0" w:color="auto"/>
          </w:divBdr>
        </w:div>
        <w:div w:id="280654038">
          <w:marLeft w:val="1080"/>
          <w:marRight w:val="0"/>
          <w:marTop w:val="100"/>
          <w:marBottom w:val="0"/>
          <w:divBdr>
            <w:top w:val="none" w:sz="0" w:space="0" w:color="auto"/>
            <w:left w:val="none" w:sz="0" w:space="0" w:color="auto"/>
            <w:bottom w:val="none" w:sz="0" w:space="0" w:color="auto"/>
            <w:right w:val="none" w:sz="0" w:space="0" w:color="auto"/>
          </w:divBdr>
        </w:div>
        <w:div w:id="1247105089">
          <w:marLeft w:val="1080"/>
          <w:marRight w:val="0"/>
          <w:marTop w:val="100"/>
          <w:marBottom w:val="0"/>
          <w:divBdr>
            <w:top w:val="none" w:sz="0" w:space="0" w:color="auto"/>
            <w:left w:val="none" w:sz="0" w:space="0" w:color="auto"/>
            <w:bottom w:val="none" w:sz="0" w:space="0" w:color="auto"/>
            <w:right w:val="none" w:sz="0" w:space="0" w:color="auto"/>
          </w:divBdr>
        </w:div>
        <w:div w:id="887449506">
          <w:marLeft w:val="1080"/>
          <w:marRight w:val="0"/>
          <w:marTop w:val="100"/>
          <w:marBottom w:val="0"/>
          <w:divBdr>
            <w:top w:val="none" w:sz="0" w:space="0" w:color="auto"/>
            <w:left w:val="none" w:sz="0" w:space="0" w:color="auto"/>
            <w:bottom w:val="none" w:sz="0" w:space="0" w:color="auto"/>
            <w:right w:val="none" w:sz="0" w:space="0" w:color="auto"/>
          </w:divBdr>
        </w:div>
      </w:divsChild>
    </w:div>
    <w:div w:id="1656303175">
      <w:bodyDiv w:val="1"/>
      <w:marLeft w:val="0"/>
      <w:marRight w:val="0"/>
      <w:marTop w:val="0"/>
      <w:marBottom w:val="0"/>
      <w:divBdr>
        <w:top w:val="none" w:sz="0" w:space="0" w:color="auto"/>
        <w:left w:val="none" w:sz="0" w:space="0" w:color="auto"/>
        <w:bottom w:val="none" w:sz="0" w:space="0" w:color="auto"/>
        <w:right w:val="none" w:sz="0" w:space="0" w:color="auto"/>
      </w:divBdr>
    </w:div>
    <w:div w:id="1681928936">
      <w:bodyDiv w:val="1"/>
      <w:marLeft w:val="0"/>
      <w:marRight w:val="0"/>
      <w:marTop w:val="0"/>
      <w:marBottom w:val="0"/>
      <w:divBdr>
        <w:top w:val="none" w:sz="0" w:space="0" w:color="auto"/>
        <w:left w:val="none" w:sz="0" w:space="0" w:color="auto"/>
        <w:bottom w:val="none" w:sz="0" w:space="0" w:color="auto"/>
        <w:right w:val="none" w:sz="0" w:space="0" w:color="auto"/>
      </w:divBdr>
      <w:divsChild>
        <w:div w:id="1534611936">
          <w:marLeft w:val="446"/>
          <w:marRight w:val="0"/>
          <w:marTop w:val="0"/>
          <w:marBottom w:val="0"/>
          <w:divBdr>
            <w:top w:val="none" w:sz="0" w:space="0" w:color="auto"/>
            <w:left w:val="none" w:sz="0" w:space="0" w:color="auto"/>
            <w:bottom w:val="none" w:sz="0" w:space="0" w:color="auto"/>
            <w:right w:val="none" w:sz="0" w:space="0" w:color="auto"/>
          </w:divBdr>
        </w:div>
        <w:div w:id="966738302">
          <w:marLeft w:val="1166"/>
          <w:marRight w:val="0"/>
          <w:marTop w:val="0"/>
          <w:marBottom w:val="0"/>
          <w:divBdr>
            <w:top w:val="none" w:sz="0" w:space="0" w:color="auto"/>
            <w:left w:val="none" w:sz="0" w:space="0" w:color="auto"/>
            <w:bottom w:val="none" w:sz="0" w:space="0" w:color="auto"/>
            <w:right w:val="none" w:sz="0" w:space="0" w:color="auto"/>
          </w:divBdr>
        </w:div>
        <w:div w:id="511452595">
          <w:marLeft w:val="1166"/>
          <w:marRight w:val="0"/>
          <w:marTop w:val="0"/>
          <w:marBottom w:val="0"/>
          <w:divBdr>
            <w:top w:val="none" w:sz="0" w:space="0" w:color="auto"/>
            <w:left w:val="none" w:sz="0" w:space="0" w:color="auto"/>
            <w:bottom w:val="none" w:sz="0" w:space="0" w:color="auto"/>
            <w:right w:val="none" w:sz="0" w:space="0" w:color="auto"/>
          </w:divBdr>
        </w:div>
        <w:div w:id="1065252648">
          <w:marLeft w:val="1166"/>
          <w:marRight w:val="0"/>
          <w:marTop w:val="0"/>
          <w:marBottom w:val="0"/>
          <w:divBdr>
            <w:top w:val="none" w:sz="0" w:space="0" w:color="auto"/>
            <w:left w:val="none" w:sz="0" w:space="0" w:color="auto"/>
            <w:bottom w:val="none" w:sz="0" w:space="0" w:color="auto"/>
            <w:right w:val="none" w:sz="0" w:space="0" w:color="auto"/>
          </w:divBdr>
        </w:div>
      </w:divsChild>
    </w:div>
    <w:div w:id="1718432781">
      <w:bodyDiv w:val="1"/>
      <w:marLeft w:val="0"/>
      <w:marRight w:val="0"/>
      <w:marTop w:val="0"/>
      <w:marBottom w:val="0"/>
      <w:divBdr>
        <w:top w:val="none" w:sz="0" w:space="0" w:color="auto"/>
        <w:left w:val="none" w:sz="0" w:space="0" w:color="auto"/>
        <w:bottom w:val="none" w:sz="0" w:space="0" w:color="auto"/>
        <w:right w:val="none" w:sz="0" w:space="0" w:color="auto"/>
      </w:divBdr>
      <w:divsChild>
        <w:div w:id="804200360">
          <w:marLeft w:val="360"/>
          <w:marRight w:val="0"/>
          <w:marTop w:val="200"/>
          <w:marBottom w:val="0"/>
          <w:divBdr>
            <w:top w:val="none" w:sz="0" w:space="0" w:color="auto"/>
            <w:left w:val="none" w:sz="0" w:space="0" w:color="auto"/>
            <w:bottom w:val="none" w:sz="0" w:space="0" w:color="auto"/>
            <w:right w:val="none" w:sz="0" w:space="0" w:color="auto"/>
          </w:divBdr>
        </w:div>
        <w:div w:id="883449630">
          <w:marLeft w:val="360"/>
          <w:marRight w:val="0"/>
          <w:marTop w:val="200"/>
          <w:marBottom w:val="0"/>
          <w:divBdr>
            <w:top w:val="none" w:sz="0" w:space="0" w:color="auto"/>
            <w:left w:val="none" w:sz="0" w:space="0" w:color="auto"/>
            <w:bottom w:val="none" w:sz="0" w:space="0" w:color="auto"/>
            <w:right w:val="none" w:sz="0" w:space="0" w:color="auto"/>
          </w:divBdr>
        </w:div>
        <w:div w:id="1344742110">
          <w:marLeft w:val="1080"/>
          <w:marRight w:val="0"/>
          <w:marTop w:val="100"/>
          <w:marBottom w:val="0"/>
          <w:divBdr>
            <w:top w:val="none" w:sz="0" w:space="0" w:color="auto"/>
            <w:left w:val="none" w:sz="0" w:space="0" w:color="auto"/>
            <w:bottom w:val="none" w:sz="0" w:space="0" w:color="auto"/>
            <w:right w:val="none" w:sz="0" w:space="0" w:color="auto"/>
          </w:divBdr>
        </w:div>
        <w:div w:id="378746342">
          <w:marLeft w:val="1080"/>
          <w:marRight w:val="0"/>
          <w:marTop w:val="100"/>
          <w:marBottom w:val="0"/>
          <w:divBdr>
            <w:top w:val="none" w:sz="0" w:space="0" w:color="auto"/>
            <w:left w:val="none" w:sz="0" w:space="0" w:color="auto"/>
            <w:bottom w:val="none" w:sz="0" w:space="0" w:color="auto"/>
            <w:right w:val="none" w:sz="0" w:space="0" w:color="auto"/>
          </w:divBdr>
        </w:div>
        <w:div w:id="358629321">
          <w:marLeft w:val="360"/>
          <w:marRight w:val="0"/>
          <w:marTop w:val="200"/>
          <w:marBottom w:val="0"/>
          <w:divBdr>
            <w:top w:val="none" w:sz="0" w:space="0" w:color="auto"/>
            <w:left w:val="none" w:sz="0" w:space="0" w:color="auto"/>
            <w:bottom w:val="none" w:sz="0" w:space="0" w:color="auto"/>
            <w:right w:val="none" w:sz="0" w:space="0" w:color="auto"/>
          </w:divBdr>
        </w:div>
        <w:div w:id="1520121430">
          <w:marLeft w:val="1080"/>
          <w:marRight w:val="0"/>
          <w:marTop w:val="100"/>
          <w:marBottom w:val="0"/>
          <w:divBdr>
            <w:top w:val="none" w:sz="0" w:space="0" w:color="auto"/>
            <w:left w:val="none" w:sz="0" w:space="0" w:color="auto"/>
            <w:bottom w:val="none" w:sz="0" w:space="0" w:color="auto"/>
            <w:right w:val="none" w:sz="0" w:space="0" w:color="auto"/>
          </w:divBdr>
        </w:div>
        <w:div w:id="1264728460">
          <w:marLeft w:val="1080"/>
          <w:marRight w:val="0"/>
          <w:marTop w:val="100"/>
          <w:marBottom w:val="0"/>
          <w:divBdr>
            <w:top w:val="none" w:sz="0" w:space="0" w:color="auto"/>
            <w:left w:val="none" w:sz="0" w:space="0" w:color="auto"/>
            <w:bottom w:val="none" w:sz="0" w:space="0" w:color="auto"/>
            <w:right w:val="none" w:sz="0" w:space="0" w:color="auto"/>
          </w:divBdr>
        </w:div>
        <w:div w:id="2046635358">
          <w:marLeft w:val="1080"/>
          <w:marRight w:val="0"/>
          <w:marTop w:val="100"/>
          <w:marBottom w:val="0"/>
          <w:divBdr>
            <w:top w:val="none" w:sz="0" w:space="0" w:color="auto"/>
            <w:left w:val="none" w:sz="0" w:space="0" w:color="auto"/>
            <w:bottom w:val="none" w:sz="0" w:space="0" w:color="auto"/>
            <w:right w:val="none" w:sz="0" w:space="0" w:color="auto"/>
          </w:divBdr>
        </w:div>
        <w:div w:id="508447750">
          <w:marLeft w:val="360"/>
          <w:marRight w:val="0"/>
          <w:marTop w:val="200"/>
          <w:marBottom w:val="0"/>
          <w:divBdr>
            <w:top w:val="none" w:sz="0" w:space="0" w:color="auto"/>
            <w:left w:val="none" w:sz="0" w:space="0" w:color="auto"/>
            <w:bottom w:val="none" w:sz="0" w:space="0" w:color="auto"/>
            <w:right w:val="none" w:sz="0" w:space="0" w:color="auto"/>
          </w:divBdr>
        </w:div>
        <w:div w:id="367803906">
          <w:marLeft w:val="1080"/>
          <w:marRight w:val="0"/>
          <w:marTop w:val="100"/>
          <w:marBottom w:val="0"/>
          <w:divBdr>
            <w:top w:val="none" w:sz="0" w:space="0" w:color="auto"/>
            <w:left w:val="none" w:sz="0" w:space="0" w:color="auto"/>
            <w:bottom w:val="none" w:sz="0" w:space="0" w:color="auto"/>
            <w:right w:val="none" w:sz="0" w:space="0" w:color="auto"/>
          </w:divBdr>
        </w:div>
        <w:div w:id="2101363411">
          <w:marLeft w:val="1080"/>
          <w:marRight w:val="0"/>
          <w:marTop w:val="100"/>
          <w:marBottom w:val="0"/>
          <w:divBdr>
            <w:top w:val="none" w:sz="0" w:space="0" w:color="auto"/>
            <w:left w:val="none" w:sz="0" w:space="0" w:color="auto"/>
            <w:bottom w:val="none" w:sz="0" w:space="0" w:color="auto"/>
            <w:right w:val="none" w:sz="0" w:space="0" w:color="auto"/>
          </w:divBdr>
        </w:div>
        <w:div w:id="1246307672">
          <w:marLeft w:val="1080"/>
          <w:marRight w:val="0"/>
          <w:marTop w:val="100"/>
          <w:marBottom w:val="0"/>
          <w:divBdr>
            <w:top w:val="none" w:sz="0" w:space="0" w:color="auto"/>
            <w:left w:val="none" w:sz="0" w:space="0" w:color="auto"/>
            <w:bottom w:val="none" w:sz="0" w:space="0" w:color="auto"/>
            <w:right w:val="none" w:sz="0" w:space="0" w:color="auto"/>
          </w:divBdr>
        </w:div>
        <w:div w:id="1423456014">
          <w:marLeft w:val="360"/>
          <w:marRight w:val="0"/>
          <w:marTop w:val="200"/>
          <w:marBottom w:val="0"/>
          <w:divBdr>
            <w:top w:val="none" w:sz="0" w:space="0" w:color="auto"/>
            <w:left w:val="none" w:sz="0" w:space="0" w:color="auto"/>
            <w:bottom w:val="none" w:sz="0" w:space="0" w:color="auto"/>
            <w:right w:val="none" w:sz="0" w:space="0" w:color="auto"/>
          </w:divBdr>
        </w:div>
        <w:div w:id="1809854548">
          <w:marLeft w:val="1080"/>
          <w:marRight w:val="0"/>
          <w:marTop w:val="100"/>
          <w:marBottom w:val="0"/>
          <w:divBdr>
            <w:top w:val="none" w:sz="0" w:space="0" w:color="auto"/>
            <w:left w:val="none" w:sz="0" w:space="0" w:color="auto"/>
            <w:bottom w:val="none" w:sz="0" w:space="0" w:color="auto"/>
            <w:right w:val="none" w:sz="0" w:space="0" w:color="auto"/>
          </w:divBdr>
        </w:div>
        <w:div w:id="1623726024">
          <w:marLeft w:val="360"/>
          <w:marRight w:val="0"/>
          <w:marTop w:val="200"/>
          <w:marBottom w:val="0"/>
          <w:divBdr>
            <w:top w:val="none" w:sz="0" w:space="0" w:color="auto"/>
            <w:left w:val="none" w:sz="0" w:space="0" w:color="auto"/>
            <w:bottom w:val="none" w:sz="0" w:space="0" w:color="auto"/>
            <w:right w:val="none" w:sz="0" w:space="0" w:color="auto"/>
          </w:divBdr>
        </w:div>
        <w:div w:id="1519348414">
          <w:marLeft w:val="1080"/>
          <w:marRight w:val="0"/>
          <w:marTop w:val="100"/>
          <w:marBottom w:val="0"/>
          <w:divBdr>
            <w:top w:val="none" w:sz="0" w:space="0" w:color="auto"/>
            <w:left w:val="none" w:sz="0" w:space="0" w:color="auto"/>
            <w:bottom w:val="none" w:sz="0" w:space="0" w:color="auto"/>
            <w:right w:val="none" w:sz="0" w:space="0" w:color="auto"/>
          </w:divBdr>
        </w:div>
        <w:div w:id="991907528">
          <w:marLeft w:val="360"/>
          <w:marRight w:val="0"/>
          <w:marTop w:val="200"/>
          <w:marBottom w:val="0"/>
          <w:divBdr>
            <w:top w:val="none" w:sz="0" w:space="0" w:color="auto"/>
            <w:left w:val="none" w:sz="0" w:space="0" w:color="auto"/>
            <w:bottom w:val="none" w:sz="0" w:space="0" w:color="auto"/>
            <w:right w:val="none" w:sz="0" w:space="0" w:color="auto"/>
          </w:divBdr>
        </w:div>
      </w:divsChild>
    </w:div>
    <w:div w:id="1755085420">
      <w:bodyDiv w:val="1"/>
      <w:marLeft w:val="0"/>
      <w:marRight w:val="0"/>
      <w:marTop w:val="0"/>
      <w:marBottom w:val="0"/>
      <w:divBdr>
        <w:top w:val="none" w:sz="0" w:space="0" w:color="auto"/>
        <w:left w:val="none" w:sz="0" w:space="0" w:color="auto"/>
        <w:bottom w:val="none" w:sz="0" w:space="0" w:color="auto"/>
        <w:right w:val="none" w:sz="0" w:space="0" w:color="auto"/>
      </w:divBdr>
      <w:divsChild>
        <w:div w:id="1764304552">
          <w:marLeft w:val="1080"/>
          <w:marRight w:val="0"/>
          <w:marTop w:val="100"/>
          <w:marBottom w:val="120"/>
          <w:divBdr>
            <w:top w:val="none" w:sz="0" w:space="0" w:color="auto"/>
            <w:left w:val="none" w:sz="0" w:space="0" w:color="auto"/>
            <w:bottom w:val="none" w:sz="0" w:space="0" w:color="auto"/>
            <w:right w:val="none" w:sz="0" w:space="0" w:color="auto"/>
          </w:divBdr>
        </w:div>
        <w:div w:id="288899394">
          <w:marLeft w:val="1080"/>
          <w:marRight w:val="0"/>
          <w:marTop w:val="100"/>
          <w:marBottom w:val="120"/>
          <w:divBdr>
            <w:top w:val="none" w:sz="0" w:space="0" w:color="auto"/>
            <w:left w:val="none" w:sz="0" w:space="0" w:color="auto"/>
            <w:bottom w:val="none" w:sz="0" w:space="0" w:color="auto"/>
            <w:right w:val="none" w:sz="0" w:space="0" w:color="auto"/>
          </w:divBdr>
        </w:div>
        <w:div w:id="1626887997">
          <w:marLeft w:val="1080"/>
          <w:marRight w:val="0"/>
          <w:marTop w:val="100"/>
          <w:marBottom w:val="120"/>
          <w:divBdr>
            <w:top w:val="none" w:sz="0" w:space="0" w:color="auto"/>
            <w:left w:val="none" w:sz="0" w:space="0" w:color="auto"/>
            <w:bottom w:val="none" w:sz="0" w:space="0" w:color="auto"/>
            <w:right w:val="none" w:sz="0" w:space="0" w:color="auto"/>
          </w:divBdr>
        </w:div>
      </w:divsChild>
    </w:div>
    <w:div w:id="1768650955">
      <w:bodyDiv w:val="1"/>
      <w:marLeft w:val="0"/>
      <w:marRight w:val="0"/>
      <w:marTop w:val="0"/>
      <w:marBottom w:val="0"/>
      <w:divBdr>
        <w:top w:val="none" w:sz="0" w:space="0" w:color="auto"/>
        <w:left w:val="none" w:sz="0" w:space="0" w:color="auto"/>
        <w:bottom w:val="none" w:sz="0" w:space="0" w:color="auto"/>
        <w:right w:val="none" w:sz="0" w:space="0" w:color="auto"/>
      </w:divBdr>
    </w:div>
    <w:div w:id="1778258627">
      <w:bodyDiv w:val="1"/>
      <w:marLeft w:val="0"/>
      <w:marRight w:val="0"/>
      <w:marTop w:val="0"/>
      <w:marBottom w:val="0"/>
      <w:divBdr>
        <w:top w:val="none" w:sz="0" w:space="0" w:color="auto"/>
        <w:left w:val="none" w:sz="0" w:space="0" w:color="auto"/>
        <w:bottom w:val="none" w:sz="0" w:space="0" w:color="auto"/>
        <w:right w:val="none" w:sz="0" w:space="0" w:color="auto"/>
      </w:divBdr>
    </w:div>
    <w:div w:id="1825855019">
      <w:bodyDiv w:val="1"/>
      <w:marLeft w:val="0"/>
      <w:marRight w:val="0"/>
      <w:marTop w:val="0"/>
      <w:marBottom w:val="0"/>
      <w:divBdr>
        <w:top w:val="none" w:sz="0" w:space="0" w:color="auto"/>
        <w:left w:val="none" w:sz="0" w:space="0" w:color="auto"/>
        <w:bottom w:val="none" w:sz="0" w:space="0" w:color="auto"/>
        <w:right w:val="none" w:sz="0" w:space="0" w:color="auto"/>
      </w:divBdr>
    </w:div>
    <w:div w:id="1846241326">
      <w:bodyDiv w:val="1"/>
      <w:marLeft w:val="0"/>
      <w:marRight w:val="0"/>
      <w:marTop w:val="0"/>
      <w:marBottom w:val="0"/>
      <w:divBdr>
        <w:top w:val="none" w:sz="0" w:space="0" w:color="auto"/>
        <w:left w:val="none" w:sz="0" w:space="0" w:color="auto"/>
        <w:bottom w:val="none" w:sz="0" w:space="0" w:color="auto"/>
        <w:right w:val="none" w:sz="0" w:space="0" w:color="auto"/>
      </w:divBdr>
      <w:divsChild>
        <w:div w:id="43339672">
          <w:marLeft w:val="1267"/>
          <w:marRight w:val="0"/>
          <w:marTop w:val="0"/>
          <w:marBottom w:val="0"/>
          <w:divBdr>
            <w:top w:val="none" w:sz="0" w:space="0" w:color="auto"/>
            <w:left w:val="none" w:sz="0" w:space="0" w:color="auto"/>
            <w:bottom w:val="none" w:sz="0" w:space="0" w:color="auto"/>
            <w:right w:val="none" w:sz="0" w:space="0" w:color="auto"/>
          </w:divBdr>
        </w:div>
        <w:div w:id="885526805">
          <w:marLeft w:val="1267"/>
          <w:marRight w:val="0"/>
          <w:marTop w:val="0"/>
          <w:marBottom w:val="0"/>
          <w:divBdr>
            <w:top w:val="none" w:sz="0" w:space="0" w:color="auto"/>
            <w:left w:val="none" w:sz="0" w:space="0" w:color="auto"/>
            <w:bottom w:val="none" w:sz="0" w:space="0" w:color="auto"/>
            <w:right w:val="none" w:sz="0" w:space="0" w:color="auto"/>
          </w:divBdr>
        </w:div>
      </w:divsChild>
    </w:div>
    <w:div w:id="1930501533">
      <w:bodyDiv w:val="1"/>
      <w:marLeft w:val="0"/>
      <w:marRight w:val="0"/>
      <w:marTop w:val="0"/>
      <w:marBottom w:val="0"/>
      <w:divBdr>
        <w:top w:val="none" w:sz="0" w:space="0" w:color="auto"/>
        <w:left w:val="none" w:sz="0" w:space="0" w:color="auto"/>
        <w:bottom w:val="none" w:sz="0" w:space="0" w:color="auto"/>
        <w:right w:val="none" w:sz="0" w:space="0" w:color="auto"/>
      </w:divBdr>
      <w:divsChild>
        <w:div w:id="2134522133">
          <w:marLeft w:val="360"/>
          <w:marRight w:val="0"/>
          <w:marTop w:val="200"/>
          <w:marBottom w:val="0"/>
          <w:divBdr>
            <w:top w:val="none" w:sz="0" w:space="0" w:color="auto"/>
            <w:left w:val="none" w:sz="0" w:space="0" w:color="auto"/>
            <w:bottom w:val="none" w:sz="0" w:space="0" w:color="auto"/>
            <w:right w:val="none" w:sz="0" w:space="0" w:color="auto"/>
          </w:divBdr>
        </w:div>
      </w:divsChild>
    </w:div>
    <w:div w:id="194518936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4554052">
      <w:bodyDiv w:val="1"/>
      <w:marLeft w:val="0"/>
      <w:marRight w:val="0"/>
      <w:marTop w:val="0"/>
      <w:marBottom w:val="0"/>
      <w:divBdr>
        <w:top w:val="none" w:sz="0" w:space="0" w:color="auto"/>
        <w:left w:val="none" w:sz="0" w:space="0" w:color="auto"/>
        <w:bottom w:val="none" w:sz="0" w:space="0" w:color="auto"/>
        <w:right w:val="none" w:sz="0" w:space="0" w:color="auto"/>
      </w:divBdr>
    </w:div>
    <w:div w:id="2029603172">
      <w:bodyDiv w:val="1"/>
      <w:marLeft w:val="0"/>
      <w:marRight w:val="0"/>
      <w:marTop w:val="0"/>
      <w:marBottom w:val="0"/>
      <w:divBdr>
        <w:top w:val="none" w:sz="0" w:space="0" w:color="auto"/>
        <w:left w:val="none" w:sz="0" w:space="0" w:color="auto"/>
        <w:bottom w:val="none" w:sz="0" w:space="0" w:color="auto"/>
        <w:right w:val="none" w:sz="0" w:space="0" w:color="auto"/>
      </w:divBdr>
    </w:div>
    <w:div w:id="2071297980">
      <w:bodyDiv w:val="1"/>
      <w:marLeft w:val="0"/>
      <w:marRight w:val="0"/>
      <w:marTop w:val="0"/>
      <w:marBottom w:val="0"/>
      <w:divBdr>
        <w:top w:val="none" w:sz="0" w:space="0" w:color="auto"/>
        <w:left w:val="none" w:sz="0" w:space="0" w:color="auto"/>
        <w:bottom w:val="none" w:sz="0" w:space="0" w:color="auto"/>
        <w:right w:val="none" w:sz="0" w:space="0" w:color="auto"/>
      </w:divBdr>
    </w:div>
    <w:div w:id="2085296380">
      <w:bodyDiv w:val="1"/>
      <w:marLeft w:val="0"/>
      <w:marRight w:val="0"/>
      <w:marTop w:val="0"/>
      <w:marBottom w:val="0"/>
      <w:divBdr>
        <w:top w:val="none" w:sz="0" w:space="0" w:color="auto"/>
        <w:left w:val="none" w:sz="0" w:space="0" w:color="auto"/>
        <w:bottom w:val="none" w:sz="0" w:space="0" w:color="auto"/>
        <w:right w:val="none" w:sz="0" w:space="0" w:color="auto"/>
      </w:divBdr>
      <w:divsChild>
        <w:div w:id="1654722454">
          <w:marLeft w:val="360"/>
          <w:marRight w:val="0"/>
          <w:marTop w:val="200"/>
          <w:marBottom w:val="0"/>
          <w:divBdr>
            <w:top w:val="none" w:sz="0" w:space="0" w:color="auto"/>
            <w:left w:val="none" w:sz="0" w:space="0" w:color="auto"/>
            <w:bottom w:val="none" w:sz="0" w:space="0" w:color="auto"/>
            <w:right w:val="none" w:sz="0" w:space="0" w:color="auto"/>
          </w:divBdr>
        </w:div>
      </w:divsChild>
    </w:div>
    <w:div w:id="2097314779">
      <w:bodyDiv w:val="1"/>
      <w:marLeft w:val="0"/>
      <w:marRight w:val="0"/>
      <w:marTop w:val="0"/>
      <w:marBottom w:val="0"/>
      <w:divBdr>
        <w:top w:val="none" w:sz="0" w:space="0" w:color="auto"/>
        <w:left w:val="none" w:sz="0" w:space="0" w:color="auto"/>
        <w:bottom w:val="none" w:sz="0" w:space="0" w:color="auto"/>
        <w:right w:val="none" w:sz="0" w:space="0" w:color="auto"/>
      </w:divBdr>
      <w:divsChild>
        <w:div w:id="1587425353">
          <w:marLeft w:val="1080"/>
          <w:marRight w:val="0"/>
          <w:marTop w:val="100"/>
          <w:marBottom w:val="120"/>
          <w:divBdr>
            <w:top w:val="none" w:sz="0" w:space="0" w:color="auto"/>
            <w:left w:val="none" w:sz="0" w:space="0" w:color="auto"/>
            <w:bottom w:val="none" w:sz="0" w:space="0" w:color="auto"/>
            <w:right w:val="none" w:sz="0" w:space="0" w:color="auto"/>
          </w:divBdr>
        </w:div>
      </w:divsChild>
    </w:div>
    <w:div w:id="2133788149">
      <w:bodyDiv w:val="1"/>
      <w:marLeft w:val="0"/>
      <w:marRight w:val="0"/>
      <w:marTop w:val="0"/>
      <w:marBottom w:val="0"/>
      <w:divBdr>
        <w:top w:val="none" w:sz="0" w:space="0" w:color="auto"/>
        <w:left w:val="none" w:sz="0" w:space="0" w:color="auto"/>
        <w:bottom w:val="none" w:sz="0" w:space="0" w:color="auto"/>
        <w:right w:val="none" w:sz="0" w:space="0" w:color="auto"/>
      </w:divBdr>
      <w:divsChild>
        <w:div w:id="2039694509">
          <w:marLeft w:val="360"/>
          <w:marRight w:val="0"/>
          <w:marTop w:val="200"/>
          <w:marBottom w:val="0"/>
          <w:divBdr>
            <w:top w:val="none" w:sz="0" w:space="0" w:color="auto"/>
            <w:left w:val="none" w:sz="0" w:space="0" w:color="auto"/>
            <w:bottom w:val="none" w:sz="0" w:space="0" w:color="auto"/>
            <w:right w:val="none" w:sz="0" w:space="0" w:color="auto"/>
          </w:divBdr>
        </w:div>
        <w:div w:id="15059729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s://ncci.canceraustralia.gov.au/outcomes/relative-survival-rate/relative-survival-stage-diagnosis-melanoma" TargetMode="External"/><Relationship Id="rId2" Type="http://schemas.openxmlformats.org/officeDocument/2006/relationships/hyperlink" Target="https://www.aihw.gov.au/reports/cancer/cancer-data-in-australia/contents/cancer-summary-data-visualisation" TargetMode="External"/><Relationship Id="rId1" Type="http://schemas.openxmlformats.org/officeDocument/2006/relationships/hyperlink" Target="https://www.canceraustralia.gov.au/cancer-types/melanoma/statistics" TargetMode="External"/><Relationship Id="rId5" Type="http://schemas.openxmlformats.org/officeDocument/2006/relationships/hyperlink" Target="https://www.nccn.org/professionals/physician_gls/pdf/cutaneous_melanoma.pdf" TargetMode="External"/><Relationship Id="rId4" Type="http://schemas.openxmlformats.org/officeDocument/2006/relationships/hyperlink" Target="https://www.nccn.org/professionals/physician_gls/pdf/cutaneous_melanoma.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tcdc01\THEMAProjects\BMS\1017%20PBAC%20Submission%20Relatlimab\5%20-%20Section%20Drafts\2%20-%20Clinical%20Evaluation\PFS%20and%20OS%20curv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tcdc01\THEMAProjects\BMS\1017%20PBAC%20Submission%20Relatlimab\5%20-%20Section%20Drafts\2%20-%20Clinical%20Evaluation\PFS%20and%20OS%20curv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cdc01\themaprojects\BMS\1017%20PBAC%20Submission%20Relatlimab\5%20-%20Section%20Drafts\3%20-%20Economic%20Models\Copy%20of%20NIVO+RELA%20CMA_CUA%2008.02.2021.xlsm"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8"/>
          <c:order val="10"/>
          <c:tx>
            <c:v>067 NIVO+IPI OS 6.5-yr follow up</c:v>
          </c:tx>
          <c:spPr>
            <a:ln w="19050" cap="rnd" cmpd="sng">
              <a:solidFill>
                <a:schemeClr val="accent4">
                  <a:lumMod val="60000"/>
                  <a:lumOff val="40000"/>
                </a:schemeClr>
              </a:solidFill>
              <a:prstDash val="solid"/>
              <a:round/>
            </a:ln>
            <a:effectLst/>
          </c:spPr>
          <c:marker>
            <c:symbol val="none"/>
          </c:marker>
          <c:xVal>
            <c:numRef>
              <c:f>Sheet1!$R$3:$R$113</c:f>
              <c:numCache>
                <c:formatCode>General</c:formatCode>
                <c:ptCount val="111"/>
                <c:pt idx="0">
                  <c:v>0.13033707865168501</c:v>
                </c:pt>
                <c:pt idx="1">
                  <c:v>0.91235955056179696</c:v>
                </c:pt>
                <c:pt idx="2">
                  <c:v>1.56404494382022</c:v>
                </c:pt>
                <c:pt idx="3">
                  <c:v>2.2157303370786501</c:v>
                </c:pt>
                <c:pt idx="4">
                  <c:v>2.5415730337078601</c:v>
                </c:pt>
                <c:pt idx="5">
                  <c:v>3.5191011235955001</c:v>
                </c:pt>
                <c:pt idx="6">
                  <c:v>4.0404494382022396</c:v>
                </c:pt>
                <c:pt idx="7">
                  <c:v>4.8224719101123501</c:v>
                </c:pt>
                <c:pt idx="8">
                  <c:v>5.47415730337078</c:v>
                </c:pt>
                <c:pt idx="9">
                  <c:v>6.2561797752808896</c:v>
                </c:pt>
                <c:pt idx="10">
                  <c:v>6.9078651685393204</c:v>
                </c:pt>
                <c:pt idx="11">
                  <c:v>7.1685393258426897</c:v>
                </c:pt>
                <c:pt idx="12">
                  <c:v>7.4943820224719104</c:v>
                </c:pt>
                <c:pt idx="13">
                  <c:v>7.9056547497446301</c:v>
                </c:pt>
                <c:pt idx="14">
                  <c:v>8.4719101123595504</c:v>
                </c:pt>
                <c:pt idx="15">
                  <c:v>8.8675423901940693</c:v>
                </c:pt>
                <c:pt idx="16">
                  <c:v>9.3191011235954999</c:v>
                </c:pt>
                <c:pt idx="17">
                  <c:v>9.8031967313585202</c:v>
                </c:pt>
                <c:pt idx="18">
                  <c:v>10.7184473953013</c:v>
                </c:pt>
                <c:pt idx="19">
                  <c:v>11.578316649642399</c:v>
                </c:pt>
                <c:pt idx="20">
                  <c:v>11.795505617977501</c:v>
                </c:pt>
                <c:pt idx="21">
                  <c:v>12.365315628192</c:v>
                </c:pt>
                <c:pt idx="22">
                  <c:v>13.467114198161299</c:v>
                </c:pt>
                <c:pt idx="23">
                  <c:v>14.4639795709908</c:v>
                </c:pt>
                <c:pt idx="24">
                  <c:v>14.9887640449438</c:v>
                </c:pt>
                <c:pt idx="25">
                  <c:v>15.425867211440201</c:v>
                </c:pt>
                <c:pt idx="26">
                  <c:v>16.3877548518896</c:v>
                </c:pt>
                <c:pt idx="27">
                  <c:v>17.008988764044901</c:v>
                </c:pt>
                <c:pt idx="28">
                  <c:v>17.3496424923391</c:v>
                </c:pt>
                <c:pt idx="29">
                  <c:v>18.311530132788501</c:v>
                </c:pt>
                <c:pt idx="30">
                  <c:v>18.833707865168499</c:v>
                </c:pt>
                <c:pt idx="31">
                  <c:v>19.273417773237899</c:v>
                </c:pt>
                <c:pt idx="32">
                  <c:v>19.615730337078599</c:v>
                </c:pt>
                <c:pt idx="33">
                  <c:v>20.235305413687399</c:v>
                </c:pt>
                <c:pt idx="34">
                  <c:v>20.8539325842696</c:v>
                </c:pt>
                <c:pt idx="35">
                  <c:v>21.1971930541368</c:v>
                </c:pt>
                <c:pt idx="36">
                  <c:v>21.701123595505599</c:v>
                </c:pt>
                <c:pt idx="37">
                  <c:v>22.159080694586301</c:v>
                </c:pt>
                <c:pt idx="38">
                  <c:v>22.613483146067399</c:v>
                </c:pt>
                <c:pt idx="39">
                  <c:v>23.120968335035698</c:v>
                </c:pt>
                <c:pt idx="40">
                  <c:v>24.082855975485099</c:v>
                </c:pt>
                <c:pt idx="41">
                  <c:v>25.0447436159346</c:v>
                </c:pt>
                <c:pt idx="42">
                  <c:v>25.4157303370786</c:v>
                </c:pt>
                <c:pt idx="43">
                  <c:v>26.006631256384001</c:v>
                </c:pt>
                <c:pt idx="44">
                  <c:v>26.968518896833501</c:v>
                </c:pt>
                <c:pt idx="45">
                  <c:v>27.631460674157299</c:v>
                </c:pt>
                <c:pt idx="46">
                  <c:v>27.930406537282899</c:v>
                </c:pt>
                <c:pt idx="47">
                  <c:v>28.8922941777323</c:v>
                </c:pt>
                <c:pt idx="48">
                  <c:v>29.8541818181818</c:v>
                </c:pt>
                <c:pt idx="49">
                  <c:v>30.816069458631201</c:v>
                </c:pt>
                <c:pt idx="50">
                  <c:v>31.777957099080599</c:v>
                </c:pt>
                <c:pt idx="51">
                  <c:v>32.739844739530099</c:v>
                </c:pt>
                <c:pt idx="52">
                  <c:v>33.679871297242002</c:v>
                </c:pt>
                <c:pt idx="53">
                  <c:v>34.663620020429001</c:v>
                </c:pt>
                <c:pt idx="54">
                  <c:v>35.625507660878398</c:v>
                </c:pt>
                <c:pt idx="55">
                  <c:v>36.587395301327803</c:v>
                </c:pt>
                <c:pt idx="56">
                  <c:v>37.080898876404397</c:v>
                </c:pt>
                <c:pt idx="57">
                  <c:v>37.5492829417773</c:v>
                </c:pt>
                <c:pt idx="58">
                  <c:v>38.058426966292103</c:v>
                </c:pt>
                <c:pt idx="59">
                  <c:v>38.540318692543401</c:v>
                </c:pt>
                <c:pt idx="60">
                  <c:v>39.473058222676201</c:v>
                </c:pt>
                <c:pt idx="61">
                  <c:v>39.948314606741498</c:v>
                </c:pt>
                <c:pt idx="62">
                  <c:v>40.434945863125598</c:v>
                </c:pt>
                <c:pt idx="63">
                  <c:v>41.396833503575003</c:v>
                </c:pt>
                <c:pt idx="64">
                  <c:v>42.3587211440245</c:v>
                </c:pt>
                <c:pt idx="65">
                  <c:v>43.320608784473897</c:v>
                </c:pt>
                <c:pt idx="66">
                  <c:v>44.282496424923302</c:v>
                </c:pt>
                <c:pt idx="67">
                  <c:v>45.244384065372799</c:v>
                </c:pt>
                <c:pt idx="68">
                  <c:v>46.206271705822203</c:v>
                </c:pt>
                <c:pt idx="69">
                  <c:v>47.1681593462717</c:v>
                </c:pt>
                <c:pt idx="70">
                  <c:v>48.130046986721098</c:v>
                </c:pt>
                <c:pt idx="71">
                  <c:v>49.091934627170502</c:v>
                </c:pt>
                <c:pt idx="72">
                  <c:v>50.082970377936597</c:v>
                </c:pt>
                <c:pt idx="73">
                  <c:v>51.015709908069397</c:v>
                </c:pt>
                <c:pt idx="74">
                  <c:v>51.977597548518801</c:v>
                </c:pt>
                <c:pt idx="75">
                  <c:v>52.939485188968298</c:v>
                </c:pt>
                <c:pt idx="76">
                  <c:v>53.872224719101098</c:v>
                </c:pt>
                <c:pt idx="77">
                  <c:v>54.899695607763</c:v>
                </c:pt>
                <c:pt idx="78">
                  <c:v>55.825148110316597</c:v>
                </c:pt>
                <c:pt idx="79">
                  <c:v>56.787035750766002</c:v>
                </c:pt>
                <c:pt idx="80">
                  <c:v>57.748923391215499</c:v>
                </c:pt>
                <c:pt idx="81">
                  <c:v>58.710811031664903</c:v>
                </c:pt>
                <c:pt idx="82">
                  <c:v>59.6726986721144</c:v>
                </c:pt>
                <c:pt idx="83">
                  <c:v>60.634586312563798</c:v>
                </c:pt>
                <c:pt idx="84">
                  <c:v>61.596473953013202</c:v>
                </c:pt>
                <c:pt idx="85">
                  <c:v>62.558361593462699</c:v>
                </c:pt>
                <c:pt idx="86">
                  <c:v>63.520249233912097</c:v>
                </c:pt>
                <c:pt idx="87">
                  <c:v>64.482136874361601</c:v>
                </c:pt>
                <c:pt idx="88">
                  <c:v>65.444024514811005</c:v>
                </c:pt>
                <c:pt idx="89">
                  <c:v>66.392459181268094</c:v>
                </c:pt>
                <c:pt idx="90">
                  <c:v>67.3677997957099</c:v>
                </c:pt>
                <c:pt idx="91">
                  <c:v>68.329687436159304</c:v>
                </c:pt>
                <c:pt idx="92">
                  <c:v>69.291575076608794</c:v>
                </c:pt>
                <c:pt idx="93">
                  <c:v>70.253462717058198</c:v>
                </c:pt>
                <c:pt idx="94">
                  <c:v>71.237211440245105</c:v>
                </c:pt>
                <c:pt idx="95">
                  <c:v>72.177237997957107</c:v>
                </c:pt>
                <c:pt idx="96">
                  <c:v>73.139125638406497</c:v>
                </c:pt>
                <c:pt idx="97">
                  <c:v>74.0791521961184</c:v>
                </c:pt>
                <c:pt idx="98">
                  <c:v>75.062900919305406</c:v>
                </c:pt>
                <c:pt idx="99">
                  <c:v>76.024788559754796</c:v>
                </c:pt>
                <c:pt idx="100">
                  <c:v>77.027035122181104</c:v>
                </c:pt>
                <c:pt idx="101">
                  <c:v>77.9321680286006</c:v>
                </c:pt>
                <c:pt idx="102">
                  <c:v>78.915595265276593</c:v>
                </c:pt>
                <c:pt idx="103">
                  <c:v>79.876711338100094</c:v>
                </c:pt>
                <c:pt idx="104">
                  <c:v>80.855046840799602</c:v>
                </c:pt>
                <c:pt idx="105">
                  <c:v>81.782307402827797</c:v>
                </c:pt>
                <c:pt idx="106">
                  <c:v>82.762374259448407</c:v>
                </c:pt>
                <c:pt idx="107">
                  <c:v>83.681632788559696</c:v>
                </c:pt>
                <c:pt idx="108">
                  <c:v>84.681777323799693</c:v>
                </c:pt>
                <c:pt idx="109">
                  <c:v>85.643664964249197</c:v>
                </c:pt>
                <c:pt idx="110">
                  <c:v>86.474386108273706</c:v>
                </c:pt>
              </c:numCache>
            </c:numRef>
          </c:xVal>
          <c:yVal>
            <c:numRef>
              <c:f>Sheet1!$S$3:$S$113</c:f>
              <c:numCache>
                <c:formatCode>General</c:formatCode>
                <c:ptCount val="111"/>
                <c:pt idx="0">
                  <c:v>99.818511796733205</c:v>
                </c:pt>
                <c:pt idx="1">
                  <c:v>98.9110707803992</c:v>
                </c:pt>
                <c:pt idx="2">
                  <c:v>96.551724137931004</c:v>
                </c:pt>
                <c:pt idx="3">
                  <c:v>95.644283121597098</c:v>
                </c:pt>
                <c:pt idx="4">
                  <c:v>94.373865698729503</c:v>
                </c:pt>
                <c:pt idx="5">
                  <c:v>91.470054446460907</c:v>
                </c:pt>
                <c:pt idx="6">
                  <c:v>90.381125226860206</c:v>
                </c:pt>
                <c:pt idx="7">
                  <c:v>88.566243194192296</c:v>
                </c:pt>
                <c:pt idx="8">
                  <c:v>86.2068965517241</c:v>
                </c:pt>
                <c:pt idx="9">
                  <c:v>84.754990925589794</c:v>
                </c:pt>
                <c:pt idx="10">
                  <c:v>83.847549909255903</c:v>
                </c:pt>
                <c:pt idx="11">
                  <c:v>82.395644283121598</c:v>
                </c:pt>
                <c:pt idx="12">
                  <c:v>82.395644283121598</c:v>
                </c:pt>
                <c:pt idx="13">
                  <c:v>81.687180333278306</c:v>
                </c:pt>
                <c:pt idx="14">
                  <c:v>80.943738656987307</c:v>
                </c:pt>
                <c:pt idx="15">
                  <c:v>80.048926819756701</c:v>
                </c:pt>
                <c:pt idx="16">
                  <c:v>78.947368421052602</c:v>
                </c:pt>
                <c:pt idx="17">
                  <c:v>77.754264972776696</c:v>
                </c:pt>
                <c:pt idx="18">
                  <c:v>76.065830721003096</c:v>
                </c:pt>
                <c:pt idx="19">
                  <c:v>74.263172036674703</c:v>
                </c:pt>
                <c:pt idx="20">
                  <c:v>73.139745916515395</c:v>
                </c:pt>
                <c:pt idx="21">
                  <c:v>72.4996775209611</c:v>
                </c:pt>
                <c:pt idx="22">
                  <c:v>72.311499752515999</c:v>
                </c:pt>
                <c:pt idx="23">
                  <c:v>71.935144215625996</c:v>
                </c:pt>
                <c:pt idx="24">
                  <c:v>71.324863883847499</c:v>
                </c:pt>
                <c:pt idx="25">
                  <c:v>70.562553434026796</c:v>
                </c:pt>
                <c:pt idx="26">
                  <c:v>69.566318189317698</c:v>
                </c:pt>
                <c:pt idx="27">
                  <c:v>68.965517241379303</c:v>
                </c:pt>
                <c:pt idx="28">
                  <c:v>68.127311724737893</c:v>
                </c:pt>
                <c:pt idx="29">
                  <c:v>66.854344467609593</c:v>
                </c:pt>
                <c:pt idx="30">
                  <c:v>66.606170598911007</c:v>
                </c:pt>
                <c:pt idx="31">
                  <c:v>65.835970661906899</c:v>
                </c:pt>
                <c:pt idx="32">
                  <c:v>64.972776769509906</c:v>
                </c:pt>
                <c:pt idx="33">
                  <c:v>64.972776769509906</c:v>
                </c:pt>
                <c:pt idx="34">
                  <c:v>64.972776769509906</c:v>
                </c:pt>
                <c:pt idx="35">
                  <c:v>64.408033477823906</c:v>
                </c:pt>
                <c:pt idx="36">
                  <c:v>64.246823956442796</c:v>
                </c:pt>
                <c:pt idx="37">
                  <c:v>64.009539379940307</c:v>
                </c:pt>
                <c:pt idx="38">
                  <c:v>63.883847549909198</c:v>
                </c:pt>
                <c:pt idx="39">
                  <c:v>63.788153770004897</c:v>
                </c:pt>
                <c:pt idx="40">
                  <c:v>63.655322404043702</c:v>
                </c:pt>
                <c:pt idx="41">
                  <c:v>63.511421757585701</c:v>
                </c:pt>
                <c:pt idx="42">
                  <c:v>63.511421757585701</c:v>
                </c:pt>
                <c:pt idx="43">
                  <c:v>62.670156439831402</c:v>
                </c:pt>
                <c:pt idx="44">
                  <c:v>61.862098963567298</c:v>
                </c:pt>
                <c:pt idx="45">
                  <c:v>60.072595281306697</c:v>
                </c:pt>
                <c:pt idx="46">
                  <c:v>60.072595281306697</c:v>
                </c:pt>
                <c:pt idx="47">
                  <c:v>60.068875523091002</c:v>
                </c:pt>
                <c:pt idx="48">
                  <c:v>59.891767035142699</c:v>
                </c:pt>
                <c:pt idx="49">
                  <c:v>59.670381425207303</c:v>
                </c:pt>
                <c:pt idx="50">
                  <c:v>58.851254668446501</c:v>
                </c:pt>
                <c:pt idx="51">
                  <c:v>58.360516566423101</c:v>
                </c:pt>
                <c:pt idx="52">
                  <c:v>58.0078369905956</c:v>
                </c:pt>
                <c:pt idx="53">
                  <c:v>57.832880862743899</c:v>
                </c:pt>
                <c:pt idx="54">
                  <c:v>57.700049496782697</c:v>
                </c:pt>
                <c:pt idx="55">
                  <c:v>57.257278276911997</c:v>
                </c:pt>
                <c:pt idx="56">
                  <c:v>57.1687840290381</c:v>
                </c:pt>
                <c:pt idx="57">
                  <c:v>56.272112312699598</c:v>
                </c:pt>
                <c:pt idx="58">
                  <c:v>55.535390199637</c:v>
                </c:pt>
                <c:pt idx="59">
                  <c:v>55.464362316449403</c:v>
                </c:pt>
                <c:pt idx="60">
                  <c:v>55.022021568597999</c:v>
                </c:pt>
                <c:pt idx="61">
                  <c:v>54.809437386569797</c:v>
                </c:pt>
                <c:pt idx="62">
                  <c:v>54.777759445636001</c:v>
                </c:pt>
                <c:pt idx="63">
                  <c:v>54.711343762655403</c:v>
                </c:pt>
                <c:pt idx="64">
                  <c:v>54.279641823281402</c:v>
                </c:pt>
                <c:pt idx="65">
                  <c:v>53.5601385909915</c:v>
                </c:pt>
                <c:pt idx="66">
                  <c:v>53.327683700559398</c:v>
                </c:pt>
                <c:pt idx="67">
                  <c:v>53.316614420062699</c:v>
                </c:pt>
                <c:pt idx="68">
                  <c:v>53.316614420062699</c:v>
                </c:pt>
                <c:pt idx="69">
                  <c:v>52.962397444166101</c:v>
                </c:pt>
                <c:pt idx="70">
                  <c:v>52.829566078204898</c:v>
                </c:pt>
                <c:pt idx="71">
                  <c:v>52.696734712243703</c:v>
                </c:pt>
                <c:pt idx="72">
                  <c:v>52.454132981356203</c:v>
                </c:pt>
                <c:pt idx="73">
                  <c:v>52.290861094028799</c:v>
                </c:pt>
                <c:pt idx="74">
                  <c:v>52.098993565418198</c:v>
                </c:pt>
                <c:pt idx="75">
                  <c:v>52.091614045086999</c:v>
                </c:pt>
                <c:pt idx="76">
                  <c:v>52.031347962382398</c:v>
                </c:pt>
                <c:pt idx="77">
                  <c:v>52.031347962382398</c:v>
                </c:pt>
                <c:pt idx="78">
                  <c:v>52.031347962382398</c:v>
                </c:pt>
                <c:pt idx="79">
                  <c:v>52.031347962382398</c:v>
                </c:pt>
                <c:pt idx="80">
                  <c:v>52.031347962382398</c:v>
                </c:pt>
                <c:pt idx="81">
                  <c:v>52.031347962382398</c:v>
                </c:pt>
                <c:pt idx="82">
                  <c:v>51.523390979586303</c:v>
                </c:pt>
                <c:pt idx="83">
                  <c:v>51.523390979586303</c:v>
                </c:pt>
                <c:pt idx="84">
                  <c:v>51.014204076734998</c:v>
                </c:pt>
                <c:pt idx="85">
                  <c:v>50.881372710773803</c:v>
                </c:pt>
                <c:pt idx="86">
                  <c:v>50.881372710773803</c:v>
                </c:pt>
                <c:pt idx="87">
                  <c:v>50.881372710773803</c:v>
                </c:pt>
                <c:pt idx="88">
                  <c:v>50.799776300254699</c:v>
                </c:pt>
                <c:pt idx="89">
                  <c:v>50.489860774434199</c:v>
                </c:pt>
                <c:pt idx="90">
                  <c:v>50.489860774434199</c:v>
                </c:pt>
                <c:pt idx="91">
                  <c:v>50.489860774434199</c:v>
                </c:pt>
                <c:pt idx="92">
                  <c:v>50.489860774434199</c:v>
                </c:pt>
                <c:pt idx="93">
                  <c:v>50.489860774434199</c:v>
                </c:pt>
                <c:pt idx="94">
                  <c:v>50.407853489523099</c:v>
                </c:pt>
                <c:pt idx="95">
                  <c:v>49.840860344077598</c:v>
                </c:pt>
                <c:pt idx="96">
                  <c:v>49.663751856129302</c:v>
                </c:pt>
                <c:pt idx="97">
                  <c:v>49.577503712258697</c:v>
                </c:pt>
                <c:pt idx="98">
                  <c:v>49.5751976121552</c:v>
                </c:pt>
                <c:pt idx="99">
                  <c:v>49.150875193112398</c:v>
                </c:pt>
                <c:pt idx="100">
                  <c:v>49.093700129271802</c:v>
                </c:pt>
                <c:pt idx="101">
                  <c:v>48.971229995050301</c:v>
                </c:pt>
                <c:pt idx="102">
                  <c:v>48.933179343342601</c:v>
                </c:pt>
                <c:pt idx="103">
                  <c:v>48.860122092064003</c:v>
                </c:pt>
                <c:pt idx="104">
                  <c:v>48.828811841516</c:v>
                </c:pt>
                <c:pt idx="105">
                  <c:v>48.828811841516</c:v>
                </c:pt>
                <c:pt idx="106">
                  <c:v>48.828811841516</c:v>
                </c:pt>
                <c:pt idx="107">
                  <c:v>48.828811841516</c:v>
                </c:pt>
                <c:pt idx="108">
                  <c:v>48.828811841516</c:v>
                </c:pt>
                <c:pt idx="109">
                  <c:v>48.828811841516</c:v>
                </c:pt>
                <c:pt idx="110">
                  <c:v>48.828811841516</c:v>
                </c:pt>
              </c:numCache>
            </c:numRef>
          </c:yVal>
          <c:smooth val="0"/>
          <c:extLst>
            <c:ext xmlns:c16="http://schemas.microsoft.com/office/drawing/2014/chart" uri="{C3380CC4-5D6E-409C-BE32-E72D297353CC}">
              <c16:uniqueId val="{00000000-190F-4CC1-81B1-926EE6ACF9AB}"/>
            </c:ext>
          </c:extLst>
        </c:ser>
        <c:ser>
          <c:idx val="9"/>
          <c:order val="11"/>
          <c:tx>
            <c:v>067 NIVO OS 6.5-yr follow up</c:v>
          </c:tx>
          <c:spPr>
            <a:ln w="19050" cap="rnd">
              <a:solidFill>
                <a:schemeClr val="accent4">
                  <a:lumMod val="60000"/>
                  <a:lumOff val="40000"/>
                </a:schemeClr>
              </a:solidFill>
              <a:prstDash val="sysDash"/>
              <a:round/>
            </a:ln>
            <a:effectLst/>
          </c:spPr>
          <c:marker>
            <c:symbol val="none"/>
          </c:marker>
          <c:xVal>
            <c:numRef>
              <c:f>Sheet1!$T$3:$T$95</c:f>
              <c:numCache>
                <c:formatCode>General</c:formatCode>
                <c:ptCount val="93"/>
                <c:pt idx="0">
                  <c:v>0.195505617977528</c:v>
                </c:pt>
                <c:pt idx="1">
                  <c:v>0.78768621041879405</c:v>
                </c:pt>
                <c:pt idx="2">
                  <c:v>1.5987323799795701</c:v>
                </c:pt>
                <c:pt idx="3">
                  <c:v>3.0670684371807901</c:v>
                </c:pt>
                <c:pt idx="4">
                  <c:v>3.7957711950970299</c:v>
                </c:pt>
                <c:pt idx="5">
                  <c:v>4.2359550561797699</c:v>
                </c:pt>
                <c:pt idx="6">
                  <c:v>4.6264923391215502</c:v>
                </c:pt>
                <c:pt idx="7">
                  <c:v>4.9528089887640396</c:v>
                </c:pt>
                <c:pt idx="8">
                  <c:v>5.3260469867211402</c:v>
                </c:pt>
                <c:pt idx="9">
                  <c:v>6.12033299284984</c:v>
                </c:pt>
                <c:pt idx="10">
                  <c:v>7.2061001021450402</c:v>
                </c:pt>
                <c:pt idx="11">
                  <c:v>7.6247191011235902</c:v>
                </c:pt>
                <c:pt idx="12">
                  <c:v>8.1679877425944802</c:v>
                </c:pt>
                <c:pt idx="13">
                  <c:v>8.6022471910112301</c:v>
                </c:pt>
                <c:pt idx="14">
                  <c:v>9.1298753830439203</c:v>
                </c:pt>
                <c:pt idx="15">
                  <c:v>10.0917630234933</c:v>
                </c:pt>
                <c:pt idx="16">
                  <c:v>11.053650663942699</c:v>
                </c:pt>
                <c:pt idx="17">
                  <c:v>12.0155383043922</c:v>
                </c:pt>
                <c:pt idx="18">
                  <c:v>12.802537282941699</c:v>
                </c:pt>
                <c:pt idx="19">
                  <c:v>13.2943820224719</c:v>
                </c:pt>
                <c:pt idx="20">
                  <c:v>14.212577119509699</c:v>
                </c:pt>
                <c:pt idx="21">
                  <c:v>15.0760898876404</c:v>
                </c:pt>
                <c:pt idx="22">
                  <c:v>15.770786516853899</c:v>
                </c:pt>
                <c:pt idx="23">
                  <c:v>16.037977528089801</c:v>
                </c:pt>
                <c:pt idx="24">
                  <c:v>16.552808988763999</c:v>
                </c:pt>
                <c:pt idx="25">
                  <c:v>16.999865168539301</c:v>
                </c:pt>
                <c:pt idx="26">
                  <c:v>17.961752808988699</c:v>
                </c:pt>
                <c:pt idx="27">
                  <c:v>18.923640449438199</c:v>
                </c:pt>
                <c:pt idx="28">
                  <c:v>19.2898876404494</c:v>
                </c:pt>
                <c:pt idx="29">
                  <c:v>19.8855280898876</c:v>
                </c:pt>
                <c:pt idx="30">
                  <c:v>20.847415730337001</c:v>
                </c:pt>
                <c:pt idx="31">
                  <c:v>21.809303370786498</c:v>
                </c:pt>
                <c:pt idx="32">
                  <c:v>22.771191011235899</c:v>
                </c:pt>
                <c:pt idx="33">
                  <c:v>23.7330786516853</c:v>
                </c:pt>
                <c:pt idx="34">
                  <c:v>24.694966292134801</c:v>
                </c:pt>
                <c:pt idx="35">
                  <c:v>25.656853932584202</c:v>
                </c:pt>
                <c:pt idx="36">
                  <c:v>26.618741573033699</c:v>
                </c:pt>
                <c:pt idx="37">
                  <c:v>27.5806292134831</c:v>
                </c:pt>
                <c:pt idx="38">
                  <c:v>28.542516853932501</c:v>
                </c:pt>
                <c:pt idx="39">
                  <c:v>29.504404494382001</c:v>
                </c:pt>
                <c:pt idx="40">
                  <c:v>30.466292134831399</c:v>
                </c:pt>
                <c:pt idx="41">
                  <c:v>31.4281797752808</c:v>
                </c:pt>
                <c:pt idx="42">
                  <c:v>32.3900674157303</c:v>
                </c:pt>
                <c:pt idx="43">
                  <c:v>33.351955056179698</c:v>
                </c:pt>
                <c:pt idx="44">
                  <c:v>34.313842696629202</c:v>
                </c:pt>
                <c:pt idx="45">
                  <c:v>35.275730337078599</c:v>
                </c:pt>
                <c:pt idx="46">
                  <c:v>36.237617977527997</c:v>
                </c:pt>
                <c:pt idx="47">
                  <c:v>37.199505617977501</c:v>
                </c:pt>
                <c:pt idx="48">
                  <c:v>38.161393258426898</c:v>
                </c:pt>
                <c:pt idx="49">
                  <c:v>39.204895607763</c:v>
                </c:pt>
                <c:pt idx="50">
                  <c:v>40.085168539325799</c:v>
                </c:pt>
                <c:pt idx="51">
                  <c:v>41.047056179775197</c:v>
                </c:pt>
                <c:pt idx="52">
                  <c:v>42.008943820224701</c:v>
                </c:pt>
                <c:pt idx="53">
                  <c:v>42.970831460674098</c:v>
                </c:pt>
                <c:pt idx="54">
                  <c:v>43.728089887640401</c:v>
                </c:pt>
                <c:pt idx="55">
                  <c:v>44.894606741573</c:v>
                </c:pt>
                <c:pt idx="56">
                  <c:v>45.856494382022397</c:v>
                </c:pt>
                <c:pt idx="57">
                  <c:v>46.818382022471901</c:v>
                </c:pt>
                <c:pt idx="58">
                  <c:v>47.780269662921299</c:v>
                </c:pt>
                <c:pt idx="59">
                  <c:v>48.742157303370703</c:v>
                </c:pt>
                <c:pt idx="60">
                  <c:v>49.7040449438202</c:v>
                </c:pt>
                <c:pt idx="61">
                  <c:v>50.665932584269598</c:v>
                </c:pt>
                <c:pt idx="62">
                  <c:v>51.627820224719102</c:v>
                </c:pt>
                <c:pt idx="63">
                  <c:v>52.589707865168499</c:v>
                </c:pt>
                <c:pt idx="64">
                  <c:v>53.551595505617897</c:v>
                </c:pt>
                <c:pt idx="65">
                  <c:v>54.513483146067401</c:v>
                </c:pt>
                <c:pt idx="66">
                  <c:v>55.475370786516798</c:v>
                </c:pt>
                <c:pt idx="67">
                  <c:v>56.437258426966203</c:v>
                </c:pt>
                <c:pt idx="68">
                  <c:v>57.3991460674157</c:v>
                </c:pt>
                <c:pt idx="69">
                  <c:v>58.361033707865097</c:v>
                </c:pt>
                <c:pt idx="70">
                  <c:v>59.322921348314601</c:v>
                </c:pt>
                <c:pt idx="71">
                  <c:v>60.284808988763999</c:v>
                </c:pt>
                <c:pt idx="72">
                  <c:v>61.246696629213403</c:v>
                </c:pt>
                <c:pt idx="73">
                  <c:v>62.2085842696629</c:v>
                </c:pt>
                <c:pt idx="74">
                  <c:v>63.170471910112298</c:v>
                </c:pt>
                <c:pt idx="75">
                  <c:v>64.132359550561802</c:v>
                </c:pt>
                <c:pt idx="76">
                  <c:v>65.038202247190995</c:v>
                </c:pt>
                <c:pt idx="77">
                  <c:v>66.080898876404504</c:v>
                </c:pt>
                <c:pt idx="78">
                  <c:v>66.928089887640397</c:v>
                </c:pt>
                <c:pt idx="79">
                  <c:v>67.979910112359505</c:v>
                </c:pt>
                <c:pt idx="80">
                  <c:v>69.013483146067401</c:v>
                </c:pt>
                <c:pt idx="81">
                  <c:v>69.903685393258399</c:v>
                </c:pt>
                <c:pt idx="82">
                  <c:v>70.865573033707804</c:v>
                </c:pt>
                <c:pt idx="83">
                  <c:v>72.076404494382004</c:v>
                </c:pt>
                <c:pt idx="84">
                  <c:v>73.444943820224694</c:v>
                </c:pt>
                <c:pt idx="85">
                  <c:v>74.683146067415706</c:v>
                </c:pt>
                <c:pt idx="86">
                  <c:v>76.638202247191003</c:v>
                </c:pt>
                <c:pt idx="87">
                  <c:v>78.332584269662902</c:v>
                </c:pt>
                <c:pt idx="88">
                  <c:v>80.352808988763996</c:v>
                </c:pt>
                <c:pt idx="89">
                  <c:v>81.525842696629198</c:v>
                </c:pt>
                <c:pt idx="90">
                  <c:v>82.6988764044943</c:v>
                </c:pt>
                <c:pt idx="91">
                  <c:v>83.676404494381998</c:v>
                </c:pt>
                <c:pt idx="92">
                  <c:v>84.914606741572996</c:v>
                </c:pt>
              </c:numCache>
            </c:numRef>
          </c:xVal>
          <c:yVal>
            <c:numRef>
              <c:f>Sheet1!$U$3:$U$95</c:f>
              <c:numCache>
                <c:formatCode>General</c:formatCode>
                <c:ptCount val="93"/>
                <c:pt idx="0">
                  <c:v>99.637023593466395</c:v>
                </c:pt>
                <c:pt idx="1">
                  <c:v>98.008170268932503</c:v>
                </c:pt>
                <c:pt idx="2">
                  <c:v>96.715665731727398</c:v>
                </c:pt>
                <c:pt idx="3">
                  <c:v>93.673981191222495</c:v>
                </c:pt>
                <c:pt idx="4">
                  <c:v>92.3114757540759</c:v>
                </c:pt>
                <c:pt idx="5">
                  <c:v>91.288566243194197</c:v>
                </c:pt>
                <c:pt idx="6">
                  <c:v>89.662596931199403</c:v>
                </c:pt>
                <c:pt idx="7">
                  <c:v>88.021778584391996</c:v>
                </c:pt>
                <c:pt idx="8">
                  <c:v>86.877289226200304</c:v>
                </c:pt>
                <c:pt idx="9">
                  <c:v>84.766577297475607</c:v>
                </c:pt>
                <c:pt idx="10">
                  <c:v>82.2185057971231</c:v>
                </c:pt>
                <c:pt idx="11">
                  <c:v>81.306715063520798</c:v>
                </c:pt>
                <c:pt idx="12">
                  <c:v>79.550809197402103</c:v>
                </c:pt>
                <c:pt idx="13">
                  <c:v>78.765880217785806</c:v>
                </c:pt>
                <c:pt idx="14">
                  <c:v>78.244634098783493</c:v>
                </c:pt>
                <c:pt idx="15">
                  <c:v>76.728142670726399</c:v>
                </c:pt>
                <c:pt idx="16">
                  <c:v>75.255928364656299</c:v>
                </c:pt>
                <c:pt idx="17">
                  <c:v>74.292900961437496</c:v>
                </c:pt>
                <c:pt idx="18">
                  <c:v>72.920310179838296</c:v>
                </c:pt>
                <c:pt idx="19">
                  <c:v>71.506352087114294</c:v>
                </c:pt>
                <c:pt idx="20">
                  <c:v>70.625312301129</c:v>
                </c:pt>
                <c:pt idx="21">
                  <c:v>69.167824091433999</c:v>
                </c:pt>
                <c:pt idx="22">
                  <c:v>68.784029038112493</c:v>
                </c:pt>
                <c:pt idx="23">
                  <c:v>67.673471224370402</c:v>
                </c:pt>
                <c:pt idx="24">
                  <c:v>66.424682395644197</c:v>
                </c:pt>
                <c:pt idx="25">
                  <c:v>65.614585051971602</c:v>
                </c:pt>
                <c:pt idx="26">
                  <c:v>64.563003404778698</c:v>
                </c:pt>
                <c:pt idx="27">
                  <c:v>63.721738087024299</c:v>
                </c:pt>
                <c:pt idx="28">
                  <c:v>63.157894736842103</c:v>
                </c:pt>
                <c:pt idx="29">
                  <c:v>62.282731622444501</c:v>
                </c:pt>
                <c:pt idx="30">
                  <c:v>61.419327743696599</c:v>
                </c:pt>
                <c:pt idx="31">
                  <c:v>60.666616669916401</c:v>
                </c:pt>
                <c:pt idx="32">
                  <c:v>60.312399694019803</c:v>
                </c:pt>
                <c:pt idx="33">
                  <c:v>58.762700424472399</c:v>
                </c:pt>
                <c:pt idx="34">
                  <c:v>57.943573667711597</c:v>
                </c:pt>
                <c:pt idx="35">
                  <c:v>57.832880862743899</c:v>
                </c:pt>
                <c:pt idx="36">
                  <c:v>57.102308349957198</c:v>
                </c:pt>
                <c:pt idx="37">
                  <c:v>56.393874398164101</c:v>
                </c:pt>
                <c:pt idx="38">
                  <c:v>55.530470519416198</c:v>
                </c:pt>
                <c:pt idx="39">
                  <c:v>55.043422177558398</c:v>
                </c:pt>
                <c:pt idx="40">
                  <c:v>55.021283616564901</c:v>
                </c:pt>
                <c:pt idx="41">
                  <c:v>54.512096713713603</c:v>
                </c:pt>
                <c:pt idx="42">
                  <c:v>53.1173673711208</c:v>
                </c:pt>
                <c:pt idx="43">
                  <c:v>52.586041907275998</c:v>
                </c:pt>
                <c:pt idx="44">
                  <c:v>52.209686370385903</c:v>
                </c:pt>
                <c:pt idx="45">
                  <c:v>51.634083784554001</c:v>
                </c:pt>
                <c:pt idx="46">
                  <c:v>50.438601490902997</c:v>
                </c:pt>
                <c:pt idx="47">
                  <c:v>49.740288024135502</c:v>
                </c:pt>
                <c:pt idx="48">
                  <c:v>49.021733587316803</c:v>
                </c:pt>
                <c:pt idx="49">
                  <c:v>48.148760930539503</c:v>
                </c:pt>
                <c:pt idx="50">
                  <c:v>48.0361986470879</c:v>
                </c:pt>
                <c:pt idx="51">
                  <c:v>47.604865683730502</c:v>
                </c:pt>
                <c:pt idx="52">
                  <c:v>47.4720343177693</c:v>
                </c:pt>
                <c:pt idx="53">
                  <c:v>47.449895756775803</c:v>
                </c:pt>
                <c:pt idx="54">
                  <c:v>46.823956442831197</c:v>
                </c:pt>
                <c:pt idx="55">
                  <c:v>46.734820236684598</c:v>
                </c:pt>
                <c:pt idx="56">
                  <c:v>46.509006914550497</c:v>
                </c:pt>
                <c:pt idx="57">
                  <c:v>46.497937634053699</c:v>
                </c:pt>
                <c:pt idx="58">
                  <c:v>46.497937634053699</c:v>
                </c:pt>
                <c:pt idx="59">
                  <c:v>46.033027853189502</c:v>
                </c:pt>
                <c:pt idx="60">
                  <c:v>45.767365121267098</c:v>
                </c:pt>
                <c:pt idx="61">
                  <c:v>45.767365121267098</c:v>
                </c:pt>
                <c:pt idx="62">
                  <c:v>45.767365121267098</c:v>
                </c:pt>
                <c:pt idx="63">
                  <c:v>45.612395194312299</c:v>
                </c:pt>
                <c:pt idx="64">
                  <c:v>45.058931169473901</c:v>
                </c:pt>
                <c:pt idx="65">
                  <c:v>45.036792608480397</c:v>
                </c:pt>
                <c:pt idx="66">
                  <c:v>45.036792608480397</c:v>
                </c:pt>
                <c:pt idx="67">
                  <c:v>45.036792608480397</c:v>
                </c:pt>
                <c:pt idx="68">
                  <c:v>44.859684120532101</c:v>
                </c:pt>
                <c:pt idx="69">
                  <c:v>44.616159949603201</c:v>
                </c:pt>
                <c:pt idx="70">
                  <c:v>44.129111607745401</c:v>
                </c:pt>
                <c:pt idx="71">
                  <c:v>44.051626644268097</c:v>
                </c:pt>
                <c:pt idx="72">
                  <c:v>43.653132546384398</c:v>
                </c:pt>
                <c:pt idx="73">
                  <c:v>43.332123411978202</c:v>
                </c:pt>
                <c:pt idx="74">
                  <c:v>43.332123411978202</c:v>
                </c:pt>
                <c:pt idx="75">
                  <c:v>43.0310389824661</c:v>
                </c:pt>
                <c:pt idx="76">
                  <c:v>43.194192377495398</c:v>
                </c:pt>
                <c:pt idx="77">
                  <c:v>43.012704174228602</c:v>
                </c:pt>
                <c:pt idx="78">
                  <c:v>42.8312159709618</c:v>
                </c:pt>
                <c:pt idx="79">
                  <c:v>42.8312159709618</c:v>
                </c:pt>
                <c:pt idx="80">
                  <c:v>42.8312159709618</c:v>
                </c:pt>
                <c:pt idx="81">
                  <c:v>42.660218085824397</c:v>
                </c:pt>
                <c:pt idx="82">
                  <c:v>42.402303850249702</c:v>
                </c:pt>
                <c:pt idx="83">
                  <c:v>42.2867513611615</c:v>
                </c:pt>
                <c:pt idx="84">
                  <c:v>42.105263157894697</c:v>
                </c:pt>
                <c:pt idx="85">
                  <c:v>42.105263157894697</c:v>
                </c:pt>
                <c:pt idx="86">
                  <c:v>42.105263157894697</c:v>
                </c:pt>
                <c:pt idx="87">
                  <c:v>42.105263157894697</c:v>
                </c:pt>
                <c:pt idx="88">
                  <c:v>42.105263157894697</c:v>
                </c:pt>
                <c:pt idx="89">
                  <c:v>41.923774954627902</c:v>
                </c:pt>
                <c:pt idx="90">
                  <c:v>41.923774954627902</c:v>
                </c:pt>
                <c:pt idx="91">
                  <c:v>41.923774954627902</c:v>
                </c:pt>
                <c:pt idx="92">
                  <c:v>41.923774954627902</c:v>
                </c:pt>
              </c:numCache>
            </c:numRef>
          </c:yVal>
          <c:smooth val="0"/>
          <c:extLst>
            <c:ext xmlns:c16="http://schemas.microsoft.com/office/drawing/2014/chart" uri="{C3380CC4-5D6E-409C-BE32-E72D297353CC}">
              <c16:uniqueId val="{00000001-190F-4CC1-81B1-926EE6ACF9AB}"/>
            </c:ext>
          </c:extLst>
        </c:ser>
        <c:ser>
          <c:idx val="12"/>
          <c:order val="12"/>
          <c:tx>
            <c:v>047 RELA+NIVO OS</c:v>
          </c:tx>
          <c:spPr>
            <a:ln w="19050" cap="rnd">
              <a:solidFill>
                <a:srgbClr val="FF0000"/>
              </a:solidFill>
              <a:round/>
            </a:ln>
            <a:effectLst/>
          </c:spPr>
          <c:marker>
            <c:symbol val="none"/>
          </c:marker>
          <c:xVal>
            <c:numRef>
              <c:f>Sheet1!$AA$3:$AA$40</c:f>
              <c:numCache>
                <c:formatCode>General</c:formatCode>
                <c:ptCount val="38"/>
                <c:pt idx="0">
                  <c:v>0.98967391304347563</c:v>
                </c:pt>
                <c:pt idx="1">
                  <c:v>2.2826086956521641</c:v>
                </c:pt>
                <c:pt idx="2">
                  <c:v>2.9179076086956481</c:v>
                </c:pt>
                <c:pt idx="3">
                  <c:v>3.9945652173912958</c:v>
                </c:pt>
                <c:pt idx="4">
                  <c:v>4.7144474637681117</c:v>
                </c:pt>
                <c:pt idx="5">
                  <c:v>5.4619565217391202</c:v>
                </c:pt>
                <c:pt idx="6">
                  <c:v>6.5031249999999954</c:v>
                </c:pt>
                <c:pt idx="7">
                  <c:v>7.173913043478251</c:v>
                </c:pt>
                <c:pt idx="8">
                  <c:v>8.684918478260867</c:v>
                </c:pt>
                <c:pt idx="9">
                  <c:v>9.7010869565217366</c:v>
                </c:pt>
                <c:pt idx="10">
                  <c:v>10.666222826086944</c:v>
                </c:pt>
                <c:pt idx="11">
                  <c:v>11.657608695652165</c:v>
                </c:pt>
                <c:pt idx="12">
                  <c:v>12.576766304347801</c:v>
                </c:pt>
                <c:pt idx="13">
                  <c:v>13.53260869565208</c:v>
                </c:pt>
                <c:pt idx="14">
                  <c:v>14.522690217391201</c:v>
                </c:pt>
                <c:pt idx="15">
                  <c:v>16.46861413043472</c:v>
                </c:pt>
                <c:pt idx="16">
                  <c:v>17.608695652173839</c:v>
                </c:pt>
                <c:pt idx="17">
                  <c:v>18.414538043478238</c:v>
                </c:pt>
                <c:pt idx="18">
                  <c:v>20.36046195652164</c:v>
                </c:pt>
                <c:pt idx="19">
                  <c:v>21.195652173912961</c:v>
                </c:pt>
                <c:pt idx="20">
                  <c:v>22.306385869565158</c:v>
                </c:pt>
                <c:pt idx="21">
                  <c:v>24.110788043478237</c:v>
                </c:pt>
                <c:pt idx="22">
                  <c:v>25.027173913043399</c:v>
                </c:pt>
                <c:pt idx="23">
                  <c:v>26.021331521739121</c:v>
                </c:pt>
                <c:pt idx="24">
                  <c:v>27.391304347826036</c:v>
                </c:pt>
                <c:pt idx="25">
                  <c:v>28.999184782608598</c:v>
                </c:pt>
                <c:pt idx="26">
                  <c:v>29.918478260869559</c:v>
                </c:pt>
                <c:pt idx="27">
                  <c:v>31.28908514492748</c:v>
                </c:pt>
                <c:pt idx="28">
                  <c:v>32.28260869565208</c:v>
                </c:pt>
                <c:pt idx="29">
                  <c:v>33.274320652173841</c:v>
                </c:pt>
                <c:pt idx="30">
                  <c:v>34.239130434782524</c:v>
                </c:pt>
                <c:pt idx="31">
                  <c:v>35.135869565217362</c:v>
                </c:pt>
                <c:pt idx="32">
                  <c:v>35.869565217391198</c:v>
                </c:pt>
                <c:pt idx="33">
                  <c:v>36.358695652173836</c:v>
                </c:pt>
                <c:pt idx="34">
                  <c:v>38.31521739130428</c:v>
                </c:pt>
                <c:pt idx="35">
                  <c:v>39.211956521739118</c:v>
                </c:pt>
                <c:pt idx="36">
                  <c:v>40.027173913043399</c:v>
                </c:pt>
                <c:pt idx="37">
                  <c:v>40.597826086956481</c:v>
                </c:pt>
              </c:numCache>
            </c:numRef>
          </c:xVal>
          <c:yVal>
            <c:numRef>
              <c:f>Sheet1!$AB$3:$AB$40</c:f>
              <c:numCache>
                <c:formatCode>General</c:formatCode>
                <c:ptCount val="38"/>
                <c:pt idx="0">
                  <c:v>98.710035523978604</c:v>
                </c:pt>
                <c:pt idx="1">
                  <c:v>96.98046181172289</c:v>
                </c:pt>
                <c:pt idx="2">
                  <c:v>94.264683244523297</c:v>
                </c:pt>
                <c:pt idx="3">
                  <c:v>92.007104795737106</c:v>
                </c:pt>
                <c:pt idx="4">
                  <c:v>90.027037694888406</c:v>
                </c:pt>
                <c:pt idx="5">
                  <c:v>87.566607460035499</c:v>
                </c:pt>
                <c:pt idx="6">
                  <c:v>85.166271955792311</c:v>
                </c:pt>
                <c:pt idx="7">
                  <c:v>83.658969804618096</c:v>
                </c:pt>
                <c:pt idx="8">
                  <c:v>81.269094138543494</c:v>
                </c:pt>
                <c:pt idx="9">
                  <c:v>80.284191829484897</c:v>
                </c:pt>
                <c:pt idx="10">
                  <c:v>78.436145648312603</c:v>
                </c:pt>
                <c:pt idx="11">
                  <c:v>77.087033747779699</c:v>
                </c:pt>
                <c:pt idx="12">
                  <c:v>76.363555627321105</c:v>
                </c:pt>
                <c:pt idx="13">
                  <c:v>75.488454706927101</c:v>
                </c:pt>
                <c:pt idx="14">
                  <c:v>73.829027396522889</c:v>
                </c:pt>
                <c:pt idx="15">
                  <c:v>70.687146778620999</c:v>
                </c:pt>
                <c:pt idx="16">
                  <c:v>69.271758436944893</c:v>
                </c:pt>
                <c:pt idx="17">
                  <c:v>68.0241401582431</c:v>
                </c:pt>
                <c:pt idx="18">
                  <c:v>66.237122557726408</c:v>
                </c:pt>
                <c:pt idx="19">
                  <c:v>65.719360568383607</c:v>
                </c:pt>
                <c:pt idx="20">
                  <c:v>64.590263200387497</c:v>
                </c:pt>
                <c:pt idx="21">
                  <c:v>63.423445825932404</c:v>
                </c:pt>
                <c:pt idx="22">
                  <c:v>61.811722912966204</c:v>
                </c:pt>
                <c:pt idx="23">
                  <c:v>61.419182948490203</c:v>
                </c:pt>
                <c:pt idx="24">
                  <c:v>60.746003552397795</c:v>
                </c:pt>
                <c:pt idx="25">
                  <c:v>59.684724689165101</c:v>
                </c:pt>
                <c:pt idx="26">
                  <c:v>58.436944937833005</c:v>
                </c:pt>
                <c:pt idx="27">
                  <c:v>57.6718965857509</c:v>
                </c:pt>
                <c:pt idx="28">
                  <c:v>56.838365896980406</c:v>
                </c:pt>
                <c:pt idx="29">
                  <c:v>56.706362021637304</c:v>
                </c:pt>
                <c:pt idx="30">
                  <c:v>56.305506216696202</c:v>
                </c:pt>
                <c:pt idx="31">
                  <c:v>55.772646536411997</c:v>
                </c:pt>
                <c:pt idx="32">
                  <c:v>55.772646536411997</c:v>
                </c:pt>
                <c:pt idx="33">
                  <c:v>55.772646536411997</c:v>
                </c:pt>
                <c:pt idx="34">
                  <c:v>55.772646536411997</c:v>
                </c:pt>
                <c:pt idx="35">
                  <c:v>55.772646536411997</c:v>
                </c:pt>
                <c:pt idx="36">
                  <c:v>55.772646536411997</c:v>
                </c:pt>
                <c:pt idx="37">
                  <c:v>55.772646536411997</c:v>
                </c:pt>
              </c:numCache>
            </c:numRef>
          </c:yVal>
          <c:smooth val="0"/>
          <c:extLst>
            <c:ext xmlns:c16="http://schemas.microsoft.com/office/drawing/2014/chart" uri="{C3380CC4-5D6E-409C-BE32-E72D297353CC}">
              <c16:uniqueId val="{00000002-190F-4CC1-81B1-926EE6ACF9AB}"/>
            </c:ext>
          </c:extLst>
        </c:ser>
        <c:ser>
          <c:idx val="13"/>
          <c:order val="13"/>
          <c:tx>
            <c:v>047 NIVO OS</c:v>
          </c:tx>
          <c:spPr>
            <a:ln w="19050" cap="rnd">
              <a:solidFill>
                <a:srgbClr val="FF0000"/>
              </a:solidFill>
              <a:prstDash val="sysDash"/>
              <a:round/>
            </a:ln>
            <a:effectLst/>
          </c:spPr>
          <c:marker>
            <c:symbol val="none"/>
          </c:marker>
          <c:xVal>
            <c:numRef>
              <c:f>Sheet1!$AE$3:$AE$40</c:f>
              <c:numCache>
                <c:formatCode>General</c:formatCode>
                <c:ptCount val="38"/>
                <c:pt idx="0">
                  <c:v>0.81277173913043288</c:v>
                </c:pt>
                <c:pt idx="1">
                  <c:v>1.7119565217391202</c:v>
                </c:pt>
                <c:pt idx="2">
                  <c:v>2.3872010869565159</c:v>
                </c:pt>
                <c:pt idx="3">
                  <c:v>3.0978260869565162</c:v>
                </c:pt>
                <c:pt idx="4">
                  <c:v>3.749999999999988</c:v>
                </c:pt>
                <c:pt idx="5">
                  <c:v>4.5652173913043406</c:v>
                </c:pt>
                <c:pt idx="6">
                  <c:v>5.5434782608695601</c:v>
                </c:pt>
                <c:pt idx="7">
                  <c:v>6.1956521739130324</c:v>
                </c:pt>
                <c:pt idx="8">
                  <c:v>7.6630434782608683</c:v>
                </c:pt>
                <c:pt idx="9">
                  <c:v>9.0387228260869428</c:v>
                </c:pt>
                <c:pt idx="10">
                  <c:v>9.9456521739130324</c:v>
                </c:pt>
                <c:pt idx="11">
                  <c:v>10.807744565217384</c:v>
                </c:pt>
                <c:pt idx="12">
                  <c:v>11.983695652173912</c:v>
                </c:pt>
                <c:pt idx="13">
                  <c:v>12.75366847826076</c:v>
                </c:pt>
                <c:pt idx="14">
                  <c:v>13.61413043478252</c:v>
                </c:pt>
                <c:pt idx="15">
                  <c:v>14.699592391304279</c:v>
                </c:pt>
                <c:pt idx="16">
                  <c:v>15.570652173912961</c:v>
                </c:pt>
                <c:pt idx="17">
                  <c:v>16.645516304347801</c:v>
                </c:pt>
                <c:pt idx="18">
                  <c:v>17.527173913043402</c:v>
                </c:pt>
                <c:pt idx="19">
                  <c:v>18.591440217391199</c:v>
                </c:pt>
                <c:pt idx="20">
                  <c:v>19.402173913043402</c:v>
                </c:pt>
                <c:pt idx="21">
                  <c:v>20.537364130434721</c:v>
                </c:pt>
                <c:pt idx="22">
                  <c:v>22.48328804347824</c:v>
                </c:pt>
                <c:pt idx="23">
                  <c:v>23.721603260869561</c:v>
                </c:pt>
                <c:pt idx="24">
                  <c:v>25.19021739130428</c:v>
                </c:pt>
                <c:pt idx="25">
                  <c:v>26.331521739130316</c:v>
                </c:pt>
                <c:pt idx="26">
                  <c:v>27.790353260869558</c:v>
                </c:pt>
                <c:pt idx="27">
                  <c:v>28.94021739130428</c:v>
                </c:pt>
                <c:pt idx="28">
                  <c:v>30.244565217391198</c:v>
                </c:pt>
                <c:pt idx="29">
                  <c:v>32.38980978260868</c:v>
                </c:pt>
                <c:pt idx="30">
                  <c:v>33.423913043478244</c:v>
                </c:pt>
                <c:pt idx="31">
                  <c:v>34.335733695652081</c:v>
                </c:pt>
                <c:pt idx="32">
                  <c:v>35.461956521739118</c:v>
                </c:pt>
                <c:pt idx="33">
                  <c:v>36.281657608695603</c:v>
                </c:pt>
                <c:pt idx="34">
                  <c:v>37.0923913043478</c:v>
                </c:pt>
                <c:pt idx="35">
                  <c:v>38.227581521739118</c:v>
                </c:pt>
                <c:pt idx="36">
                  <c:v>38.9673913043478</c:v>
                </c:pt>
                <c:pt idx="37">
                  <c:v>39.996603260869563</c:v>
                </c:pt>
              </c:numCache>
            </c:numRef>
          </c:xVal>
          <c:yVal>
            <c:numRef>
              <c:f>Sheet1!$AF$3:$AF$40</c:f>
              <c:numCache>
                <c:formatCode>General</c:formatCode>
                <c:ptCount val="38"/>
                <c:pt idx="0">
                  <c:v>99.023201598579007</c:v>
                </c:pt>
                <c:pt idx="1">
                  <c:v>96.625222024866702</c:v>
                </c:pt>
                <c:pt idx="2">
                  <c:v>94.104085257548803</c:v>
                </c:pt>
                <c:pt idx="3">
                  <c:v>91.296625222024801</c:v>
                </c:pt>
                <c:pt idx="4">
                  <c:v>89.698046181172202</c:v>
                </c:pt>
                <c:pt idx="5">
                  <c:v>87.744227353463501</c:v>
                </c:pt>
                <c:pt idx="6">
                  <c:v>86.145648312611002</c:v>
                </c:pt>
                <c:pt idx="7">
                  <c:v>83.303730017761907</c:v>
                </c:pt>
                <c:pt idx="8">
                  <c:v>80.817051509769001</c:v>
                </c:pt>
                <c:pt idx="9">
                  <c:v>77.414742451154495</c:v>
                </c:pt>
                <c:pt idx="10">
                  <c:v>75.133214920070998</c:v>
                </c:pt>
                <c:pt idx="11">
                  <c:v>73.350153398998799</c:v>
                </c:pt>
                <c:pt idx="12">
                  <c:v>71.936056838365801</c:v>
                </c:pt>
                <c:pt idx="13">
                  <c:v>70.214112707895907</c:v>
                </c:pt>
                <c:pt idx="14">
                  <c:v>69.094138543516806</c:v>
                </c:pt>
                <c:pt idx="15">
                  <c:v>67.148151138381991</c:v>
                </c:pt>
                <c:pt idx="16">
                  <c:v>66.429840142095898</c:v>
                </c:pt>
                <c:pt idx="17">
                  <c:v>64.800500565154195</c:v>
                </c:pt>
                <c:pt idx="18">
                  <c:v>63.410301953818802</c:v>
                </c:pt>
                <c:pt idx="19">
                  <c:v>62.0849346035846</c:v>
                </c:pt>
                <c:pt idx="20">
                  <c:v>61.278863232681999</c:v>
                </c:pt>
                <c:pt idx="21">
                  <c:v>60.070159857904002</c:v>
                </c:pt>
                <c:pt idx="22">
                  <c:v>58.651057645728997</c:v>
                </c:pt>
                <c:pt idx="23">
                  <c:v>58.142984014209496</c:v>
                </c:pt>
                <c:pt idx="24">
                  <c:v>56.127886323268193</c:v>
                </c:pt>
                <c:pt idx="25">
                  <c:v>54.706927175843603</c:v>
                </c:pt>
                <c:pt idx="26">
                  <c:v>53.999555950266398</c:v>
                </c:pt>
                <c:pt idx="27">
                  <c:v>53.108348134991104</c:v>
                </c:pt>
                <c:pt idx="28">
                  <c:v>52.220248667850697</c:v>
                </c:pt>
                <c:pt idx="29">
                  <c:v>51.338301307928205</c:v>
                </c:pt>
                <c:pt idx="30">
                  <c:v>50.088809946713994</c:v>
                </c:pt>
                <c:pt idx="31">
                  <c:v>49.470692717584299</c:v>
                </c:pt>
                <c:pt idx="32">
                  <c:v>49.023090586145599</c:v>
                </c:pt>
                <c:pt idx="33">
                  <c:v>48.366946552559298</c:v>
                </c:pt>
                <c:pt idx="34">
                  <c:v>47.602131438721102</c:v>
                </c:pt>
                <c:pt idx="35">
                  <c:v>47.350799289520403</c:v>
                </c:pt>
                <c:pt idx="36">
                  <c:v>47.350799289520403</c:v>
                </c:pt>
                <c:pt idx="37">
                  <c:v>47.329386224590394</c:v>
                </c:pt>
              </c:numCache>
            </c:numRef>
          </c:yVal>
          <c:smooth val="0"/>
          <c:extLst>
            <c:ext xmlns:c16="http://schemas.microsoft.com/office/drawing/2014/chart" uri="{C3380CC4-5D6E-409C-BE32-E72D297353CC}">
              <c16:uniqueId val="{00000003-190F-4CC1-81B1-926EE6ACF9AB}"/>
            </c:ext>
          </c:extLst>
        </c:ser>
        <c:dLbls>
          <c:showLegendKey val="0"/>
          <c:showVal val="0"/>
          <c:showCatName val="0"/>
          <c:showSerName val="0"/>
          <c:showPercent val="0"/>
          <c:showBubbleSize val="0"/>
        </c:dLbls>
        <c:axId val="1577602464"/>
        <c:axId val="1577608288"/>
        <c:extLst>
          <c:ext xmlns:c15="http://schemas.microsoft.com/office/drawing/2012/chart" uri="{02D57815-91ED-43cb-92C2-25804820EDAC}">
            <c15:filteredScatterSeries>
              <c15:ser>
                <c:idx val="0"/>
                <c:order val="0"/>
                <c:tx>
                  <c:v>047 NIVO+RELA PFS</c:v>
                </c:tx>
                <c:spPr>
                  <a:ln w="19050" cap="rnd">
                    <a:solidFill>
                      <a:srgbClr val="FF0000"/>
                    </a:solidFill>
                    <a:round/>
                  </a:ln>
                  <a:effectLst/>
                </c:spPr>
                <c:marker>
                  <c:symbol val="none"/>
                </c:marker>
                <c:xVal>
                  <c:numRef>
                    <c:extLst>
                      <c:ext uri="{02D57815-91ED-43cb-92C2-25804820EDAC}">
                        <c15:formulaRef>
                          <c15:sqref>Sheet1!$A$3:$A$78</c15:sqref>
                        </c15:formulaRef>
                      </c:ext>
                    </c:extLst>
                    <c:numCache>
                      <c:formatCode>General</c:formatCode>
                      <c:ptCount val="76"/>
                      <c:pt idx="0">
                        <c:v>7.9260237780713005E-2</c:v>
                      </c:pt>
                      <c:pt idx="1">
                        <c:v>0.39630118890356603</c:v>
                      </c:pt>
                      <c:pt idx="2">
                        <c:v>0.71334214002642005</c:v>
                      </c:pt>
                      <c:pt idx="3">
                        <c:v>0.99075297225891601</c:v>
                      </c:pt>
                      <c:pt idx="4">
                        <c:v>1.3077939233817699</c:v>
                      </c:pt>
                      <c:pt idx="5">
                        <c:v>1.7437252311756899</c:v>
                      </c:pt>
                      <c:pt idx="6">
                        <c:v>2.0211360634081901</c:v>
                      </c:pt>
                      <c:pt idx="7">
                        <c:v>2.2192866578599699</c:v>
                      </c:pt>
                      <c:pt idx="8">
                        <c:v>2.3778071334213999</c:v>
                      </c:pt>
                      <c:pt idx="9">
                        <c:v>2.5043370310833799</c:v>
                      </c:pt>
                      <c:pt idx="10">
                        <c:v>2.5759577278731798</c:v>
                      </c:pt>
                      <c:pt idx="11">
                        <c:v>2.7054585581427402</c:v>
                      </c:pt>
                      <c:pt idx="12">
                        <c:v>2.7576862029600302</c:v>
                      </c:pt>
                      <c:pt idx="13">
                        <c:v>2.7640814247743899</c:v>
                      </c:pt>
                      <c:pt idx="14">
                        <c:v>2.79925514475338</c:v>
                      </c:pt>
                      <c:pt idx="15">
                        <c:v>2.8344288647323701</c:v>
                      </c:pt>
                      <c:pt idx="16">
                        <c:v>2.9047763046903601</c:v>
                      </c:pt>
                      <c:pt idx="17">
                        <c:v>3.21003963011889</c:v>
                      </c:pt>
                      <c:pt idx="18">
                        <c:v>3.8192930241441299</c:v>
                      </c:pt>
                      <c:pt idx="19">
                        <c:v>4.5227674237239501</c:v>
                      </c:pt>
                      <c:pt idx="20">
                        <c:v>4.8041571835558798</c:v>
                      </c:pt>
                      <c:pt idx="21">
                        <c:v>5.5779790230936896</c:v>
                      </c:pt>
                      <c:pt idx="22">
                        <c:v>6.2814534226735201</c:v>
                      </c:pt>
                      <c:pt idx="23">
                        <c:v>6.6331906224634301</c:v>
                      </c:pt>
                      <c:pt idx="24">
                        <c:v>7.4070124620012399</c:v>
                      </c:pt>
                      <c:pt idx="25">
                        <c:v>8.1808343015390506</c:v>
                      </c:pt>
                      <c:pt idx="26">
                        <c:v>8.9546561410768497</c:v>
                      </c:pt>
                      <c:pt idx="27">
                        <c:v>9.3130779392338194</c:v>
                      </c:pt>
                      <c:pt idx="28">
                        <c:v>9.7460648406041592</c:v>
                      </c:pt>
                      <c:pt idx="29">
                        <c:v>10.331456037397301</c:v>
                      </c:pt>
                      <c:pt idx="30">
                        <c:v>11.135426779774299</c:v>
                      </c:pt>
                      <c:pt idx="31">
                        <c:v>11.9092486193121</c:v>
                      </c:pt>
                      <c:pt idx="32">
                        <c:v>12.683070458849899</c:v>
                      </c:pt>
                      <c:pt idx="33">
                        <c:v>13.4568922983877</c:v>
                      </c:pt>
                      <c:pt idx="34">
                        <c:v>14.230714137925499</c:v>
                      </c:pt>
                      <c:pt idx="35">
                        <c:v>15.0045359774633</c:v>
                      </c:pt>
                      <c:pt idx="36">
                        <c:v>15.778357817001099</c:v>
                      </c:pt>
                      <c:pt idx="37">
                        <c:v>16.5521796565389</c:v>
                      </c:pt>
                      <c:pt idx="38">
                        <c:v>17.443247229339999</c:v>
                      </c:pt>
                      <c:pt idx="39">
                        <c:v>18.099823335614499</c:v>
                      </c:pt>
                      <c:pt idx="40">
                        <c:v>18.873645175152301</c:v>
                      </c:pt>
                      <c:pt idx="41">
                        <c:v>19.6474670146902</c:v>
                      </c:pt>
                      <c:pt idx="42">
                        <c:v>20.421288854227999</c:v>
                      </c:pt>
                      <c:pt idx="43">
                        <c:v>20.726552179656501</c:v>
                      </c:pt>
                      <c:pt idx="44">
                        <c:v>21.175011425206399</c:v>
                      </c:pt>
                      <c:pt idx="45">
                        <c:v>21.968932533303601</c:v>
                      </c:pt>
                      <c:pt idx="46">
                        <c:v>22.791456446658501</c:v>
                      </c:pt>
                      <c:pt idx="47">
                        <c:v>23.4562784067009</c:v>
                      </c:pt>
                      <c:pt idx="48">
                        <c:v>24.028193957528199</c:v>
                      </c:pt>
                      <c:pt idx="49">
                        <c:v>24.728115456099999</c:v>
                      </c:pt>
                      <c:pt idx="50">
                        <c:v>25.363276089828201</c:v>
                      </c:pt>
                      <c:pt idx="51">
                        <c:v>25.5415775197411</c:v>
                      </c:pt>
                      <c:pt idx="52">
                        <c:v>25.978736610908602</c:v>
                      </c:pt>
                      <c:pt idx="53">
                        <c:v>26.752558450446401</c:v>
                      </c:pt>
                      <c:pt idx="54">
                        <c:v>27.5263802899842</c:v>
                      </c:pt>
                      <c:pt idx="55">
                        <c:v>28.300202129521999</c:v>
                      </c:pt>
                      <c:pt idx="56">
                        <c:v>28.862981649185901</c:v>
                      </c:pt>
                    </c:numCache>
                  </c:numRef>
                </c:xVal>
                <c:yVal>
                  <c:numRef>
                    <c:extLst>
                      <c:ext uri="{02D57815-91ED-43cb-92C2-25804820EDAC}">
                        <c15:formulaRef>
                          <c15:sqref>Sheet1!$B$3:$B$78</c15:sqref>
                        </c15:formulaRef>
                      </c:ext>
                    </c:extLst>
                    <c:numCache>
                      <c:formatCode>General</c:formatCode>
                      <c:ptCount val="76"/>
                      <c:pt idx="0">
                        <c:v>100.25873221216</c:v>
                      </c:pt>
                      <c:pt idx="1">
                        <c:v>99.611901681759306</c:v>
                      </c:pt>
                      <c:pt idx="2">
                        <c:v>98.447606727037495</c:v>
                      </c:pt>
                      <c:pt idx="3">
                        <c:v>97.024579560155203</c:v>
                      </c:pt>
                      <c:pt idx="4">
                        <c:v>95.084087968952105</c:v>
                      </c:pt>
                      <c:pt idx="5">
                        <c:v>92.884864165588596</c:v>
                      </c:pt>
                      <c:pt idx="6">
                        <c:v>90.685640362225101</c:v>
                      </c:pt>
                      <c:pt idx="7">
                        <c:v>88.615782664941705</c:v>
                      </c:pt>
                      <c:pt idx="8">
                        <c:v>87.322121604139696</c:v>
                      </c:pt>
                      <c:pt idx="9">
                        <c:v>84.868971357616701</c:v>
                      </c:pt>
                      <c:pt idx="10">
                        <c:v>84.868971357616701</c:v>
                      </c:pt>
                      <c:pt idx="11">
                        <c:v>81.759807665331394</c:v>
                      </c:pt>
                      <c:pt idx="12">
                        <c:v>78.1667502470507</c:v>
                      </c:pt>
                      <c:pt idx="13">
                        <c:v>75.058620485762404</c:v>
                      </c:pt>
                      <c:pt idx="14">
                        <c:v>71.121862674006493</c:v>
                      </c:pt>
                      <c:pt idx="15">
                        <c:v>71.121862674006493</c:v>
                      </c:pt>
                      <c:pt idx="16">
                        <c:v>67.259217737085194</c:v>
                      </c:pt>
                      <c:pt idx="17">
                        <c:v>64.941785252263898</c:v>
                      </c:pt>
                      <c:pt idx="18">
                        <c:v>64.189991374018504</c:v>
                      </c:pt>
                      <c:pt idx="19">
                        <c:v>62.5607741364256</c:v>
                      </c:pt>
                      <c:pt idx="20">
                        <c:v>59.792079053601199</c:v>
                      </c:pt>
                      <c:pt idx="21">
                        <c:v>57.702374829200302</c:v>
                      </c:pt>
                      <c:pt idx="22">
                        <c:v>55.719753923002401</c:v>
                      </c:pt>
                      <c:pt idx="23">
                        <c:v>53.246357179866102</c:v>
                      </c:pt>
                      <c:pt idx="24">
                        <c:v>52.662868337987902</c:v>
                      </c:pt>
                      <c:pt idx="25">
                        <c:v>52.348566059814601</c:v>
                      </c:pt>
                      <c:pt idx="26">
                        <c:v>51.880012110065501</c:v>
                      </c:pt>
                      <c:pt idx="27">
                        <c:v>51.875808538163</c:v>
                      </c:pt>
                      <c:pt idx="28">
                        <c:v>51.503216642142299</c:v>
                      </c:pt>
                      <c:pt idx="29">
                        <c:v>49.133551274972199</c:v>
                      </c:pt>
                      <c:pt idx="30">
                        <c:v>48.195368797310799</c:v>
                      </c:pt>
                      <c:pt idx="31">
                        <c:v>47.859113407984097</c:v>
                      </c:pt>
                      <c:pt idx="32">
                        <c:v>47.416986033548</c:v>
                      </c:pt>
                      <c:pt idx="33">
                        <c:v>47.029782857959702</c:v>
                      </c:pt>
                      <c:pt idx="34">
                        <c:v>45.679790784920201</c:v>
                      </c:pt>
                      <c:pt idx="35">
                        <c:v>44.479411235439201</c:v>
                      </c:pt>
                      <c:pt idx="36">
                        <c:v>44.114078329075397</c:v>
                      </c:pt>
                      <c:pt idx="37">
                        <c:v>43.832250087023297</c:v>
                      </c:pt>
                      <c:pt idx="38">
                        <c:v>43.054033007118299</c:v>
                      </c:pt>
                      <c:pt idx="39">
                        <c:v>42.4829538861865</c:v>
                      </c:pt>
                      <c:pt idx="40">
                        <c:v>42.224785299022699</c:v>
                      </c:pt>
                      <c:pt idx="41">
                        <c:v>41.890766641775798</c:v>
                      </c:pt>
                      <c:pt idx="42">
                        <c:v>41.318759691240501</c:v>
                      </c:pt>
                      <c:pt idx="43">
                        <c:v>40.362225097024499</c:v>
                      </c:pt>
                      <c:pt idx="44">
                        <c:v>40.362225097024499</c:v>
                      </c:pt>
                      <c:pt idx="45">
                        <c:v>40.362225097024499</c:v>
                      </c:pt>
                      <c:pt idx="46">
                        <c:v>40.075610765615203</c:v>
                      </c:pt>
                      <c:pt idx="47">
                        <c:v>38.763632942002303</c:v>
                      </c:pt>
                      <c:pt idx="48">
                        <c:v>36.821337645851699</c:v>
                      </c:pt>
                      <c:pt idx="49">
                        <c:v>36.701934812358402</c:v>
                      </c:pt>
                      <c:pt idx="50">
                        <c:v>36.701934812358402</c:v>
                      </c:pt>
                      <c:pt idx="51">
                        <c:v>35.816249659514</c:v>
                      </c:pt>
                      <c:pt idx="52">
                        <c:v>33.624985372401902</c:v>
                      </c:pt>
                      <c:pt idx="53">
                        <c:v>33.6238048749154</c:v>
                      </c:pt>
                      <c:pt idx="54">
                        <c:v>33.602928708837403</c:v>
                      </c:pt>
                      <c:pt idx="55">
                        <c:v>33.602928708837403</c:v>
                      </c:pt>
                      <c:pt idx="56">
                        <c:v>33.602928708837403</c:v>
                      </c:pt>
                    </c:numCache>
                  </c:numRef>
                </c:yVal>
                <c:smooth val="0"/>
                <c:extLst>
                  <c:ext xmlns:c16="http://schemas.microsoft.com/office/drawing/2014/chart" uri="{C3380CC4-5D6E-409C-BE32-E72D297353CC}">
                    <c16:uniqueId val="{00000004-190F-4CC1-81B1-926EE6ACF9AB}"/>
                  </c:ext>
                </c:extLst>
              </c15:ser>
            </c15:filteredScatterSeries>
            <c15:filteredScatterSeries>
              <c15:ser>
                <c:idx val="1"/>
                <c:order val="1"/>
                <c:tx>
                  <c:v>047 NIVO PFS</c:v>
                </c:tx>
                <c:spPr>
                  <a:ln w="19050" cap="rnd">
                    <a:solidFill>
                      <a:srgbClr val="FF0000"/>
                    </a:solidFill>
                    <a:prstDash val="sysDot"/>
                    <a:round/>
                  </a:ln>
                  <a:effectLst/>
                </c:spPr>
                <c:marker>
                  <c:symbol val="none"/>
                </c:marker>
                <c:xVal>
                  <c:numRef>
                    <c:extLst xmlns:c15="http://schemas.microsoft.com/office/drawing/2012/chart">
                      <c:ext xmlns:c15="http://schemas.microsoft.com/office/drawing/2012/chart" uri="{02D57815-91ED-43cb-92C2-25804820EDAC}">
                        <c15:formulaRef>
                          <c15:sqref>Sheet1!$C$3:$C$78</c15:sqref>
                        </c15:formulaRef>
                      </c:ext>
                    </c:extLst>
                    <c:numCache>
                      <c:formatCode>General</c:formatCode>
                      <c:ptCount val="76"/>
                      <c:pt idx="0">
                        <c:v>0.11889035667106899</c:v>
                      </c:pt>
                      <c:pt idx="1">
                        <c:v>0.75297225891677599</c:v>
                      </c:pt>
                      <c:pt idx="2">
                        <c:v>0.99075297225891601</c:v>
                      </c:pt>
                      <c:pt idx="3">
                        <c:v>1.5852047556142601</c:v>
                      </c:pt>
                      <c:pt idx="4">
                        <c:v>1.9022457067371199</c:v>
                      </c:pt>
                      <c:pt idx="5">
                        <c:v>2.1003963011889</c:v>
                      </c:pt>
                      <c:pt idx="6">
                        <c:v>2.3778071334213999</c:v>
                      </c:pt>
                      <c:pt idx="7">
                        <c:v>2.7054585581427402</c:v>
                      </c:pt>
                      <c:pt idx="8">
                        <c:v>2.7576862029600302</c:v>
                      </c:pt>
                      <c:pt idx="9">
                        <c:v>2.7640814247743899</c:v>
                      </c:pt>
                      <c:pt idx="10">
                        <c:v>2.79925514475338</c:v>
                      </c:pt>
                      <c:pt idx="11">
                        <c:v>2.8137384412153201</c:v>
                      </c:pt>
                      <c:pt idx="12">
                        <c:v>2.8137384412153201</c:v>
                      </c:pt>
                      <c:pt idx="13">
                        <c:v>2.8344288647323701</c:v>
                      </c:pt>
                      <c:pt idx="14">
                        <c:v>2.9722589167767501</c:v>
                      </c:pt>
                      <c:pt idx="15">
                        <c:v>3.0982317645748099</c:v>
                      </c:pt>
                      <c:pt idx="16">
                        <c:v>3.4874504623513798</c:v>
                      </c:pt>
                      <c:pt idx="17">
                        <c:v>3.8966752080979101</c:v>
                      </c:pt>
                      <c:pt idx="18">
                        <c:v>4.5227674237239501</c:v>
                      </c:pt>
                      <c:pt idx="19">
                        <c:v>4.6212538396651297</c:v>
                      </c:pt>
                      <c:pt idx="20">
                        <c:v>4.6763540290620798</c:v>
                      </c:pt>
                      <c:pt idx="21">
                        <c:v>4.8686423368506997</c:v>
                      </c:pt>
                      <c:pt idx="22">
                        <c:v>5.5779790230936896</c:v>
                      </c:pt>
                      <c:pt idx="23">
                        <c:v>6.3518008626315003</c:v>
                      </c:pt>
                      <c:pt idx="24">
                        <c:v>6.6974900924702698</c:v>
                      </c:pt>
                      <c:pt idx="25">
                        <c:v>7.1432095621588001</c:v>
                      </c:pt>
                      <c:pt idx="26">
                        <c:v>7.9697919816651002</c:v>
                      </c:pt>
                      <c:pt idx="27">
                        <c:v>8.3619550858652492</c:v>
                      </c:pt>
                      <c:pt idx="28">
                        <c:v>8.7084401012239194</c:v>
                      </c:pt>
                      <c:pt idx="29">
                        <c:v>9.5799667184811401</c:v>
                      </c:pt>
                      <c:pt idx="30">
                        <c:v>10.224570673712</c:v>
                      </c:pt>
                      <c:pt idx="31">
                        <c:v>10.3616049402365</c:v>
                      </c:pt>
                      <c:pt idx="32">
                        <c:v>11.0650793398163</c:v>
                      </c:pt>
                      <c:pt idx="33">
                        <c:v>11.9092486193121</c:v>
                      </c:pt>
                      <c:pt idx="34">
                        <c:v>12.6127230188919</c:v>
                      </c:pt>
                      <c:pt idx="35">
                        <c:v>13.4178103872999</c:v>
                      </c:pt>
                      <c:pt idx="36">
                        <c:v>14.230714137925499</c:v>
                      </c:pt>
                      <c:pt idx="37">
                        <c:v>14.969362257484301</c:v>
                      </c:pt>
                      <c:pt idx="38">
                        <c:v>15.8487052569591</c:v>
                      </c:pt>
                      <c:pt idx="39">
                        <c:v>16.614710714279401</c:v>
                      </c:pt>
                      <c:pt idx="40">
                        <c:v>17.4354308471225</c:v>
                      </c:pt>
                      <c:pt idx="41">
                        <c:v>17.6354029062087</c:v>
                      </c:pt>
                      <c:pt idx="42">
                        <c:v>18.1490665435851</c:v>
                      </c:pt>
                      <c:pt idx="43">
                        <c:v>18.9439926151103</c:v>
                      </c:pt>
                      <c:pt idx="44">
                        <c:v>19.772529130171002</c:v>
                      </c:pt>
                      <c:pt idx="45">
                        <c:v>20.491636294185898</c:v>
                      </c:pt>
                      <c:pt idx="46">
                        <c:v>21.195110693765798</c:v>
                      </c:pt>
                      <c:pt idx="47">
                        <c:v>22.109627413219499</c:v>
                      </c:pt>
                      <c:pt idx="48">
                        <c:v>22.883449252757401</c:v>
                      </c:pt>
                      <c:pt idx="49">
                        <c:v>23.602556416772298</c:v>
                      </c:pt>
                      <c:pt idx="50">
                        <c:v>24.431092931833</c:v>
                      </c:pt>
                      <c:pt idx="51">
                        <c:v>25.204914771370799</c:v>
                      </c:pt>
                      <c:pt idx="52">
                        <c:v>25.978736610908602</c:v>
                      </c:pt>
                      <c:pt idx="53">
                        <c:v>26.752558450446401</c:v>
                      </c:pt>
                      <c:pt idx="54">
                        <c:v>27.502931143331502</c:v>
                      </c:pt>
                      <c:pt idx="55">
                        <c:v>28.300202129521999</c:v>
                      </c:pt>
                      <c:pt idx="56">
                        <c:v>28.792634209227899</c:v>
                      </c:pt>
                    </c:numCache>
                  </c:numRef>
                </c:xVal>
                <c:yVal>
                  <c:numRef>
                    <c:extLst xmlns:c15="http://schemas.microsoft.com/office/drawing/2012/chart">
                      <c:ext xmlns:c15="http://schemas.microsoft.com/office/drawing/2012/chart" uri="{02D57815-91ED-43cb-92C2-25804820EDAC}">
                        <c15:formulaRef>
                          <c15:sqref>Sheet1!$D$3:$D$78</c15:sqref>
                        </c15:formulaRef>
                      </c:ext>
                    </c:extLst>
                    <c:numCache>
                      <c:formatCode>General</c:formatCode>
                      <c:ptCount val="76"/>
                      <c:pt idx="0">
                        <c:v>100</c:v>
                      </c:pt>
                      <c:pt idx="1">
                        <c:v>97.542043984475995</c:v>
                      </c:pt>
                      <c:pt idx="2">
                        <c:v>95.860284605433307</c:v>
                      </c:pt>
                      <c:pt idx="3">
                        <c:v>92.367399741267704</c:v>
                      </c:pt>
                      <c:pt idx="4">
                        <c:v>89.262613195342794</c:v>
                      </c:pt>
                      <c:pt idx="5">
                        <c:v>86.934023285899102</c:v>
                      </c:pt>
                      <c:pt idx="6">
                        <c:v>84.734799482535493</c:v>
                      </c:pt>
                      <c:pt idx="7">
                        <c:v>81.759807665331394</c:v>
                      </c:pt>
                      <c:pt idx="8">
                        <c:v>78.1667502470507</c:v>
                      </c:pt>
                      <c:pt idx="9">
                        <c:v>75.058620485762404</c:v>
                      </c:pt>
                      <c:pt idx="10">
                        <c:v>71.121862674006493</c:v>
                      </c:pt>
                      <c:pt idx="11">
                        <c:v>65.847347994825299</c:v>
                      </c:pt>
                      <c:pt idx="12">
                        <c:v>63.001293661060799</c:v>
                      </c:pt>
                      <c:pt idx="13">
                        <c:v>60.414288213038198</c:v>
                      </c:pt>
                      <c:pt idx="14">
                        <c:v>57.826649417852501</c:v>
                      </c:pt>
                      <c:pt idx="15">
                        <c:v>56.375532933186498</c:v>
                      </c:pt>
                      <c:pt idx="16">
                        <c:v>55.239327296248298</c:v>
                      </c:pt>
                      <c:pt idx="17">
                        <c:v>53.921005280284497</c:v>
                      </c:pt>
                      <c:pt idx="18">
                        <c:v>52.578990884996202</c:v>
                      </c:pt>
                      <c:pt idx="19">
                        <c:v>48.981304259729697</c:v>
                      </c:pt>
                      <c:pt idx="20">
                        <c:v>48.981304259729697</c:v>
                      </c:pt>
                      <c:pt idx="21">
                        <c:v>46.1366018912505</c:v>
                      </c:pt>
                      <c:pt idx="22">
                        <c:v>44.681214174192498</c:v>
                      </c:pt>
                      <c:pt idx="23">
                        <c:v>43.389708502942803</c:v>
                      </c:pt>
                      <c:pt idx="24">
                        <c:v>42.302716688227598</c:v>
                      </c:pt>
                      <c:pt idx="25">
                        <c:v>41.894680922915398</c:v>
                      </c:pt>
                      <c:pt idx="26">
                        <c:v>41.074566537478901</c:v>
                      </c:pt>
                      <c:pt idx="27">
                        <c:v>40.362225097024499</c:v>
                      </c:pt>
                      <c:pt idx="28">
                        <c:v>39.518886239221601</c:v>
                      </c:pt>
                      <c:pt idx="29">
                        <c:v>38.661146430386403</c:v>
                      </c:pt>
                      <c:pt idx="30">
                        <c:v>38.4217335058214</c:v>
                      </c:pt>
                      <c:pt idx="31">
                        <c:v>37.474711938933602</c:v>
                      </c:pt>
                      <c:pt idx="32">
                        <c:v>36.7389927685443</c:v>
                      </c:pt>
                      <c:pt idx="33">
                        <c:v>36.264639883773597</c:v>
                      </c:pt>
                      <c:pt idx="34">
                        <c:v>35.705622547686701</c:v>
                      </c:pt>
                      <c:pt idx="35">
                        <c:v>35.641834262448597</c:v>
                      </c:pt>
                      <c:pt idx="36">
                        <c:v>35.001631836058799</c:v>
                      </c:pt>
                      <c:pt idx="37">
                        <c:v>33.857356982912201</c:v>
                      </c:pt>
                      <c:pt idx="38">
                        <c:v>33.383728965019202</c:v>
                      </c:pt>
                      <c:pt idx="39">
                        <c:v>33.383728965019202</c:v>
                      </c:pt>
                      <c:pt idx="40">
                        <c:v>32.554481256923602</c:v>
                      </c:pt>
                      <c:pt idx="41">
                        <c:v>31.824062095730898</c:v>
                      </c:pt>
                      <c:pt idx="42">
                        <c:v>31.558108241504101</c:v>
                      </c:pt>
                      <c:pt idx="43">
                        <c:v>30.915122326303901</c:v>
                      </c:pt>
                      <c:pt idx="44">
                        <c:v>30.194314703113101</c:v>
                      </c:pt>
                      <c:pt idx="45">
                        <c:v>29.500762074524101</c:v>
                      </c:pt>
                      <c:pt idx="46">
                        <c:v>29.4288552802557</c:v>
                      </c:pt>
                      <c:pt idx="47">
                        <c:v>29.4288552802557</c:v>
                      </c:pt>
                      <c:pt idx="48">
                        <c:v>29.198057666394099</c:v>
                      </c:pt>
                      <c:pt idx="49">
                        <c:v>28.7909724278745</c:v>
                      </c:pt>
                      <c:pt idx="50">
                        <c:v>28.7909724278745</c:v>
                      </c:pt>
                      <c:pt idx="51">
                        <c:v>28.7909724278745</c:v>
                      </c:pt>
                      <c:pt idx="52">
                        <c:v>28.7909724278745</c:v>
                      </c:pt>
                      <c:pt idx="53">
                        <c:v>28.7909724278745</c:v>
                      </c:pt>
                      <c:pt idx="54">
                        <c:v>28.7909724278745</c:v>
                      </c:pt>
                      <c:pt idx="55">
                        <c:v>28.7909724278745</c:v>
                      </c:pt>
                      <c:pt idx="56">
                        <c:v>28.7909724278745</c:v>
                      </c:pt>
                    </c:numCache>
                  </c:numRef>
                </c:yVal>
                <c:smooth val="0"/>
                <c:extLst xmlns:c15="http://schemas.microsoft.com/office/drawing/2012/chart">
                  <c:ext xmlns:c16="http://schemas.microsoft.com/office/drawing/2014/chart" uri="{C3380CC4-5D6E-409C-BE32-E72D297353CC}">
                    <c16:uniqueId val="{00000005-190F-4CC1-81B1-926EE6ACF9AB}"/>
                  </c:ext>
                </c:extLst>
              </c15:ser>
            </c15:filteredScatterSeries>
            <c15:filteredScatterSeries>
              <c15:ser>
                <c:idx val="2"/>
                <c:order val="2"/>
                <c:tx>
                  <c:v>067 NIVO+IPI PFS</c:v>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Sheet1!$E$3:$E$78</c15:sqref>
                        </c15:formulaRef>
                      </c:ext>
                    </c:extLst>
                    <c:numCache>
                      <c:formatCode>General</c:formatCode>
                      <c:ptCount val="76"/>
                      <c:pt idx="0">
                        <c:v>0</c:v>
                      </c:pt>
                      <c:pt idx="1">
                        <c:v>0.170984455958549</c:v>
                      </c:pt>
                      <c:pt idx="2">
                        <c:v>0.31198585565896397</c:v>
                      </c:pt>
                      <c:pt idx="3">
                        <c:v>0.59457150244622503</c:v>
                      </c:pt>
                      <c:pt idx="4">
                        <c:v>1.0806792230434801</c:v>
                      </c:pt>
                      <c:pt idx="5">
                        <c:v>1.30494438032561</c:v>
                      </c:pt>
                      <c:pt idx="6">
                        <c:v>1.6165803108808201</c:v>
                      </c:pt>
                      <c:pt idx="7">
                        <c:v>1.87444196154507</c:v>
                      </c:pt>
                      <c:pt idx="8">
                        <c:v>2.3316062176165802</c:v>
                      </c:pt>
                      <c:pt idx="9">
                        <c:v>2.4199273138030102</c:v>
                      </c:pt>
                      <c:pt idx="10">
                        <c:v>2.6369434963042999</c:v>
                      </c:pt>
                      <c:pt idx="11">
                        <c:v>2.8445595854922199</c:v>
                      </c:pt>
                      <c:pt idx="12">
                        <c:v>2.9563514475849</c:v>
                      </c:pt>
                      <c:pt idx="13">
                        <c:v>3.3206124303219302</c:v>
                      </c:pt>
                      <c:pt idx="14">
                        <c:v>3.6359428332883099</c:v>
                      </c:pt>
                      <c:pt idx="15">
                        <c:v>3.93496304299781</c:v>
                      </c:pt>
                      <c:pt idx="16">
                        <c:v>4.2339832527073096</c:v>
                      </c:pt>
                      <c:pt idx="17">
                        <c:v>4.5330034624168096</c:v>
                      </c:pt>
                      <c:pt idx="18">
                        <c:v>4.7096972226996998</c:v>
                      </c:pt>
                      <c:pt idx="19">
                        <c:v>5.1908479237777101</c:v>
                      </c:pt>
                      <c:pt idx="20">
                        <c:v>5.4844314024015901</c:v>
                      </c:pt>
                      <c:pt idx="21">
                        <c:v>5.7698597843970196</c:v>
                      </c:pt>
                      <c:pt idx="22">
                        <c:v>6.1300432188198304</c:v>
                      </c:pt>
                      <c:pt idx="23">
                        <c:v>6.3814920315300903</c:v>
                      </c:pt>
                      <c:pt idx="24">
                        <c:v>6.6805122412395903</c:v>
                      </c:pt>
                      <c:pt idx="25">
                        <c:v>6.9562321748678304</c:v>
                      </c:pt>
                      <c:pt idx="26">
                        <c:v>7.2785526606585904</c:v>
                      </c:pt>
                      <c:pt idx="27">
                        <c:v>7.5503892149399601</c:v>
                      </c:pt>
                      <c:pt idx="28">
                        <c:v>8.0940623235026905</c:v>
                      </c:pt>
                      <c:pt idx="29">
                        <c:v>8.3930825332121906</c:v>
                      </c:pt>
                      <c:pt idx="30">
                        <c:v>8.5697762934950692</c:v>
                      </c:pt>
                      <c:pt idx="31">
                        <c:v>8.9911229526311907</c:v>
                      </c:pt>
                      <c:pt idx="32">
                        <c:v>9.2901431623406907</c:v>
                      </c:pt>
                      <c:pt idx="33">
                        <c:v>9.5891633720501908</c:v>
                      </c:pt>
                      <c:pt idx="34">
                        <c:v>9.8881835817596908</c:v>
                      </c:pt>
                      <c:pt idx="35">
                        <c:v>10.1872037914691</c:v>
                      </c:pt>
                      <c:pt idx="36">
                        <c:v>10.4862240011786</c:v>
                      </c:pt>
                      <c:pt idx="37">
                        <c:v>10.7852442108881</c:v>
                      </c:pt>
                      <c:pt idx="38">
                        <c:v>11.058779743633799</c:v>
                      </c:pt>
                      <c:pt idx="39">
                        <c:v>11.2473663531665</c:v>
                      </c:pt>
                      <c:pt idx="40">
                        <c:v>11.546386562876</c:v>
                      </c:pt>
                      <c:pt idx="41">
                        <c:v>11.8454067725855</c:v>
                      </c:pt>
                      <c:pt idx="42">
                        <c:v>12.144426982295</c:v>
                      </c:pt>
                      <c:pt idx="43">
                        <c:v>12.4434471920045</c:v>
                      </c:pt>
                      <c:pt idx="44">
                        <c:v>12.742467401714</c:v>
                      </c:pt>
                      <c:pt idx="45">
                        <c:v>13.0414876114235</c:v>
                      </c:pt>
                      <c:pt idx="46">
                        <c:v>13.340507821133</c:v>
                      </c:pt>
                      <c:pt idx="47">
                        <c:v>13.6395280308425</c:v>
                      </c:pt>
                      <c:pt idx="48">
                        <c:v>13.9241568935606</c:v>
                      </c:pt>
                      <c:pt idx="49">
                        <c:v>14.159415440905599</c:v>
                      </c:pt>
                      <c:pt idx="50">
                        <c:v>14.427854038258401</c:v>
                      </c:pt>
                      <c:pt idx="51">
                        <c:v>14.672506937111701</c:v>
                      </c:pt>
                      <c:pt idx="52">
                        <c:v>15.216180045674401</c:v>
                      </c:pt>
                      <c:pt idx="53">
                        <c:v>15.474424772241701</c:v>
                      </c:pt>
                      <c:pt idx="54">
                        <c:v>15.651118532524601</c:v>
                      </c:pt>
                      <c:pt idx="55">
                        <c:v>16.221975296515399</c:v>
                      </c:pt>
                      <c:pt idx="56">
                        <c:v>16.520995506224899</c:v>
                      </c:pt>
                      <c:pt idx="57">
                        <c:v>16.724872921936001</c:v>
                      </c:pt>
                      <c:pt idx="58">
                        <c:v>16.725388601036201</c:v>
                      </c:pt>
                      <c:pt idx="59">
                        <c:v>16.725388601036201</c:v>
                      </c:pt>
                      <c:pt idx="60">
                        <c:v>16.725388601036201</c:v>
                      </c:pt>
                      <c:pt idx="61">
                        <c:v>16.752056577364101</c:v>
                      </c:pt>
                      <c:pt idx="62">
                        <c:v>16.806423888220401</c:v>
                      </c:pt>
                      <c:pt idx="63">
                        <c:v>17.282137858212799</c:v>
                      </c:pt>
                      <c:pt idx="64">
                        <c:v>17.581158067922299</c:v>
                      </c:pt>
                      <c:pt idx="65">
                        <c:v>17.871117059155701</c:v>
                      </c:pt>
                      <c:pt idx="66">
                        <c:v>18.138423004199101</c:v>
                      </c:pt>
                    </c:numCache>
                  </c:numRef>
                </c:xVal>
                <c:yVal>
                  <c:numRef>
                    <c:extLst xmlns:c15="http://schemas.microsoft.com/office/drawing/2012/chart">
                      <c:ext xmlns:c15="http://schemas.microsoft.com/office/drawing/2012/chart" uri="{02D57815-91ED-43cb-92C2-25804820EDAC}">
                        <c15:formulaRef>
                          <c15:sqref>Sheet1!$F$3:$F$78</c15:sqref>
                        </c15:formulaRef>
                      </c:ext>
                    </c:extLst>
                    <c:numCache>
                      <c:formatCode>General</c:formatCode>
                      <c:ptCount val="76"/>
                      <c:pt idx="0">
                        <c:v>100</c:v>
                      </c:pt>
                      <c:pt idx="1">
                        <c:v>100</c:v>
                      </c:pt>
                      <c:pt idx="2">
                        <c:v>99.384889569967001</c:v>
                      </c:pt>
                      <c:pt idx="3">
                        <c:v>98.440483569020003</c:v>
                      </c:pt>
                      <c:pt idx="4">
                        <c:v>96.352654482732305</c:v>
                      </c:pt>
                      <c:pt idx="5">
                        <c:v>94.279572398049794</c:v>
                      </c:pt>
                      <c:pt idx="6">
                        <c:v>92.113095238095198</c:v>
                      </c:pt>
                      <c:pt idx="7">
                        <c:v>91.057370420522005</c:v>
                      </c:pt>
                      <c:pt idx="8">
                        <c:v>88.690476190476105</c:v>
                      </c:pt>
                      <c:pt idx="9">
                        <c:v>86.6294290227939</c:v>
                      </c:pt>
                      <c:pt idx="10">
                        <c:v>83.156123935059796</c:v>
                      </c:pt>
                      <c:pt idx="11">
                        <c:v>76.190476190476105</c:v>
                      </c:pt>
                      <c:pt idx="12">
                        <c:v>74.357444103233703</c:v>
                      </c:pt>
                      <c:pt idx="13">
                        <c:v>71.879584179643402</c:v>
                      </c:pt>
                      <c:pt idx="14">
                        <c:v>70.903682859399595</c:v>
                      </c:pt>
                      <c:pt idx="15">
                        <c:v>70.320113585072093</c:v>
                      </c:pt>
                      <c:pt idx="16">
                        <c:v>68.673051270271102</c:v>
                      </c:pt>
                      <c:pt idx="17">
                        <c:v>67.531204478775507</c:v>
                      </c:pt>
                      <c:pt idx="18">
                        <c:v>66.544656962310995</c:v>
                      </c:pt>
                      <c:pt idx="19">
                        <c:v>65.802971958925696</c:v>
                      </c:pt>
                      <c:pt idx="20">
                        <c:v>64.934377537098399</c:v>
                      </c:pt>
                      <c:pt idx="21">
                        <c:v>63.250014105168098</c:v>
                      </c:pt>
                      <c:pt idx="22">
                        <c:v>62.250691153238499</c:v>
                      </c:pt>
                      <c:pt idx="23">
                        <c:v>61.860330625141003</c:v>
                      </c:pt>
                      <c:pt idx="24">
                        <c:v>61.2049981022137</c:v>
                      </c:pt>
                      <c:pt idx="25">
                        <c:v>60.150179740142498</c:v>
                      </c:pt>
                      <c:pt idx="26">
                        <c:v>58.997686752425999</c:v>
                      </c:pt>
                      <c:pt idx="27">
                        <c:v>58.997686752425999</c:v>
                      </c:pt>
                      <c:pt idx="28">
                        <c:v>57.924195300157898</c:v>
                      </c:pt>
                      <c:pt idx="29">
                        <c:v>56.909257927104498</c:v>
                      </c:pt>
                      <c:pt idx="30">
                        <c:v>56.135042879711101</c:v>
                      </c:pt>
                      <c:pt idx="31">
                        <c:v>55.480498963911202</c:v>
                      </c:pt>
                      <c:pt idx="32">
                        <c:v>55.257717450401103</c:v>
                      </c:pt>
                      <c:pt idx="33">
                        <c:v>55.0538625079501</c:v>
                      </c:pt>
                      <c:pt idx="34">
                        <c:v>54.4691103229314</c:v>
                      </c:pt>
                      <c:pt idx="35">
                        <c:v>53.5562975728852</c:v>
                      </c:pt>
                      <c:pt idx="36">
                        <c:v>53.058292171888098</c:v>
                      </c:pt>
                      <c:pt idx="37">
                        <c:v>53.058292171888098</c:v>
                      </c:pt>
                      <c:pt idx="38">
                        <c:v>51.818886933475902</c:v>
                      </c:pt>
                      <c:pt idx="39">
                        <c:v>49.815905802756198</c:v>
                      </c:pt>
                      <c:pt idx="40">
                        <c:v>49.352796267149699</c:v>
                      </c:pt>
                      <c:pt idx="41">
                        <c:v>48.630657454709599</c:v>
                      </c:pt>
                      <c:pt idx="42">
                        <c:v>48.485553743255103</c:v>
                      </c:pt>
                      <c:pt idx="43">
                        <c:v>47.914376866644901</c:v>
                      </c:pt>
                      <c:pt idx="44">
                        <c:v>47.687089026692099</c:v>
                      </c:pt>
                      <c:pt idx="45">
                        <c:v>47.0463457356229</c:v>
                      </c:pt>
                      <c:pt idx="46">
                        <c:v>46.067289986869298</c:v>
                      </c:pt>
                      <c:pt idx="47">
                        <c:v>45.985669149176204</c:v>
                      </c:pt>
                      <c:pt idx="48">
                        <c:v>44.459824806699899</c:v>
                      </c:pt>
                      <c:pt idx="49">
                        <c:v>43.786638174227001</c:v>
                      </c:pt>
                      <c:pt idx="50">
                        <c:v>43.786638174227001</c:v>
                      </c:pt>
                      <c:pt idx="51">
                        <c:v>43.786638174227001</c:v>
                      </c:pt>
                      <c:pt idx="52">
                        <c:v>43.786638174227001</c:v>
                      </c:pt>
                      <c:pt idx="53">
                        <c:v>43.6435059805912</c:v>
                      </c:pt>
                      <c:pt idx="54">
                        <c:v>39.3235161363123</c:v>
                      </c:pt>
                      <c:pt idx="55">
                        <c:v>38.438698939291299</c:v>
                      </c:pt>
                      <c:pt idx="56">
                        <c:v>38.3629926550542</c:v>
                      </c:pt>
                      <c:pt idx="57">
                        <c:v>29.004986176935201</c:v>
                      </c:pt>
                      <c:pt idx="58">
                        <c:v>29.004986176935201</c:v>
                      </c:pt>
                      <c:pt idx="59">
                        <c:v>29.004986176935201</c:v>
                      </c:pt>
                      <c:pt idx="60">
                        <c:v>29.004986176935201</c:v>
                      </c:pt>
                      <c:pt idx="61">
                        <c:v>29.004986176935201</c:v>
                      </c:pt>
                      <c:pt idx="62">
                        <c:v>25.4917414240577</c:v>
                      </c:pt>
                      <c:pt idx="63">
                        <c:v>25.438510442953501</c:v>
                      </c:pt>
                      <c:pt idx="64">
                        <c:v>25.424709818222802</c:v>
                      </c:pt>
                      <c:pt idx="65">
                        <c:v>25.424709818222802</c:v>
                      </c:pt>
                      <c:pt idx="66">
                        <c:v>25.424709818222802</c:v>
                      </c:pt>
                    </c:numCache>
                  </c:numRef>
                </c:yVal>
                <c:smooth val="0"/>
                <c:extLst xmlns:c15="http://schemas.microsoft.com/office/drawing/2012/chart">
                  <c:ext xmlns:c16="http://schemas.microsoft.com/office/drawing/2014/chart" uri="{C3380CC4-5D6E-409C-BE32-E72D297353CC}">
                    <c16:uniqueId val="{00000006-190F-4CC1-81B1-926EE6ACF9AB}"/>
                  </c:ext>
                </c:extLst>
              </c15:ser>
            </c15:filteredScatterSeries>
            <c15:filteredScatterSeries>
              <c15:ser>
                <c:idx val="3"/>
                <c:order val="3"/>
                <c:tx>
                  <c:v>067 NIVO PFS</c:v>
                </c:tx>
                <c:spPr>
                  <a:ln w="19050" cap="rnd">
                    <a:solidFill>
                      <a:schemeClr val="accent6"/>
                    </a:solidFill>
                    <a:prstDash val="sysDot"/>
                    <a:round/>
                  </a:ln>
                  <a:effectLst/>
                </c:spPr>
                <c:marker>
                  <c:symbol val="none"/>
                </c:marker>
                <c:xVal>
                  <c:numRef>
                    <c:extLst xmlns:c15="http://schemas.microsoft.com/office/drawing/2012/chart">
                      <c:ext xmlns:c15="http://schemas.microsoft.com/office/drawing/2012/chart" uri="{02D57815-91ED-43cb-92C2-25804820EDAC}">
                        <c15:formulaRef>
                          <c15:sqref>Sheet1!$G$3:$G$78</c15:sqref>
                        </c15:formulaRef>
                      </c:ext>
                    </c:extLst>
                    <c:numCache>
                      <c:formatCode>General</c:formatCode>
                      <c:ptCount val="76"/>
                      <c:pt idx="0">
                        <c:v>7.4883972202440793E-2</c:v>
                      </c:pt>
                      <c:pt idx="1">
                        <c:v>0.37390418191194102</c:v>
                      </c:pt>
                      <c:pt idx="2">
                        <c:v>0.64800604081231705</c:v>
                      </c:pt>
                      <c:pt idx="3">
                        <c:v>0.92146066982154595</c:v>
                      </c:pt>
                      <c:pt idx="4">
                        <c:v>1.2329076934410499</c:v>
                      </c:pt>
                      <c:pt idx="5">
                        <c:v>1.46113989637305</c:v>
                      </c:pt>
                      <c:pt idx="6">
                        <c:v>1.7506763774193199</c:v>
                      </c:pt>
                      <c:pt idx="7">
                        <c:v>2.0003928983621</c:v>
                      </c:pt>
                      <c:pt idx="8">
                        <c:v>2.30167841269061</c:v>
                      </c:pt>
                      <c:pt idx="9">
                        <c:v>2.4806374775925102</c:v>
                      </c:pt>
                      <c:pt idx="10">
                        <c:v>2.5485966161628499</c:v>
                      </c:pt>
                      <c:pt idx="11">
                        <c:v>2.5647668393782301</c:v>
                      </c:pt>
                      <c:pt idx="12">
                        <c:v>2.59585492227979</c:v>
                      </c:pt>
                      <c:pt idx="13">
                        <c:v>2.64248704663212</c:v>
                      </c:pt>
                      <c:pt idx="14">
                        <c:v>2.68911917098445</c:v>
                      </c:pt>
                      <c:pt idx="15">
                        <c:v>2.7046632124352299</c:v>
                      </c:pt>
                      <c:pt idx="16">
                        <c:v>2.7660658595879402</c:v>
                      </c:pt>
                      <c:pt idx="17">
                        <c:v>2.78238341968911</c:v>
                      </c:pt>
                      <c:pt idx="18">
                        <c:v>2.8290155440414502</c:v>
                      </c:pt>
                      <c:pt idx="19">
                        <c:v>3</c:v>
                      </c:pt>
                      <c:pt idx="20">
                        <c:v>3.2010043464381299</c:v>
                      </c:pt>
                      <c:pt idx="21">
                        <c:v>3.50002455614763</c:v>
                      </c:pt>
                      <c:pt idx="22">
                        <c:v>3.79904476585713</c:v>
                      </c:pt>
                      <c:pt idx="23">
                        <c:v>4.0980649755666301</c:v>
                      </c:pt>
                      <c:pt idx="24">
                        <c:v>4.3970851852761301</c:v>
                      </c:pt>
                      <c:pt idx="25">
                        <c:v>4.6961053949856302</c:v>
                      </c:pt>
                      <c:pt idx="26">
                        <c:v>4.9951256046951302</c:v>
                      </c:pt>
                      <c:pt idx="27">
                        <c:v>5.2941458144046303</c:v>
                      </c:pt>
                      <c:pt idx="28">
                        <c:v>5.4870466321243496</c:v>
                      </c:pt>
                      <c:pt idx="29">
                        <c:v>5.5931660241141303</c:v>
                      </c:pt>
                      <c:pt idx="30">
                        <c:v>5.8921862338236304</c:v>
                      </c:pt>
                      <c:pt idx="31">
                        <c:v>6.1912064435331304</c:v>
                      </c:pt>
                      <c:pt idx="32">
                        <c:v>6.4902266532426296</c:v>
                      </c:pt>
                      <c:pt idx="33">
                        <c:v>6.7892468629521296</c:v>
                      </c:pt>
                      <c:pt idx="34">
                        <c:v>6.99481865284974</c:v>
                      </c:pt>
                      <c:pt idx="35">
                        <c:v>7.2513690052304502</c:v>
                      </c:pt>
                      <c:pt idx="36">
                        <c:v>7.5503892149399601</c:v>
                      </c:pt>
                      <c:pt idx="37">
                        <c:v>7.8494094246494601</c:v>
                      </c:pt>
                      <c:pt idx="38">
                        <c:v>8.1139896373056999</c:v>
                      </c:pt>
                      <c:pt idx="39">
                        <c:v>8.2072538860103599</c:v>
                      </c:pt>
                      <c:pt idx="40">
                        <c:v>8.4248704663212397</c:v>
                      </c:pt>
                      <c:pt idx="41">
                        <c:v>8.7464700537779603</c:v>
                      </c:pt>
                      <c:pt idx="42">
                        <c:v>9.0454902634874603</c:v>
                      </c:pt>
                      <c:pt idx="43">
                        <c:v>9.3575129533678698</c:v>
                      </c:pt>
                      <c:pt idx="44">
                        <c:v>9.9425508926159605</c:v>
                      </c:pt>
                      <c:pt idx="45">
                        <c:v>10.2415711023254</c:v>
                      </c:pt>
                      <c:pt idx="46">
                        <c:v>10.5405913120349</c:v>
                      </c:pt>
                      <c:pt idx="47">
                        <c:v>10.8396115217444</c:v>
                      </c:pt>
                      <c:pt idx="48">
                        <c:v>11.4376519411634</c:v>
                      </c:pt>
                      <c:pt idx="49">
                        <c:v>11.7366721508729</c:v>
                      </c:pt>
                      <c:pt idx="50">
                        <c:v>12.932752989710901</c:v>
                      </c:pt>
                      <c:pt idx="51">
                        <c:v>13.231773199420401</c:v>
                      </c:pt>
                      <c:pt idx="52">
                        <c:v>13.530793409129901</c:v>
                      </c:pt>
                      <c:pt idx="53">
                        <c:v>13.829813618839401</c:v>
                      </c:pt>
                      <c:pt idx="54">
                        <c:v>14.036269430051799</c:v>
                      </c:pt>
                      <c:pt idx="55">
                        <c:v>14.2694300518134</c:v>
                      </c:pt>
                      <c:pt idx="56">
                        <c:v>14.316062176165801</c:v>
                      </c:pt>
                      <c:pt idx="57">
                        <c:v>14.672506937111701</c:v>
                      </c:pt>
                      <c:pt idx="58">
                        <c:v>14.971527146821201</c:v>
                      </c:pt>
                      <c:pt idx="59">
                        <c:v>15.270547356530701</c:v>
                      </c:pt>
                      <c:pt idx="60">
                        <c:v>15.569567566240201</c:v>
                      </c:pt>
                      <c:pt idx="61">
                        <c:v>15.868587775949701</c:v>
                      </c:pt>
                      <c:pt idx="62">
                        <c:v>16.167607985659199</c:v>
                      </c:pt>
                      <c:pt idx="63">
                        <c:v>16.483356598709101</c:v>
                      </c:pt>
                      <c:pt idx="64">
                        <c:v>16.747525968126102</c:v>
                      </c:pt>
                      <c:pt idx="65">
                        <c:v>17.064668614787699</c:v>
                      </c:pt>
                      <c:pt idx="66">
                        <c:v>17.363688824497199</c:v>
                      </c:pt>
                      <c:pt idx="67">
                        <c:v>17.662709034206699</c:v>
                      </c:pt>
                      <c:pt idx="68">
                        <c:v>17.961729243916199</c:v>
                      </c:pt>
                      <c:pt idx="69">
                        <c:v>18.260749453625699</c:v>
                      </c:pt>
                      <c:pt idx="70">
                        <c:v>18.559769663335199</c:v>
                      </c:pt>
                      <c:pt idx="71">
                        <c:v>18.858789873044699</c:v>
                      </c:pt>
                      <c:pt idx="72">
                        <c:v>19.157810082754199</c:v>
                      </c:pt>
                      <c:pt idx="73">
                        <c:v>19.4568302924637</c:v>
                      </c:pt>
                      <c:pt idx="74">
                        <c:v>19.7558505021732</c:v>
                      </c:pt>
                      <c:pt idx="75">
                        <c:v>20.0548707118827</c:v>
                      </c:pt>
                    </c:numCache>
                  </c:numRef>
                </c:xVal>
                <c:yVal>
                  <c:numRef>
                    <c:extLst xmlns:c15="http://schemas.microsoft.com/office/drawing/2012/chart">
                      <c:ext xmlns:c15="http://schemas.microsoft.com/office/drawing/2012/chart" uri="{02D57815-91ED-43cb-92C2-25804820EDAC}">
                        <c15:formulaRef>
                          <c15:sqref>Sheet1!$H$3:$H$78</c15:sqref>
                        </c15:formulaRef>
                      </c:ext>
                    </c:extLst>
                    <c:numCache>
                      <c:formatCode>General</c:formatCode>
                      <c:ptCount val="76"/>
                      <c:pt idx="0">
                        <c:v>99.520705241920098</c:v>
                      </c:pt>
                      <c:pt idx="1">
                        <c:v>99.441748300327205</c:v>
                      </c:pt>
                      <c:pt idx="2">
                        <c:v>98.035366064375907</c:v>
                      </c:pt>
                      <c:pt idx="3">
                        <c:v>96.954516625963095</c:v>
                      </c:pt>
                      <c:pt idx="4">
                        <c:v>95.351529000225597</c:v>
                      </c:pt>
                      <c:pt idx="5">
                        <c:v>93.452380952380906</c:v>
                      </c:pt>
                      <c:pt idx="6">
                        <c:v>91.608961712647101</c:v>
                      </c:pt>
                      <c:pt idx="7">
                        <c:v>90.638214779395099</c:v>
                      </c:pt>
                      <c:pt idx="8">
                        <c:v>88.135243038763605</c:v>
                      </c:pt>
                      <c:pt idx="9">
                        <c:v>85.322986310934297</c:v>
                      </c:pt>
                      <c:pt idx="10">
                        <c:v>79.563451658062505</c:v>
                      </c:pt>
                      <c:pt idx="11">
                        <c:v>79.563451658062505</c:v>
                      </c:pt>
                      <c:pt idx="12">
                        <c:v>77.232142857142804</c:v>
                      </c:pt>
                      <c:pt idx="13">
                        <c:v>75.595238095238102</c:v>
                      </c:pt>
                      <c:pt idx="14">
                        <c:v>73.065476190476105</c:v>
                      </c:pt>
                      <c:pt idx="15">
                        <c:v>71.130952380952294</c:v>
                      </c:pt>
                      <c:pt idx="16">
                        <c:v>68.496459602798396</c:v>
                      </c:pt>
                      <c:pt idx="17">
                        <c:v>66.220238095238102</c:v>
                      </c:pt>
                      <c:pt idx="18">
                        <c:v>62.797619047619001</c:v>
                      </c:pt>
                      <c:pt idx="19">
                        <c:v>60.119047619047599</c:v>
                      </c:pt>
                      <c:pt idx="20">
                        <c:v>58.5954971174165</c:v>
                      </c:pt>
                      <c:pt idx="21">
                        <c:v>58.181478375494898</c:v>
                      </c:pt>
                      <c:pt idx="22">
                        <c:v>57.7778101021214</c:v>
                      </c:pt>
                      <c:pt idx="23">
                        <c:v>56.730638412732603</c:v>
                      </c:pt>
                      <c:pt idx="24">
                        <c:v>55.470641374817902</c:v>
                      </c:pt>
                      <c:pt idx="25">
                        <c:v>55.413861661640098</c:v>
                      </c:pt>
                      <c:pt idx="26">
                        <c:v>55.224201647483603</c:v>
                      </c:pt>
                      <c:pt idx="27">
                        <c:v>54.372505949816301</c:v>
                      </c:pt>
                      <c:pt idx="28">
                        <c:v>53.125</c:v>
                      </c:pt>
                      <c:pt idx="29">
                        <c:v>52.039036235993699</c:v>
                      </c:pt>
                      <c:pt idx="30">
                        <c:v>51.546138004965002</c:v>
                      </c:pt>
                      <c:pt idx="31">
                        <c:v>51.450716542541102</c:v>
                      </c:pt>
                      <c:pt idx="32">
                        <c:v>51.296938152684604</c:v>
                      </c:pt>
                      <c:pt idx="33">
                        <c:v>50.055163572322499</c:v>
                      </c:pt>
                      <c:pt idx="34">
                        <c:v>48.214285714285701</c:v>
                      </c:pt>
                      <c:pt idx="35">
                        <c:v>47.381898068361302</c:v>
                      </c:pt>
                      <c:pt idx="36">
                        <c:v>47.381898068361302</c:v>
                      </c:pt>
                      <c:pt idx="37">
                        <c:v>47.346016444061398</c:v>
                      </c:pt>
                      <c:pt idx="38">
                        <c:v>47.172619047619001</c:v>
                      </c:pt>
                      <c:pt idx="39">
                        <c:v>46.279761904761898</c:v>
                      </c:pt>
                      <c:pt idx="40">
                        <c:v>45.982142857142797</c:v>
                      </c:pt>
                      <c:pt idx="41">
                        <c:v>45.950181828440101</c:v>
                      </c:pt>
                      <c:pt idx="42">
                        <c:v>45.021991239408301</c:v>
                      </c:pt>
                      <c:pt idx="43">
                        <c:v>44.642857142857103</c:v>
                      </c:pt>
                      <c:pt idx="44">
                        <c:v>42.843201180730802</c:v>
                      </c:pt>
                      <c:pt idx="45">
                        <c:v>42.4558636466219</c:v>
                      </c:pt>
                      <c:pt idx="46">
                        <c:v>41.988219620032403</c:v>
                      </c:pt>
                      <c:pt idx="47">
                        <c:v>41.988219620032403</c:v>
                      </c:pt>
                      <c:pt idx="48">
                        <c:v>41.471982373302602</c:v>
                      </c:pt>
                      <c:pt idx="49">
                        <c:v>41.298808003382298</c:v>
                      </c:pt>
                      <c:pt idx="50">
                        <c:v>39.537622971420298</c:v>
                      </c:pt>
                      <c:pt idx="51">
                        <c:v>39.517626147830903</c:v>
                      </c:pt>
                      <c:pt idx="52">
                        <c:v>39.517626147830903</c:v>
                      </c:pt>
                      <c:pt idx="53">
                        <c:v>39.517626147830903</c:v>
                      </c:pt>
                      <c:pt idx="54">
                        <c:v>37.202380952380899</c:v>
                      </c:pt>
                      <c:pt idx="55">
                        <c:v>37.053571428571402</c:v>
                      </c:pt>
                      <c:pt idx="56">
                        <c:v>34.226190476190403</c:v>
                      </c:pt>
                      <c:pt idx="57">
                        <c:v>34.023287632588499</c:v>
                      </c:pt>
                      <c:pt idx="58">
                        <c:v>34.023287632588499</c:v>
                      </c:pt>
                      <c:pt idx="59">
                        <c:v>33.881338349643997</c:v>
                      </c:pt>
                      <c:pt idx="60">
                        <c:v>33.881338349643997</c:v>
                      </c:pt>
                      <c:pt idx="61">
                        <c:v>33.881338349643997</c:v>
                      </c:pt>
                      <c:pt idx="62">
                        <c:v>33.881338349643997</c:v>
                      </c:pt>
                      <c:pt idx="63">
                        <c:v>33.881338349643997</c:v>
                      </c:pt>
                      <c:pt idx="64">
                        <c:v>33.881338349643997</c:v>
                      </c:pt>
                      <c:pt idx="65">
                        <c:v>33.881338349643997</c:v>
                      </c:pt>
                      <c:pt idx="66">
                        <c:v>33.881338349643997</c:v>
                      </c:pt>
                      <c:pt idx="67">
                        <c:v>33.881338349643997</c:v>
                      </c:pt>
                      <c:pt idx="68">
                        <c:v>33.881338349643997</c:v>
                      </c:pt>
                      <c:pt idx="69">
                        <c:v>33.881338349643997</c:v>
                      </c:pt>
                      <c:pt idx="70">
                        <c:v>33.881338349643997</c:v>
                      </c:pt>
                      <c:pt idx="71">
                        <c:v>33.881338349643997</c:v>
                      </c:pt>
                      <c:pt idx="72">
                        <c:v>33.881338349643997</c:v>
                      </c:pt>
                      <c:pt idx="73">
                        <c:v>33.881338349643997</c:v>
                      </c:pt>
                      <c:pt idx="74">
                        <c:v>33.881338349643997</c:v>
                      </c:pt>
                      <c:pt idx="75">
                        <c:v>33.881338349643997</c:v>
                      </c:pt>
                    </c:numCache>
                  </c:numRef>
                </c:yVal>
                <c:smooth val="0"/>
                <c:extLst xmlns:c15="http://schemas.microsoft.com/office/drawing/2012/chart">
                  <c:ext xmlns:c16="http://schemas.microsoft.com/office/drawing/2014/chart" uri="{C3380CC4-5D6E-409C-BE32-E72D297353CC}">
                    <c16:uniqueId val="{00000007-190F-4CC1-81B1-926EE6ACF9AB}"/>
                  </c:ext>
                </c:extLst>
              </c15:ser>
            </c15:filteredScatterSeries>
            <c15:filteredScatterSeries>
              <c15:ser>
                <c:idx val="4"/>
                <c:order val="4"/>
                <c:tx>
                  <c:v>067 NIVO+IPI PFS 4-yr follow up</c:v>
                </c:tx>
                <c:spPr>
                  <a:ln w="19050" cap="rnd">
                    <a:solidFill>
                      <a:schemeClr val="accent1">
                        <a:lumMod val="75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Sheet1!$I$3:$I$128</c15:sqref>
                        </c15:formulaRef>
                      </c:ext>
                    </c:extLst>
                    <c:numCache>
                      <c:formatCode>General</c:formatCode>
                      <c:ptCount val="126"/>
                      <c:pt idx="0">
                        <c:v>4.2986425339366301E-2</c:v>
                      </c:pt>
                      <c:pt idx="1">
                        <c:v>0.30090497737556599</c:v>
                      </c:pt>
                      <c:pt idx="2">
                        <c:v>0.42986425339366502</c:v>
                      </c:pt>
                      <c:pt idx="3">
                        <c:v>0.81674208144796401</c:v>
                      </c:pt>
                      <c:pt idx="4">
                        <c:v>1.07466063348416</c:v>
                      </c:pt>
                      <c:pt idx="5">
                        <c:v>1.28959276018099</c:v>
                      </c:pt>
                      <c:pt idx="6">
                        <c:v>1.5904977375565601</c:v>
                      </c:pt>
                      <c:pt idx="7">
                        <c:v>1.7194570135746601</c:v>
                      </c:pt>
                      <c:pt idx="8">
                        <c:v>1.8484162895927501</c:v>
                      </c:pt>
                      <c:pt idx="9">
                        <c:v>1.89140271493212</c:v>
                      </c:pt>
                      <c:pt idx="10">
                        <c:v>2.10633484162895</c:v>
                      </c:pt>
                      <c:pt idx="11">
                        <c:v>2.1923076923076898</c:v>
                      </c:pt>
                      <c:pt idx="12">
                        <c:v>2.4932126696832499</c:v>
                      </c:pt>
                      <c:pt idx="13">
                        <c:v>2.5361990950226199</c:v>
                      </c:pt>
                      <c:pt idx="14">
                        <c:v>2.5791855203619898</c:v>
                      </c:pt>
                      <c:pt idx="15">
                        <c:v>2.6651583710407198</c:v>
                      </c:pt>
                      <c:pt idx="16">
                        <c:v>2.7941176470588198</c:v>
                      </c:pt>
                      <c:pt idx="17">
                        <c:v>2.8007346051121602</c:v>
                      </c:pt>
                      <c:pt idx="18">
                        <c:v>2.83710407239818</c:v>
                      </c:pt>
                      <c:pt idx="19">
                        <c:v>2.83710407239818</c:v>
                      </c:pt>
                      <c:pt idx="20">
                        <c:v>2.9230769230769198</c:v>
                      </c:pt>
                      <c:pt idx="21">
                        <c:v>3.0661745914823801</c:v>
                      </c:pt>
                      <c:pt idx="22">
                        <c:v>3.5033698631509802</c:v>
                      </c:pt>
                      <c:pt idx="23">
                        <c:v>3.8257918552036099</c:v>
                      </c:pt>
                      <c:pt idx="24">
                        <c:v>4.0420568943140696</c:v>
                      </c:pt>
                      <c:pt idx="25">
                        <c:v>4.2986425339366496</c:v>
                      </c:pt>
                      <c:pt idx="26">
                        <c:v>4.56753198045421</c:v>
                      </c:pt>
                      <c:pt idx="27">
                        <c:v>4.8144796380090398</c:v>
                      </c:pt>
                      <c:pt idx="28">
                        <c:v>5.2079109520969897</c:v>
                      </c:pt>
                      <c:pt idx="29">
                        <c:v>5.4592760180995397</c:v>
                      </c:pt>
                      <c:pt idx="30">
                        <c:v>5.8142591562564201</c:v>
                      </c:pt>
                      <c:pt idx="31">
                        <c:v>6.1430230609437197</c:v>
                      </c:pt>
                      <c:pt idx="32">
                        <c:v>6.5339366515837103</c:v>
                      </c:pt>
                      <c:pt idx="33">
                        <c:v>6.71987793328422</c:v>
                      </c:pt>
                      <c:pt idx="34">
                        <c:v>7.0067873303167403</c:v>
                      </c:pt>
                      <c:pt idx="35">
                        <c:v>7.32102143182854</c:v>
                      </c:pt>
                      <c:pt idx="36">
                        <c:v>7.6515837104072402</c:v>
                      </c:pt>
                      <c:pt idx="37">
                        <c:v>7.9358272826125003</c:v>
                      </c:pt>
                      <c:pt idx="38">
                        <c:v>8.4443703937547898</c:v>
                      </c:pt>
                      <c:pt idx="39">
                        <c:v>8.5972850678732993</c:v>
                      </c:pt>
                      <c:pt idx="40">
                        <c:v>8.9605037005857806</c:v>
                      </c:pt>
                      <c:pt idx="41">
                        <c:v>9.2420814479638</c:v>
                      </c:pt>
                      <c:pt idx="42">
                        <c:v>9.5616471991300998</c:v>
                      </c:pt>
                      <c:pt idx="43">
                        <c:v>9.9298642533936601</c:v>
                      </c:pt>
                      <c:pt idx="44">
                        <c:v>10.162790697674399</c:v>
                      </c:pt>
                      <c:pt idx="45">
                        <c:v>10.4886877828054</c:v>
                      </c:pt>
                      <c:pt idx="46">
                        <c:v>10.763934196218701</c:v>
                      </c:pt>
                      <c:pt idx="47">
                        <c:v>11.0904977375565</c:v>
                      </c:pt>
                      <c:pt idx="48">
                        <c:v>11.4015106340687</c:v>
                      </c:pt>
                      <c:pt idx="49">
                        <c:v>11.962017392618201</c:v>
                      </c:pt>
                      <c:pt idx="50">
                        <c:v>12.5673646918516</c:v>
                      </c:pt>
                      <c:pt idx="51">
                        <c:v>13.168508190396</c:v>
                      </c:pt>
                      <c:pt idx="52">
                        <c:v>13.7696516889403</c:v>
                      </c:pt>
                      <c:pt idx="53">
                        <c:v>14.379903422310999</c:v>
                      </c:pt>
                      <c:pt idx="54">
                        <c:v>14.971938686028899</c:v>
                      </c:pt>
                      <c:pt idx="55">
                        <c:v>15.573082184573201</c:v>
                      </c:pt>
                      <c:pt idx="56">
                        <c:v>16.174225683117601</c:v>
                      </c:pt>
                      <c:pt idx="57">
                        <c:v>16.775369181661901</c:v>
                      </c:pt>
                      <c:pt idx="58">
                        <c:v>17.376512680206201</c:v>
                      </c:pt>
                      <c:pt idx="59">
                        <c:v>17.9776561787505</c:v>
                      </c:pt>
                      <c:pt idx="60">
                        <c:v>18.565137325055201</c:v>
                      </c:pt>
                      <c:pt idx="61">
                        <c:v>19.179943175839199</c:v>
                      </c:pt>
                      <c:pt idx="62">
                        <c:v>19.781086674383499</c:v>
                      </c:pt>
                      <c:pt idx="63">
                        <c:v>20.382230172927802</c:v>
                      </c:pt>
                      <c:pt idx="64">
                        <c:v>20.953947066648301</c:v>
                      </c:pt>
                      <c:pt idx="65">
                        <c:v>21.584517170016401</c:v>
                      </c:pt>
                      <c:pt idx="66">
                        <c:v>22.1856606685608</c:v>
                      </c:pt>
                      <c:pt idx="67">
                        <c:v>22.7868041671051</c:v>
                      </c:pt>
                      <c:pt idx="68">
                        <c:v>23.387947665649399</c:v>
                      </c:pt>
                      <c:pt idx="69">
                        <c:v>23.989091164193699</c:v>
                      </c:pt>
                      <c:pt idx="70">
                        <c:v>24.590234662737998</c:v>
                      </c:pt>
                      <c:pt idx="71">
                        <c:v>25.1871743605932</c:v>
                      </c:pt>
                      <c:pt idx="72">
                        <c:v>25.7970757772399</c:v>
                      </c:pt>
                      <c:pt idx="73">
                        <c:v>26.384556923544601</c:v>
                      </c:pt>
                      <c:pt idx="74">
                        <c:v>26.9948086569153</c:v>
                      </c:pt>
                      <c:pt idx="75">
                        <c:v>27.618722742525701</c:v>
                      </c:pt>
                      <c:pt idx="76">
                        <c:v>28.197095654003999</c:v>
                      </c:pt>
                      <c:pt idx="77">
                        <c:v>28.798239152548302</c:v>
                      </c:pt>
                      <c:pt idx="78">
                        <c:v>29.399382651092601</c:v>
                      </c:pt>
                      <c:pt idx="79">
                        <c:v>30.0141885018766</c:v>
                      </c:pt>
                      <c:pt idx="80">
                        <c:v>30.601669648181201</c:v>
                      </c:pt>
                      <c:pt idx="81">
                        <c:v>31.184596677072701</c:v>
                      </c:pt>
                      <c:pt idx="82">
                        <c:v>31.803956645269899</c:v>
                      </c:pt>
                      <c:pt idx="83">
                        <c:v>32.405100143814202</c:v>
                      </c:pt>
                      <c:pt idx="84">
                        <c:v>33.006243642358498</c:v>
                      </c:pt>
                      <c:pt idx="85">
                        <c:v>33.607387140902802</c:v>
                      </c:pt>
                      <c:pt idx="86">
                        <c:v>34.185760052381099</c:v>
                      </c:pt>
                      <c:pt idx="87">
                        <c:v>34.8096741379915</c:v>
                      </c:pt>
                      <c:pt idx="88">
                        <c:v>35.410817636535803</c:v>
                      </c:pt>
                      <c:pt idx="89">
                        <c:v>36.032980138525701</c:v>
                      </c:pt>
                      <c:pt idx="90">
                        <c:v>36.594888163971603</c:v>
                      </c:pt>
                      <c:pt idx="91">
                        <c:v>37.214248132168699</c:v>
                      </c:pt>
                      <c:pt idx="92">
                        <c:v>37.815391630713101</c:v>
                      </c:pt>
                      <c:pt idx="93">
                        <c:v>38.416535129257397</c:v>
                      </c:pt>
                      <c:pt idx="94">
                        <c:v>39.0302900298691</c:v>
                      </c:pt>
                      <c:pt idx="95">
                        <c:v>39.618822126345997</c:v>
                      </c:pt>
                      <c:pt idx="96">
                        <c:v>40.2199656248903</c:v>
                      </c:pt>
                      <c:pt idx="97">
                        <c:v>40.821109123434702</c:v>
                      </c:pt>
                      <c:pt idx="98">
                        <c:v>41.422252621978998</c:v>
                      </c:pt>
                      <c:pt idx="99">
                        <c:v>42.023396120523302</c:v>
                      </c:pt>
                      <c:pt idx="100">
                        <c:v>42.615431384241198</c:v>
                      </c:pt>
                      <c:pt idx="101">
                        <c:v>43.216574882785501</c:v>
                      </c:pt>
                      <c:pt idx="102">
                        <c:v>43.856253220980101</c:v>
                      </c:pt>
                      <c:pt idx="103">
                        <c:v>44.446186584353399</c:v>
                      </c:pt>
                      <c:pt idx="104">
                        <c:v>45.054336417379602</c:v>
                      </c:pt>
                      <c:pt idx="105">
                        <c:v>45.669292403902503</c:v>
                      </c:pt>
                      <c:pt idx="106">
                        <c:v>46.208630023267503</c:v>
                      </c:pt>
                      <c:pt idx="107">
                        <c:v>46.842188122223497</c:v>
                      </c:pt>
                      <c:pt idx="108">
                        <c:v>47.4375911366335</c:v>
                      </c:pt>
                      <c:pt idx="109">
                        <c:v>48.058252281234402</c:v>
                      </c:pt>
                      <c:pt idx="110">
                        <c:v>48.627567003132597</c:v>
                      </c:pt>
                      <c:pt idx="111">
                        <c:v>49.217600456998497</c:v>
                      </c:pt>
                      <c:pt idx="112">
                        <c:v>49.8109368971202</c:v>
                      </c:pt>
                      <c:pt idx="113">
                        <c:v>50.446236276263598</c:v>
                      </c:pt>
                      <c:pt idx="114">
                        <c:v>51.021030952631499</c:v>
                      </c:pt>
                      <c:pt idx="115">
                        <c:v>51.612545745787799</c:v>
                      </c:pt>
                      <c:pt idx="116">
                        <c:v>52.246739124988103</c:v>
                      </c:pt>
                      <c:pt idx="117">
                        <c:v>52.840563506261098</c:v>
                      </c:pt>
                      <c:pt idx="118">
                        <c:v>53.171875548072499</c:v>
                      </c:pt>
                      <c:pt idx="119">
                        <c:v>53.174208144796303</c:v>
                      </c:pt>
                      <c:pt idx="120">
                        <c:v>53.217194570135703</c:v>
                      </c:pt>
                      <c:pt idx="121">
                        <c:v>53.8190045248868</c:v>
                      </c:pt>
                      <c:pt idx="122">
                        <c:v>54.506787330316698</c:v>
                      </c:pt>
                      <c:pt idx="123">
                        <c:v>55.108597285067802</c:v>
                      </c:pt>
                      <c:pt idx="124">
                        <c:v>55.710407239818998</c:v>
                      </c:pt>
                      <c:pt idx="125">
                        <c:v>56.527149321266897</c:v>
                      </c:pt>
                    </c:numCache>
                  </c:numRef>
                </c:xVal>
                <c:yVal>
                  <c:numRef>
                    <c:extLst xmlns:c15="http://schemas.microsoft.com/office/drawing/2012/chart">
                      <c:ext xmlns:c15="http://schemas.microsoft.com/office/drawing/2012/chart" uri="{02D57815-91ED-43cb-92C2-25804820EDAC}">
                        <c15:formulaRef>
                          <c15:sqref>Sheet1!$J$3:$J$128</c15:sqref>
                        </c15:formulaRef>
                      </c:ext>
                    </c:extLst>
                    <c:numCache>
                      <c:formatCode>General</c:formatCode>
                      <c:ptCount val="126"/>
                      <c:pt idx="0">
                        <c:v>100</c:v>
                      </c:pt>
                      <c:pt idx="1">
                        <c:v>100</c:v>
                      </c:pt>
                      <c:pt idx="2">
                        <c:v>98.802395209580794</c:v>
                      </c:pt>
                      <c:pt idx="3">
                        <c:v>98.203592814371206</c:v>
                      </c:pt>
                      <c:pt idx="4">
                        <c:v>97.604790419161603</c:v>
                      </c:pt>
                      <c:pt idx="5">
                        <c:v>96.606786427145707</c:v>
                      </c:pt>
                      <c:pt idx="6">
                        <c:v>96.007984031936104</c:v>
                      </c:pt>
                      <c:pt idx="7">
                        <c:v>94.411177644710506</c:v>
                      </c:pt>
                      <c:pt idx="8">
                        <c:v>93.213572854291399</c:v>
                      </c:pt>
                      <c:pt idx="9">
                        <c:v>91.217564870259494</c:v>
                      </c:pt>
                      <c:pt idx="10">
                        <c:v>90.019960079840303</c:v>
                      </c:pt>
                      <c:pt idx="11">
                        <c:v>89.221556886227503</c:v>
                      </c:pt>
                      <c:pt idx="12">
                        <c:v>88.822355289421097</c:v>
                      </c:pt>
                      <c:pt idx="13">
                        <c:v>86.427145708582799</c:v>
                      </c:pt>
                      <c:pt idx="14">
                        <c:v>84.231536926147697</c:v>
                      </c:pt>
                      <c:pt idx="15">
                        <c:v>82.435129740518903</c:v>
                      </c:pt>
                      <c:pt idx="16">
                        <c:v>80.838323353293404</c:v>
                      </c:pt>
                      <c:pt idx="17">
                        <c:v>76.559694687160601</c:v>
                      </c:pt>
                      <c:pt idx="18">
                        <c:v>76.559694687160601</c:v>
                      </c:pt>
                      <c:pt idx="19">
                        <c:v>76.559694687160601</c:v>
                      </c:pt>
                      <c:pt idx="20">
                        <c:v>75.648702594810302</c:v>
                      </c:pt>
                      <c:pt idx="21">
                        <c:v>74.050127872715194</c:v>
                      </c:pt>
                      <c:pt idx="22">
                        <c:v>72.681657725523493</c:v>
                      </c:pt>
                      <c:pt idx="23">
                        <c:v>71.856287425149702</c:v>
                      </c:pt>
                      <c:pt idx="24">
                        <c:v>70.1284891764397</c:v>
                      </c:pt>
                      <c:pt idx="25">
                        <c:v>68.862275449101801</c:v>
                      </c:pt>
                      <c:pt idx="26">
                        <c:v>68.268765589473006</c:v>
                      </c:pt>
                      <c:pt idx="27">
                        <c:v>67.265469061876203</c:v>
                      </c:pt>
                      <c:pt idx="28">
                        <c:v>66.438956711899195</c:v>
                      </c:pt>
                      <c:pt idx="29">
                        <c:v>65.668662674650705</c:v>
                      </c:pt>
                      <c:pt idx="30">
                        <c:v>64.655371006655102</c:v>
                      </c:pt>
                      <c:pt idx="31">
                        <c:v>62.854652452201499</c:v>
                      </c:pt>
                      <c:pt idx="32">
                        <c:v>62.4750499001996</c:v>
                      </c:pt>
                      <c:pt idx="33">
                        <c:v>61.774266829273103</c:v>
                      </c:pt>
                      <c:pt idx="34">
                        <c:v>60.678642714570799</c:v>
                      </c:pt>
                      <c:pt idx="35">
                        <c:v>59.675012202515298</c:v>
                      </c:pt>
                      <c:pt idx="36">
                        <c:v>59.675012202515298</c:v>
                      </c:pt>
                      <c:pt idx="37">
                        <c:v>59.3549335437651</c:v>
                      </c:pt>
                      <c:pt idx="38">
                        <c:v>57.941653299774202</c:v>
                      </c:pt>
                      <c:pt idx="39">
                        <c:v>56.686626746506903</c:v>
                      </c:pt>
                      <c:pt idx="40">
                        <c:v>55.9840150565676</c:v>
                      </c:pt>
                      <c:pt idx="41">
                        <c:v>55.688622754491</c:v>
                      </c:pt>
                      <c:pt idx="42">
                        <c:v>55.280418725621303</c:v>
                      </c:pt>
                      <c:pt idx="43">
                        <c:v>54.491017964071801</c:v>
                      </c:pt>
                      <c:pt idx="44">
                        <c:v>54.380738171296599</c:v>
                      </c:pt>
                      <c:pt idx="45">
                        <c:v>53.892215568862198</c:v>
                      </c:pt>
                      <c:pt idx="46">
                        <c:v>53.334955646611398</c:v>
                      </c:pt>
                      <c:pt idx="47">
                        <c:v>52.495009980039903</c:v>
                      </c:pt>
                      <c:pt idx="48">
                        <c:v>51.130558865043298</c:v>
                      </c:pt>
                      <c:pt idx="49">
                        <c:v>49.636564676252704</c:v>
                      </c:pt>
                      <c:pt idx="50">
                        <c:v>49.636564676252704</c:v>
                      </c:pt>
                      <c:pt idx="51">
                        <c:v>48.809639354131697</c:v>
                      </c:pt>
                      <c:pt idx="52">
                        <c:v>48.452074005618002</c:v>
                      </c:pt>
                      <c:pt idx="53">
                        <c:v>48.041642812566003</c:v>
                      </c:pt>
                      <c:pt idx="54">
                        <c:v>47.967630630212398</c:v>
                      </c:pt>
                      <c:pt idx="55">
                        <c:v>47.460118522644599</c:v>
                      </c:pt>
                      <c:pt idx="56">
                        <c:v>47.275568665347201</c:v>
                      </c:pt>
                      <c:pt idx="57">
                        <c:v>46.560437968319803</c:v>
                      </c:pt>
                      <c:pt idx="58">
                        <c:v>45.891444735616801</c:v>
                      </c:pt>
                      <c:pt idx="59">
                        <c:v>45.383932628049003</c:v>
                      </c:pt>
                      <c:pt idx="60">
                        <c:v>44.848545802451902</c:v>
                      </c:pt>
                      <c:pt idx="61">
                        <c:v>44.841817422237902</c:v>
                      </c:pt>
                      <c:pt idx="62">
                        <c:v>44.415045877237702</c:v>
                      </c:pt>
                      <c:pt idx="63">
                        <c:v>44.253564752102498</c:v>
                      </c:pt>
                      <c:pt idx="64">
                        <c:v>43.790415591000396</c:v>
                      </c:pt>
                      <c:pt idx="65">
                        <c:v>43.400021662102098</c:v>
                      </c:pt>
                      <c:pt idx="66">
                        <c:v>42.673356598993699</c:v>
                      </c:pt>
                      <c:pt idx="67">
                        <c:v>41.6237292856148</c:v>
                      </c:pt>
                      <c:pt idx="68">
                        <c:v>41.6237292856148</c:v>
                      </c:pt>
                      <c:pt idx="69">
                        <c:v>41.162354642371298</c:v>
                      </c:pt>
                      <c:pt idx="70">
                        <c:v>41.162354642371298</c:v>
                      </c:pt>
                      <c:pt idx="71">
                        <c:v>40.962011576132099</c:v>
                      </c:pt>
                      <c:pt idx="72">
                        <c:v>40.962011576132099</c:v>
                      </c:pt>
                      <c:pt idx="73">
                        <c:v>40.962011576132099</c:v>
                      </c:pt>
                      <c:pt idx="74">
                        <c:v>40.962011576132099</c:v>
                      </c:pt>
                      <c:pt idx="75">
                        <c:v>40.682717252832802</c:v>
                      </c:pt>
                      <c:pt idx="76">
                        <c:v>40.682717252832802</c:v>
                      </c:pt>
                      <c:pt idx="77">
                        <c:v>40.608705070479203</c:v>
                      </c:pt>
                      <c:pt idx="78">
                        <c:v>40.608705070479203</c:v>
                      </c:pt>
                      <c:pt idx="79">
                        <c:v>40.513546550310203</c:v>
                      </c:pt>
                      <c:pt idx="80">
                        <c:v>40.513546550310203</c:v>
                      </c:pt>
                      <c:pt idx="81">
                        <c:v>40.4606807057719</c:v>
                      </c:pt>
                      <c:pt idx="82">
                        <c:v>39.7945710645891</c:v>
                      </c:pt>
                      <c:pt idx="83">
                        <c:v>39.028496917370298</c:v>
                      </c:pt>
                      <c:pt idx="84">
                        <c:v>38.9592907208838</c:v>
                      </c:pt>
                      <c:pt idx="85">
                        <c:v>38.9592907208838</c:v>
                      </c:pt>
                      <c:pt idx="86">
                        <c:v>38.906424876345497</c:v>
                      </c:pt>
                      <c:pt idx="87">
                        <c:v>38.906424876345497</c:v>
                      </c:pt>
                      <c:pt idx="88">
                        <c:v>38.906424876345497</c:v>
                      </c:pt>
                      <c:pt idx="89">
                        <c:v>38.588416488430397</c:v>
                      </c:pt>
                      <c:pt idx="90">
                        <c:v>38.5257907956696</c:v>
                      </c:pt>
                      <c:pt idx="91">
                        <c:v>38.5257907956696</c:v>
                      </c:pt>
                      <c:pt idx="92">
                        <c:v>38.5257907956696</c:v>
                      </c:pt>
                      <c:pt idx="93">
                        <c:v>38.5257907956696</c:v>
                      </c:pt>
                      <c:pt idx="94">
                        <c:v>38.422499068648598</c:v>
                      </c:pt>
                      <c:pt idx="95">
                        <c:v>38.186488193450998</c:v>
                      </c:pt>
                      <c:pt idx="96">
                        <c:v>38.071144532640098</c:v>
                      </c:pt>
                      <c:pt idx="97">
                        <c:v>38.071144532640098</c:v>
                      </c:pt>
                      <c:pt idx="98">
                        <c:v>38.071144532640098</c:v>
                      </c:pt>
                      <c:pt idx="99">
                        <c:v>38.071144532640098</c:v>
                      </c:pt>
                      <c:pt idx="100">
                        <c:v>37.997132350286499</c:v>
                      </c:pt>
                      <c:pt idx="101">
                        <c:v>37.997132350286499</c:v>
                      </c:pt>
                      <c:pt idx="102">
                        <c:v>37.934506657525702</c:v>
                      </c:pt>
                      <c:pt idx="103">
                        <c:v>37.934506657525702</c:v>
                      </c:pt>
                      <c:pt idx="104">
                        <c:v>37.924746809303201</c:v>
                      </c:pt>
                      <c:pt idx="105">
                        <c:v>37.373315384734397</c:v>
                      </c:pt>
                      <c:pt idx="106">
                        <c:v>37.267583695657699</c:v>
                      </c:pt>
                      <c:pt idx="107">
                        <c:v>37.071047144197699</c:v>
                      </c:pt>
                      <c:pt idx="108">
                        <c:v>36.9745558716454</c:v>
                      </c:pt>
                      <c:pt idx="109">
                        <c:v>36.666423520622097</c:v>
                      </c:pt>
                      <c:pt idx="110">
                        <c:v>36.665726388606203</c:v>
                      </c:pt>
                      <c:pt idx="111">
                        <c:v>36.612047223382604</c:v>
                      </c:pt>
                      <c:pt idx="112">
                        <c:v>36.602984507176103</c:v>
                      </c:pt>
                      <c:pt idx="113">
                        <c:v>36.516888703213702</c:v>
                      </c:pt>
                      <c:pt idx="114">
                        <c:v>36.516888703213702</c:v>
                      </c:pt>
                      <c:pt idx="115">
                        <c:v>36.516888703213702</c:v>
                      </c:pt>
                      <c:pt idx="116">
                        <c:v>36.516888703213702</c:v>
                      </c:pt>
                      <c:pt idx="117">
                        <c:v>36.508958826532897</c:v>
                      </c:pt>
                      <c:pt idx="118">
                        <c:v>34.518559779665402</c:v>
                      </c:pt>
                      <c:pt idx="119">
                        <c:v>31.936127744510902</c:v>
                      </c:pt>
                      <c:pt idx="120">
                        <c:v>29.5409181636726</c:v>
                      </c:pt>
                      <c:pt idx="121">
                        <c:v>29.5409181636726</c:v>
                      </c:pt>
                      <c:pt idx="122">
                        <c:v>29.5409181636726</c:v>
                      </c:pt>
                      <c:pt idx="123">
                        <c:v>29.5409181636726</c:v>
                      </c:pt>
                      <c:pt idx="124">
                        <c:v>29.5409181636726</c:v>
                      </c:pt>
                      <c:pt idx="125">
                        <c:v>29.5409181636726</c:v>
                      </c:pt>
                    </c:numCache>
                  </c:numRef>
                </c:yVal>
                <c:smooth val="0"/>
                <c:extLst xmlns:c15="http://schemas.microsoft.com/office/drawing/2012/chart">
                  <c:ext xmlns:c16="http://schemas.microsoft.com/office/drawing/2014/chart" uri="{C3380CC4-5D6E-409C-BE32-E72D297353CC}">
                    <c16:uniqueId val="{00000008-190F-4CC1-81B1-926EE6ACF9AB}"/>
                  </c:ext>
                </c:extLst>
              </c15:ser>
            </c15:filteredScatterSeries>
            <c15:filteredScatterSeries>
              <c15:ser>
                <c:idx val="5"/>
                <c:order val="5"/>
                <c:tx>
                  <c:v>067 NIVO PFS 4-yr follow up</c:v>
                </c:tx>
                <c:spPr>
                  <a:ln w="19050" cap="rnd">
                    <a:solidFill>
                      <a:schemeClr val="accent1">
                        <a:lumMod val="75000"/>
                      </a:schemeClr>
                    </a:solidFill>
                    <a:prstDash val="sysDot"/>
                    <a:round/>
                  </a:ln>
                  <a:effectLst/>
                </c:spPr>
                <c:marker>
                  <c:symbol val="none"/>
                </c:marker>
                <c:xVal>
                  <c:numRef>
                    <c:extLst xmlns:c15="http://schemas.microsoft.com/office/drawing/2012/chart">
                      <c:ext xmlns:c15="http://schemas.microsoft.com/office/drawing/2012/chart" uri="{02D57815-91ED-43cb-92C2-25804820EDAC}">
                        <c15:formulaRef>
                          <c15:sqref>Sheet1!$K$3:$K$114</c15:sqref>
                        </c15:formulaRef>
                      </c:ext>
                    </c:extLst>
                    <c:numCache>
                      <c:formatCode>General</c:formatCode>
                      <c:ptCount val="112"/>
                      <c:pt idx="0">
                        <c:v>0.34389140271493202</c:v>
                      </c:pt>
                      <c:pt idx="1">
                        <c:v>0.55882352941176505</c:v>
                      </c:pt>
                      <c:pt idx="2">
                        <c:v>0.81774176575818203</c:v>
                      </c:pt>
                      <c:pt idx="3">
                        <c:v>1.3915605598232099</c:v>
                      </c:pt>
                      <c:pt idx="4">
                        <c:v>1.96537935388824</c:v>
                      </c:pt>
                      <c:pt idx="5">
                        <c:v>2.0746781718053899</c:v>
                      </c:pt>
                      <c:pt idx="6">
                        <c:v>2.2932758076396902</c:v>
                      </c:pt>
                      <c:pt idx="7">
                        <c:v>2.4932126696832499</c:v>
                      </c:pt>
                      <c:pt idx="8">
                        <c:v>2.5361990950226199</c:v>
                      </c:pt>
                      <c:pt idx="9">
                        <c:v>2.5791855203619898</c:v>
                      </c:pt>
                      <c:pt idx="10">
                        <c:v>2.5791855203619898</c:v>
                      </c:pt>
                      <c:pt idx="11">
                        <c:v>2.5938475569118502</c:v>
                      </c:pt>
                      <c:pt idx="12">
                        <c:v>2.7081447963800902</c:v>
                      </c:pt>
                      <c:pt idx="13">
                        <c:v>2.74504425503057</c:v>
                      </c:pt>
                      <c:pt idx="14">
                        <c:v>2.8288400154337201</c:v>
                      </c:pt>
                      <c:pt idx="15">
                        <c:v>2.8800904977375499</c:v>
                      </c:pt>
                      <c:pt idx="16">
                        <c:v>2.9490687151425798</c:v>
                      </c:pt>
                      <c:pt idx="17">
                        <c:v>3.0583675330597302</c:v>
                      </c:pt>
                      <c:pt idx="18">
                        <c:v>3.5678733031674201</c:v>
                      </c:pt>
                      <c:pt idx="19">
                        <c:v>3.9117647058823501</c:v>
                      </c:pt>
                      <c:pt idx="20">
                        <c:v>4.1696832579185497</c:v>
                      </c:pt>
                      <c:pt idx="21">
                        <c:v>4.5135746606334797</c:v>
                      </c:pt>
                      <c:pt idx="22">
                        <c:v>4.9434389140271504</c:v>
                      </c:pt>
                      <c:pt idx="23">
                        <c:v>5.3303167420814397</c:v>
                      </c:pt>
                      <c:pt idx="24">
                        <c:v>5.4592760180995397</c:v>
                      </c:pt>
                      <c:pt idx="25">
                        <c:v>5.5452488687782804</c:v>
                      </c:pt>
                      <c:pt idx="26">
                        <c:v>5.6815391630713101</c:v>
                      </c:pt>
                      <c:pt idx="27">
                        <c:v>6.0180995475113104</c:v>
                      </c:pt>
                      <c:pt idx="28">
                        <c:v>6.2826826616156302</c:v>
                      </c:pt>
                      <c:pt idx="29">
                        <c:v>6.5769230769230704</c:v>
                      </c:pt>
                      <c:pt idx="30">
                        <c:v>6.7745273422428003</c:v>
                      </c:pt>
                      <c:pt idx="31">
                        <c:v>6.9638009049773704</c:v>
                      </c:pt>
                      <c:pt idx="32">
                        <c:v>7.2663720228699704</c:v>
                      </c:pt>
                      <c:pt idx="33">
                        <c:v>7.5656108597285003</c:v>
                      </c:pt>
                      <c:pt idx="34">
                        <c:v>7.8675155214142896</c:v>
                      </c:pt>
                      <c:pt idx="35">
                        <c:v>8.4613724320974608</c:v>
                      </c:pt>
                      <c:pt idx="36">
                        <c:v>8.8122171945701293</c:v>
                      </c:pt>
                      <c:pt idx="37">
                        <c:v>9.0698025185029199</c:v>
                      </c:pt>
                      <c:pt idx="38">
                        <c:v>9.6709460170472497</c:v>
                      </c:pt>
                      <c:pt idx="39">
                        <c:v>10.326738924550099</c:v>
                      </c:pt>
                      <c:pt idx="40">
                        <c:v>11.0475113122171</c:v>
                      </c:pt>
                      <c:pt idx="41">
                        <c:v>11.437943573374399</c:v>
                      </c:pt>
                      <c:pt idx="42">
                        <c:v>12.0208706022659</c:v>
                      </c:pt>
                      <c:pt idx="43">
                        <c:v>12.6425076291697</c:v>
                      </c:pt>
                      <c:pt idx="44">
                        <c:v>12.9389140271493</c:v>
                      </c:pt>
                      <c:pt idx="45">
                        <c:v>13.223157599354501</c:v>
                      </c:pt>
                      <c:pt idx="46">
                        <c:v>13.795369057862001</c:v>
                      </c:pt>
                      <c:pt idx="47">
                        <c:v>14.441839419130799</c:v>
                      </c:pt>
                      <c:pt idx="48">
                        <c:v>15.048447858570899</c:v>
                      </c:pt>
                      <c:pt idx="49">
                        <c:v>15.649591357115201</c:v>
                      </c:pt>
                      <c:pt idx="50">
                        <c:v>16.228875092076098</c:v>
                      </c:pt>
                      <c:pt idx="51">
                        <c:v>16.8373051784816</c:v>
                      </c:pt>
                      <c:pt idx="52">
                        <c:v>17.4311620891648</c:v>
                      </c:pt>
                      <c:pt idx="53">
                        <c:v>18.070139793911199</c:v>
                      </c:pt>
                      <c:pt idx="54">
                        <c:v>18.610678499187301</c:v>
                      </c:pt>
                      <c:pt idx="55">
                        <c:v>19.234592584797699</c:v>
                      </c:pt>
                      <c:pt idx="56">
                        <c:v>19.835736083342098</c:v>
                      </c:pt>
                      <c:pt idx="57">
                        <c:v>20.436879581886402</c:v>
                      </c:pt>
                      <c:pt idx="58">
                        <c:v>21.038023080430701</c:v>
                      </c:pt>
                      <c:pt idx="59">
                        <c:v>21.639166578975001</c:v>
                      </c:pt>
                      <c:pt idx="60">
                        <c:v>22.2403100775193</c:v>
                      </c:pt>
                      <c:pt idx="61">
                        <c:v>22.841453576063699</c:v>
                      </c:pt>
                      <c:pt idx="62">
                        <c:v>23.442597074607999</c:v>
                      </c:pt>
                      <c:pt idx="63">
                        <c:v>24.043740573152299</c:v>
                      </c:pt>
                      <c:pt idx="64">
                        <c:v>24.644884071696598</c:v>
                      </c:pt>
                      <c:pt idx="65">
                        <c:v>25.2095946309352</c:v>
                      </c:pt>
                      <c:pt idx="66">
                        <c:v>25.894013419321201</c:v>
                      </c:pt>
                      <c:pt idx="67">
                        <c:v>26.400094500601401</c:v>
                      </c:pt>
                      <c:pt idx="68">
                        <c:v>27.0494580658739</c:v>
                      </c:pt>
                      <c:pt idx="69">
                        <c:v>27.650601564418199</c:v>
                      </c:pt>
                      <c:pt idx="70">
                        <c:v>28.251745062962499</c:v>
                      </c:pt>
                      <c:pt idx="71">
                        <c:v>28.852888561506798</c:v>
                      </c:pt>
                      <c:pt idx="72">
                        <c:v>29.454032060051201</c:v>
                      </c:pt>
                      <c:pt idx="73">
                        <c:v>30.055175558595501</c:v>
                      </c:pt>
                      <c:pt idx="74">
                        <c:v>30.6563190571398</c:v>
                      </c:pt>
                      <c:pt idx="75">
                        <c:v>31.2574625556841</c:v>
                      </c:pt>
                      <c:pt idx="76">
                        <c:v>31.881376641294501</c:v>
                      </c:pt>
                      <c:pt idx="77">
                        <c:v>32.459749552772799</c:v>
                      </c:pt>
                      <c:pt idx="78">
                        <c:v>33.060893051317102</c:v>
                      </c:pt>
                      <c:pt idx="79">
                        <c:v>33.498088322985701</c:v>
                      </c:pt>
                      <c:pt idx="80">
                        <c:v>34.263180048405701</c:v>
                      </c:pt>
                      <c:pt idx="81">
                        <c:v>34.864323546949997</c:v>
                      </c:pt>
                      <c:pt idx="82">
                        <c:v>35.4654670454944</c:v>
                      </c:pt>
                      <c:pt idx="83">
                        <c:v>37.870041039671598</c:v>
                      </c:pt>
                      <c:pt idx="84">
                        <c:v>38.471184538216001</c:v>
                      </c:pt>
                      <c:pt idx="85">
                        <c:v>39.072328036760297</c:v>
                      </c:pt>
                      <c:pt idx="86">
                        <c:v>39.400224490511697</c:v>
                      </c:pt>
                      <c:pt idx="87">
                        <c:v>40.247290329369598</c:v>
                      </c:pt>
                      <c:pt idx="88">
                        <c:v>40.923076923076898</c:v>
                      </c:pt>
                      <c:pt idx="89">
                        <c:v>41.696832579185497</c:v>
                      </c:pt>
                      <c:pt idx="90">
                        <c:v>42.470588235294102</c:v>
                      </c:pt>
                      <c:pt idx="91">
                        <c:v>43.072398190045199</c:v>
                      </c:pt>
                      <c:pt idx="92">
                        <c:v>43.717194570135703</c:v>
                      </c:pt>
                      <c:pt idx="93">
                        <c:v>44.490950226244301</c:v>
                      </c:pt>
                      <c:pt idx="94">
                        <c:v>45.264705882352899</c:v>
                      </c:pt>
                      <c:pt idx="95">
                        <c:v>45.780542986425303</c:v>
                      </c:pt>
                      <c:pt idx="96">
                        <c:v>46.296380090497699</c:v>
                      </c:pt>
                      <c:pt idx="97">
                        <c:v>46.726244343891402</c:v>
                      </c:pt>
                      <c:pt idx="98">
                        <c:v>47.328054298642499</c:v>
                      </c:pt>
                      <c:pt idx="99">
                        <c:v>47.929864253393603</c:v>
                      </c:pt>
                      <c:pt idx="100">
                        <c:v>48.4886877828054</c:v>
                      </c:pt>
                      <c:pt idx="101">
                        <c:v>49.090497737556497</c:v>
                      </c:pt>
                      <c:pt idx="102">
                        <c:v>49.5633484162895</c:v>
                      </c:pt>
                      <c:pt idx="103">
                        <c:v>50.122171945701297</c:v>
                      </c:pt>
                      <c:pt idx="104">
                        <c:v>50.552036199094999</c:v>
                      </c:pt>
                      <c:pt idx="105">
                        <c:v>51.282805429864197</c:v>
                      </c:pt>
                      <c:pt idx="106">
                        <c:v>51.7126696832579</c:v>
                      </c:pt>
                      <c:pt idx="107">
                        <c:v>52.228506787330303</c:v>
                      </c:pt>
                      <c:pt idx="108">
                        <c:v>52.787330316742</c:v>
                      </c:pt>
                      <c:pt idx="109">
                        <c:v>53.389140271493197</c:v>
                      </c:pt>
                      <c:pt idx="110">
                        <c:v>53.947963800904901</c:v>
                      </c:pt>
                      <c:pt idx="111">
                        <c:v>54.291855203619903</c:v>
                      </c:pt>
                    </c:numCache>
                  </c:numRef>
                </c:xVal>
                <c:yVal>
                  <c:numRef>
                    <c:extLst xmlns:c15="http://schemas.microsoft.com/office/drawing/2012/chart">
                      <c:ext xmlns:c15="http://schemas.microsoft.com/office/drawing/2012/chart" uri="{02D57815-91ED-43cb-92C2-25804820EDAC}">
                        <c15:formulaRef>
                          <c15:sqref>Sheet1!$L$3:$L$114</c15:sqref>
                        </c15:formulaRef>
                      </c:ext>
                    </c:extLst>
                    <c:numCache>
                      <c:formatCode>General</c:formatCode>
                      <c:ptCount val="112"/>
                      <c:pt idx="0">
                        <c:v>98.403193612774402</c:v>
                      </c:pt>
                      <c:pt idx="1">
                        <c:v>97.205588822355296</c:v>
                      </c:pt>
                      <c:pt idx="2">
                        <c:v>96.772279796928103</c:v>
                      </c:pt>
                      <c:pt idx="3">
                        <c:v>94.387648475658494</c:v>
                      </c:pt>
                      <c:pt idx="4">
                        <c:v>92.4519731301516</c:v>
                      </c:pt>
                      <c:pt idx="5">
                        <c:v>90.588074497000804</c:v>
                      </c:pt>
                      <c:pt idx="6">
                        <c:v>87.604326231258398</c:v>
                      </c:pt>
                      <c:pt idx="7">
                        <c:v>81.0379241516966</c:v>
                      </c:pt>
                      <c:pt idx="8">
                        <c:v>81.0379241516966</c:v>
                      </c:pt>
                      <c:pt idx="9">
                        <c:v>77.844311377245504</c:v>
                      </c:pt>
                      <c:pt idx="10">
                        <c:v>75.449101796407106</c:v>
                      </c:pt>
                      <c:pt idx="11">
                        <c:v>75.449101796407106</c:v>
                      </c:pt>
                      <c:pt idx="12">
                        <c:v>70.658682634730496</c:v>
                      </c:pt>
                      <c:pt idx="13">
                        <c:v>69.2308841977257</c:v>
                      </c:pt>
                      <c:pt idx="14">
                        <c:v>64.014881520335706</c:v>
                      </c:pt>
                      <c:pt idx="15">
                        <c:v>64.014881520335706</c:v>
                      </c:pt>
                      <c:pt idx="16">
                        <c:v>61.191140544062598</c:v>
                      </c:pt>
                      <c:pt idx="17">
                        <c:v>59.154043334519599</c:v>
                      </c:pt>
                      <c:pt idx="18">
                        <c:v>59.0818363273453</c:v>
                      </c:pt>
                      <c:pt idx="19">
                        <c:v>59.0818363273453</c:v>
                      </c:pt>
                      <c:pt idx="20">
                        <c:v>57.684630738522898</c:v>
                      </c:pt>
                      <c:pt idx="21">
                        <c:v>56.487025948103799</c:v>
                      </c:pt>
                      <c:pt idx="22">
                        <c:v>56.287425149700603</c:v>
                      </c:pt>
                      <c:pt idx="23">
                        <c:v>56.0878243512974</c:v>
                      </c:pt>
                      <c:pt idx="24">
                        <c:v>54.690618762474998</c:v>
                      </c:pt>
                      <c:pt idx="25">
                        <c:v>54.091816367265402</c:v>
                      </c:pt>
                      <c:pt idx="26">
                        <c:v>53.446454518728501</c:v>
                      </c:pt>
                      <c:pt idx="27">
                        <c:v>52.694610778443099</c:v>
                      </c:pt>
                      <c:pt idx="28">
                        <c:v>52.442964669673998</c:v>
                      </c:pt>
                      <c:pt idx="29">
                        <c:v>52.2954091816367</c:v>
                      </c:pt>
                      <c:pt idx="30">
                        <c:v>51.357086491468898</c:v>
                      </c:pt>
                      <c:pt idx="31">
                        <c:v>49.700598802395199</c:v>
                      </c:pt>
                      <c:pt idx="32">
                        <c:v>48.694295693320903</c:v>
                      </c:pt>
                      <c:pt idx="33">
                        <c:v>48.502994011976</c:v>
                      </c:pt>
                      <c:pt idx="34">
                        <c:v>48.005309559410598</c:v>
                      </c:pt>
                      <c:pt idx="35">
                        <c:v>47.148280527661299</c:v>
                      </c:pt>
                      <c:pt idx="36">
                        <c:v>47.148280527661299</c:v>
                      </c:pt>
                      <c:pt idx="37">
                        <c:v>46.375888111022498</c:v>
                      </c:pt>
                      <c:pt idx="38">
                        <c:v>44.962021994468699</c:v>
                      </c:pt>
                      <c:pt idx="39">
                        <c:v>44.216270301773697</c:v>
                      </c:pt>
                      <c:pt idx="40">
                        <c:v>44.111776447105797</c:v>
                      </c:pt>
                      <c:pt idx="41">
                        <c:v>43.974262213442699</c:v>
                      </c:pt>
                      <c:pt idx="42">
                        <c:v>43.653777715886001</c:v>
                      </c:pt>
                      <c:pt idx="43">
                        <c:v>43.177985115041203</c:v>
                      </c:pt>
                      <c:pt idx="44">
                        <c:v>42.914171656686598</c:v>
                      </c:pt>
                      <c:pt idx="45">
                        <c:v>42.543183038935702</c:v>
                      </c:pt>
                      <c:pt idx="46">
                        <c:v>42.543183038935702</c:v>
                      </c:pt>
                      <c:pt idx="47">
                        <c:v>41.801358523263502</c:v>
                      </c:pt>
                      <c:pt idx="48">
                        <c:v>41.507847354386797</c:v>
                      </c:pt>
                      <c:pt idx="49">
                        <c:v>41.507847354386797</c:v>
                      </c:pt>
                      <c:pt idx="50">
                        <c:v>41.002026953844201</c:v>
                      </c:pt>
                      <c:pt idx="51">
                        <c:v>40.325344143753803</c:v>
                      </c:pt>
                      <c:pt idx="52">
                        <c:v>40.1750129058303</c:v>
                      </c:pt>
                      <c:pt idx="53">
                        <c:v>40.091433114688897</c:v>
                      </c:pt>
                      <c:pt idx="54">
                        <c:v>40.041278339101297</c:v>
                      </c:pt>
                      <c:pt idx="55">
                        <c:v>40.041278339101297</c:v>
                      </c:pt>
                      <c:pt idx="56">
                        <c:v>39.7090245161544</c:v>
                      </c:pt>
                      <c:pt idx="57">
                        <c:v>39.5936808553435</c:v>
                      </c:pt>
                      <c:pt idx="58">
                        <c:v>39.5936808553435</c:v>
                      </c:pt>
                      <c:pt idx="59">
                        <c:v>39.316856069397502</c:v>
                      </c:pt>
                      <c:pt idx="60">
                        <c:v>38.8439470600729</c:v>
                      </c:pt>
                      <c:pt idx="61">
                        <c:v>38.221091291694201</c:v>
                      </c:pt>
                      <c:pt idx="62">
                        <c:v>37.817388478856202</c:v>
                      </c:pt>
                      <c:pt idx="63">
                        <c:v>37.390616933856002</c:v>
                      </c:pt>
                      <c:pt idx="64">
                        <c:v>36.935393952522503</c:v>
                      </c:pt>
                      <c:pt idx="65">
                        <c:v>36.630656000660203</c:v>
                      </c:pt>
                      <c:pt idx="66">
                        <c:v>35.745349463494499</c:v>
                      </c:pt>
                      <c:pt idx="67">
                        <c:v>35.532802113402802</c:v>
                      </c:pt>
                      <c:pt idx="68">
                        <c:v>35.532802113402802</c:v>
                      </c:pt>
                      <c:pt idx="69">
                        <c:v>35.302896673179298</c:v>
                      </c:pt>
                      <c:pt idx="70">
                        <c:v>34.518559779665402</c:v>
                      </c:pt>
                      <c:pt idx="71">
                        <c:v>34.4704999209942</c:v>
                      </c:pt>
                      <c:pt idx="72">
                        <c:v>34.4704999209942</c:v>
                      </c:pt>
                      <c:pt idx="73">
                        <c:v>34.4704999209942</c:v>
                      </c:pt>
                      <c:pt idx="74">
                        <c:v>34.403216118854601</c:v>
                      </c:pt>
                      <c:pt idx="75">
                        <c:v>34.011047672097597</c:v>
                      </c:pt>
                      <c:pt idx="76">
                        <c:v>33.699139189321599</c:v>
                      </c:pt>
                      <c:pt idx="77">
                        <c:v>33.699139189321599</c:v>
                      </c:pt>
                      <c:pt idx="78">
                        <c:v>33.122901483853902</c:v>
                      </c:pt>
                      <c:pt idx="79">
                        <c:v>33.122901483853902</c:v>
                      </c:pt>
                      <c:pt idx="80">
                        <c:v>32.500045715475302</c:v>
                      </c:pt>
                      <c:pt idx="81">
                        <c:v>32.488511349394201</c:v>
                      </c:pt>
                      <c:pt idx="82">
                        <c:v>32.488511349394201</c:v>
                      </c:pt>
                      <c:pt idx="83">
                        <c:v>32.317033773655403</c:v>
                      </c:pt>
                      <c:pt idx="84">
                        <c:v>32.317033773655403</c:v>
                      </c:pt>
                      <c:pt idx="85">
                        <c:v>32.317033773655403</c:v>
                      </c:pt>
                      <c:pt idx="86">
                        <c:v>31.7272431880425</c:v>
                      </c:pt>
                      <c:pt idx="87">
                        <c:v>31.283170093920599</c:v>
                      </c:pt>
                      <c:pt idx="88">
                        <c:v>31.137724550898199</c:v>
                      </c:pt>
                      <c:pt idx="89">
                        <c:v>31.137724550898199</c:v>
                      </c:pt>
                      <c:pt idx="90">
                        <c:v>31.137724550898199</c:v>
                      </c:pt>
                      <c:pt idx="91">
                        <c:v>31.137724550898199</c:v>
                      </c:pt>
                      <c:pt idx="92">
                        <c:v>31.137724550898199</c:v>
                      </c:pt>
                      <c:pt idx="93">
                        <c:v>31.137724550898199</c:v>
                      </c:pt>
                      <c:pt idx="94">
                        <c:v>31.137724550898199</c:v>
                      </c:pt>
                      <c:pt idx="95">
                        <c:v>31.137724550898199</c:v>
                      </c:pt>
                      <c:pt idx="96">
                        <c:v>31.137724550898199</c:v>
                      </c:pt>
                      <c:pt idx="97">
                        <c:v>31.137724550898199</c:v>
                      </c:pt>
                      <c:pt idx="98">
                        <c:v>31.137724550898199</c:v>
                      </c:pt>
                      <c:pt idx="99">
                        <c:v>31.137724550898199</c:v>
                      </c:pt>
                      <c:pt idx="100">
                        <c:v>31.137724550898199</c:v>
                      </c:pt>
                      <c:pt idx="101">
                        <c:v>31.137724550898199</c:v>
                      </c:pt>
                      <c:pt idx="102">
                        <c:v>30.738522954091799</c:v>
                      </c:pt>
                      <c:pt idx="103">
                        <c:v>29.7405189620758</c:v>
                      </c:pt>
                      <c:pt idx="104">
                        <c:v>29.5409181636726</c:v>
                      </c:pt>
                      <c:pt idx="105">
                        <c:v>29.5409181636726</c:v>
                      </c:pt>
                      <c:pt idx="106">
                        <c:v>29.5409181636726</c:v>
                      </c:pt>
                      <c:pt idx="107">
                        <c:v>29.5409181636726</c:v>
                      </c:pt>
                      <c:pt idx="108">
                        <c:v>29.5409181636726</c:v>
                      </c:pt>
                      <c:pt idx="109">
                        <c:v>29.5409181636726</c:v>
                      </c:pt>
                      <c:pt idx="110">
                        <c:v>29.5409181636726</c:v>
                      </c:pt>
                      <c:pt idx="111">
                        <c:v>29.5409181636726</c:v>
                      </c:pt>
                    </c:numCache>
                  </c:numRef>
                </c:yVal>
                <c:smooth val="0"/>
                <c:extLst xmlns:c15="http://schemas.microsoft.com/office/drawing/2012/chart">
                  <c:ext xmlns:c16="http://schemas.microsoft.com/office/drawing/2014/chart" uri="{C3380CC4-5D6E-409C-BE32-E72D297353CC}">
                    <c16:uniqueId val="{00000009-190F-4CC1-81B1-926EE6ACF9AB}"/>
                  </c:ext>
                </c:extLst>
              </c15:ser>
            </c15:filteredScatterSeries>
            <c15:filteredScatterSeries>
              <c15:ser>
                <c:idx val="6"/>
                <c:order val="6"/>
                <c:tx>
                  <c:v>067 NIVO+IPI PFS 6.5-yr follow up</c:v>
                </c:tx>
                <c:spPr>
                  <a:ln w="19050" cap="rnd">
                    <a:solidFill>
                      <a:schemeClr val="accent4">
                        <a:lumMod val="60000"/>
                        <a:lumOff val="4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Sheet1!$M$3:$M$113</c15:sqref>
                        </c15:formulaRef>
                      </c:ext>
                    </c:extLst>
                    <c:numCache>
                      <c:formatCode>General</c:formatCode>
                      <c:ptCount val="111"/>
                      <c:pt idx="0">
                        <c:v>6.5369649805447197E-2</c:v>
                      </c:pt>
                      <c:pt idx="1">
                        <c:v>0.52295719844358002</c:v>
                      </c:pt>
                      <c:pt idx="2">
                        <c:v>0.915175097276264</c:v>
                      </c:pt>
                      <c:pt idx="3">
                        <c:v>1.50350194552529</c:v>
                      </c:pt>
                      <c:pt idx="4">
                        <c:v>1.7649805447470801</c:v>
                      </c:pt>
                      <c:pt idx="5">
                        <c:v>1.83035019455252</c:v>
                      </c:pt>
                      <c:pt idx="6">
                        <c:v>2.41867704280155</c:v>
                      </c:pt>
                      <c:pt idx="7">
                        <c:v>2.61478599221789</c:v>
                      </c:pt>
                      <c:pt idx="8">
                        <c:v>2.6801556420233399</c:v>
                      </c:pt>
                      <c:pt idx="9">
                        <c:v>2.7829611508242</c:v>
                      </c:pt>
                      <c:pt idx="10">
                        <c:v>2.9416342412451302</c:v>
                      </c:pt>
                      <c:pt idx="11">
                        <c:v>3.0070038910505801</c:v>
                      </c:pt>
                      <c:pt idx="12">
                        <c:v>3.1377431906614701</c:v>
                      </c:pt>
                      <c:pt idx="13">
                        <c:v>3.39922178988326</c:v>
                      </c:pt>
                      <c:pt idx="14">
                        <c:v>3.98754863813229</c:v>
                      </c:pt>
                      <c:pt idx="15">
                        <c:v>4.2490272373540803</c:v>
                      </c:pt>
                      <c:pt idx="16">
                        <c:v>4.6412451361867699</c:v>
                      </c:pt>
                      <c:pt idx="17">
                        <c:v>5.1642023346303496</c:v>
                      </c:pt>
                      <c:pt idx="18">
                        <c:v>5.7525291828793703</c:v>
                      </c:pt>
                      <c:pt idx="19">
                        <c:v>6.0140077821011602</c:v>
                      </c:pt>
                      <c:pt idx="20">
                        <c:v>6.6023346303501897</c:v>
                      </c:pt>
                      <c:pt idx="21">
                        <c:v>7.0599221789883204</c:v>
                      </c:pt>
                      <c:pt idx="22">
                        <c:v>7.3453276727973904</c:v>
                      </c:pt>
                      <c:pt idx="23">
                        <c:v>7.9750972762645898</c:v>
                      </c:pt>
                      <c:pt idx="24">
                        <c:v>8.2552013381481704</c:v>
                      </c:pt>
                      <c:pt idx="25">
                        <c:v>8.6941634241245094</c:v>
                      </c:pt>
                      <c:pt idx="26">
                        <c:v>9.1195813202314095</c:v>
                      </c:pt>
                      <c:pt idx="27">
                        <c:v>9.6093385214007796</c:v>
                      </c:pt>
                      <c:pt idx="28">
                        <c:v>10.0489522784111</c:v>
                      </c:pt>
                      <c:pt idx="29">
                        <c:v>10.7859922178988</c:v>
                      </c:pt>
                      <c:pt idx="30">
                        <c:v>10.985363925667899</c:v>
                      </c:pt>
                      <c:pt idx="31">
                        <c:v>11.604944564454399</c:v>
                      </c:pt>
                      <c:pt idx="32">
                        <c:v>11.9626459143968</c:v>
                      </c:pt>
                      <c:pt idx="33">
                        <c:v>12.499112077248499</c:v>
                      </c:pt>
                      <c:pt idx="34">
                        <c:v>13.4284830354283</c:v>
                      </c:pt>
                      <c:pt idx="35">
                        <c:v>14.350813304530901</c:v>
                      </c:pt>
                      <c:pt idx="36">
                        <c:v>15.287224951787699</c:v>
                      </c:pt>
                      <c:pt idx="37">
                        <c:v>16.216595909967399</c:v>
                      </c:pt>
                      <c:pt idx="38">
                        <c:v>17.145966868147202</c:v>
                      </c:pt>
                      <c:pt idx="39">
                        <c:v>18.082378515403999</c:v>
                      </c:pt>
                      <c:pt idx="40">
                        <c:v>19.004708784506601</c:v>
                      </c:pt>
                      <c:pt idx="41">
                        <c:v>19.934079742686301</c:v>
                      </c:pt>
                      <c:pt idx="42">
                        <c:v>20.835287944557599</c:v>
                      </c:pt>
                      <c:pt idx="43">
                        <c:v>21.792821659045799</c:v>
                      </c:pt>
                      <c:pt idx="44">
                        <c:v>22.722192617225499</c:v>
                      </c:pt>
                      <c:pt idx="45">
                        <c:v>23.651563575405198</c:v>
                      </c:pt>
                      <c:pt idx="46">
                        <c:v>24.626428216852499</c:v>
                      </c:pt>
                      <c:pt idx="47">
                        <c:v>25.517346180841798</c:v>
                      </c:pt>
                      <c:pt idx="48">
                        <c:v>26.420179157115498</c:v>
                      </c:pt>
                      <c:pt idx="49">
                        <c:v>27.383128786278402</c:v>
                      </c:pt>
                      <c:pt idx="50">
                        <c:v>28.298418366303899</c:v>
                      </c:pt>
                      <c:pt idx="51">
                        <c:v>29.227789324483599</c:v>
                      </c:pt>
                      <c:pt idx="52">
                        <c:v>30.128997526354802</c:v>
                      </c:pt>
                      <c:pt idx="53">
                        <c:v>31.086531240843001</c:v>
                      </c:pt>
                      <c:pt idx="54">
                        <c:v>32.015902199022797</c:v>
                      </c:pt>
                      <c:pt idx="55">
                        <c:v>32.9452731572025</c:v>
                      </c:pt>
                      <c:pt idx="56">
                        <c:v>33.846481359073699</c:v>
                      </c:pt>
                      <c:pt idx="57">
                        <c:v>34.804015073561899</c:v>
                      </c:pt>
                      <c:pt idx="58">
                        <c:v>35.7658815197899</c:v>
                      </c:pt>
                      <c:pt idx="59">
                        <c:v>36.662756989921398</c:v>
                      </c:pt>
                      <c:pt idx="60">
                        <c:v>37.592127948101101</c:v>
                      </c:pt>
                      <c:pt idx="61">
                        <c:v>38.547495296719397</c:v>
                      </c:pt>
                      <c:pt idx="62">
                        <c:v>39.4508698644606</c:v>
                      </c:pt>
                      <c:pt idx="63">
                        <c:v>40.380240822640303</c:v>
                      </c:pt>
                      <c:pt idx="64">
                        <c:v>41.302571091742898</c:v>
                      </c:pt>
                      <c:pt idx="65">
                        <c:v>42.238982738999702</c:v>
                      </c:pt>
                      <c:pt idx="66">
                        <c:v>43.168353697179498</c:v>
                      </c:pt>
                      <c:pt idx="67">
                        <c:v>44.097724655359201</c:v>
                      </c:pt>
                      <c:pt idx="68">
                        <c:v>45.046592906367799</c:v>
                      </c:pt>
                      <c:pt idx="69">
                        <c:v>45.9564665717186</c:v>
                      </c:pt>
                      <c:pt idx="70">
                        <c:v>46.906959597129699</c:v>
                      </c:pt>
                      <c:pt idx="71">
                        <c:v>47.801127109923797</c:v>
                      </c:pt>
                      <c:pt idx="72">
                        <c:v>48.744579446257802</c:v>
                      </c:pt>
                      <c:pt idx="73">
                        <c:v>49.680991093514599</c:v>
                      </c:pt>
                      <c:pt idx="74">
                        <c:v>50.603321362617201</c:v>
                      </c:pt>
                      <c:pt idx="75">
                        <c:v>51.532692320796997</c:v>
                      </c:pt>
                      <c:pt idx="76">
                        <c:v>52.4620632789767</c:v>
                      </c:pt>
                      <c:pt idx="77">
                        <c:v>53.391434237156403</c:v>
                      </c:pt>
                      <c:pt idx="78">
                        <c:v>54.320805195336099</c:v>
                      </c:pt>
                      <c:pt idx="79">
                        <c:v>55.276172543954502</c:v>
                      </c:pt>
                      <c:pt idx="80">
                        <c:v>56.179547111695598</c:v>
                      </c:pt>
                      <c:pt idx="81">
                        <c:v>57.108918069875301</c:v>
                      </c:pt>
                      <c:pt idx="82">
                        <c:v>58.038289028054997</c:v>
                      </c:pt>
                      <c:pt idx="83">
                        <c:v>58.9676599862348</c:v>
                      </c:pt>
                      <c:pt idx="84">
                        <c:v>59.897030944414503</c:v>
                      </c:pt>
                      <c:pt idx="85">
                        <c:v>60.840483280748401</c:v>
                      </c:pt>
                      <c:pt idx="86">
                        <c:v>61.762813549851103</c:v>
                      </c:pt>
                      <c:pt idx="87">
                        <c:v>62.720347264339203</c:v>
                      </c:pt>
                      <c:pt idx="88">
                        <c:v>63.614514777133401</c:v>
                      </c:pt>
                      <c:pt idx="89">
                        <c:v>64.572048491621601</c:v>
                      </c:pt>
                      <c:pt idx="90">
                        <c:v>65.487338071647102</c:v>
                      </c:pt>
                      <c:pt idx="91">
                        <c:v>66.374464895364099</c:v>
                      </c:pt>
                      <c:pt idx="92">
                        <c:v>67.357995000290899</c:v>
                      </c:pt>
                      <c:pt idx="93">
                        <c:v>68.274367763251306</c:v>
                      </c:pt>
                      <c:pt idx="94">
                        <c:v>69.223236014259996</c:v>
                      </c:pt>
                      <c:pt idx="95">
                        <c:v>70.084908039005896</c:v>
                      </c:pt>
                      <c:pt idx="96">
                        <c:v>71.049482442571204</c:v>
                      </c:pt>
                      <c:pt idx="97">
                        <c:v>71.985894089827994</c:v>
                      </c:pt>
                      <c:pt idx="98">
                        <c:v>72.9363871152391</c:v>
                      </c:pt>
                      <c:pt idx="99">
                        <c:v>73.830554628033198</c:v>
                      </c:pt>
                      <c:pt idx="100">
                        <c:v>74.7528848971358</c:v>
                      </c:pt>
                      <c:pt idx="101">
                        <c:v>75.6611337880842</c:v>
                      </c:pt>
                      <c:pt idx="102">
                        <c:v>76.398239775311794</c:v>
                      </c:pt>
                      <c:pt idx="103">
                        <c:v>77.306894859860805</c:v>
                      </c:pt>
                      <c:pt idx="104">
                        <c:v>78.196196014028104</c:v>
                      </c:pt>
                      <c:pt idx="105">
                        <c:v>79.160356259412396</c:v>
                      </c:pt>
                      <c:pt idx="106">
                        <c:v>80.063324633552895</c:v>
                      </c:pt>
                      <c:pt idx="107">
                        <c:v>80.986602687723604</c:v>
                      </c:pt>
                      <c:pt idx="108">
                        <c:v>81.920306377643101</c:v>
                      </c:pt>
                      <c:pt idx="109">
                        <c:v>82.897337384960295</c:v>
                      </c:pt>
                      <c:pt idx="110">
                        <c:v>83.595990377997495</c:v>
                      </c:pt>
                    </c:numCache>
                  </c:numRef>
                </c:xVal>
                <c:yVal>
                  <c:numRef>
                    <c:extLst xmlns:c15="http://schemas.microsoft.com/office/drawing/2012/chart">
                      <c:ext xmlns:c15="http://schemas.microsoft.com/office/drawing/2012/chart" uri="{02D57815-91ED-43cb-92C2-25804820EDAC}">
                        <c15:formulaRef>
                          <c15:sqref>Sheet1!$N$3:$N$113</c15:sqref>
                        </c15:formulaRef>
                      </c:ext>
                    </c:extLst>
                    <c:numCache>
                      <c:formatCode>General</c:formatCode>
                      <c:ptCount val="111"/>
                      <c:pt idx="0">
                        <c:v>100</c:v>
                      </c:pt>
                      <c:pt idx="1">
                        <c:v>99.245283018867894</c:v>
                      </c:pt>
                      <c:pt idx="2">
                        <c:v>97.924528301886696</c:v>
                      </c:pt>
                      <c:pt idx="3">
                        <c:v>96.037735849056602</c:v>
                      </c:pt>
                      <c:pt idx="4">
                        <c:v>94.339622641509393</c:v>
                      </c:pt>
                      <c:pt idx="5">
                        <c:v>93.018867924528294</c:v>
                      </c:pt>
                      <c:pt idx="6">
                        <c:v>88.301886792452805</c:v>
                      </c:pt>
                      <c:pt idx="7">
                        <c:v>81.509433962264097</c:v>
                      </c:pt>
                      <c:pt idx="8">
                        <c:v>81.509433962264097</c:v>
                      </c:pt>
                      <c:pt idx="9">
                        <c:v>78.802233750784694</c:v>
                      </c:pt>
                      <c:pt idx="10">
                        <c:v>77.358490566037702</c:v>
                      </c:pt>
                      <c:pt idx="11">
                        <c:v>75.471698113207495</c:v>
                      </c:pt>
                      <c:pt idx="12">
                        <c:v>73.018867924528294</c:v>
                      </c:pt>
                      <c:pt idx="13">
                        <c:v>71.886792452830093</c:v>
                      </c:pt>
                      <c:pt idx="14">
                        <c:v>70.754716981132006</c:v>
                      </c:pt>
                      <c:pt idx="15">
                        <c:v>68.867924528301799</c:v>
                      </c:pt>
                      <c:pt idx="16">
                        <c:v>67.735849056603698</c:v>
                      </c:pt>
                      <c:pt idx="17">
                        <c:v>65.660377358490507</c:v>
                      </c:pt>
                      <c:pt idx="18">
                        <c:v>64.716981132075404</c:v>
                      </c:pt>
                      <c:pt idx="19">
                        <c:v>62.264150943396203</c:v>
                      </c:pt>
                      <c:pt idx="20">
                        <c:v>61.8867924528301</c:v>
                      </c:pt>
                      <c:pt idx="21">
                        <c:v>60.188679245282998</c:v>
                      </c:pt>
                      <c:pt idx="22">
                        <c:v>59.268137209253403</c:v>
                      </c:pt>
                      <c:pt idx="23">
                        <c:v>58.679245283018801</c:v>
                      </c:pt>
                      <c:pt idx="24">
                        <c:v>58.0392482315292</c:v>
                      </c:pt>
                      <c:pt idx="25">
                        <c:v>56.2264150943396</c:v>
                      </c:pt>
                      <c:pt idx="26">
                        <c:v>55.5045314860931</c:v>
                      </c:pt>
                      <c:pt idx="27">
                        <c:v>55.094339622641499</c:v>
                      </c:pt>
                      <c:pt idx="28">
                        <c:v>53.7753272072407</c:v>
                      </c:pt>
                      <c:pt idx="29">
                        <c:v>53.018867924528202</c:v>
                      </c:pt>
                      <c:pt idx="30">
                        <c:v>51.861547497100801</c:v>
                      </c:pt>
                      <c:pt idx="31">
                        <c:v>49.060197270594401</c:v>
                      </c:pt>
                      <c:pt idx="32">
                        <c:v>49.060197270594401</c:v>
                      </c:pt>
                      <c:pt idx="33">
                        <c:v>48.728119846316901</c:v>
                      </c:pt>
                      <c:pt idx="34">
                        <c:v>48.173887705659098</c:v>
                      </c:pt>
                      <c:pt idx="35">
                        <c:v>47.558074216039302</c:v>
                      </c:pt>
                      <c:pt idx="36">
                        <c:v>47.462623125148298</c:v>
                      </c:pt>
                      <c:pt idx="37">
                        <c:v>46.681155806820797</c:v>
                      </c:pt>
                      <c:pt idx="38">
                        <c:v>45.410116764245501</c:v>
                      </c:pt>
                      <c:pt idx="39">
                        <c:v>44.623261077883797</c:v>
                      </c:pt>
                      <c:pt idx="40">
                        <c:v>44.395871946841702</c:v>
                      </c:pt>
                      <c:pt idx="41">
                        <c:v>44.055942900571601</c:v>
                      </c:pt>
                      <c:pt idx="42">
                        <c:v>43.597007897432498</c:v>
                      </c:pt>
                      <c:pt idx="43">
                        <c:v>42.812615465029197</c:v>
                      </c:pt>
                      <c:pt idx="44">
                        <c:v>41.105580471803201</c:v>
                      </c:pt>
                      <c:pt idx="45">
                        <c:v>41.027987972111099</c:v>
                      </c:pt>
                      <c:pt idx="46">
                        <c:v>40.574967146985699</c:v>
                      </c:pt>
                      <c:pt idx="47">
                        <c:v>40.553472887684599</c:v>
                      </c:pt>
                      <c:pt idx="48">
                        <c:v>40.485238384521303</c:v>
                      </c:pt>
                      <c:pt idx="49">
                        <c:v>40.322142550308897</c:v>
                      </c:pt>
                      <c:pt idx="50">
                        <c:v>40.008200833300698</c:v>
                      </c:pt>
                      <c:pt idx="51">
                        <c:v>39.875185119542898</c:v>
                      </c:pt>
                      <c:pt idx="52">
                        <c:v>39.761259623963198</c:v>
                      </c:pt>
                      <c:pt idx="53">
                        <c:v>39.761259623963198</c:v>
                      </c:pt>
                      <c:pt idx="54">
                        <c:v>39.077090836995602</c:v>
                      </c:pt>
                      <c:pt idx="55">
                        <c:v>38.768568278696101</c:v>
                      </c:pt>
                      <c:pt idx="56">
                        <c:v>38.670653933846602</c:v>
                      </c:pt>
                      <c:pt idx="57">
                        <c:v>38.670653933846602</c:v>
                      </c:pt>
                      <c:pt idx="58">
                        <c:v>38.539656193523903</c:v>
                      </c:pt>
                      <c:pt idx="59">
                        <c:v>38.508448660680699</c:v>
                      </c:pt>
                      <c:pt idx="60">
                        <c:v>38.319640244763299</c:v>
                      </c:pt>
                      <c:pt idx="61">
                        <c:v>38.1760514870913</c:v>
                      </c:pt>
                      <c:pt idx="62">
                        <c:v>38.019615912620502</c:v>
                      </c:pt>
                      <c:pt idx="63">
                        <c:v>37.861475008486202</c:v>
                      </c:pt>
                      <c:pt idx="64">
                        <c:v>37.754477414664699</c:v>
                      </c:pt>
                      <c:pt idx="65">
                        <c:v>37.754477414664699</c:v>
                      </c:pt>
                      <c:pt idx="66">
                        <c:v>37.754477414664699</c:v>
                      </c:pt>
                      <c:pt idx="67">
                        <c:v>37.597291021439297</c:v>
                      </c:pt>
                      <c:pt idx="68">
                        <c:v>37.157458079045398</c:v>
                      </c:pt>
                      <c:pt idx="69">
                        <c:v>36.891568762334998</c:v>
                      </c:pt>
                      <c:pt idx="70">
                        <c:v>36.644227274229202</c:v>
                      </c:pt>
                      <c:pt idx="71">
                        <c:v>36.549391996827801</c:v>
                      </c:pt>
                      <c:pt idx="72">
                        <c:v>36.549391996827801</c:v>
                      </c:pt>
                      <c:pt idx="73">
                        <c:v>36.545327627796297</c:v>
                      </c:pt>
                      <c:pt idx="74">
                        <c:v>36.545327627796297</c:v>
                      </c:pt>
                      <c:pt idx="75">
                        <c:v>36.459949824487303</c:v>
                      </c:pt>
                      <c:pt idx="76">
                        <c:v>36.459949824487303</c:v>
                      </c:pt>
                      <c:pt idx="77">
                        <c:v>36.459949824487303</c:v>
                      </c:pt>
                      <c:pt idx="78">
                        <c:v>36.459949824487303</c:v>
                      </c:pt>
                      <c:pt idx="79">
                        <c:v>36.459949824487303</c:v>
                      </c:pt>
                      <c:pt idx="80">
                        <c:v>36.459949824487303</c:v>
                      </c:pt>
                      <c:pt idx="81">
                        <c:v>36.459949824487303</c:v>
                      </c:pt>
                      <c:pt idx="82">
                        <c:v>36.045696827046903</c:v>
                      </c:pt>
                      <c:pt idx="83">
                        <c:v>36.045696827046903</c:v>
                      </c:pt>
                      <c:pt idx="84">
                        <c:v>36.045696827046903</c:v>
                      </c:pt>
                      <c:pt idx="85">
                        <c:v>36.045696827046903</c:v>
                      </c:pt>
                      <c:pt idx="86">
                        <c:v>36.045696827046903</c:v>
                      </c:pt>
                      <c:pt idx="87">
                        <c:v>36.045696827046903</c:v>
                      </c:pt>
                      <c:pt idx="88">
                        <c:v>36.045696827046903</c:v>
                      </c:pt>
                      <c:pt idx="89">
                        <c:v>36.045696827046903</c:v>
                      </c:pt>
                      <c:pt idx="90">
                        <c:v>36.045696827046903</c:v>
                      </c:pt>
                      <c:pt idx="91">
                        <c:v>36.045696827046903</c:v>
                      </c:pt>
                      <c:pt idx="92">
                        <c:v>36.0116186559368</c:v>
                      </c:pt>
                      <c:pt idx="93">
                        <c:v>35.983480716488003</c:v>
                      </c:pt>
                      <c:pt idx="94">
                        <c:v>35.983480716488003</c:v>
                      </c:pt>
                      <c:pt idx="95">
                        <c:v>35.871803616863602</c:v>
                      </c:pt>
                      <c:pt idx="96">
                        <c:v>35.3253395235105</c:v>
                      </c:pt>
                      <c:pt idx="97">
                        <c:v>35.3253395235105</c:v>
                      </c:pt>
                      <c:pt idx="98">
                        <c:v>34.916193041007098</c:v>
                      </c:pt>
                      <c:pt idx="99">
                        <c:v>34.671992201698401</c:v>
                      </c:pt>
                      <c:pt idx="100">
                        <c:v>34.671992201698401</c:v>
                      </c:pt>
                      <c:pt idx="101">
                        <c:v>34.350697378379699</c:v>
                      </c:pt>
                      <c:pt idx="102">
                        <c:v>33.730882341727202</c:v>
                      </c:pt>
                      <c:pt idx="103">
                        <c:v>33.730882341727202</c:v>
                      </c:pt>
                      <c:pt idx="104">
                        <c:v>33.730882341727202</c:v>
                      </c:pt>
                      <c:pt idx="105">
                        <c:v>33.730882341727202</c:v>
                      </c:pt>
                      <c:pt idx="106">
                        <c:v>33.730882341727202</c:v>
                      </c:pt>
                      <c:pt idx="107">
                        <c:v>33.730882341727202</c:v>
                      </c:pt>
                      <c:pt idx="108">
                        <c:v>33.730882341727202</c:v>
                      </c:pt>
                      <c:pt idx="109">
                        <c:v>33.730882341727202</c:v>
                      </c:pt>
                      <c:pt idx="110">
                        <c:v>33.730882341727202</c:v>
                      </c:pt>
                    </c:numCache>
                  </c:numRef>
                </c:yVal>
                <c:smooth val="0"/>
                <c:extLst xmlns:c15="http://schemas.microsoft.com/office/drawing/2012/chart">
                  <c:ext xmlns:c16="http://schemas.microsoft.com/office/drawing/2014/chart" uri="{C3380CC4-5D6E-409C-BE32-E72D297353CC}">
                    <c16:uniqueId val="{0000000A-190F-4CC1-81B1-926EE6ACF9AB}"/>
                  </c:ext>
                </c:extLst>
              </c15:ser>
            </c15:filteredScatterSeries>
            <c15:filteredScatterSeries>
              <c15:ser>
                <c:idx val="7"/>
                <c:order val="7"/>
                <c:tx>
                  <c:v>067 NIVO PFS 6.5-yr follow up</c:v>
                </c:tx>
                <c:spPr>
                  <a:ln w="19050" cap="rnd">
                    <a:solidFill>
                      <a:schemeClr val="accent4">
                        <a:lumMod val="60000"/>
                        <a:lumOff val="40000"/>
                      </a:schemeClr>
                    </a:solidFill>
                    <a:prstDash val="sysDot"/>
                    <a:round/>
                  </a:ln>
                  <a:effectLst/>
                </c:spPr>
                <c:marker>
                  <c:symbol val="none"/>
                </c:marker>
                <c:xVal>
                  <c:numRef>
                    <c:extLst xmlns:c15="http://schemas.microsoft.com/office/drawing/2012/chart">
                      <c:ext xmlns:c15="http://schemas.microsoft.com/office/drawing/2012/chart" uri="{02D57815-91ED-43cb-92C2-25804820EDAC}">
                        <c15:formulaRef>
                          <c15:sqref>Sheet1!$O$3:$O$107</c15:sqref>
                        </c15:formulaRef>
                      </c:ext>
                    </c:extLst>
                    <c:numCache>
                      <c:formatCode>General</c:formatCode>
                      <c:ptCount val="105"/>
                      <c:pt idx="0">
                        <c:v>0.22719101582996501</c:v>
                      </c:pt>
                      <c:pt idx="1">
                        <c:v>0.65369649805447505</c:v>
                      </c:pt>
                      <c:pt idx="2">
                        <c:v>0.98054474708171202</c:v>
                      </c:pt>
                      <c:pt idx="3">
                        <c:v>1.2420233463035</c:v>
                      </c:pt>
                      <c:pt idx="4">
                        <c:v>1.7831833018732901</c:v>
                      </c:pt>
                      <c:pt idx="5">
                        <c:v>2.0918287937743099</c:v>
                      </c:pt>
                      <c:pt idx="6">
                        <c:v>2.5494163424124499</c:v>
                      </c:pt>
                      <c:pt idx="7">
                        <c:v>2.5494163424124499</c:v>
                      </c:pt>
                      <c:pt idx="8">
                        <c:v>2.61478599221789</c:v>
                      </c:pt>
                      <c:pt idx="9">
                        <c:v>2.6801556420233399</c:v>
                      </c:pt>
                      <c:pt idx="10">
                        <c:v>2.6984728818987702</c:v>
                      </c:pt>
                      <c:pt idx="11">
                        <c:v>2.7455252918287898</c:v>
                      </c:pt>
                      <c:pt idx="12">
                        <c:v>2.7829611508242</c:v>
                      </c:pt>
                      <c:pt idx="13">
                        <c:v>2.8108949416342401</c:v>
                      </c:pt>
                      <c:pt idx="14">
                        <c:v>2.8674494197496299</c:v>
                      </c:pt>
                      <c:pt idx="15">
                        <c:v>2.8674494197496299</c:v>
                      </c:pt>
                      <c:pt idx="16">
                        <c:v>3.07237354085603</c:v>
                      </c:pt>
                      <c:pt idx="17">
                        <c:v>3.6607003891050498</c:v>
                      </c:pt>
                      <c:pt idx="18">
                        <c:v>4.2755872351734601</c:v>
                      </c:pt>
                      <c:pt idx="19">
                        <c:v>5.1148373731660497</c:v>
                      </c:pt>
                      <c:pt idx="20">
                        <c:v>5.5564202334630304</c:v>
                      </c:pt>
                      <c:pt idx="21">
                        <c:v>5.9935153699905204</c:v>
                      </c:pt>
                      <c:pt idx="22">
                        <c:v>6.7116656558566703</c:v>
                      </c:pt>
                      <c:pt idx="23">
                        <c:v>6.9945525291828696</c:v>
                      </c:pt>
                      <c:pt idx="24">
                        <c:v>7.4298159417228202</c:v>
                      </c:pt>
                      <c:pt idx="25">
                        <c:v>8.4326848249027204</c:v>
                      </c:pt>
                      <c:pt idx="26">
                        <c:v>9.0210116731517491</c:v>
                      </c:pt>
                      <c:pt idx="27">
                        <c:v>9.5420226648585604</c:v>
                      </c:pt>
                      <c:pt idx="28">
                        <c:v>10.7859922178988</c:v>
                      </c:pt>
                      <c:pt idx="29">
                        <c:v>11.9626459143968</c:v>
                      </c:pt>
                      <c:pt idx="30">
                        <c:v>13.008560311284</c:v>
                      </c:pt>
                      <c:pt idx="31">
                        <c:v>14.1536740103715</c:v>
                      </c:pt>
                      <c:pt idx="32">
                        <c:v>15.4272373540856</c:v>
                      </c:pt>
                      <c:pt idx="33">
                        <c:v>16.277042801556401</c:v>
                      </c:pt>
                      <c:pt idx="34">
                        <c:v>16.8</c:v>
                      </c:pt>
                      <c:pt idx="35">
                        <c:v>18.042023346303498</c:v>
                      </c:pt>
                      <c:pt idx="36">
                        <c:v>19.1736853223575</c:v>
                      </c:pt>
                      <c:pt idx="37">
                        <c:v>19.6108949416342</c:v>
                      </c:pt>
                      <c:pt idx="38">
                        <c:v>20.103056280537199</c:v>
                      </c:pt>
                      <c:pt idx="39">
                        <c:v>21.032427238716899</c:v>
                      </c:pt>
                      <c:pt idx="40">
                        <c:v>21.961798196896599</c:v>
                      </c:pt>
                      <c:pt idx="41">
                        <c:v>22.891169155076401</c:v>
                      </c:pt>
                      <c:pt idx="42">
                        <c:v>23.820540113256101</c:v>
                      </c:pt>
                      <c:pt idx="43">
                        <c:v>24.382879377431902</c:v>
                      </c:pt>
                      <c:pt idx="44">
                        <c:v>25.1019455252918</c:v>
                      </c:pt>
                      <c:pt idx="45">
                        <c:v>26.017120622568001</c:v>
                      </c:pt>
                      <c:pt idx="46">
                        <c:v>26.573449542409701</c:v>
                      </c:pt>
                      <c:pt idx="47">
                        <c:v>27.193774319066101</c:v>
                      </c:pt>
                      <c:pt idx="48">
                        <c:v>27.538023945974999</c:v>
                      </c:pt>
                      <c:pt idx="49">
                        <c:v>28.043579766536901</c:v>
                      </c:pt>
                      <c:pt idx="50">
                        <c:v>28.546250621818501</c:v>
                      </c:pt>
                      <c:pt idx="51">
                        <c:v>29.3382739838476</c:v>
                      </c:pt>
                      <c:pt idx="52">
                        <c:v>29.873929961089399</c:v>
                      </c:pt>
                      <c:pt idx="53">
                        <c:v>30.326136820514201</c:v>
                      </c:pt>
                      <c:pt idx="54">
                        <c:v>31.290711224079502</c:v>
                      </c:pt>
                      <c:pt idx="55">
                        <c:v>32.1060230192099</c:v>
                      </c:pt>
                      <c:pt idx="56">
                        <c:v>33.114249695053303</c:v>
                      </c:pt>
                      <c:pt idx="57">
                        <c:v>34.043620653233098</c:v>
                      </c:pt>
                      <c:pt idx="58">
                        <c:v>34.972991611412802</c:v>
                      </c:pt>
                      <c:pt idx="59">
                        <c:v>35.981570321710102</c:v>
                      </c:pt>
                      <c:pt idx="60">
                        <c:v>36.904152043994003</c:v>
                      </c:pt>
                      <c:pt idx="61">
                        <c:v>37.702612607465099</c:v>
                      </c:pt>
                      <c:pt idx="62">
                        <c:v>38.6904754441317</c:v>
                      </c:pt>
                      <c:pt idx="63">
                        <c:v>39.619846402311403</c:v>
                      </c:pt>
                      <c:pt idx="64">
                        <c:v>40.549217360491099</c:v>
                      </c:pt>
                      <c:pt idx="65">
                        <c:v>41.478588318670901</c:v>
                      </c:pt>
                      <c:pt idx="66">
                        <c:v>42.407959276850598</c:v>
                      </c:pt>
                      <c:pt idx="67">
                        <c:v>43.993774319066098</c:v>
                      </c:pt>
                      <c:pt idx="68">
                        <c:v>45.366536964980497</c:v>
                      </c:pt>
                      <c:pt idx="69">
                        <c:v>46.935408560311203</c:v>
                      </c:pt>
                      <c:pt idx="70">
                        <c:v>47.915953307392897</c:v>
                      </c:pt>
                      <c:pt idx="71">
                        <c:v>48.504280155642</c:v>
                      </c:pt>
                      <c:pt idx="72">
                        <c:v>49.550194552529099</c:v>
                      </c:pt>
                      <c:pt idx="73">
                        <c:v>50.772297900468097</c:v>
                      </c:pt>
                      <c:pt idx="74">
                        <c:v>51.7016688586478</c:v>
                      </c:pt>
                      <c:pt idx="75">
                        <c:v>52.631039816827503</c:v>
                      </c:pt>
                      <c:pt idx="76">
                        <c:v>53.560410775007298</c:v>
                      </c:pt>
                      <c:pt idx="77">
                        <c:v>54.489781733187002</c:v>
                      </c:pt>
                      <c:pt idx="78">
                        <c:v>55.419152691366698</c:v>
                      </c:pt>
                      <c:pt idx="79">
                        <c:v>56.348523649546401</c:v>
                      </c:pt>
                      <c:pt idx="80">
                        <c:v>57.133073929961</c:v>
                      </c:pt>
                      <c:pt idx="81">
                        <c:v>58.113618677042702</c:v>
                      </c:pt>
                      <c:pt idx="82">
                        <c:v>59.747859922178897</c:v>
                      </c:pt>
                      <c:pt idx="83">
                        <c:v>60.8591439688715</c:v>
                      </c:pt>
                      <c:pt idx="84">
                        <c:v>62.297276264591403</c:v>
                      </c:pt>
                      <c:pt idx="85">
                        <c:v>63.277821011673097</c:v>
                      </c:pt>
                      <c:pt idx="86">
                        <c:v>64.977431906614697</c:v>
                      </c:pt>
                      <c:pt idx="87">
                        <c:v>66.611673151750907</c:v>
                      </c:pt>
                      <c:pt idx="88">
                        <c:v>67.853696498054404</c:v>
                      </c:pt>
                      <c:pt idx="89">
                        <c:v>68.5993226437337</c:v>
                      </c:pt>
                      <c:pt idx="90">
                        <c:v>69.528693601913403</c:v>
                      </c:pt>
                      <c:pt idx="91">
                        <c:v>70.458064560093206</c:v>
                      </c:pt>
                      <c:pt idx="92">
                        <c:v>71.387435518272895</c:v>
                      </c:pt>
                      <c:pt idx="93">
                        <c:v>72.316806476452598</c:v>
                      </c:pt>
                      <c:pt idx="94">
                        <c:v>73.606225680933804</c:v>
                      </c:pt>
                      <c:pt idx="95">
                        <c:v>74.782879377431897</c:v>
                      </c:pt>
                      <c:pt idx="96">
                        <c:v>75.698054474708101</c:v>
                      </c:pt>
                      <c:pt idx="97">
                        <c:v>77.201556420233402</c:v>
                      </c:pt>
                      <c:pt idx="98">
                        <c:v>78.508949416342404</c:v>
                      </c:pt>
                      <c:pt idx="99">
                        <c:v>79.228015564202295</c:v>
                      </c:pt>
                      <c:pt idx="100">
                        <c:v>79.9470817120622</c:v>
                      </c:pt>
                      <c:pt idx="101">
                        <c:v>80.273929961089493</c:v>
                      </c:pt>
                      <c:pt idx="102">
                        <c:v>81.450583657587501</c:v>
                      </c:pt>
                      <c:pt idx="103">
                        <c:v>82.496498054474699</c:v>
                      </c:pt>
                      <c:pt idx="104">
                        <c:v>83.215564202334605</c:v>
                      </c:pt>
                    </c:numCache>
                  </c:numRef>
                </c:xVal>
                <c:yVal>
                  <c:numRef>
                    <c:extLst xmlns:c15="http://schemas.microsoft.com/office/drawing/2012/chart">
                      <c:ext xmlns:c15="http://schemas.microsoft.com/office/drawing/2012/chart" uri="{02D57815-91ED-43cb-92C2-25804820EDAC}">
                        <c15:formulaRef>
                          <c15:sqref>Sheet1!$P$3:$P$107</c15:sqref>
                        </c15:formulaRef>
                      </c:ext>
                    </c:extLst>
                    <c:numCache>
                      <c:formatCode>General</c:formatCode>
                      <c:ptCount val="105"/>
                      <c:pt idx="0">
                        <c:v>99.747596664479403</c:v>
                      </c:pt>
                      <c:pt idx="1">
                        <c:v>98.301886792452805</c:v>
                      </c:pt>
                      <c:pt idx="2">
                        <c:v>96.981132075471606</c:v>
                      </c:pt>
                      <c:pt idx="3">
                        <c:v>95.094339622641499</c:v>
                      </c:pt>
                      <c:pt idx="4">
                        <c:v>92.777566665565203</c:v>
                      </c:pt>
                      <c:pt idx="5">
                        <c:v>90.566037735848994</c:v>
                      </c:pt>
                      <c:pt idx="6">
                        <c:v>87.358490566037702</c:v>
                      </c:pt>
                      <c:pt idx="7">
                        <c:v>85.094339622641499</c:v>
                      </c:pt>
                      <c:pt idx="8">
                        <c:v>72.641509433962199</c:v>
                      </c:pt>
                      <c:pt idx="9">
                        <c:v>72.641509433962199</c:v>
                      </c:pt>
                      <c:pt idx="10">
                        <c:v>72.641509433962199</c:v>
                      </c:pt>
                      <c:pt idx="11">
                        <c:v>70</c:v>
                      </c:pt>
                      <c:pt idx="12">
                        <c:v>68.233858176651296</c:v>
                      </c:pt>
                      <c:pt idx="13">
                        <c:v>64.528301886792406</c:v>
                      </c:pt>
                      <c:pt idx="14">
                        <c:v>64.528301886792406</c:v>
                      </c:pt>
                      <c:pt idx="15">
                        <c:v>62.853649671215599</c:v>
                      </c:pt>
                      <c:pt idx="16">
                        <c:v>60.188679245282998</c:v>
                      </c:pt>
                      <c:pt idx="17">
                        <c:v>58.301886792452798</c:v>
                      </c:pt>
                      <c:pt idx="18">
                        <c:v>57.208241086475198</c:v>
                      </c:pt>
                      <c:pt idx="19">
                        <c:v>54.852939232726399</c:v>
                      </c:pt>
                      <c:pt idx="20">
                        <c:v>53.584905660377302</c:v>
                      </c:pt>
                      <c:pt idx="21">
                        <c:v>52.312154355904099</c:v>
                      </c:pt>
                      <c:pt idx="22">
                        <c:v>50.985692099263098</c:v>
                      </c:pt>
                      <c:pt idx="23">
                        <c:v>49.245283018867902</c:v>
                      </c:pt>
                      <c:pt idx="24">
                        <c:v>48.0150078253372</c:v>
                      </c:pt>
                      <c:pt idx="25">
                        <c:v>47.169811320754697</c:v>
                      </c:pt>
                      <c:pt idx="26">
                        <c:v>46.415094339622598</c:v>
                      </c:pt>
                      <c:pt idx="27">
                        <c:v>44.915002718591197</c:v>
                      </c:pt>
                      <c:pt idx="28">
                        <c:v>43.584905660377302</c:v>
                      </c:pt>
                      <c:pt idx="29">
                        <c:v>43.207547169811299</c:v>
                      </c:pt>
                      <c:pt idx="30">
                        <c:v>42.452830188679201</c:v>
                      </c:pt>
                      <c:pt idx="31">
                        <c:v>41.212578065624598</c:v>
                      </c:pt>
                      <c:pt idx="32">
                        <c:v>41.212578065624598</c:v>
                      </c:pt>
                      <c:pt idx="33">
                        <c:v>40.943396226414997</c:v>
                      </c:pt>
                      <c:pt idx="34">
                        <c:v>39.622641509433898</c:v>
                      </c:pt>
                      <c:pt idx="35">
                        <c:v>39.622641509433898</c:v>
                      </c:pt>
                      <c:pt idx="36">
                        <c:v>39.622641509433898</c:v>
                      </c:pt>
                      <c:pt idx="37">
                        <c:v>39.622641509433898</c:v>
                      </c:pt>
                      <c:pt idx="38">
                        <c:v>39.077090836995602</c:v>
                      </c:pt>
                      <c:pt idx="39">
                        <c:v>39.054921551369297</c:v>
                      </c:pt>
                      <c:pt idx="40">
                        <c:v>38.367673696953602</c:v>
                      </c:pt>
                      <c:pt idx="41">
                        <c:v>37.580664057219501</c:v>
                      </c:pt>
                      <c:pt idx="42">
                        <c:v>36.762617417608602</c:v>
                      </c:pt>
                      <c:pt idx="43">
                        <c:v>36.603773584905603</c:v>
                      </c:pt>
                      <c:pt idx="44">
                        <c:v>36.037735849056503</c:v>
                      </c:pt>
                      <c:pt idx="45">
                        <c:v>35.471698113207502</c:v>
                      </c:pt>
                      <c:pt idx="46">
                        <c:v>34.834566962958</c:v>
                      </c:pt>
                      <c:pt idx="47">
                        <c:v>34.834566962958</c:v>
                      </c:pt>
                      <c:pt idx="48">
                        <c:v>34.465879426722601</c:v>
                      </c:pt>
                      <c:pt idx="49">
                        <c:v>33.396226415094297</c:v>
                      </c:pt>
                      <c:pt idx="50">
                        <c:v>32.916049301126698</c:v>
                      </c:pt>
                      <c:pt idx="51">
                        <c:v>32.916049301126698</c:v>
                      </c:pt>
                      <c:pt idx="52">
                        <c:v>32.916049301126698</c:v>
                      </c:pt>
                      <c:pt idx="53">
                        <c:v>32.916049301126698</c:v>
                      </c:pt>
                      <c:pt idx="54">
                        <c:v>32.777318838185202</c:v>
                      </c:pt>
                      <c:pt idx="55">
                        <c:v>32.496567708800399</c:v>
                      </c:pt>
                      <c:pt idx="56">
                        <c:v>32.204612292838803</c:v>
                      </c:pt>
                      <c:pt idx="57">
                        <c:v>31.650380152181</c:v>
                      </c:pt>
                      <c:pt idx="58">
                        <c:v>31.517364438423101</c:v>
                      </c:pt>
                      <c:pt idx="59">
                        <c:v>30.899580345636501</c:v>
                      </c:pt>
                      <c:pt idx="60">
                        <c:v>30.899580345636501</c:v>
                      </c:pt>
                      <c:pt idx="61">
                        <c:v>30.899580345636501</c:v>
                      </c:pt>
                      <c:pt idx="62">
                        <c:v>30.899580345636501</c:v>
                      </c:pt>
                      <c:pt idx="63">
                        <c:v>30.774693369941598</c:v>
                      </c:pt>
                      <c:pt idx="64">
                        <c:v>30.320223014602199</c:v>
                      </c:pt>
                      <c:pt idx="65">
                        <c:v>30.298053728975901</c:v>
                      </c:pt>
                      <c:pt idx="66">
                        <c:v>30.298053728975901</c:v>
                      </c:pt>
                      <c:pt idx="67">
                        <c:v>30.298053728975901</c:v>
                      </c:pt>
                      <c:pt idx="68">
                        <c:v>30.188679245283002</c:v>
                      </c:pt>
                      <c:pt idx="69">
                        <c:v>30.188679245283002</c:v>
                      </c:pt>
                      <c:pt idx="70">
                        <c:v>29.811320754716899</c:v>
                      </c:pt>
                      <c:pt idx="71">
                        <c:v>29.811320754716899</c:v>
                      </c:pt>
                      <c:pt idx="72">
                        <c:v>29.622641509433901</c:v>
                      </c:pt>
                      <c:pt idx="73">
                        <c:v>29.245012661726101</c:v>
                      </c:pt>
                      <c:pt idx="74">
                        <c:v>29.245012661726101</c:v>
                      </c:pt>
                      <c:pt idx="75">
                        <c:v>29.245012661726101</c:v>
                      </c:pt>
                      <c:pt idx="76">
                        <c:v>28.7580273541348</c:v>
                      </c:pt>
                      <c:pt idx="77">
                        <c:v>28.7580273541348</c:v>
                      </c:pt>
                      <c:pt idx="78">
                        <c:v>28.713688782882102</c:v>
                      </c:pt>
                      <c:pt idx="79">
                        <c:v>28.713688782882102</c:v>
                      </c:pt>
                      <c:pt idx="80">
                        <c:v>28.713688782882102</c:v>
                      </c:pt>
                      <c:pt idx="81">
                        <c:v>28.713688782882102</c:v>
                      </c:pt>
                      <c:pt idx="82">
                        <c:v>28.713688782882102</c:v>
                      </c:pt>
                      <c:pt idx="83">
                        <c:v>28.679245283018801</c:v>
                      </c:pt>
                      <c:pt idx="84">
                        <c:v>28.679245283018801</c:v>
                      </c:pt>
                      <c:pt idx="85">
                        <c:v>28.4905660377358</c:v>
                      </c:pt>
                      <c:pt idx="86">
                        <c:v>28.4905660377358</c:v>
                      </c:pt>
                      <c:pt idx="87">
                        <c:v>28.301886792452802</c:v>
                      </c:pt>
                      <c:pt idx="88">
                        <c:v>28.301886792452802</c:v>
                      </c:pt>
                      <c:pt idx="89">
                        <c:v>28.299123141670101</c:v>
                      </c:pt>
                      <c:pt idx="90">
                        <c:v>28.063178601790099</c:v>
                      </c:pt>
                      <c:pt idx="91">
                        <c:v>28.063178601790099</c:v>
                      </c:pt>
                      <c:pt idx="92">
                        <c:v>28.063178601790099</c:v>
                      </c:pt>
                      <c:pt idx="93">
                        <c:v>28.063178601790099</c:v>
                      </c:pt>
                      <c:pt idx="94">
                        <c:v>28.063178601790099</c:v>
                      </c:pt>
                      <c:pt idx="95">
                        <c:v>28.063178601790099</c:v>
                      </c:pt>
                      <c:pt idx="96">
                        <c:v>28.063178601790099</c:v>
                      </c:pt>
                      <c:pt idx="97">
                        <c:v>28.063178601790099</c:v>
                      </c:pt>
                      <c:pt idx="98">
                        <c:v>28.063178601790099</c:v>
                      </c:pt>
                      <c:pt idx="99">
                        <c:v>28.063178601790099</c:v>
                      </c:pt>
                      <c:pt idx="100">
                        <c:v>27.924528301886699</c:v>
                      </c:pt>
                      <c:pt idx="101">
                        <c:v>26.792452830188601</c:v>
                      </c:pt>
                      <c:pt idx="102">
                        <c:v>26.792452830188601</c:v>
                      </c:pt>
                      <c:pt idx="103">
                        <c:v>26.792452830188601</c:v>
                      </c:pt>
                      <c:pt idx="104">
                        <c:v>26.792452830188601</c:v>
                      </c:pt>
                    </c:numCache>
                  </c:numRef>
                </c:yVal>
                <c:smooth val="0"/>
                <c:extLst xmlns:c15="http://schemas.microsoft.com/office/drawing/2012/chart">
                  <c:ext xmlns:c16="http://schemas.microsoft.com/office/drawing/2014/chart" uri="{C3380CC4-5D6E-409C-BE32-E72D297353CC}">
                    <c16:uniqueId val="{0000000B-190F-4CC1-81B1-926EE6ACF9AB}"/>
                  </c:ext>
                </c:extLst>
              </c15:ser>
            </c15:filteredScatterSeries>
            <c15:filteredScatterSeries>
              <c15:ser>
                <c:idx val="10"/>
                <c:order val="8"/>
                <c:tx>
                  <c:v>067 NIVO+IPO OS 4-yr follow up</c:v>
                </c:tx>
                <c:spPr>
                  <a:ln w="19050" cap="rnd" cmpd="sng">
                    <a:solidFill>
                      <a:schemeClr val="accent5">
                        <a:lumMod val="60000"/>
                      </a:schemeClr>
                    </a:solidFill>
                    <a:prstDash val="lgDash"/>
                    <a:round/>
                  </a:ln>
                  <a:effectLst/>
                </c:spPr>
                <c:marker>
                  <c:symbol val="none"/>
                </c:marker>
                <c:xVal>
                  <c:numRef>
                    <c:extLst xmlns:c15="http://schemas.microsoft.com/office/drawing/2012/chart">
                      <c:ext xmlns:c15="http://schemas.microsoft.com/office/drawing/2012/chart" uri="{02D57815-91ED-43cb-92C2-25804820EDAC}">
                        <c15:formulaRef>
                          <c15:sqref>Sheet1!$V$3:$V$84</c15:sqref>
                        </c15:formulaRef>
                      </c:ext>
                    </c:extLst>
                    <c:numCache>
                      <c:formatCode>General</c:formatCode>
                      <c:ptCount val="82"/>
                      <c:pt idx="0">
                        <c:v>4.2222222222221703E-2</c:v>
                      </c:pt>
                      <c:pt idx="1">
                        <c:v>0.36382978723404202</c:v>
                      </c:pt>
                      <c:pt idx="2">
                        <c:v>0.80222222222222095</c:v>
                      </c:pt>
                      <c:pt idx="3">
                        <c:v>1.17413711583924</c:v>
                      </c:pt>
                      <c:pt idx="4">
                        <c:v>1.6044444444444399</c:v>
                      </c:pt>
                      <c:pt idx="5">
                        <c:v>1.92919621749408</c:v>
                      </c:pt>
                      <c:pt idx="6">
                        <c:v>2.44888888888888</c:v>
                      </c:pt>
                      <c:pt idx="7">
                        <c:v>2.7210874704491701</c:v>
                      </c:pt>
                      <c:pt idx="8">
                        <c:v>3.25111111111111</c:v>
                      </c:pt>
                      <c:pt idx="9">
                        <c:v>3.4199999999999902</c:v>
                      </c:pt>
                      <c:pt idx="10">
                        <c:v>3.82605200945626</c:v>
                      </c:pt>
                      <c:pt idx="11">
                        <c:v>4.2644444444444396</c:v>
                      </c:pt>
                      <c:pt idx="12">
                        <c:v>4.7100236406619302</c:v>
                      </c:pt>
                      <c:pt idx="13">
                        <c:v>5.2901300236406597</c:v>
                      </c:pt>
                      <c:pt idx="14">
                        <c:v>5.9623167848699703</c:v>
                      </c:pt>
                      <c:pt idx="15">
                        <c:v>6.6547612293144196</c:v>
                      </c:pt>
                      <c:pt idx="16">
                        <c:v>7.0088888888888796</c:v>
                      </c:pt>
                      <c:pt idx="17">
                        <c:v>7.43560283687943</c:v>
                      </c:pt>
                      <c:pt idx="18">
                        <c:v>8.2459101654846307</c:v>
                      </c:pt>
                      <c:pt idx="19">
                        <c:v>9.0562174940898306</c:v>
                      </c:pt>
                      <c:pt idx="20">
                        <c:v>9.8665248226950304</c:v>
                      </c:pt>
                      <c:pt idx="21">
                        <c:v>10.6768321513002</c:v>
                      </c:pt>
                      <c:pt idx="22">
                        <c:v>11.4871394799054</c:v>
                      </c:pt>
                      <c:pt idx="23">
                        <c:v>11.8222222222222</c:v>
                      </c:pt>
                      <c:pt idx="24">
                        <c:v>12.2974468085106</c:v>
                      </c:pt>
                      <c:pt idx="25">
                        <c:v>13.1077541371158</c:v>
                      </c:pt>
                      <c:pt idx="26">
                        <c:v>13.918061465720999</c:v>
                      </c:pt>
                      <c:pt idx="27">
                        <c:v>14.728368794326199</c:v>
                      </c:pt>
                      <c:pt idx="28">
                        <c:v>15.115555555555501</c:v>
                      </c:pt>
                      <c:pt idx="29">
                        <c:v>15.538676122931401</c:v>
                      </c:pt>
                      <c:pt idx="30">
                        <c:v>16.002222222222201</c:v>
                      </c:pt>
                      <c:pt idx="31">
                        <c:v>16.348983451536601</c:v>
                      </c:pt>
                      <c:pt idx="32">
                        <c:v>17.159290780141799</c:v>
                      </c:pt>
                      <c:pt idx="33">
                        <c:v>17.969598108747</c:v>
                      </c:pt>
                      <c:pt idx="34">
                        <c:v>18.779905437352198</c:v>
                      </c:pt>
                      <c:pt idx="35">
                        <c:v>19.5902127659574</c:v>
                      </c:pt>
                      <c:pt idx="36">
                        <c:v>20.400520094562602</c:v>
                      </c:pt>
                      <c:pt idx="37">
                        <c:v>21.2108274231678</c:v>
                      </c:pt>
                      <c:pt idx="38">
                        <c:v>22.021134751773001</c:v>
                      </c:pt>
                      <c:pt idx="39">
                        <c:v>22.831442080378199</c:v>
                      </c:pt>
                      <c:pt idx="40">
                        <c:v>23.641749408983401</c:v>
                      </c:pt>
                      <c:pt idx="41">
                        <c:v>24.452056737588599</c:v>
                      </c:pt>
                      <c:pt idx="42">
                        <c:v>25.2623640661938</c:v>
                      </c:pt>
                      <c:pt idx="43">
                        <c:v>26.072671394798999</c:v>
                      </c:pt>
                      <c:pt idx="44">
                        <c:v>26.8829787234042</c:v>
                      </c:pt>
                      <c:pt idx="45">
                        <c:v>27.693286052009402</c:v>
                      </c:pt>
                      <c:pt idx="46">
                        <c:v>28.5035933806146</c:v>
                      </c:pt>
                      <c:pt idx="47">
                        <c:v>29.313900709219801</c:v>
                      </c:pt>
                      <c:pt idx="48">
                        <c:v>30.124208037824999</c:v>
                      </c:pt>
                      <c:pt idx="49">
                        <c:v>30.934515366430201</c:v>
                      </c:pt>
                      <c:pt idx="50">
                        <c:v>31.744822695035399</c:v>
                      </c:pt>
                      <c:pt idx="51">
                        <c:v>32.555130023640601</c:v>
                      </c:pt>
                      <c:pt idx="52">
                        <c:v>33.365437352245799</c:v>
                      </c:pt>
                      <c:pt idx="53">
                        <c:v>34.175744680850997</c:v>
                      </c:pt>
                      <c:pt idx="54">
                        <c:v>34.986052009456202</c:v>
                      </c:pt>
                      <c:pt idx="55">
                        <c:v>35.7963593380614</c:v>
                      </c:pt>
                      <c:pt idx="56">
                        <c:v>36.606666666666598</c:v>
                      </c:pt>
                      <c:pt idx="57">
                        <c:v>37.416973995271803</c:v>
                      </c:pt>
                      <c:pt idx="58">
                        <c:v>38.227281323877001</c:v>
                      </c:pt>
                      <c:pt idx="59">
                        <c:v>39.037588652482199</c:v>
                      </c:pt>
                      <c:pt idx="60">
                        <c:v>39.847895981087397</c:v>
                      </c:pt>
                      <c:pt idx="61">
                        <c:v>40.658203309692603</c:v>
                      </c:pt>
                      <c:pt idx="62">
                        <c:v>41.468510638297801</c:v>
                      </c:pt>
                      <c:pt idx="63">
                        <c:v>42.278817966902999</c:v>
                      </c:pt>
                      <c:pt idx="64">
                        <c:v>43.089125295508197</c:v>
                      </c:pt>
                      <c:pt idx="65">
                        <c:v>43.899432624113402</c:v>
                      </c:pt>
                      <c:pt idx="66">
                        <c:v>44.7097399527186</c:v>
                      </c:pt>
                      <c:pt idx="67">
                        <c:v>45.520047281323798</c:v>
                      </c:pt>
                      <c:pt idx="68">
                        <c:v>46.330354609929003</c:v>
                      </c:pt>
                      <c:pt idx="69">
                        <c:v>47.140661938534201</c:v>
                      </c:pt>
                      <c:pt idx="70">
                        <c:v>47.950969267139399</c:v>
                      </c:pt>
                      <c:pt idx="71">
                        <c:v>48.761276595744597</c:v>
                      </c:pt>
                      <c:pt idx="72">
                        <c:v>49.571583924349802</c:v>
                      </c:pt>
                      <c:pt idx="73">
                        <c:v>50.381891252955</c:v>
                      </c:pt>
                      <c:pt idx="74">
                        <c:v>51.192198581560199</c:v>
                      </c:pt>
                      <c:pt idx="75">
                        <c:v>52.002505910165397</c:v>
                      </c:pt>
                      <c:pt idx="76">
                        <c:v>52.812813238770602</c:v>
                      </c:pt>
                      <c:pt idx="77">
                        <c:v>53.6231205673758</c:v>
                      </c:pt>
                      <c:pt idx="78">
                        <c:v>54.433427895980998</c:v>
                      </c:pt>
                      <c:pt idx="79">
                        <c:v>55.243735224586203</c:v>
                      </c:pt>
                      <c:pt idx="80">
                        <c:v>56.054042553191401</c:v>
                      </c:pt>
                      <c:pt idx="81">
                        <c:v>56.496028368794299</c:v>
                      </c:pt>
                    </c:numCache>
                  </c:numRef>
                </c:xVal>
                <c:yVal>
                  <c:numRef>
                    <c:extLst xmlns:c15="http://schemas.microsoft.com/office/drawing/2012/chart">
                      <c:ext xmlns:c15="http://schemas.microsoft.com/office/drawing/2012/chart" uri="{02D57815-91ED-43cb-92C2-25804820EDAC}">
                        <c15:formulaRef>
                          <c15:sqref>Sheet1!$W$3:$W$84</c15:sqref>
                        </c15:formulaRef>
                      </c:ext>
                    </c:extLst>
                    <c:numCache>
                      <c:formatCode>General</c:formatCode>
                      <c:ptCount val="82"/>
                      <c:pt idx="0">
                        <c:v>100</c:v>
                      </c:pt>
                      <c:pt idx="1">
                        <c:v>99.112219042829693</c:v>
                      </c:pt>
                      <c:pt idx="2">
                        <c:v>98.821218074656102</c:v>
                      </c:pt>
                      <c:pt idx="3">
                        <c:v>97.591755873325894</c:v>
                      </c:pt>
                      <c:pt idx="4">
                        <c:v>96.856581532416499</c:v>
                      </c:pt>
                      <c:pt idx="5">
                        <c:v>95.384764545509398</c:v>
                      </c:pt>
                      <c:pt idx="6">
                        <c:v>94.695481335952806</c:v>
                      </c:pt>
                      <c:pt idx="7">
                        <c:v>93.506084546505804</c:v>
                      </c:pt>
                      <c:pt idx="8">
                        <c:v>93.123772102161098</c:v>
                      </c:pt>
                      <c:pt idx="9">
                        <c:v>91.159135559921395</c:v>
                      </c:pt>
                      <c:pt idx="10">
                        <c:v>90.028044521628104</c:v>
                      </c:pt>
                      <c:pt idx="11">
                        <c:v>90.028044521628104</c:v>
                      </c:pt>
                      <c:pt idx="12">
                        <c:v>88.649188874912994</c:v>
                      </c:pt>
                      <c:pt idx="13">
                        <c:v>86.238139029385906</c:v>
                      </c:pt>
                      <c:pt idx="14">
                        <c:v>85.424068887681301</c:v>
                      </c:pt>
                      <c:pt idx="15">
                        <c:v>84.1215566609539</c:v>
                      </c:pt>
                      <c:pt idx="16">
                        <c:v>83.693516699410594</c:v>
                      </c:pt>
                      <c:pt idx="17">
                        <c:v>83.164926867639707</c:v>
                      </c:pt>
                      <c:pt idx="18">
                        <c:v>81.840602235201501</c:v>
                      </c:pt>
                      <c:pt idx="19">
                        <c:v>79.908646300821104</c:v>
                      </c:pt>
                      <c:pt idx="20">
                        <c:v>78.241555292928396</c:v>
                      </c:pt>
                      <c:pt idx="21">
                        <c:v>76.496562836068705</c:v>
                      </c:pt>
                      <c:pt idx="22">
                        <c:v>74.346482844580905</c:v>
                      </c:pt>
                      <c:pt idx="23">
                        <c:v>72.888015717092301</c:v>
                      </c:pt>
                      <c:pt idx="24">
                        <c:v>72.888015717092301</c:v>
                      </c:pt>
                      <c:pt idx="25">
                        <c:v>72.554749518340998</c:v>
                      </c:pt>
                      <c:pt idx="26">
                        <c:v>72.508008648960796</c:v>
                      </c:pt>
                      <c:pt idx="27">
                        <c:v>71.947118216398806</c:v>
                      </c:pt>
                      <c:pt idx="28">
                        <c:v>70.923379174852599</c:v>
                      </c:pt>
                      <c:pt idx="29">
                        <c:v>70.311187788092795</c:v>
                      </c:pt>
                      <c:pt idx="30">
                        <c:v>69.941060903732804</c:v>
                      </c:pt>
                      <c:pt idx="31">
                        <c:v>69.812618514704297</c:v>
                      </c:pt>
                      <c:pt idx="32">
                        <c:v>68.799899678133997</c:v>
                      </c:pt>
                      <c:pt idx="33">
                        <c:v>67.569056784456194</c:v>
                      </c:pt>
                      <c:pt idx="34">
                        <c:v>66.805622584579993</c:v>
                      </c:pt>
                      <c:pt idx="35">
                        <c:v>65.933126356150197</c:v>
                      </c:pt>
                      <c:pt idx="36">
                        <c:v>65.076210417513707</c:v>
                      </c:pt>
                      <c:pt idx="37">
                        <c:v>64.577641144125195</c:v>
                      </c:pt>
                      <c:pt idx="38">
                        <c:v>64.343936797224401</c:v>
                      </c:pt>
                      <c:pt idx="39">
                        <c:v>64.343936797224401</c:v>
                      </c:pt>
                      <c:pt idx="40">
                        <c:v>64.0011704217698</c:v>
                      </c:pt>
                      <c:pt idx="41">
                        <c:v>63.658404046315198</c:v>
                      </c:pt>
                      <c:pt idx="42">
                        <c:v>63.2221559321003</c:v>
                      </c:pt>
                      <c:pt idx="43">
                        <c:v>62.972871295406001</c:v>
                      </c:pt>
                      <c:pt idx="44">
                        <c:v>62.365239993463803</c:v>
                      </c:pt>
                      <c:pt idx="45">
                        <c:v>61.383681736480298</c:v>
                      </c:pt>
                      <c:pt idx="46">
                        <c:v>60.573506667224002</c:v>
                      </c:pt>
                      <c:pt idx="47">
                        <c:v>60.246320581562799</c:v>
                      </c:pt>
                      <c:pt idx="48">
                        <c:v>60.215160001976002</c:v>
                      </c:pt>
                      <c:pt idx="49">
                        <c:v>59.887973916314799</c:v>
                      </c:pt>
                      <c:pt idx="50">
                        <c:v>59.140120006232102</c:v>
                      </c:pt>
                      <c:pt idx="51">
                        <c:v>58.407846385942698</c:v>
                      </c:pt>
                      <c:pt idx="52">
                        <c:v>58.174142039041897</c:v>
                      </c:pt>
                      <c:pt idx="53">
                        <c:v>58.174142039041897</c:v>
                      </c:pt>
                      <c:pt idx="54">
                        <c:v>58.174142039041897</c:v>
                      </c:pt>
                      <c:pt idx="55">
                        <c:v>58.174142039041897</c:v>
                      </c:pt>
                      <c:pt idx="56">
                        <c:v>57.441868418752499</c:v>
                      </c:pt>
                      <c:pt idx="57">
                        <c:v>56.507051031149103</c:v>
                      </c:pt>
                      <c:pt idx="58">
                        <c:v>56.008481757760599</c:v>
                      </c:pt>
                      <c:pt idx="59">
                        <c:v>55.509912484372201</c:v>
                      </c:pt>
                      <c:pt idx="60">
                        <c:v>55.089244659950602</c:v>
                      </c:pt>
                      <c:pt idx="61">
                        <c:v>55.026923500777102</c:v>
                      </c:pt>
                      <c:pt idx="62">
                        <c:v>54.964602341603502</c:v>
                      </c:pt>
                      <c:pt idx="63">
                        <c:v>54.808799443669599</c:v>
                      </c:pt>
                      <c:pt idx="64">
                        <c:v>53.796080607099199</c:v>
                      </c:pt>
                      <c:pt idx="65">
                        <c:v>53.375412782677699</c:v>
                      </c:pt>
                      <c:pt idx="66">
                        <c:v>53.375412782677699</c:v>
                      </c:pt>
                      <c:pt idx="67">
                        <c:v>53.375412782677699</c:v>
                      </c:pt>
                      <c:pt idx="68">
                        <c:v>53.172869015363602</c:v>
                      </c:pt>
                      <c:pt idx="69">
                        <c:v>52.939164668462801</c:v>
                      </c:pt>
                      <c:pt idx="70">
                        <c:v>52.830102639909001</c:v>
                      </c:pt>
                      <c:pt idx="71">
                        <c:v>52.736620901148697</c:v>
                      </c:pt>
                      <c:pt idx="72">
                        <c:v>52.456175684867702</c:v>
                      </c:pt>
                      <c:pt idx="73">
                        <c:v>52.284792497140401</c:v>
                      </c:pt>
                      <c:pt idx="74">
                        <c:v>51.8173838033387</c:v>
                      </c:pt>
                      <c:pt idx="75">
                        <c:v>51.770642933958499</c:v>
                      </c:pt>
                      <c:pt idx="76">
                        <c:v>51.770642933958499</c:v>
                      </c:pt>
                      <c:pt idx="77">
                        <c:v>51.770642933958499</c:v>
                      </c:pt>
                      <c:pt idx="78">
                        <c:v>51.770642933958499</c:v>
                      </c:pt>
                      <c:pt idx="79">
                        <c:v>51.770642933958499</c:v>
                      </c:pt>
                      <c:pt idx="80">
                        <c:v>51.770642933958499</c:v>
                      </c:pt>
                      <c:pt idx="81">
                        <c:v>51.770642933958499</c:v>
                      </c:pt>
                    </c:numCache>
                  </c:numRef>
                </c:yVal>
                <c:smooth val="0"/>
                <c:extLst xmlns:c15="http://schemas.microsoft.com/office/drawing/2012/chart">
                  <c:ext xmlns:c16="http://schemas.microsoft.com/office/drawing/2014/chart" uri="{C3380CC4-5D6E-409C-BE32-E72D297353CC}">
                    <c16:uniqueId val="{0000000C-190F-4CC1-81B1-926EE6ACF9AB}"/>
                  </c:ext>
                </c:extLst>
              </c15:ser>
            </c15:filteredScatterSeries>
            <c15:filteredScatterSeries>
              <c15:ser>
                <c:idx val="11"/>
                <c:order val="9"/>
                <c:tx>
                  <c:v>067 NIVO OS 4-yr follow up</c:v>
                </c:tx>
                <c:spPr>
                  <a:ln w="19050" cap="rnd">
                    <a:solidFill>
                      <a:schemeClr val="accent1">
                        <a:lumMod val="75000"/>
                      </a:schemeClr>
                    </a:solidFill>
                    <a:prstDash val="sysDash"/>
                    <a:round/>
                  </a:ln>
                  <a:effectLst/>
                </c:spPr>
                <c:marker>
                  <c:symbol val="none"/>
                </c:marker>
                <c:xVal>
                  <c:numRef>
                    <c:extLst xmlns:c15="http://schemas.microsoft.com/office/drawing/2012/chart">
                      <c:ext xmlns:c15="http://schemas.microsoft.com/office/drawing/2012/chart" uri="{02D57815-91ED-43cb-92C2-25804820EDAC}">
                        <c15:formulaRef>
                          <c15:sqref>Sheet1!$X$3:$X$77</c15:sqref>
                        </c15:formulaRef>
                      </c:ext>
                    </c:extLst>
                    <c:numCache>
                      <c:formatCode>General</c:formatCode>
                      <c:ptCount val="75"/>
                      <c:pt idx="0">
                        <c:v>4.2222222222221703E-2</c:v>
                      </c:pt>
                      <c:pt idx="1">
                        <c:v>0.71777777777777696</c:v>
                      </c:pt>
                      <c:pt idx="2">
                        <c:v>1.05555555555555</c:v>
                      </c:pt>
                      <c:pt idx="3">
                        <c:v>1.98444444444444</c:v>
                      </c:pt>
                      <c:pt idx="4">
                        <c:v>2.2463619648016802</c:v>
                      </c:pt>
                      <c:pt idx="5">
                        <c:v>2.91333333333333</c:v>
                      </c:pt>
                      <c:pt idx="6">
                        <c:v>3.25111111111111</c:v>
                      </c:pt>
                      <c:pt idx="7">
                        <c:v>3.7577777777777701</c:v>
                      </c:pt>
                      <c:pt idx="8">
                        <c:v>4.0533333333333301</c:v>
                      </c:pt>
                      <c:pt idx="9">
                        <c:v>4.31491510853213</c:v>
                      </c:pt>
                      <c:pt idx="10">
                        <c:v>4.8133333333333299</c:v>
                      </c:pt>
                      <c:pt idx="11">
                        <c:v>5.2551394799054298</c:v>
                      </c:pt>
                      <c:pt idx="12">
                        <c:v>6.0359810874704403</c:v>
                      </c:pt>
                      <c:pt idx="13">
                        <c:v>6.8462884160756499</c:v>
                      </c:pt>
                      <c:pt idx="14">
                        <c:v>7.6565957446808497</c:v>
                      </c:pt>
                      <c:pt idx="15">
                        <c:v>8.4669030732860495</c:v>
                      </c:pt>
                      <c:pt idx="16">
                        <c:v>9.2772104018912493</c:v>
                      </c:pt>
                      <c:pt idx="17">
                        <c:v>10.087517730496399</c:v>
                      </c:pt>
                      <c:pt idx="18">
                        <c:v>10.897825059101599</c:v>
                      </c:pt>
                      <c:pt idx="19">
                        <c:v>11.722865248226899</c:v>
                      </c:pt>
                      <c:pt idx="20">
                        <c:v>12.481607565011799</c:v>
                      </c:pt>
                      <c:pt idx="21">
                        <c:v>13.328747044917201</c:v>
                      </c:pt>
                      <c:pt idx="22">
                        <c:v>14.1390543735224</c:v>
                      </c:pt>
                      <c:pt idx="23">
                        <c:v>14.9493617021276</c:v>
                      </c:pt>
                      <c:pt idx="24">
                        <c:v>15.7596690307328</c:v>
                      </c:pt>
                      <c:pt idx="25">
                        <c:v>16.569976359338</c:v>
                      </c:pt>
                      <c:pt idx="26">
                        <c:v>17.380283687943201</c:v>
                      </c:pt>
                      <c:pt idx="27">
                        <c:v>18.190591016548399</c:v>
                      </c:pt>
                      <c:pt idx="28">
                        <c:v>19.000898345153601</c:v>
                      </c:pt>
                      <c:pt idx="29">
                        <c:v>19.811205673758799</c:v>
                      </c:pt>
                      <c:pt idx="30">
                        <c:v>20.621513002364001</c:v>
                      </c:pt>
                      <c:pt idx="31">
                        <c:v>21.431820330969199</c:v>
                      </c:pt>
                      <c:pt idx="32">
                        <c:v>22.2421276595744</c:v>
                      </c:pt>
                      <c:pt idx="33">
                        <c:v>23.052434988179598</c:v>
                      </c:pt>
                      <c:pt idx="34">
                        <c:v>23.8627423167848</c:v>
                      </c:pt>
                      <c:pt idx="35">
                        <c:v>24.673049645390002</c:v>
                      </c:pt>
                      <c:pt idx="36">
                        <c:v>25.4833569739952</c:v>
                      </c:pt>
                      <c:pt idx="37">
                        <c:v>26.293664302600401</c:v>
                      </c:pt>
                      <c:pt idx="38">
                        <c:v>27.103971631205599</c:v>
                      </c:pt>
                      <c:pt idx="39">
                        <c:v>27.914278959810801</c:v>
                      </c:pt>
                      <c:pt idx="40">
                        <c:v>28.724586288415999</c:v>
                      </c:pt>
                      <c:pt idx="41">
                        <c:v>29.534893617021201</c:v>
                      </c:pt>
                      <c:pt idx="42">
                        <c:v>30.345200945626399</c:v>
                      </c:pt>
                      <c:pt idx="43">
                        <c:v>31.1555082742316</c:v>
                      </c:pt>
                      <c:pt idx="44">
                        <c:v>31.965815602836798</c:v>
                      </c:pt>
                      <c:pt idx="45">
                        <c:v>32.776122931442004</c:v>
                      </c:pt>
                      <c:pt idx="46">
                        <c:v>33.586430260047202</c:v>
                      </c:pt>
                      <c:pt idx="47">
                        <c:v>34.3967375886524</c:v>
                      </c:pt>
                      <c:pt idx="48">
                        <c:v>35.207044917257598</c:v>
                      </c:pt>
                      <c:pt idx="49">
                        <c:v>36.017352245862803</c:v>
                      </c:pt>
                      <c:pt idx="50">
                        <c:v>36.827659574468001</c:v>
                      </c:pt>
                      <c:pt idx="51">
                        <c:v>37.637966903073199</c:v>
                      </c:pt>
                      <c:pt idx="52">
                        <c:v>38.448274231678397</c:v>
                      </c:pt>
                      <c:pt idx="53">
                        <c:v>39.258581560283602</c:v>
                      </c:pt>
                      <c:pt idx="54">
                        <c:v>40.0688888888888</c:v>
                      </c:pt>
                      <c:pt idx="55">
                        <c:v>40.879196217493998</c:v>
                      </c:pt>
                      <c:pt idx="56">
                        <c:v>41.689503546099203</c:v>
                      </c:pt>
                      <c:pt idx="57">
                        <c:v>42.499810874704401</c:v>
                      </c:pt>
                      <c:pt idx="58">
                        <c:v>43.310118203309599</c:v>
                      </c:pt>
                      <c:pt idx="59">
                        <c:v>44.120425531914897</c:v>
                      </c:pt>
                      <c:pt idx="60">
                        <c:v>44.930732860520003</c:v>
                      </c:pt>
                      <c:pt idx="61">
                        <c:v>45.7410401891253</c:v>
                      </c:pt>
                      <c:pt idx="62">
                        <c:v>46.551347517730498</c:v>
                      </c:pt>
                      <c:pt idx="63">
                        <c:v>47.361654846335597</c:v>
                      </c:pt>
                      <c:pt idx="64">
                        <c:v>48.171962174940901</c:v>
                      </c:pt>
                      <c:pt idx="65">
                        <c:v>49.033267866884799</c:v>
                      </c:pt>
                      <c:pt idx="66">
                        <c:v>49.792576832151298</c:v>
                      </c:pt>
                      <c:pt idx="67">
                        <c:v>50.602884160756503</c:v>
                      </c:pt>
                      <c:pt idx="68">
                        <c:v>51.413191489361701</c:v>
                      </c:pt>
                      <c:pt idx="69">
                        <c:v>52.223498817966899</c:v>
                      </c:pt>
                      <c:pt idx="70">
                        <c:v>53.033806146572097</c:v>
                      </c:pt>
                      <c:pt idx="71">
                        <c:v>53.844113475177302</c:v>
                      </c:pt>
                      <c:pt idx="72">
                        <c:v>54.6544208037825</c:v>
                      </c:pt>
                      <c:pt idx="73">
                        <c:v>55.464728132387698</c:v>
                      </c:pt>
                      <c:pt idx="74">
                        <c:v>56.275035460992903</c:v>
                      </c:pt>
                    </c:numCache>
                  </c:numRef>
                </c:xVal>
                <c:yVal>
                  <c:numRef>
                    <c:extLst xmlns:c15="http://schemas.microsoft.com/office/drawing/2012/chart">
                      <c:ext xmlns:c15="http://schemas.microsoft.com/office/drawing/2012/chart" uri="{02D57815-91ED-43cb-92C2-25804820EDAC}">
                        <c15:formulaRef>
                          <c15:sqref>Sheet1!$Y$3:$Y$77</c15:sqref>
                        </c15:formulaRef>
                      </c:ext>
                    </c:extLst>
                    <c:numCache>
                      <c:formatCode>General</c:formatCode>
                      <c:ptCount val="75"/>
                      <c:pt idx="0">
                        <c:v>99.803536345775996</c:v>
                      </c:pt>
                      <c:pt idx="1">
                        <c:v>99.410609037328101</c:v>
                      </c:pt>
                      <c:pt idx="2">
                        <c:v>97.249508840864394</c:v>
                      </c:pt>
                      <c:pt idx="3">
                        <c:v>96.856581532416499</c:v>
                      </c:pt>
                      <c:pt idx="4">
                        <c:v>95.319861097564498</c:v>
                      </c:pt>
                      <c:pt idx="5">
                        <c:v>93.909626719056902</c:v>
                      </c:pt>
                      <c:pt idx="6">
                        <c:v>92.534381139489199</c:v>
                      </c:pt>
                      <c:pt idx="7">
                        <c:v>92.337917485265194</c:v>
                      </c:pt>
                      <c:pt idx="8">
                        <c:v>91.159135559921395</c:v>
                      </c:pt>
                      <c:pt idx="9">
                        <c:v>90.186444134527505</c:v>
                      </c:pt>
                      <c:pt idx="10">
                        <c:v>88.212180746561799</c:v>
                      </c:pt>
                      <c:pt idx="11">
                        <c:v>86.400953057726795</c:v>
                      </c:pt>
                      <c:pt idx="12">
                        <c:v>84.255547153177005</c:v>
                      </c:pt>
                      <c:pt idx="13">
                        <c:v>82.946802810532205</c:v>
                      </c:pt>
                      <c:pt idx="14">
                        <c:v>80.835673543527903</c:v>
                      </c:pt>
                      <c:pt idx="15">
                        <c:v>78.849186594870602</c:v>
                      </c:pt>
                      <c:pt idx="16">
                        <c:v>77.961110076647401</c:v>
                      </c:pt>
                      <c:pt idx="17">
                        <c:v>76.699106603382802</c:v>
                      </c:pt>
                      <c:pt idx="18">
                        <c:v>75.698072984157506</c:v>
                      </c:pt>
                      <c:pt idx="19">
                        <c:v>74.455544873134599</c:v>
                      </c:pt>
                      <c:pt idx="20">
                        <c:v>73.684320528361795</c:v>
                      </c:pt>
                      <c:pt idx="21">
                        <c:v>71.418427049409701</c:v>
                      </c:pt>
                      <c:pt idx="22">
                        <c:v>70.612406724098406</c:v>
                      </c:pt>
                      <c:pt idx="23">
                        <c:v>69.376370400489407</c:v>
                      </c:pt>
                      <c:pt idx="24">
                        <c:v>68.425972723092599</c:v>
                      </c:pt>
                      <c:pt idx="25">
                        <c:v>66.431695629538694</c:v>
                      </c:pt>
                      <c:pt idx="26">
                        <c:v>65.247593605240993</c:v>
                      </c:pt>
                      <c:pt idx="27">
                        <c:v>64.468579115571501</c:v>
                      </c:pt>
                      <c:pt idx="28">
                        <c:v>63.705144915695399</c:v>
                      </c:pt>
                      <c:pt idx="29">
                        <c:v>62.349659703670397</c:v>
                      </c:pt>
                      <c:pt idx="30">
                        <c:v>61.586225503794303</c:v>
                      </c:pt>
                      <c:pt idx="31">
                        <c:v>60.994174491645502</c:v>
                      </c:pt>
                      <c:pt idx="32">
                        <c:v>60.7137292753645</c:v>
                      </c:pt>
                      <c:pt idx="33">
                        <c:v>60.2203534319071</c:v>
                      </c:pt>
                      <c:pt idx="34">
                        <c:v>58.641550732843598</c:v>
                      </c:pt>
                      <c:pt idx="35">
                        <c:v>58.174142039041897</c:v>
                      </c:pt>
                      <c:pt idx="36">
                        <c:v>58.111820879868297</c:v>
                      </c:pt>
                      <c:pt idx="37">
                        <c:v>57.628831896273198</c:v>
                      </c:pt>
                      <c:pt idx="38">
                        <c:v>56.569372190322703</c:v>
                      </c:pt>
                      <c:pt idx="39">
                        <c:v>56.195445235281298</c:v>
                      </c:pt>
                      <c:pt idx="40">
                        <c:v>55.432011035405203</c:v>
                      </c:pt>
                      <c:pt idx="41">
                        <c:v>55.432011035405203</c:v>
                      </c:pt>
                      <c:pt idx="42">
                        <c:v>55.432011035405203</c:v>
                      </c:pt>
                      <c:pt idx="43">
                        <c:v>55.135985529330803</c:v>
                      </c:pt>
                      <c:pt idx="44">
                        <c:v>54.014204664206702</c:v>
                      </c:pt>
                      <c:pt idx="45">
                        <c:v>53.048226697016503</c:v>
                      </c:pt>
                      <c:pt idx="46">
                        <c:v>52.580818003214802</c:v>
                      </c:pt>
                      <c:pt idx="47">
                        <c:v>52.160150178793302</c:v>
                      </c:pt>
                      <c:pt idx="48">
                        <c:v>51.7550626441651</c:v>
                      </c:pt>
                      <c:pt idx="49">
                        <c:v>51.007208734082397</c:v>
                      </c:pt>
                      <c:pt idx="50">
                        <c:v>49.968522747856397</c:v>
                      </c:pt>
                      <c:pt idx="51">
                        <c:v>49.6673038118508</c:v>
                      </c:pt>
                      <c:pt idx="52">
                        <c:v>49.262216277222699</c:v>
                      </c:pt>
                      <c:pt idx="53">
                        <c:v>48.639004685487102</c:v>
                      </c:pt>
                      <c:pt idx="54">
                        <c:v>48.065650021090299</c:v>
                      </c:pt>
                      <c:pt idx="55">
                        <c:v>47.750928167263901</c:v>
                      </c:pt>
                      <c:pt idx="56">
                        <c:v>47.548384399949803</c:v>
                      </c:pt>
                      <c:pt idx="57">
                        <c:v>47.548384399949803</c:v>
                      </c:pt>
                      <c:pt idx="58">
                        <c:v>47.371807782291398</c:v>
                      </c:pt>
                      <c:pt idx="59">
                        <c:v>46.894012228627403</c:v>
                      </c:pt>
                      <c:pt idx="60">
                        <c:v>46.8036465478257</c:v>
                      </c:pt>
                      <c:pt idx="61">
                        <c:v>46.436990394687903</c:v>
                      </c:pt>
                      <c:pt idx="62">
                        <c:v>46.253142975125897</c:v>
                      </c:pt>
                      <c:pt idx="63">
                        <c:v>46.151351748475797</c:v>
                      </c:pt>
                      <c:pt idx="64">
                        <c:v>46.003338995438597</c:v>
                      </c:pt>
                      <c:pt idx="65">
                        <c:v>46.003338995438597</c:v>
                      </c:pt>
                      <c:pt idx="66">
                        <c:v>45.711579521093299</c:v>
                      </c:pt>
                      <c:pt idx="67">
                        <c:v>45.711579521093299</c:v>
                      </c:pt>
                      <c:pt idx="68">
                        <c:v>45.589224784977802</c:v>
                      </c:pt>
                      <c:pt idx="69">
                        <c:v>45.589224784977802</c:v>
                      </c:pt>
                      <c:pt idx="70">
                        <c:v>45.589224784977802</c:v>
                      </c:pt>
                      <c:pt idx="71">
                        <c:v>45.589224784977802</c:v>
                      </c:pt>
                      <c:pt idx="72">
                        <c:v>45.589224784977802</c:v>
                      </c:pt>
                      <c:pt idx="73">
                        <c:v>45.589224784977802</c:v>
                      </c:pt>
                      <c:pt idx="74">
                        <c:v>45.589224784977802</c:v>
                      </c:pt>
                    </c:numCache>
                  </c:numRef>
                </c:yVal>
                <c:smooth val="0"/>
                <c:extLst xmlns:c15="http://schemas.microsoft.com/office/drawing/2012/chart">
                  <c:ext xmlns:c16="http://schemas.microsoft.com/office/drawing/2014/chart" uri="{C3380CC4-5D6E-409C-BE32-E72D297353CC}">
                    <c16:uniqueId val="{0000000D-190F-4CC1-81B1-926EE6ACF9AB}"/>
                  </c:ext>
                </c:extLst>
              </c15:ser>
            </c15:filteredScatterSeries>
          </c:ext>
        </c:extLst>
      </c:scatterChart>
      <c:valAx>
        <c:axId val="1577602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608288"/>
        <c:crosses val="autoZero"/>
        <c:crossBetween val="midCat"/>
      </c:valAx>
      <c:valAx>
        <c:axId val="157760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Probability</a:t>
                </a:r>
                <a:r>
                  <a:rPr lang="en-AU" baseline="0"/>
                  <a:t> of overall survival</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602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047 NIVO+RELA PFS</c:v>
          </c:tx>
          <c:spPr>
            <a:ln w="19050" cap="rnd">
              <a:solidFill>
                <a:srgbClr val="FF0000"/>
              </a:solidFill>
              <a:round/>
            </a:ln>
            <a:effectLst/>
          </c:spPr>
          <c:marker>
            <c:symbol val="none"/>
          </c:marker>
          <c:xVal>
            <c:numRef>
              <c:f>Sheet1!$A$3:$A$78</c:f>
              <c:numCache>
                <c:formatCode>General</c:formatCode>
                <c:ptCount val="76"/>
                <c:pt idx="0">
                  <c:v>7.9260237780713005E-2</c:v>
                </c:pt>
                <c:pt idx="1">
                  <c:v>0.39630118890356603</c:v>
                </c:pt>
                <c:pt idx="2">
                  <c:v>0.71334214002642005</c:v>
                </c:pt>
                <c:pt idx="3">
                  <c:v>0.99075297225891601</c:v>
                </c:pt>
                <c:pt idx="4">
                  <c:v>1.3077939233817699</c:v>
                </c:pt>
                <c:pt idx="5">
                  <c:v>1.7437252311756899</c:v>
                </c:pt>
                <c:pt idx="6">
                  <c:v>2.0211360634081901</c:v>
                </c:pt>
                <c:pt idx="7">
                  <c:v>2.2192866578599699</c:v>
                </c:pt>
                <c:pt idx="8">
                  <c:v>2.3778071334213999</c:v>
                </c:pt>
                <c:pt idx="9">
                  <c:v>2.5043370310833799</c:v>
                </c:pt>
                <c:pt idx="10">
                  <c:v>2.5759577278731798</c:v>
                </c:pt>
                <c:pt idx="11">
                  <c:v>2.7054585581427402</c:v>
                </c:pt>
                <c:pt idx="12">
                  <c:v>2.7576862029600302</c:v>
                </c:pt>
                <c:pt idx="13">
                  <c:v>2.7640814247743899</c:v>
                </c:pt>
                <c:pt idx="14">
                  <c:v>2.79925514475338</c:v>
                </c:pt>
                <c:pt idx="15">
                  <c:v>2.8344288647323701</c:v>
                </c:pt>
                <c:pt idx="16">
                  <c:v>2.9047763046903601</c:v>
                </c:pt>
                <c:pt idx="17">
                  <c:v>3.21003963011889</c:v>
                </c:pt>
                <c:pt idx="18">
                  <c:v>3.8192930241441299</c:v>
                </c:pt>
                <c:pt idx="19">
                  <c:v>4.5227674237239501</c:v>
                </c:pt>
                <c:pt idx="20">
                  <c:v>4.8041571835558798</c:v>
                </c:pt>
                <c:pt idx="21">
                  <c:v>5.5779790230936896</c:v>
                </c:pt>
                <c:pt idx="22">
                  <c:v>6.2814534226735201</c:v>
                </c:pt>
                <c:pt idx="23">
                  <c:v>6.6331906224634301</c:v>
                </c:pt>
                <c:pt idx="24">
                  <c:v>7.4070124620012399</c:v>
                </c:pt>
                <c:pt idx="25">
                  <c:v>8.1808343015390506</c:v>
                </c:pt>
                <c:pt idx="26">
                  <c:v>8.9546561410768497</c:v>
                </c:pt>
                <c:pt idx="27">
                  <c:v>9.3130779392338194</c:v>
                </c:pt>
                <c:pt idx="28">
                  <c:v>9.7460648406041592</c:v>
                </c:pt>
                <c:pt idx="29">
                  <c:v>10.331456037397301</c:v>
                </c:pt>
                <c:pt idx="30">
                  <c:v>11.135426779774299</c:v>
                </c:pt>
                <c:pt idx="31">
                  <c:v>11.9092486193121</c:v>
                </c:pt>
                <c:pt idx="32">
                  <c:v>12.683070458849899</c:v>
                </c:pt>
                <c:pt idx="33">
                  <c:v>13.4568922983877</c:v>
                </c:pt>
                <c:pt idx="34">
                  <c:v>14.230714137925499</c:v>
                </c:pt>
                <c:pt idx="35">
                  <c:v>15.0045359774633</c:v>
                </c:pt>
                <c:pt idx="36">
                  <c:v>15.778357817001099</c:v>
                </c:pt>
                <c:pt idx="37">
                  <c:v>16.5521796565389</c:v>
                </c:pt>
                <c:pt idx="38">
                  <c:v>17.443247229339999</c:v>
                </c:pt>
                <c:pt idx="39">
                  <c:v>18.099823335614499</c:v>
                </c:pt>
                <c:pt idx="40">
                  <c:v>18.873645175152301</c:v>
                </c:pt>
                <c:pt idx="41">
                  <c:v>19.6474670146902</c:v>
                </c:pt>
                <c:pt idx="42">
                  <c:v>20.421288854227999</c:v>
                </c:pt>
                <c:pt idx="43">
                  <c:v>20.726552179656501</c:v>
                </c:pt>
                <c:pt idx="44">
                  <c:v>21.175011425206399</c:v>
                </c:pt>
                <c:pt idx="45">
                  <c:v>21.968932533303601</c:v>
                </c:pt>
                <c:pt idx="46">
                  <c:v>22.791456446658501</c:v>
                </c:pt>
                <c:pt idx="47">
                  <c:v>23.4562784067009</c:v>
                </c:pt>
                <c:pt idx="48">
                  <c:v>24.028193957528199</c:v>
                </c:pt>
                <c:pt idx="49">
                  <c:v>24.728115456099999</c:v>
                </c:pt>
                <c:pt idx="50">
                  <c:v>25.363276089828201</c:v>
                </c:pt>
                <c:pt idx="51">
                  <c:v>25.5415775197411</c:v>
                </c:pt>
                <c:pt idx="52">
                  <c:v>25.978736610908602</c:v>
                </c:pt>
                <c:pt idx="53">
                  <c:v>26.752558450446401</c:v>
                </c:pt>
                <c:pt idx="54">
                  <c:v>27.5263802899842</c:v>
                </c:pt>
                <c:pt idx="55">
                  <c:v>28.300202129521999</c:v>
                </c:pt>
                <c:pt idx="56">
                  <c:v>28.862981649185901</c:v>
                </c:pt>
              </c:numCache>
            </c:numRef>
          </c:xVal>
          <c:yVal>
            <c:numRef>
              <c:f>Sheet1!$B$3:$B$78</c:f>
              <c:numCache>
                <c:formatCode>General</c:formatCode>
                <c:ptCount val="76"/>
                <c:pt idx="0">
                  <c:v>100.25873221216</c:v>
                </c:pt>
                <c:pt idx="1">
                  <c:v>99.611901681759306</c:v>
                </c:pt>
                <c:pt idx="2">
                  <c:v>98.447606727037495</c:v>
                </c:pt>
                <c:pt idx="3">
                  <c:v>97.024579560155203</c:v>
                </c:pt>
                <c:pt idx="4">
                  <c:v>95.084087968952105</c:v>
                </c:pt>
                <c:pt idx="5">
                  <c:v>92.884864165588596</c:v>
                </c:pt>
                <c:pt idx="6">
                  <c:v>90.685640362225101</c:v>
                </c:pt>
                <c:pt idx="7">
                  <c:v>88.615782664941705</c:v>
                </c:pt>
                <c:pt idx="8">
                  <c:v>87.322121604139696</c:v>
                </c:pt>
                <c:pt idx="9">
                  <c:v>84.868971357616701</c:v>
                </c:pt>
                <c:pt idx="10">
                  <c:v>84.868971357616701</c:v>
                </c:pt>
                <c:pt idx="11">
                  <c:v>81.759807665331394</c:v>
                </c:pt>
                <c:pt idx="12">
                  <c:v>78.1667502470507</c:v>
                </c:pt>
                <c:pt idx="13">
                  <c:v>75.058620485762404</c:v>
                </c:pt>
                <c:pt idx="14">
                  <c:v>71.121862674006493</c:v>
                </c:pt>
                <c:pt idx="15">
                  <c:v>71.121862674006493</c:v>
                </c:pt>
                <c:pt idx="16">
                  <c:v>67.259217737085194</c:v>
                </c:pt>
                <c:pt idx="17">
                  <c:v>64.941785252263898</c:v>
                </c:pt>
                <c:pt idx="18">
                  <c:v>64.189991374018504</c:v>
                </c:pt>
                <c:pt idx="19">
                  <c:v>62.5607741364256</c:v>
                </c:pt>
                <c:pt idx="20">
                  <c:v>59.792079053601199</c:v>
                </c:pt>
                <c:pt idx="21">
                  <c:v>57.702374829200302</c:v>
                </c:pt>
                <c:pt idx="22">
                  <c:v>55.719753923002401</c:v>
                </c:pt>
                <c:pt idx="23">
                  <c:v>53.246357179866102</c:v>
                </c:pt>
                <c:pt idx="24">
                  <c:v>52.662868337987902</c:v>
                </c:pt>
                <c:pt idx="25">
                  <c:v>52.348566059814601</c:v>
                </c:pt>
                <c:pt idx="26">
                  <c:v>51.880012110065501</c:v>
                </c:pt>
                <c:pt idx="27">
                  <c:v>51.875808538163</c:v>
                </c:pt>
                <c:pt idx="28">
                  <c:v>51.503216642142299</c:v>
                </c:pt>
                <c:pt idx="29">
                  <c:v>49.133551274972199</c:v>
                </c:pt>
                <c:pt idx="30">
                  <c:v>48.195368797310799</c:v>
                </c:pt>
                <c:pt idx="31">
                  <c:v>47.859113407984097</c:v>
                </c:pt>
                <c:pt idx="32">
                  <c:v>47.416986033548</c:v>
                </c:pt>
                <c:pt idx="33">
                  <c:v>47.029782857959702</c:v>
                </c:pt>
                <c:pt idx="34">
                  <c:v>45.679790784920201</c:v>
                </c:pt>
                <c:pt idx="35">
                  <c:v>44.479411235439201</c:v>
                </c:pt>
                <c:pt idx="36">
                  <c:v>44.114078329075397</c:v>
                </c:pt>
                <c:pt idx="37">
                  <c:v>43.832250087023297</c:v>
                </c:pt>
                <c:pt idx="38">
                  <c:v>43.054033007118299</c:v>
                </c:pt>
                <c:pt idx="39">
                  <c:v>42.4829538861865</c:v>
                </c:pt>
                <c:pt idx="40">
                  <c:v>42.224785299022699</c:v>
                </c:pt>
                <c:pt idx="41">
                  <c:v>41.890766641775798</c:v>
                </c:pt>
                <c:pt idx="42">
                  <c:v>41.318759691240501</c:v>
                </c:pt>
                <c:pt idx="43">
                  <c:v>40.362225097024499</c:v>
                </c:pt>
                <c:pt idx="44">
                  <c:v>40.362225097024499</c:v>
                </c:pt>
                <c:pt idx="45">
                  <c:v>40.362225097024499</c:v>
                </c:pt>
                <c:pt idx="46">
                  <c:v>40.075610765615203</c:v>
                </c:pt>
                <c:pt idx="47">
                  <c:v>38.763632942002303</c:v>
                </c:pt>
                <c:pt idx="48">
                  <c:v>36.821337645851699</c:v>
                </c:pt>
                <c:pt idx="49">
                  <c:v>36.701934812358402</c:v>
                </c:pt>
                <c:pt idx="50">
                  <c:v>36.701934812358402</c:v>
                </c:pt>
                <c:pt idx="51">
                  <c:v>35.816249659514</c:v>
                </c:pt>
                <c:pt idx="52">
                  <c:v>33.624985372401902</c:v>
                </c:pt>
                <c:pt idx="53">
                  <c:v>33.6238048749154</c:v>
                </c:pt>
                <c:pt idx="54">
                  <c:v>33.602928708837403</c:v>
                </c:pt>
                <c:pt idx="55">
                  <c:v>33.602928708837403</c:v>
                </c:pt>
                <c:pt idx="56">
                  <c:v>33.602928708837403</c:v>
                </c:pt>
              </c:numCache>
            </c:numRef>
          </c:yVal>
          <c:smooth val="0"/>
          <c:extLst>
            <c:ext xmlns:c16="http://schemas.microsoft.com/office/drawing/2014/chart" uri="{C3380CC4-5D6E-409C-BE32-E72D297353CC}">
              <c16:uniqueId val="{00000000-BC1A-47B2-808F-0EF376B56ADD}"/>
            </c:ext>
          </c:extLst>
        </c:ser>
        <c:ser>
          <c:idx val="1"/>
          <c:order val="1"/>
          <c:tx>
            <c:v>047 NIVO PFS</c:v>
          </c:tx>
          <c:spPr>
            <a:ln w="19050" cap="rnd">
              <a:solidFill>
                <a:srgbClr val="FF0000"/>
              </a:solidFill>
              <a:prstDash val="sysDot"/>
              <a:round/>
            </a:ln>
            <a:effectLst/>
          </c:spPr>
          <c:marker>
            <c:symbol val="none"/>
          </c:marker>
          <c:xVal>
            <c:numRef>
              <c:f>Sheet1!$C$3:$C$78</c:f>
              <c:numCache>
                <c:formatCode>General</c:formatCode>
                <c:ptCount val="76"/>
                <c:pt idx="0">
                  <c:v>0.11889035667106899</c:v>
                </c:pt>
                <c:pt idx="1">
                  <c:v>0.75297225891677599</c:v>
                </c:pt>
                <c:pt idx="2">
                  <c:v>0.99075297225891601</c:v>
                </c:pt>
                <c:pt idx="3">
                  <c:v>1.5852047556142601</c:v>
                </c:pt>
                <c:pt idx="4">
                  <c:v>1.9022457067371199</c:v>
                </c:pt>
                <c:pt idx="5">
                  <c:v>2.1003963011889</c:v>
                </c:pt>
                <c:pt idx="6">
                  <c:v>2.3778071334213999</c:v>
                </c:pt>
                <c:pt idx="7">
                  <c:v>2.7054585581427402</c:v>
                </c:pt>
                <c:pt idx="8">
                  <c:v>2.7576862029600302</c:v>
                </c:pt>
                <c:pt idx="9">
                  <c:v>2.7640814247743899</c:v>
                </c:pt>
                <c:pt idx="10">
                  <c:v>2.79925514475338</c:v>
                </c:pt>
                <c:pt idx="11">
                  <c:v>2.8137384412153201</c:v>
                </c:pt>
                <c:pt idx="12">
                  <c:v>2.8137384412153201</c:v>
                </c:pt>
                <c:pt idx="13">
                  <c:v>2.8344288647323701</c:v>
                </c:pt>
                <c:pt idx="14">
                  <c:v>2.9722589167767501</c:v>
                </c:pt>
                <c:pt idx="15">
                  <c:v>3.0982317645748099</c:v>
                </c:pt>
                <c:pt idx="16">
                  <c:v>3.4874504623513798</c:v>
                </c:pt>
                <c:pt idx="17">
                  <c:v>3.8966752080979101</c:v>
                </c:pt>
                <c:pt idx="18">
                  <c:v>4.5227674237239501</c:v>
                </c:pt>
                <c:pt idx="19">
                  <c:v>4.6212538396651297</c:v>
                </c:pt>
                <c:pt idx="20">
                  <c:v>4.6763540290620798</c:v>
                </c:pt>
                <c:pt idx="21">
                  <c:v>4.8686423368506997</c:v>
                </c:pt>
                <c:pt idx="22">
                  <c:v>5.5779790230936896</c:v>
                </c:pt>
                <c:pt idx="23">
                  <c:v>6.3518008626315003</c:v>
                </c:pt>
                <c:pt idx="24">
                  <c:v>6.6974900924702698</c:v>
                </c:pt>
                <c:pt idx="25">
                  <c:v>7.1432095621588001</c:v>
                </c:pt>
                <c:pt idx="26">
                  <c:v>7.9697919816651002</c:v>
                </c:pt>
                <c:pt idx="27">
                  <c:v>8.3619550858652492</c:v>
                </c:pt>
                <c:pt idx="28">
                  <c:v>8.7084401012239194</c:v>
                </c:pt>
                <c:pt idx="29">
                  <c:v>9.5799667184811401</c:v>
                </c:pt>
                <c:pt idx="30">
                  <c:v>10.224570673712</c:v>
                </c:pt>
                <c:pt idx="31">
                  <c:v>10.3616049402365</c:v>
                </c:pt>
                <c:pt idx="32">
                  <c:v>11.0650793398163</c:v>
                </c:pt>
                <c:pt idx="33">
                  <c:v>11.9092486193121</c:v>
                </c:pt>
                <c:pt idx="34">
                  <c:v>12.6127230188919</c:v>
                </c:pt>
                <c:pt idx="35">
                  <c:v>13.4178103872999</c:v>
                </c:pt>
                <c:pt idx="36">
                  <c:v>14.230714137925499</c:v>
                </c:pt>
                <c:pt idx="37">
                  <c:v>14.969362257484301</c:v>
                </c:pt>
                <c:pt idx="38">
                  <c:v>15.8487052569591</c:v>
                </c:pt>
                <c:pt idx="39">
                  <c:v>16.614710714279401</c:v>
                </c:pt>
                <c:pt idx="40">
                  <c:v>17.4354308471225</c:v>
                </c:pt>
                <c:pt idx="41">
                  <c:v>17.6354029062087</c:v>
                </c:pt>
                <c:pt idx="42">
                  <c:v>18.1490665435851</c:v>
                </c:pt>
                <c:pt idx="43">
                  <c:v>18.9439926151103</c:v>
                </c:pt>
                <c:pt idx="44">
                  <c:v>19.772529130171002</c:v>
                </c:pt>
                <c:pt idx="45">
                  <c:v>20.491636294185898</c:v>
                </c:pt>
                <c:pt idx="46">
                  <c:v>21.195110693765798</c:v>
                </c:pt>
                <c:pt idx="47">
                  <c:v>22.109627413219499</c:v>
                </c:pt>
                <c:pt idx="48">
                  <c:v>22.883449252757401</c:v>
                </c:pt>
                <c:pt idx="49">
                  <c:v>23.602556416772298</c:v>
                </c:pt>
                <c:pt idx="50">
                  <c:v>24.431092931833</c:v>
                </c:pt>
                <c:pt idx="51">
                  <c:v>25.204914771370799</c:v>
                </c:pt>
                <c:pt idx="52">
                  <c:v>25.978736610908602</c:v>
                </c:pt>
                <c:pt idx="53">
                  <c:v>26.752558450446401</c:v>
                </c:pt>
                <c:pt idx="54">
                  <c:v>27.502931143331502</c:v>
                </c:pt>
                <c:pt idx="55">
                  <c:v>28.300202129521999</c:v>
                </c:pt>
                <c:pt idx="56">
                  <c:v>28.792634209227899</c:v>
                </c:pt>
              </c:numCache>
            </c:numRef>
          </c:xVal>
          <c:yVal>
            <c:numRef>
              <c:f>Sheet1!$D$3:$D$78</c:f>
              <c:numCache>
                <c:formatCode>General</c:formatCode>
                <c:ptCount val="76"/>
                <c:pt idx="0">
                  <c:v>100</c:v>
                </c:pt>
                <c:pt idx="1">
                  <c:v>97.542043984475995</c:v>
                </c:pt>
                <c:pt idx="2">
                  <c:v>95.860284605433307</c:v>
                </c:pt>
                <c:pt idx="3">
                  <c:v>92.367399741267704</c:v>
                </c:pt>
                <c:pt idx="4">
                  <c:v>89.262613195342794</c:v>
                </c:pt>
                <c:pt idx="5">
                  <c:v>86.934023285899102</c:v>
                </c:pt>
                <c:pt idx="6">
                  <c:v>84.734799482535493</c:v>
                </c:pt>
                <c:pt idx="7">
                  <c:v>81.759807665331394</c:v>
                </c:pt>
                <c:pt idx="8">
                  <c:v>78.1667502470507</c:v>
                </c:pt>
                <c:pt idx="9">
                  <c:v>75.058620485762404</c:v>
                </c:pt>
                <c:pt idx="10">
                  <c:v>71.121862674006493</c:v>
                </c:pt>
                <c:pt idx="11">
                  <c:v>65.847347994825299</c:v>
                </c:pt>
                <c:pt idx="12">
                  <c:v>63.001293661060799</c:v>
                </c:pt>
                <c:pt idx="13">
                  <c:v>60.414288213038198</c:v>
                </c:pt>
                <c:pt idx="14">
                  <c:v>57.826649417852501</c:v>
                </c:pt>
                <c:pt idx="15">
                  <c:v>56.375532933186498</c:v>
                </c:pt>
                <c:pt idx="16">
                  <c:v>55.239327296248298</c:v>
                </c:pt>
                <c:pt idx="17">
                  <c:v>53.921005280284497</c:v>
                </c:pt>
                <c:pt idx="18">
                  <c:v>52.578990884996202</c:v>
                </c:pt>
                <c:pt idx="19">
                  <c:v>48.981304259729697</c:v>
                </c:pt>
                <c:pt idx="20">
                  <c:v>48.981304259729697</c:v>
                </c:pt>
                <c:pt idx="21">
                  <c:v>46.1366018912505</c:v>
                </c:pt>
                <c:pt idx="22">
                  <c:v>44.681214174192498</c:v>
                </c:pt>
                <c:pt idx="23">
                  <c:v>43.389708502942803</c:v>
                </c:pt>
                <c:pt idx="24">
                  <c:v>42.302716688227598</c:v>
                </c:pt>
                <c:pt idx="25">
                  <c:v>41.894680922915398</c:v>
                </c:pt>
                <c:pt idx="26">
                  <c:v>41.074566537478901</c:v>
                </c:pt>
                <c:pt idx="27">
                  <c:v>40.362225097024499</c:v>
                </c:pt>
                <c:pt idx="28">
                  <c:v>39.518886239221601</c:v>
                </c:pt>
                <c:pt idx="29">
                  <c:v>38.661146430386403</c:v>
                </c:pt>
                <c:pt idx="30">
                  <c:v>38.4217335058214</c:v>
                </c:pt>
                <c:pt idx="31">
                  <c:v>37.474711938933602</c:v>
                </c:pt>
                <c:pt idx="32">
                  <c:v>36.7389927685443</c:v>
                </c:pt>
                <c:pt idx="33">
                  <c:v>36.264639883773597</c:v>
                </c:pt>
                <c:pt idx="34">
                  <c:v>35.705622547686701</c:v>
                </c:pt>
                <c:pt idx="35">
                  <c:v>35.641834262448597</c:v>
                </c:pt>
                <c:pt idx="36">
                  <c:v>35.001631836058799</c:v>
                </c:pt>
                <c:pt idx="37">
                  <c:v>33.857356982912201</c:v>
                </c:pt>
                <c:pt idx="38">
                  <c:v>33.383728965019202</c:v>
                </c:pt>
                <c:pt idx="39">
                  <c:v>33.383728965019202</c:v>
                </c:pt>
                <c:pt idx="40">
                  <c:v>32.554481256923602</c:v>
                </c:pt>
                <c:pt idx="41">
                  <c:v>31.824062095730898</c:v>
                </c:pt>
                <c:pt idx="42">
                  <c:v>31.558108241504101</c:v>
                </c:pt>
                <c:pt idx="43">
                  <c:v>30.915122326303901</c:v>
                </c:pt>
                <c:pt idx="44">
                  <c:v>30.194314703113101</c:v>
                </c:pt>
                <c:pt idx="45">
                  <c:v>29.500762074524101</c:v>
                </c:pt>
                <c:pt idx="46">
                  <c:v>29.4288552802557</c:v>
                </c:pt>
                <c:pt idx="47">
                  <c:v>29.4288552802557</c:v>
                </c:pt>
                <c:pt idx="48">
                  <c:v>29.198057666394099</c:v>
                </c:pt>
                <c:pt idx="49">
                  <c:v>28.7909724278745</c:v>
                </c:pt>
                <c:pt idx="50">
                  <c:v>28.7909724278745</c:v>
                </c:pt>
                <c:pt idx="51">
                  <c:v>28.7909724278745</c:v>
                </c:pt>
                <c:pt idx="52">
                  <c:v>28.7909724278745</c:v>
                </c:pt>
                <c:pt idx="53">
                  <c:v>28.7909724278745</c:v>
                </c:pt>
                <c:pt idx="54">
                  <c:v>28.7909724278745</c:v>
                </c:pt>
                <c:pt idx="55">
                  <c:v>28.7909724278745</c:v>
                </c:pt>
                <c:pt idx="56">
                  <c:v>28.7909724278745</c:v>
                </c:pt>
              </c:numCache>
            </c:numRef>
          </c:yVal>
          <c:smooth val="0"/>
          <c:extLst>
            <c:ext xmlns:c16="http://schemas.microsoft.com/office/drawing/2014/chart" uri="{C3380CC4-5D6E-409C-BE32-E72D297353CC}">
              <c16:uniqueId val="{00000001-BC1A-47B2-808F-0EF376B56ADD}"/>
            </c:ext>
          </c:extLst>
        </c:ser>
        <c:ser>
          <c:idx val="6"/>
          <c:order val="6"/>
          <c:tx>
            <c:v>067 NIVO+IPI PFS 6.5-yr follow up</c:v>
          </c:tx>
          <c:spPr>
            <a:ln w="19050" cap="rnd">
              <a:solidFill>
                <a:schemeClr val="accent4">
                  <a:lumMod val="60000"/>
                  <a:lumOff val="40000"/>
                </a:schemeClr>
              </a:solidFill>
              <a:round/>
            </a:ln>
            <a:effectLst/>
          </c:spPr>
          <c:marker>
            <c:symbol val="none"/>
          </c:marker>
          <c:xVal>
            <c:numRef>
              <c:f>Sheet1!$M$3:$M$113</c:f>
              <c:numCache>
                <c:formatCode>General</c:formatCode>
                <c:ptCount val="111"/>
                <c:pt idx="0">
                  <c:v>6.5369649805447197E-2</c:v>
                </c:pt>
                <c:pt idx="1">
                  <c:v>0.52295719844358002</c:v>
                </c:pt>
                <c:pt idx="2">
                  <c:v>0.915175097276264</c:v>
                </c:pt>
                <c:pt idx="3">
                  <c:v>1.50350194552529</c:v>
                </c:pt>
                <c:pt idx="4">
                  <c:v>1.7649805447470801</c:v>
                </c:pt>
                <c:pt idx="5">
                  <c:v>1.83035019455252</c:v>
                </c:pt>
                <c:pt idx="6">
                  <c:v>2.41867704280155</c:v>
                </c:pt>
                <c:pt idx="7">
                  <c:v>2.61478599221789</c:v>
                </c:pt>
                <c:pt idx="8">
                  <c:v>2.6801556420233399</c:v>
                </c:pt>
                <c:pt idx="9">
                  <c:v>2.7829611508242</c:v>
                </c:pt>
                <c:pt idx="10">
                  <c:v>2.9416342412451302</c:v>
                </c:pt>
                <c:pt idx="11">
                  <c:v>3.0070038910505801</c:v>
                </c:pt>
                <c:pt idx="12">
                  <c:v>3.1377431906614701</c:v>
                </c:pt>
                <c:pt idx="13">
                  <c:v>3.39922178988326</c:v>
                </c:pt>
                <c:pt idx="14">
                  <c:v>3.98754863813229</c:v>
                </c:pt>
                <c:pt idx="15">
                  <c:v>4.2490272373540803</c:v>
                </c:pt>
                <c:pt idx="16">
                  <c:v>4.6412451361867699</c:v>
                </c:pt>
                <c:pt idx="17">
                  <c:v>5.1642023346303496</c:v>
                </c:pt>
                <c:pt idx="18">
                  <c:v>5.7525291828793703</c:v>
                </c:pt>
                <c:pt idx="19">
                  <c:v>6.0140077821011602</c:v>
                </c:pt>
                <c:pt idx="20">
                  <c:v>6.6023346303501897</c:v>
                </c:pt>
                <c:pt idx="21">
                  <c:v>7.0599221789883204</c:v>
                </c:pt>
                <c:pt idx="22">
                  <c:v>7.3453276727973904</c:v>
                </c:pt>
                <c:pt idx="23">
                  <c:v>7.9750972762645898</c:v>
                </c:pt>
                <c:pt idx="24">
                  <c:v>8.2552013381481704</c:v>
                </c:pt>
                <c:pt idx="25">
                  <c:v>8.6941634241245094</c:v>
                </c:pt>
                <c:pt idx="26">
                  <c:v>9.1195813202314095</c:v>
                </c:pt>
                <c:pt idx="27">
                  <c:v>9.6093385214007796</c:v>
                </c:pt>
                <c:pt idx="28">
                  <c:v>10.0489522784111</c:v>
                </c:pt>
                <c:pt idx="29">
                  <c:v>10.7859922178988</c:v>
                </c:pt>
                <c:pt idx="30">
                  <c:v>10.985363925667899</c:v>
                </c:pt>
                <c:pt idx="31">
                  <c:v>11.604944564454399</c:v>
                </c:pt>
                <c:pt idx="32">
                  <c:v>11.9626459143968</c:v>
                </c:pt>
                <c:pt idx="33">
                  <c:v>12.499112077248499</c:v>
                </c:pt>
                <c:pt idx="34">
                  <c:v>13.4284830354283</c:v>
                </c:pt>
                <c:pt idx="35">
                  <c:v>14.350813304530901</c:v>
                </c:pt>
                <c:pt idx="36">
                  <c:v>15.287224951787699</c:v>
                </c:pt>
                <c:pt idx="37">
                  <c:v>16.216595909967399</c:v>
                </c:pt>
                <c:pt idx="38">
                  <c:v>17.145966868147202</c:v>
                </c:pt>
                <c:pt idx="39">
                  <c:v>18.082378515403999</c:v>
                </c:pt>
                <c:pt idx="40">
                  <c:v>19.004708784506601</c:v>
                </c:pt>
                <c:pt idx="41">
                  <c:v>19.934079742686301</c:v>
                </c:pt>
                <c:pt idx="42">
                  <c:v>20.835287944557599</c:v>
                </c:pt>
                <c:pt idx="43">
                  <c:v>21.792821659045799</c:v>
                </c:pt>
                <c:pt idx="44">
                  <c:v>22.722192617225499</c:v>
                </c:pt>
                <c:pt idx="45">
                  <c:v>23.651563575405198</c:v>
                </c:pt>
                <c:pt idx="46">
                  <c:v>24.626428216852499</c:v>
                </c:pt>
                <c:pt idx="47">
                  <c:v>25.517346180841798</c:v>
                </c:pt>
                <c:pt idx="48">
                  <c:v>26.420179157115498</c:v>
                </c:pt>
                <c:pt idx="49">
                  <c:v>27.383128786278402</c:v>
                </c:pt>
                <c:pt idx="50">
                  <c:v>28.298418366303899</c:v>
                </c:pt>
                <c:pt idx="51">
                  <c:v>29.227789324483599</c:v>
                </c:pt>
                <c:pt idx="52">
                  <c:v>30.128997526354802</c:v>
                </c:pt>
                <c:pt idx="53">
                  <c:v>31.086531240843001</c:v>
                </c:pt>
                <c:pt idx="54">
                  <c:v>32.015902199022797</c:v>
                </c:pt>
                <c:pt idx="55">
                  <c:v>32.9452731572025</c:v>
                </c:pt>
                <c:pt idx="56">
                  <c:v>33.846481359073699</c:v>
                </c:pt>
                <c:pt idx="57">
                  <c:v>34.804015073561899</c:v>
                </c:pt>
                <c:pt idx="58">
                  <c:v>35.7658815197899</c:v>
                </c:pt>
                <c:pt idx="59">
                  <c:v>36.662756989921398</c:v>
                </c:pt>
                <c:pt idx="60">
                  <c:v>37.592127948101101</c:v>
                </c:pt>
                <c:pt idx="61">
                  <c:v>38.547495296719397</c:v>
                </c:pt>
                <c:pt idx="62">
                  <c:v>39.4508698644606</c:v>
                </c:pt>
                <c:pt idx="63">
                  <c:v>40.380240822640303</c:v>
                </c:pt>
                <c:pt idx="64">
                  <c:v>41.302571091742898</c:v>
                </c:pt>
                <c:pt idx="65">
                  <c:v>42.238982738999702</c:v>
                </c:pt>
                <c:pt idx="66">
                  <c:v>43.168353697179498</c:v>
                </c:pt>
                <c:pt idx="67">
                  <c:v>44.097724655359201</c:v>
                </c:pt>
                <c:pt idx="68">
                  <c:v>45.046592906367799</c:v>
                </c:pt>
                <c:pt idx="69">
                  <c:v>45.9564665717186</c:v>
                </c:pt>
                <c:pt idx="70">
                  <c:v>46.906959597129699</c:v>
                </c:pt>
                <c:pt idx="71">
                  <c:v>47.801127109923797</c:v>
                </c:pt>
                <c:pt idx="72">
                  <c:v>48.744579446257802</c:v>
                </c:pt>
                <c:pt idx="73">
                  <c:v>49.680991093514599</c:v>
                </c:pt>
                <c:pt idx="74">
                  <c:v>50.603321362617201</c:v>
                </c:pt>
                <c:pt idx="75">
                  <c:v>51.532692320796997</c:v>
                </c:pt>
                <c:pt idx="76">
                  <c:v>52.4620632789767</c:v>
                </c:pt>
                <c:pt idx="77">
                  <c:v>53.391434237156403</c:v>
                </c:pt>
                <c:pt idx="78">
                  <c:v>54.320805195336099</c:v>
                </c:pt>
                <c:pt idx="79">
                  <c:v>55.276172543954502</c:v>
                </c:pt>
                <c:pt idx="80">
                  <c:v>56.179547111695598</c:v>
                </c:pt>
                <c:pt idx="81">
                  <c:v>57.108918069875301</c:v>
                </c:pt>
                <c:pt idx="82">
                  <c:v>58.038289028054997</c:v>
                </c:pt>
                <c:pt idx="83">
                  <c:v>58.9676599862348</c:v>
                </c:pt>
                <c:pt idx="84">
                  <c:v>59.897030944414503</c:v>
                </c:pt>
                <c:pt idx="85">
                  <c:v>60.840483280748401</c:v>
                </c:pt>
                <c:pt idx="86">
                  <c:v>61.762813549851103</c:v>
                </c:pt>
                <c:pt idx="87">
                  <c:v>62.720347264339203</c:v>
                </c:pt>
                <c:pt idx="88">
                  <c:v>63.614514777133401</c:v>
                </c:pt>
                <c:pt idx="89">
                  <c:v>64.572048491621601</c:v>
                </c:pt>
                <c:pt idx="90">
                  <c:v>65.487338071647102</c:v>
                </c:pt>
                <c:pt idx="91">
                  <c:v>66.374464895364099</c:v>
                </c:pt>
                <c:pt idx="92">
                  <c:v>67.357995000290899</c:v>
                </c:pt>
                <c:pt idx="93">
                  <c:v>68.274367763251306</c:v>
                </c:pt>
                <c:pt idx="94">
                  <c:v>69.223236014259996</c:v>
                </c:pt>
                <c:pt idx="95">
                  <c:v>70.084908039005896</c:v>
                </c:pt>
                <c:pt idx="96">
                  <c:v>71.049482442571204</c:v>
                </c:pt>
                <c:pt idx="97">
                  <c:v>71.985894089827994</c:v>
                </c:pt>
                <c:pt idx="98">
                  <c:v>72.9363871152391</c:v>
                </c:pt>
                <c:pt idx="99">
                  <c:v>73.830554628033198</c:v>
                </c:pt>
                <c:pt idx="100">
                  <c:v>74.7528848971358</c:v>
                </c:pt>
                <c:pt idx="101">
                  <c:v>75.6611337880842</c:v>
                </c:pt>
                <c:pt idx="102">
                  <c:v>76.398239775311794</c:v>
                </c:pt>
                <c:pt idx="103">
                  <c:v>77.306894859860805</c:v>
                </c:pt>
                <c:pt idx="104">
                  <c:v>78.196196014028104</c:v>
                </c:pt>
                <c:pt idx="105">
                  <c:v>79.160356259412396</c:v>
                </c:pt>
                <c:pt idx="106">
                  <c:v>80.063324633552895</c:v>
                </c:pt>
                <c:pt idx="107">
                  <c:v>80.986602687723604</c:v>
                </c:pt>
                <c:pt idx="108">
                  <c:v>81.920306377643101</c:v>
                </c:pt>
                <c:pt idx="109">
                  <c:v>82.897337384960295</c:v>
                </c:pt>
                <c:pt idx="110">
                  <c:v>83.595990377997495</c:v>
                </c:pt>
              </c:numCache>
            </c:numRef>
          </c:xVal>
          <c:yVal>
            <c:numRef>
              <c:f>Sheet1!$N$3:$N$113</c:f>
              <c:numCache>
                <c:formatCode>General</c:formatCode>
                <c:ptCount val="111"/>
                <c:pt idx="0">
                  <c:v>100</c:v>
                </c:pt>
                <c:pt idx="1">
                  <c:v>99.245283018867894</c:v>
                </c:pt>
                <c:pt idx="2">
                  <c:v>97.924528301886696</c:v>
                </c:pt>
                <c:pt idx="3">
                  <c:v>96.037735849056602</c:v>
                </c:pt>
                <c:pt idx="4">
                  <c:v>94.339622641509393</c:v>
                </c:pt>
                <c:pt idx="5">
                  <c:v>93.018867924528294</c:v>
                </c:pt>
                <c:pt idx="6">
                  <c:v>88.301886792452805</c:v>
                </c:pt>
                <c:pt idx="7">
                  <c:v>81.509433962264097</c:v>
                </c:pt>
                <c:pt idx="8">
                  <c:v>81.509433962264097</c:v>
                </c:pt>
                <c:pt idx="9">
                  <c:v>78.802233750784694</c:v>
                </c:pt>
                <c:pt idx="10">
                  <c:v>77.358490566037702</c:v>
                </c:pt>
                <c:pt idx="11">
                  <c:v>75.471698113207495</c:v>
                </c:pt>
                <c:pt idx="12">
                  <c:v>73.018867924528294</c:v>
                </c:pt>
                <c:pt idx="13">
                  <c:v>71.886792452830093</c:v>
                </c:pt>
                <c:pt idx="14">
                  <c:v>70.754716981132006</c:v>
                </c:pt>
                <c:pt idx="15">
                  <c:v>68.867924528301799</c:v>
                </c:pt>
                <c:pt idx="16">
                  <c:v>67.735849056603698</c:v>
                </c:pt>
                <c:pt idx="17">
                  <c:v>65.660377358490507</c:v>
                </c:pt>
                <c:pt idx="18">
                  <c:v>64.716981132075404</c:v>
                </c:pt>
                <c:pt idx="19">
                  <c:v>62.264150943396203</c:v>
                </c:pt>
                <c:pt idx="20">
                  <c:v>61.8867924528301</c:v>
                </c:pt>
                <c:pt idx="21">
                  <c:v>60.188679245282998</c:v>
                </c:pt>
                <c:pt idx="22">
                  <c:v>59.268137209253403</c:v>
                </c:pt>
                <c:pt idx="23">
                  <c:v>58.679245283018801</c:v>
                </c:pt>
                <c:pt idx="24">
                  <c:v>58.0392482315292</c:v>
                </c:pt>
                <c:pt idx="25">
                  <c:v>56.2264150943396</c:v>
                </c:pt>
                <c:pt idx="26">
                  <c:v>55.5045314860931</c:v>
                </c:pt>
                <c:pt idx="27">
                  <c:v>55.094339622641499</c:v>
                </c:pt>
                <c:pt idx="28">
                  <c:v>53.7753272072407</c:v>
                </c:pt>
                <c:pt idx="29">
                  <c:v>53.018867924528202</c:v>
                </c:pt>
                <c:pt idx="30">
                  <c:v>51.861547497100801</c:v>
                </c:pt>
                <c:pt idx="31">
                  <c:v>49.060197270594401</c:v>
                </c:pt>
                <c:pt idx="32">
                  <c:v>49.060197270594401</c:v>
                </c:pt>
                <c:pt idx="33">
                  <c:v>48.728119846316901</c:v>
                </c:pt>
                <c:pt idx="34">
                  <c:v>48.173887705659098</c:v>
                </c:pt>
                <c:pt idx="35">
                  <c:v>47.558074216039302</c:v>
                </c:pt>
                <c:pt idx="36">
                  <c:v>47.462623125148298</c:v>
                </c:pt>
                <c:pt idx="37">
                  <c:v>46.681155806820797</c:v>
                </c:pt>
                <c:pt idx="38">
                  <c:v>45.410116764245501</c:v>
                </c:pt>
                <c:pt idx="39">
                  <c:v>44.623261077883797</c:v>
                </c:pt>
                <c:pt idx="40">
                  <c:v>44.395871946841702</c:v>
                </c:pt>
                <c:pt idx="41">
                  <c:v>44.055942900571601</c:v>
                </c:pt>
                <c:pt idx="42">
                  <c:v>43.597007897432498</c:v>
                </c:pt>
                <c:pt idx="43">
                  <c:v>42.812615465029197</c:v>
                </c:pt>
                <c:pt idx="44">
                  <c:v>41.105580471803201</c:v>
                </c:pt>
                <c:pt idx="45">
                  <c:v>41.027987972111099</c:v>
                </c:pt>
                <c:pt idx="46">
                  <c:v>40.574967146985699</c:v>
                </c:pt>
                <c:pt idx="47">
                  <c:v>40.553472887684599</c:v>
                </c:pt>
                <c:pt idx="48">
                  <c:v>40.485238384521303</c:v>
                </c:pt>
                <c:pt idx="49">
                  <c:v>40.322142550308897</c:v>
                </c:pt>
                <c:pt idx="50">
                  <c:v>40.008200833300698</c:v>
                </c:pt>
                <c:pt idx="51">
                  <c:v>39.875185119542898</c:v>
                </c:pt>
                <c:pt idx="52">
                  <c:v>39.761259623963198</c:v>
                </c:pt>
                <c:pt idx="53">
                  <c:v>39.761259623963198</c:v>
                </c:pt>
                <c:pt idx="54">
                  <c:v>39.077090836995602</c:v>
                </c:pt>
                <c:pt idx="55">
                  <c:v>38.768568278696101</c:v>
                </c:pt>
                <c:pt idx="56">
                  <c:v>38.670653933846602</c:v>
                </c:pt>
                <c:pt idx="57">
                  <c:v>38.670653933846602</c:v>
                </c:pt>
                <c:pt idx="58">
                  <c:v>38.539656193523903</c:v>
                </c:pt>
                <c:pt idx="59">
                  <c:v>38.508448660680699</c:v>
                </c:pt>
                <c:pt idx="60">
                  <c:v>38.319640244763299</c:v>
                </c:pt>
                <c:pt idx="61">
                  <c:v>38.1760514870913</c:v>
                </c:pt>
                <c:pt idx="62">
                  <c:v>38.019615912620502</c:v>
                </c:pt>
                <c:pt idx="63">
                  <c:v>37.861475008486202</c:v>
                </c:pt>
                <c:pt idx="64">
                  <c:v>37.754477414664699</c:v>
                </c:pt>
                <c:pt idx="65">
                  <c:v>37.754477414664699</c:v>
                </c:pt>
                <c:pt idx="66">
                  <c:v>37.754477414664699</c:v>
                </c:pt>
                <c:pt idx="67">
                  <c:v>37.597291021439297</c:v>
                </c:pt>
                <c:pt idx="68">
                  <c:v>37.157458079045398</c:v>
                </c:pt>
                <c:pt idx="69">
                  <c:v>36.891568762334998</c:v>
                </c:pt>
                <c:pt idx="70">
                  <c:v>36.644227274229202</c:v>
                </c:pt>
                <c:pt idx="71">
                  <c:v>36.549391996827801</c:v>
                </c:pt>
                <c:pt idx="72">
                  <c:v>36.549391996827801</c:v>
                </c:pt>
                <c:pt idx="73">
                  <c:v>36.545327627796297</c:v>
                </c:pt>
                <c:pt idx="74">
                  <c:v>36.545327627796297</c:v>
                </c:pt>
                <c:pt idx="75">
                  <c:v>36.459949824487303</c:v>
                </c:pt>
                <c:pt idx="76">
                  <c:v>36.459949824487303</c:v>
                </c:pt>
                <c:pt idx="77">
                  <c:v>36.459949824487303</c:v>
                </c:pt>
                <c:pt idx="78">
                  <c:v>36.459949824487303</c:v>
                </c:pt>
                <c:pt idx="79">
                  <c:v>36.459949824487303</c:v>
                </c:pt>
                <c:pt idx="80">
                  <c:v>36.459949824487303</c:v>
                </c:pt>
                <c:pt idx="81">
                  <c:v>36.459949824487303</c:v>
                </c:pt>
                <c:pt idx="82">
                  <c:v>36.045696827046903</c:v>
                </c:pt>
                <c:pt idx="83">
                  <c:v>36.045696827046903</c:v>
                </c:pt>
                <c:pt idx="84">
                  <c:v>36.045696827046903</c:v>
                </c:pt>
                <c:pt idx="85">
                  <c:v>36.045696827046903</c:v>
                </c:pt>
                <c:pt idx="86">
                  <c:v>36.045696827046903</c:v>
                </c:pt>
                <c:pt idx="87">
                  <c:v>36.045696827046903</c:v>
                </c:pt>
                <c:pt idx="88">
                  <c:v>36.045696827046903</c:v>
                </c:pt>
                <c:pt idx="89">
                  <c:v>36.045696827046903</c:v>
                </c:pt>
                <c:pt idx="90">
                  <c:v>36.045696827046903</c:v>
                </c:pt>
                <c:pt idx="91">
                  <c:v>36.045696827046903</c:v>
                </c:pt>
                <c:pt idx="92">
                  <c:v>36.0116186559368</c:v>
                </c:pt>
                <c:pt idx="93">
                  <c:v>35.983480716488003</c:v>
                </c:pt>
                <c:pt idx="94">
                  <c:v>35.983480716488003</c:v>
                </c:pt>
                <c:pt idx="95">
                  <c:v>35.871803616863602</c:v>
                </c:pt>
                <c:pt idx="96">
                  <c:v>35.3253395235105</c:v>
                </c:pt>
                <c:pt idx="97">
                  <c:v>35.3253395235105</c:v>
                </c:pt>
                <c:pt idx="98">
                  <c:v>34.916193041007098</c:v>
                </c:pt>
                <c:pt idx="99">
                  <c:v>34.671992201698401</c:v>
                </c:pt>
                <c:pt idx="100">
                  <c:v>34.671992201698401</c:v>
                </c:pt>
                <c:pt idx="101">
                  <c:v>34.350697378379699</c:v>
                </c:pt>
                <c:pt idx="102">
                  <c:v>33.730882341727202</c:v>
                </c:pt>
                <c:pt idx="103">
                  <c:v>33.730882341727202</c:v>
                </c:pt>
                <c:pt idx="104">
                  <c:v>33.730882341727202</c:v>
                </c:pt>
                <c:pt idx="105">
                  <c:v>33.730882341727202</c:v>
                </c:pt>
                <c:pt idx="106">
                  <c:v>33.730882341727202</c:v>
                </c:pt>
                <c:pt idx="107">
                  <c:v>33.730882341727202</c:v>
                </c:pt>
                <c:pt idx="108">
                  <c:v>33.730882341727202</c:v>
                </c:pt>
                <c:pt idx="109">
                  <c:v>33.730882341727202</c:v>
                </c:pt>
                <c:pt idx="110">
                  <c:v>33.730882341727202</c:v>
                </c:pt>
              </c:numCache>
            </c:numRef>
          </c:yVal>
          <c:smooth val="0"/>
          <c:extLst>
            <c:ext xmlns:c16="http://schemas.microsoft.com/office/drawing/2014/chart" uri="{C3380CC4-5D6E-409C-BE32-E72D297353CC}">
              <c16:uniqueId val="{00000002-BC1A-47B2-808F-0EF376B56ADD}"/>
            </c:ext>
          </c:extLst>
        </c:ser>
        <c:ser>
          <c:idx val="7"/>
          <c:order val="7"/>
          <c:tx>
            <c:v>067 NIVO PFS 6.5-yr follow up</c:v>
          </c:tx>
          <c:spPr>
            <a:ln w="19050" cap="rnd">
              <a:solidFill>
                <a:schemeClr val="accent4">
                  <a:lumMod val="60000"/>
                  <a:lumOff val="40000"/>
                </a:schemeClr>
              </a:solidFill>
              <a:prstDash val="sysDot"/>
              <a:round/>
            </a:ln>
            <a:effectLst/>
          </c:spPr>
          <c:marker>
            <c:symbol val="none"/>
          </c:marker>
          <c:xVal>
            <c:numRef>
              <c:f>Sheet1!$O$3:$O$107</c:f>
              <c:numCache>
                <c:formatCode>General</c:formatCode>
                <c:ptCount val="105"/>
                <c:pt idx="0">
                  <c:v>0.22719101582996501</c:v>
                </c:pt>
                <c:pt idx="1">
                  <c:v>0.65369649805447505</c:v>
                </c:pt>
                <c:pt idx="2">
                  <c:v>0.98054474708171202</c:v>
                </c:pt>
                <c:pt idx="3">
                  <c:v>1.2420233463035</c:v>
                </c:pt>
                <c:pt idx="4">
                  <c:v>1.7831833018732901</c:v>
                </c:pt>
                <c:pt idx="5">
                  <c:v>2.0918287937743099</c:v>
                </c:pt>
                <c:pt idx="6">
                  <c:v>2.5494163424124499</c:v>
                </c:pt>
                <c:pt idx="7">
                  <c:v>2.5494163424124499</c:v>
                </c:pt>
                <c:pt idx="8">
                  <c:v>2.61478599221789</c:v>
                </c:pt>
                <c:pt idx="9">
                  <c:v>2.6801556420233399</c:v>
                </c:pt>
                <c:pt idx="10">
                  <c:v>2.6984728818987702</c:v>
                </c:pt>
                <c:pt idx="11">
                  <c:v>2.7455252918287898</c:v>
                </c:pt>
                <c:pt idx="12">
                  <c:v>2.7829611508242</c:v>
                </c:pt>
                <c:pt idx="13">
                  <c:v>2.8108949416342401</c:v>
                </c:pt>
                <c:pt idx="14">
                  <c:v>2.8674494197496299</c:v>
                </c:pt>
                <c:pt idx="15">
                  <c:v>2.8674494197496299</c:v>
                </c:pt>
                <c:pt idx="16">
                  <c:v>3.07237354085603</c:v>
                </c:pt>
                <c:pt idx="17">
                  <c:v>3.6607003891050498</c:v>
                </c:pt>
                <c:pt idx="18">
                  <c:v>4.2755872351734601</c:v>
                </c:pt>
                <c:pt idx="19">
                  <c:v>5.1148373731660497</c:v>
                </c:pt>
                <c:pt idx="20">
                  <c:v>5.5564202334630304</c:v>
                </c:pt>
                <c:pt idx="21">
                  <c:v>5.9935153699905204</c:v>
                </c:pt>
                <c:pt idx="22">
                  <c:v>6.7116656558566703</c:v>
                </c:pt>
                <c:pt idx="23">
                  <c:v>6.9945525291828696</c:v>
                </c:pt>
                <c:pt idx="24">
                  <c:v>7.4298159417228202</c:v>
                </c:pt>
                <c:pt idx="25">
                  <c:v>8.4326848249027204</c:v>
                </c:pt>
                <c:pt idx="26">
                  <c:v>9.0210116731517491</c:v>
                </c:pt>
                <c:pt idx="27">
                  <c:v>9.5420226648585604</c:v>
                </c:pt>
                <c:pt idx="28">
                  <c:v>10.7859922178988</c:v>
                </c:pt>
                <c:pt idx="29">
                  <c:v>11.9626459143968</c:v>
                </c:pt>
                <c:pt idx="30">
                  <c:v>13.008560311284</c:v>
                </c:pt>
                <c:pt idx="31">
                  <c:v>14.1536740103715</c:v>
                </c:pt>
                <c:pt idx="32">
                  <c:v>15.4272373540856</c:v>
                </c:pt>
                <c:pt idx="33">
                  <c:v>16.277042801556401</c:v>
                </c:pt>
                <c:pt idx="34">
                  <c:v>16.8</c:v>
                </c:pt>
                <c:pt idx="35">
                  <c:v>18.042023346303498</c:v>
                </c:pt>
                <c:pt idx="36">
                  <c:v>19.1736853223575</c:v>
                </c:pt>
                <c:pt idx="37">
                  <c:v>19.6108949416342</c:v>
                </c:pt>
                <c:pt idx="38">
                  <c:v>20.103056280537199</c:v>
                </c:pt>
                <c:pt idx="39">
                  <c:v>21.032427238716899</c:v>
                </c:pt>
                <c:pt idx="40">
                  <c:v>21.961798196896599</c:v>
                </c:pt>
                <c:pt idx="41">
                  <c:v>22.891169155076401</c:v>
                </c:pt>
                <c:pt idx="42">
                  <c:v>23.820540113256101</c:v>
                </c:pt>
                <c:pt idx="43">
                  <c:v>24.382879377431902</c:v>
                </c:pt>
                <c:pt idx="44">
                  <c:v>25.1019455252918</c:v>
                </c:pt>
                <c:pt idx="45">
                  <c:v>26.017120622568001</c:v>
                </c:pt>
                <c:pt idx="46">
                  <c:v>26.573449542409701</c:v>
                </c:pt>
                <c:pt idx="47">
                  <c:v>27.193774319066101</c:v>
                </c:pt>
                <c:pt idx="48">
                  <c:v>27.538023945974999</c:v>
                </c:pt>
                <c:pt idx="49">
                  <c:v>28.043579766536901</c:v>
                </c:pt>
                <c:pt idx="50">
                  <c:v>28.546250621818501</c:v>
                </c:pt>
                <c:pt idx="51">
                  <c:v>29.3382739838476</c:v>
                </c:pt>
                <c:pt idx="52">
                  <c:v>29.873929961089399</c:v>
                </c:pt>
                <c:pt idx="53">
                  <c:v>30.326136820514201</c:v>
                </c:pt>
                <c:pt idx="54">
                  <c:v>31.290711224079502</c:v>
                </c:pt>
                <c:pt idx="55">
                  <c:v>32.1060230192099</c:v>
                </c:pt>
                <c:pt idx="56">
                  <c:v>33.114249695053303</c:v>
                </c:pt>
                <c:pt idx="57">
                  <c:v>34.043620653233098</c:v>
                </c:pt>
                <c:pt idx="58">
                  <c:v>34.972991611412802</c:v>
                </c:pt>
                <c:pt idx="59">
                  <c:v>35.981570321710102</c:v>
                </c:pt>
                <c:pt idx="60">
                  <c:v>36.904152043994003</c:v>
                </c:pt>
                <c:pt idx="61">
                  <c:v>37.702612607465099</c:v>
                </c:pt>
                <c:pt idx="62">
                  <c:v>38.6904754441317</c:v>
                </c:pt>
                <c:pt idx="63">
                  <c:v>39.619846402311403</c:v>
                </c:pt>
                <c:pt idx="64">
                  <c:v>40.549217360491099</c:v>
                </c:pt>
                <c:pt idx="65">
                  <c:v>41.478588318670901</c:v>
                </c:pt>
                <c:pt idx="66">
                  <c:v>42.407959276850598</c:v>
                </c:pt>
                <c:pt idx="67">
                  <c:v>43.993774319066098</c:v>
                </c:pt>
                <c:pt idx="68">
                  <c:v>45.366536964980497</c:v>
                </c:pt>
                <c:pt idx="69">
                  <c:v>46.935408560311203</c:v>
                </c:pt>
                <c:pt idx="70">
                  <c:v>47.915953307392897</c:v>
                </c:pt>
                <c:pt idx="71">
                  <c:v>48.504280155642</c:v>
                </c:pt>
                <c:pt idx="72">
                  <c:v>49.550194552529099</c:v>
                </c:pt>
                <c:pt idx="73">
                  <c:v>50.772297900468097</c:v>
                </c:pt>
                <c:pt idx="74">
                  <c:v>51.7016688586478</c:v>
                </c:pt>
                <c:pt idx="75">
                  <c:v>52.631039816827503</c:v>
                </c:pt>
                <c:pt idx="76">
                  <c:v>53.560410775007298</c:v>
                </c:pt>
                <c:pt idx="77">
                  <c:v>54.489781733187002</c:v>
                </c:pt>
                <c:pt idx="78">
                  <c:v>55.419152691366698</c:v>
                </c:pt>
                <c:pt idx="79">
                  <c:v>56.348523649546401</c:v>
                </c:pt>
                <c:pt idx="80">
                  <c:v>57.133073929961</c:v>
                </c:pt>
                <c:pt idx="81">
                  <c:v>58.113618677042702</c:v>
                </c:pt>
                <c:pt idx="82">
                  <c:v>59.747859922178897</c:v>
                </c:pt>
                <c:pt idx="83">
                  <c:v>60.8591439688715</c:v>
                </c:pt>
                <c:pt idx="84">
                  <c:v>62.297276264591403</c:v>
                </c:pt>
                <c:pt idx="85">
                  <c:v>63.277821011673097</c:v>
                </c:pt>
                <c:pt idx="86">
                  <c:v>64.977431906614697</c:v>
                </c:pt>
                <c:pt idx="87">
                  <c:v>66.611673151750907</c:v>
                </c:pt>
                <c:pt idx="88">
                  <c:v>67.853696498054404</c:v>
                </c:pt>
                <c:pt idx="89">
                  <c:v>68.5993226437337</c:v>
                </c:pt>
                <c:pt idx="90">
                  <c:v>69.528693601913403</c:v>
                </c:pt>
                <c:pt idx="91">
                  <c:v>70.458064560093206</c:v>
                </c:pt>
                <c:pt idx="92">
                  <c:v>71.387435518272895</c:v>
                </c:pt>
                <c:pt idx="93">
                  <c:v>72.316806476452598</c:v>
                </c:pt>
                <c:pt idx="94">
                  <c:v>73.606225680933804</c:v>
                </c:pt>
                <c:pt idx="95">
                  <c:v>74.782879377431897</c:v>
                </c:pt>
                <c:pt idx="96">
                  <c:v>75.698054474708101</c:v>
                </c:pt>
                <c:pt idx="97">
                  <c:v>77.201556420233402</c:v>
                </c:pt>
                <c:pt idx="98">
                  <c:v>78.508949416342404</c:v>
                </c:pt>
                <c:pt idx="99">
                  <c:v>79.228015564202295</c:v>
                </c:pt>
                <c:pt idx="100">
                  <c:v>79.9470817120622</c:v>
                </c:pt>
                <c:pt idx="101">
                  <c:v>80.273929961089493</c:v>
                </c:pt>
                <c:pt idx="102">
                  <c:v>81.450583657587501</c:v>
                </c:pt>
                <c:pt idx="103">
                  <c:v>82.496498054474699</c:v>
                </c:pt>
                <c:pt idx="104">
                  <c:v>83.215564202334605</c:v>
                </c:pt>
              </c:numCache>
            </c:numRef>
          </c:xVal>
          <c:yVal>
            <c:numRef>
              <c:f>Sheet1!$P$3:$P$107</c:f>
              <c:numCache>
                <c:formatCode>General</c:formatCode>
                <c:ptCount val="105"/>
                <c:pt idx="0">
                  <c:v>99.747596664479403</c:v>
                </c:pt>
                <c:pt idx="1">
                  <c:v>98.301886792452805</c:v>
                </c:pt>
                <c:pt idx="2">
                  <c:v>96.981132075471606</c:v>
                </c:pt>
                <c:pt idx="3">
                  <c:v>95.094339622641499</c:v>
                </c:pt>
                <c:pt idx="4">
                  <c:v>92.777566665565203</c:v>
                </c:pt>
                <c:pt idx="5">
                  <c:v>90.566037735848994</c:v>
                </c:pt>
                <c:pt idx="6">
                  <c:v>87.358490566037702</c:v>
                </c:pt>
                <c:pt idx="7">
                  <c:v>85.094339622641499</c:v>
                </c:pt>
                <c:pt idx="8">
                  <c:v>72.641509433962199</c:v>
                </c:pt>
                <c:pt idx="9">
                  <c:v>72.641509433962199</c:v>
                </c:pt>
                <c:pt idx="10">
                  <c:v>72.641509433962199</c:v>
                </c:pt>
                <c:pt idx="11">
                  <c:v>70</c:v>
                </c:pt>
                <c:pt idx="12">
                  <c:v>68.233858176651296</c:v>
                </c:pt>
                <c:pt idx="13">
                  <c:v>64.528301886792406</c:v>
                </c:pt>
                <c:pt idx="14">
                  <c:v>64.528301886792406</c:v>
                </c:pt>
                <c:pt idx="15">
                  <c:v>62.853649671215599</c:v>
                </c:pt>
                <c:pt idx="16">
                  <c:v>60.188679245282998</c:v>
                </c:pt>
                <c:pt idx="17">
                  <c:v>58.301886792452798</c:v>
                </c:pt>
                <c:pt idx="18">
                  <c:v>57.208241086475198</c:v>
                </c:pt>
                <c:pt idx="19">
                  <c:v>54.852939232726399</c:v>
                </c:pt>
                <c:pt idx="20">
                  <c:v>53.584905660377302</c:v>
                </c:pt>
                <c:pt idx="21">
                  <c:v>52.312154355904099</c:v>
                </c:pt>
                <c:pt idx="22">
                  <c:v>50.985692099263098</c:v>
                </c:pt>
                <c:pt idx="23">
                  <c:v>49.245283018867902</c:v>
                </c:pt>
                <c:pt idx="24">
                  <c:v>48.0150078253372</c:v>
                </c:pt>
                <c:pt idx="25">
                  <c:v>47.169811320754697</c:v>
                </c:pt>
                <c:pt idx="26">
                  <c:v>46.415094339622598</c:v>
                </c:pt>
                <c:pt idx="27">
                  <c:v>44.915002718591197</c:v>
                </c:pt>
                <c:pt idx="28">
                  <c:v>43.584905660377302</c:v>
                </c:pt>
                <c:pt idx="29">
                  <c:v>43.207547169811299</c:v>
                </c:pt>
                <c:pt idx="30">
                  <c:v>42.452830188679201</c:v>
                </c:pt>
                <c:pt idx="31">
                  <c:v>41.212578065624598</c:v>
                </c:pt>
                <c:pt idx="32">
                  <c:v>41.212578065624598</c:v>
                </c:pt>
                <c:pt idx="33">
                  <c:v>40.943396226414997</c:v>
                </c:pt>
                <c:pt idx="34">
                  <c:v>39.622641509433898</c:v>
                </c:pt>
                <c:pt idx="35">
                  <c:v>39.622641509433898</c:v>
                </c:pt>
                <c:pt idx="36">
                  <c:v>39.622641509433898</c:v>
                </c:pt>
                <c:pt idx="37">
                  <c:v>39.622641509433898</c:v>
                </c:pt>
                <c:pt idx="38">
                  <c:v>39.077090836995602</c:v>
                </c:pt>
                <c:pt idx="39">
                  <c:v>39.054921551369297</c:v>
                </c:pt>
                <c:pt idx="40">
                  <c:v>38.367673696953602</c:v>
                </c:pt>
                <c:pt idx="41">
                  <c:v>37.580664057219501</c:v>
                </c:pt>
                <c:pt idx="42">
                  <c:v>36.762617417608602</c:v>
                </c:pt>
                <c:pt idx="43">
                  <c:v>36.603773584905603</c:v>
                </c:pt>
                <c:pt idx="44">
                  <c:v>36.037735849056503</c:v>
                </c:pt>
                <c:pt idx="45">
                  <c:v>35.471698113207502</c:v>
                </c:pt>
                <c:pt idx="46">
                  <c:v>34.834566962958</c:v>
                </c:pt>
                <c:pt idx="47">
                  <c:v>34.834566962958</c:v>
                </c:pt>
                <c:pt idx="48">
                  <c:v>34.465879426722601</c:v>
                </c:pt>
                <c:pt idx="49">
                  <c:v>33.396226415094297</c:v>
                </c:pt>
                <c:pt idx="50">
                  <c:v>32.916049301126698</c:v>
                </c:pt>
                <c:pt idx="51">
                  <c:v>32.916049301126698</c:v>
                </c:pt>
                <c:pt idx="52">
                  <c:v>32.916049301126698</c:v>
                </c:pt>
                <c:pt idx="53">
                  <c:v>32.916049301126698</c:v>
                </c:pt>
                <c:pt idx="54">
                  <c:v>32.777318838185202</c:v>
                </c:pt>
                <c:pt idx="55">
                  <c:v>32.496567708800399</c:v>
                </c:pt>
                <c:pt idx="56">
                  <c:v>32.204612292838803</c:v>
                </c:pt>
                <c:pt idx="57">
                  <c:v>31.650380152181</c:v>
                </c:pt>
                <c:pt idx="58">
                  <c:v>31.517364438423101</c:v>
                </c:pt>
                <c:pt idx="59">
                  <c:v>30.899580345636501</c:v>
                </c:pt>
                <c:pt idx="60">
                  <c:v>30.899580345636501</c:v>
                </c:pt>
                <c:pt idx="61">
                  <c:v>30.899580345636501</c:v>
                </c:pt>
                <c:pt idx="62">
                  <c:v>30.899580345636501</c:v>
                </c:pt>
                <c:pt idx="63">
                  <c:v>30.774693369941598</c:v>
                </c:pt>
                <c:pt idx="64">
                  <c:v>30.320223014602199</c:v>
                </c:pt>
                <c:pt idx="65">
                  <c:v>30.298053728975901</c:v>
                </c:pt>
                <c:pt idx="66">
                  <c:v>30.298053728975901</c:v>
                </c:pt>
                <c:pt idx="67">
                  <c:v>30.298053728975901</c:v>
                </c:pt>
                <c:pt idx="68">
                  <c:v>30.188679245283002</c:v>
                </c:pt>
                <c:pt idx="69">
                  <c:v>30.188679245283002</c:v>
                </c:pt>
                <c:pt idx="70">
                  <c:v>29.811320754716899</c:v>
                </c:pt>
                <c:pt idx="71">
                  <c:v>29.811320754716899</c:v>
                </c:pt>
                <c:pt idx="72">
                  <c:v>29.622641509433901</c:v>
                </c:pt>
                <c:pt idx="73">
                  <c:v>29.245012661726101</c:v>
                </c:pt>
                <c:pt idx="74">
                  <c:v>29.245012661726101</c:v>
                </c:pt>
                <c:pt idx="75">
                  <c:v>29.245012661726101</c:v>
                </c:pt>
                <c:pt idx="76">
                  <c:v>28.7580273541348</c:v>
                </c:pt>
                <c:pt idx="77">
                  <c:v>28.7580273541348</c:v>
                </c:pt>
                <c:pt idx="78">
                  <c:v>28.713688782882102</c:v>
                </c:pt>
                <c:pt idx="79">
                  <c:v>28.713688782882102</c:v>
                </c:pt>
                <c:pt idx="80">
                  <c:v>28.713688782882102</c:v>
                </c:pt>
                <c:pt idx="81">
                  <c:v>28.713688782882102</c:v>
                </c:pt>
                <c:pt idx="82">
                  <c:v>28.713688782882102</c:v>
                </c:pt>
                <c:pt idx="83">
                  <c:v>28.679245283018801</c:v>
                </c:pt>
                <c:pt idx="84">
                  <c:v>28.679245283018801</c:v>
                </c:pt>
                <c:pt idx="85">
                  <c:v>28.4905660377358</c:v>
                </c:pt>
                <c:pt idx="86">
                  <c:v>28.4905660377358</c:v>
                </c:pt>
                <c:pt idx="87">
                  <c:v>28.301886792452802</c:v>
                </c:pt>
                <c:pt idx="88">
                  <c:v>28.301886792452802</c:v>
                </c:pt>
                <c:pt idx="89">
                  <c:v>28.299123141670101</c:v>
                </c:pt>
                <c:pt idx="90">
                  <c:v>28.063178601790099</c:v>
                </c:pt>
                <c:pt idx="91">
                  <c:v>28.063178601790099</c:v>
                </c:pt>
                <c:pt idx="92">
                  <c:v>28.063178601790099</c:v>
                </c:pt>
                <c:pt idx="93">
                  <c:v>28.063178601790099</c:v>
                </c:pt>
                <c:pt idx="94">
                  <c:v>28.063178601790099</c:v>
                </c:pt>
                <c:pt idx="95">
                  <c:v>28.063178601790099</c:v>
                </c:pt>
                <c:pt idx="96">
                  <c:v>28.063178601790099</c:v>
                </c:pt>
                <c:pt idx="97">
                  <c:v>28.063178601790099</c:v>
                </c:pt>
                <c:pt idx="98">
                  <c:v>28.063178601790099</c:v>
                </c:pt>
                <c:pt idx="99">
                  <c:v>28.063178601790099</c:v>
                </c:pt>
                <c:pt idx="100">
                  <c:v>27.924528301886699</c:v>
                </c:pt>
                <c:pt idx="101">
                  <c:v>26.792452830188601</c:v>
                </c:pt>
                <c:pt idx="102">
                  <c:v>26.792452830188601</c:v>
                </c:pt>
                <c:pt idx="103">
                  <c:v>26.792452830188601</c:v>
                </c:pt>
                <c:pt idx="104">
                  <c:v>26.792452830188601</c:v>
                </c:pt>
              </c:numCache>
            </c:numRef>
          </c:yVal>
          <c:smooth val="0"/>
          <c:extLst>
            <c:ext xmlns:c16="http://schemas.microsoft.com/office/drawing/2014/chart" uri="{C3380CC4-5D6E-409C-BE32-E72D297353CC}">
              <c16:uniqueId val="{00000003-BC1A-47B2-808F-0EF376B56ADD}"/>
            </c:ext>
          </c:extLst>
        </c:ser>
        <c:dLbls>
          <c:showLegendKey val="0"/>
          <c:showVal val="0"/>
          <c:showCatName val="0"/>
          <c:showSerName val="0"/>
          <c:showPercent val="0"/>
          <c:showBubbleSize val="0"/>
        </c:dLbls>
        <c:axId val="1577602464"/>
        <c:axId val="1577608288"/>
        <c:extLst>
          <c:ext xmlns:c15="http://schemas.microsoft.com/office/drawing/2012/chart" uri="{02D57815-91ED-43cb-92C2-25804820EDAC}">
            <c15:filteredScatterSeries>
              <c15:ser>
                <c:idx val="2"/>
                <c:order val="2"/>
                <c:tx>
                  <c:v>067 NIVO+IPI PFS</c:v>
                </c:tx>
                <c:spPr>
                  <a:ln w="19050" cap="rnd">
                    <a:solidFill>
                      <a:schemeClr val="accent6"/>
                    </a:solidFill>
                    <a:round/>
                  </a:ln>
                  <a:effectLst/>
                </c:spPr>
                <c:marker>
                  <c:symbol val="none"/>
                </c:marker>
                <c:xVal>
                  <c:numRef>
                    <c:extLst>
                      <c:ext uri="{02D57815-91ED-43cb-92C2-25804820EDAC}">
                        <c15:formulaRef>
                          <c15:sqref>Sheet1!$E$3:$E$78</c15:sqref>
                        </c15:formulaRef>
                      </c:ext>
                    </c:extLst>
                    <c:numCache>
                      <c:formatCode>General</c:formatCode>
                      <c:ptCount val="76"/>
                      <c:pt idx="0">
                        <c:v>0</c:v>
                      </c:pt>
                      <c:pt idx="1">
                        <c:v>0.170984455958549</c:v>
                      </c:pt>
                      <c:pt idx="2">
                        <c:v>0.31198585565896397</c:v>
                      </c:pt>
                      <c:pt idx="3">
                        <c:v>0.59457150244622503</c:v>
                      </c:pt>
                      <c:pt idx="4">
                        <c:v>1.0806792230434801</c:v>
                      </c:pt>
                      <c:pt idx="5">
                        <c:v>1.30494438032561</c:v>
                      </c:pt>
                      <c:pt idx="6">
                        <c:v>1.6165803108808201</c:v>
                      </c:pt>
                      <c:pt idx="7">
                        <c:v>1.87444196154507</c:v>
                      </c:pt>
                      <c:pt idx="8">
                        <c:v>2.3316062176165802</c:v>
                      </c:pt>
                      <c:pt idx="9">
                        <c:v>2.4199273138030102</c:v>
                      </c:pt>
                      <c:pt idx="10">
                        <c:v>2.6369434963042999</c:v>
                      </c:pt>
                      <c:pt idx="11">
                        <c:v>2.8445595854922199</c:v>
                      </c:pt>
                      <c:pt idx="12">
                        <c:v>2.9563514475849</c:v>
                      </c:pt>
                      <c:pt idx="13">
                        <c:v>3.3206124303219302</c:v>
                      </c:pt>
                      <c:pt idx="14">
                        <c:v>3.6359428332883099</c:v>
                      </c:pt>
                      <c:pt idx="15">
                        <c:v>3.93496304299781</c:v>
                      </c:pt>
                      <c:pt idx="16">
                        <c:v>4.2339832527073096</c:v>
                      </c:pt>
                      <c:pt idx="17">
                        <c:v>4.5330034624168096</c:v>
                      </c:pt>
                      <c:pt idx="18">
                        <c:v>4.7096972226996998</c:v>
                      </c:pt>
                      <c:pt idx="19">
                        <c:v>5.1908479237777101</c:v>
                      </c:pt>
                      <c:pt idx="20">
                        <c:v>5.4844314024015901</c:v>
                      </c:pt>
                      <c:pt idx="21">
                        <c:v>5.7698597843970196</c:v>
                      </c:pt>
                      <c:pt idx="22">
                        <c:v>6.1300432188198304</c:v>
                      </c:pt>
                      <c:pt idx="23">
                        <c:v>6.3814920315300903</c:v>
                      </c:pt>
                      <c:pt idx="24">
                        <c:v>6.6805122412395903</c:v>
                      </c:pt>
                      <c:pt idx="25">
                        <c:v>6.9562321748678304</c:v>
                      </c:pt>
                      <c:pt idx="26">
                        <c:v>7.2785526606585904</c:v>
                      </c:pt>
                      <c:pt idx="27">
                        <c:v>7.5503892149399601</c:v>
                      </c:pt>
                      <c:pt idx="28">
                        <c:v>8.0940623235026905</c:v>
                      </c:pt>
                      <c:pt idx="29">
                        <c:v>8.3930825332121906</c:v>
                      </c:pt>
                      <c:pt idx="30">
                        <c:v>8.5697762934950692</c:v>
                      </c:pt>
                      <c:pt idx="31">
                        <c:v>8.9911229526311907</c:v>
                      </c:pt>
                      <c:pt idx="32">
                        <c:v>9.2901431623406907</c:v>
                      </c:pt>
                      <c:pt idx="33">
                        <c:v>9.5891633720501908</c:v>
                      </c:pt>
                      <c:pt idx="34">
                        <c:v>9.8881835817596908</c:v>
                      </c:pt>
                      <c:pt idx="35">
                        <c:v>10.1872037914691</c:v>
                      </c:pt>
                      <c:pt idx="36">
                        <c:v>10.4862240011786</c:v>
                      </c:pt>
                      <c:pt idx="37">
                        <c:v>10.7852442108881</c:v>
                      </c:pt>
                      <c:pt idx="38">
                        <c:v>11.058779743633799</c:v>
                      </c:pt>
                      <c:pt idx="39">
                        <c:v>11.2473663531665</c:v>
                      </c:pt>
                      <c:pt idx="40">
                        <c:v>11.546386562876</c:v>
                      </c:pt>
                      <c:pt idx="41">
                        <c:v>11.8454067725855</c:v>
                      </c:pt>
                      <c:pt idx="42">
                        <c:v>12.144426982295</c:v>
                      </c:pt>
                      <c:pt idx="43">
                        <c:v>12.4434471920045</c:v>
                      </c:pt>
                      <c:pt idx="44">
                        <c:v>12.742467401714</c:v>
                      </c:pt>
                      <c:pt idx="45">
                        <c:v>13.0414876114235</c:v>
                      </c:pt>
                      <c:pt idx="46">
                        <c:v>13.340507821133</c:v>
                      </c:pt>
                      <c:pt idx="47">
                        <c:v>13.6395280308425</c:v>
                      </c:pt>
                      <c:pt idx="48">
                        <c:v>13.9241568935606</c:v>
                      </c:pt>
                      <c:pt idx="49">
                        <c:v>14.159415440905599</c:v>
                      </c:pt>
                      <c:pt idx="50">
                        <c:v>14.427854038258401</c:v>
                      </c:pt>
                      <c:pt idx="51">
                        <c:v>14.672506937111701</c:v>
                      </c:pt>
                      <c:pt idx="52">
                        <c:v>15.216180045674401</c:v>
                      </c:pt>
                      <c:pt idx="53">
                        <c:v>15.474424772241701</c:v>
                      </c:pt>
                      <c:pt idx="54">
                        <c:v>15.651118532524601</c:v>
                      </c:pt>
                      <c:pt idx="55">
                        <c:v>16.221975296515399</c:v>
                      </c:pt>
                      <c:pt idx="56">
                        <c:v>16.520995506224899</c:v>
                      </c:pt>
                      <c:pt idx="57">
                        <c:v>16.724872921936001</c:v>
                      </c:pt>
                      <c:pt idx="58">
                        <c:v>16.725388601036201</c:v>
                      </c:pt>
                      <c:pt idx="59">
                        <c:v>16.725388601036201</c:v>
                      </c:pt>
                      <c:pt idx="60">
                        <c:v>16.725388601036201</c:v>
                      </c:pt>
                      <c:pt idx="61">
                        <c:v>16.752056577364101</c:v>
                      </c:pt>
                      <c:pt idx="62">
                        <c:v>16.806423888220401</c:v>
                      </c:pt>
                      <c:pt idx="63">
                        <c:v>17.282137858212799</c:v>
                      </c:pt>
                      <c:pt idx="64">
                        <c:v>17.581158067922299</c:v>
                      </c:pt>
                      <c:pt idx="65">
                        <c:v>17.871117059155701</c:v>
                      </c:pt>
                      <c:pt idx="66">
                        <c:v>18.138423004199101</c:v>
                      </c:pt>
                    </c:numCache>
                  </c:numRef>
                </c:xVal>
                <c:yVal>
                  <c:numRef>
                    <c:extLst>
                      <c:ext uri="{02D57815-91ED-43cb-92C2-25804820EDAC}">
                        <c15:formulaRef>
                          <c15:sqref>Sheet1!$F$3:$F$78</c15:sqref>
                        </c15:formulaRef>
                      </c:ext>
                    </c:extLst>
                    <c:numCache>
                      <c:formatCode>General</c:formatCode>
                      <c:ptCount val="76"/>
                      <c:pt idx="0">
                        <c:v>100</c:v>
                      </c:pt>
                      <c:pt idx="1">
                        <c:v>100</c:v>
                      </c:pt>
                      <c:pt idx="2">
                        <c:v>99.384889569967001</c:v>
                      </c:pt>
                      <c:pt idx="3">
                        <c:v>98.440483569020003</c:v>
                      </c:pt>
                      <c:pt idx="4">
                        <c:v>96.352654482732305</c:v>
                      </c:pt>
                      <c:pt idx="5">
                        <c:v>94.279572398049794</c:v>
                      </c:pt>
                      <c:pt idx="6">
                        <c:v>92.113095238095198</c:v>
                      </c:pt>
                      <c:pt idx="7">
                        <c:v>91.057370420522005</c:v>
                      </c:pt>
                      <c:pt idx="8">
                        <c:v>88.690476190476105</c:v>
                      </c:pt>
                      <c:pt idx="9">
                        <c:v>86.6294290227939</c:v>
                      </c:pt>
                      <c:pt idx="10">
                        <c:v>83.156123935059796</c:v>
                      </c:pt>
                      <c:pt idx="11">
                        <c:v>76.190476190476105</c:v>
                      </c:pt>
                      <c:pt idx="12">
                        <c:v>74.357444103233703</c:v>
                      </c:pt>
                      <c:pt idx="13">
                        <c:v>71.879584179643402</c:v>
                      </c:pt>
                      <c:pt idx="14">
                        <c:v>70.903682859399595</c:v>
                      </c:pt>
                      <c:pt idx="15">
                        <c:v>70.320113585072093</c:v>
                      </c:pt>
                      <c:pt idx="16">
                        <c:v>68.673051270271102</c:v>
                      </c:pt>
                      <c:pt idx="17">
                        <c:v>67.531204478775507</c:v>
                      </c:pt>
                      <c:pt idx="18">
                        <c:v>66.544656962310995</c:v>
                      </c:pt>
                      <c:pt idx="19">
                        <c:v>65.802971958925696</c:v>
                      </c:pt>
                      <c:pt idx="20">
                        <c:v>64.934377537098399</c:v>
                      </c:pt>
                      <c:pt idx="21">
                        <c:v>63.250014105168098</c:v>
                      </c:pt>
                      <c:pt idx="22">
                        <c:v>62.250691153238499</c:v>
                      </c:pt>
                      <c:pt idx="23">
                        <c:v>61.860330625141003</c:v>
                      </c:pt>
                      <c:pt idx="24">
                        <c:v>61.2049981022137</c:v>
                      </c:pt>
                      <c:pt idx="25">
                        <c:v>60.150179740142498</c:v>
                      </c:pt>
                      <c:pt idx="26">
                        <c:v>58.997686752425999</c:v>
                      </c:pt>
                      <c:pt idx="27">
                        <c:v>58.997686752425999</c:v>
                      </c:pt>
                      <c:pt idx="28">
                        <c:v>57.924195300157898</c:v>
                      </c:pt>
                      <c:pt idx="29">
                        <c:v>56.909257927104498</c:v>
                      </c:pt>
                      <c:pt idx="30">
                        <c:v>56.135042879711101</c:v>
                      </c:pt>
                      <c:pt idx="31">
                        <c:v>55.480498963911202</c:v>
                      </c:pt>
                      <c:pt idx="32">
                        <c:v>55.257717450401103</c:v>
                      </c:pt>
                      <c:pt idx="33">
                        <c:v>55.0538625079501</c:v>
                      </c:pt>
                      <c:pt idx="34">
                        <c:v>54.4691103229314</c:v>
                      </c:pt>
                      <c:pt idx="35">
                        <c:v>53.5562975728852</c:v>
                      </c:pt>
                      <c:pt idx="36">
                        <c:v>53.058292171888098</c:v>
                      </c:pt>
                      <c:pt idx="37">
                        <c:v>53.058292171888098</c:v>
                      </c:pt>
                      <c:pt idx="38">
                        <c:v>51.818886933475902</c:v>
                      </c:pt>
                      <c:pt idx="39">
                        <c:v>49.815905802756198</c:v>
                      </c:pt>
                      <c:pt idx="40">
                        <c:v>49.352796267149699</c:v>
                      </c:pt>
                      <c:pt idx="41">
                        <c:v>48.630657454709599</c:v>
                      </c:pt>
                      <c:pt idx="42">
                        <c:v>48.485553743255103</c:v>
                      </c:pt>
                      <c:pt idx="43">
                        <c:v>47.914376866644901</c:v>
                      </c:pt>
                      <c:pt idx="44">
                        <c:v>47.687089026692099</c:v>
                      </c:pt>
                      <c:pt idx="45">
                        <c:v>47.0463457356229</c:v>
                      </c:pt>
                      <c:pt idx="46">
                        <c:v>46.067289986869298</c:v>
                      </c:pt>
                      <c:pt idx="47">
                        <c:v>45.985669149176204</c:v>
                      </c:pt>
                      <c:pt idx="48">
                        <c:v>44.459824806699899</c:v>
                      </c:pt>
                      <c:pt idx="49">
                        <c:v>43.786638174227001</c:v>
                      </c:pt>
                      <c:pt idx="50">
                        <c:v>43.786638174227001</c:v>
                      </c:pt>
                      <c:pt idx="51">
                        <c:v>43.786638174227001</c:v>
                      </c:pt>
                      <c:pt idx="52">
                        <c:v>43.786638174227001</c:v>
                      </c:pt>
                      <c:pt idx="53">
                        <c:v>43.6435059805912</c:v>
                      </c:pt>
                      <c:pt idx="54">
                        <c:v>39.3235161363123</c:v>
                      </c:pt>
                      <c:pt idx="55">
                        <c:v>38.438698939291299</c:v>
                      </c:pt>
                      <c:pt idx="56">
                        <c:v>38.3629926550542</c:v>
                      </c:pt>
                      <c:pt idx="57">
                        <c:v>29.004986176935201</c:v>
                      </c:pt>
                      <c:pt idx="58">
                        <c:v>29.004986176935201</c:v>
                      </c:pt>
                      <c:pt idx="59">
                        <c:v>29.004986176935201</c:v>
                      </c:pt>
                      <c:pt idx="60">
                        <c:v>29.004986176935201</c:v>
                      </c:pt>
                      <c:pt idx="61">
                        <c:v>29.004986176935201</c:v>
                      </c:pt>
                      <c:pt idx="62">
                        <c:v>25.4917414240577</c:v>
                      </c:pt>
                      <c:pt idx="63">
                        <c:v>25.438510442953501</c:v>
                      </c:pt>
                      <c:pt idx="64">
                        <c:v>25.424709818222802</c:v>
                      </c:pt>
                      <c:pt idx="65">
                        <c:v>25.424709818222802</c:v>
                      </c:pt>
                      <c:pt idx="66">
                        <c:v>25.424709818222802</c:v>
                      </c:pt>
                    </c:numCache>
                  </c:numRef>
                </c:yVal>
                <c:smooth val="0"/>
                <c:extLst>
                  <c:ext xmlns:c16="http://schemas.microsoft.com/office/drawing/2014/chart" uri="{C3380CC4-5D6E-409C-BE32-E72D297353CC}">
                    <c16:uniqueId val="{00000004-BC1A-47B2-808F-0EF376B56ADD}"/>
                  </c:ext>
                </c:extLst>
              </c15:ser>
            </c15:filteredScatterSeries>
            <c15:filteredScatterSeries>
              <c15:ser>
                <c:idx val="3"/>
                <c:order val="3"/>
                <c:tx>
                  <c:v>067 NIVO PFS</c:v>
                </c:tx>
                <c:spPr>
                  <a:ln w="19050" cap="rnd">
                    <a:solidFill>
                      <a:schemeClr val="accent6"/>
                    </a:solidFill>
                    <a:prstDash val="sysDot"/>
                    <a:round/>
                  </a:ln>
                  <a:effectLst/>
                </c:spPr>
                <c:marker>
                  <c:symbol val="none"/>
                </c:marker>
                <c:xVal>
                  <c:numRef>
                    <c:extLst xmlns:c15="http://schemas.microsoft.com/office/drawing/2012/chart">
                      <c:ext xmlns:c15="http://schemas.microsoft.com/office/drawing/2012/chart" uri="{02D57815-91ED-43cb-92C2-25804820EDAC}">
                        <c15:formulaRef>
                          <c15:sqref>Sheet1!$G$3:$G$78</c15:sqref>
                        </c15:formulaRef>
                      </c:ext>
                    </c:extLst>
                    <c:numCache>
                      <c:formatCode>General</c:formatCode>
                      <c:ptCount val="76"/>
                      <c:pt idx="0">
                        <c:v>7.4883972202440793E-2</c:v>
                      </c:pt>
                      <c:pt idx="1">
                        <c:v>0.37390418191194102</c:v>
                      </c:pt>
                      <c:pt idx="2">
                        <c:v>0.64800604081231705</c:v>
                      </c:pt>
                      <c:pt idx="3">
                        <c:v>0.92146066982154595</c:v>
                      </c:pt>
                      <c:pt idx="4">
                        <c:v>1.2329076934410499</c:v>
                      </c:pt>
                      <c:pt idx="5">
                        <c:v>1.46113989637305</c:v>
                      </c:pt>
                      <c:pt idx="6">
                        <c:v>1.7506763774193199</c:v>
                      </c:pt>
                      <c:pt idx="7">
                        <c:v>2.0003928983621</c:v>
                      </c:pt>
                      <c:pt idx="8">
                        <c:v>2.30167841269061</c:v>
                      </c:pt>
                      <c:pt idx="9">
                        <c:v>2.4806374775925102</c:v>
                      </c:pt>
                      <c:pt idx="10">
                        <c:v>2.5485966161628499</c:v>
                      </c:pt>
                      <c:pt idx="11">
                        <c:v>2.5647668393782301</c:v>
                      </c:pt>
                      <c:pt idx="12">
                        <c:v>2.59585492227979</c:v>
                      </c:pt>
                      <c:pt idx="13">
                        <c:v>2.64248704663212</c:v>
                      </c:pt>
                      <c:pt idx="14">
                        <c:v>2.68911917098445</c:v>
                      </c:pt>
                      <c:pt idx="15">
                        <c:v>2.7046632124352299</c:v>
                      </c:pt>
                      <c:pt idx="16">
                        <c:v>2.7660658595879402</c:v>
                      </c:pt>
                      <c:pt idx="17">
                        <c:v>2.78238341968911</c:v>
                      </c:pt>
                      <c:pt idx="18">
                        <c:v>2.8290155440414502</c:v>
                      </c:pt>
                      <c:pt idx="19">
                        <c:v>3</c:v>
                      </c:pt>
                      <c:pt idx="20">
                        <c:v>3.2010043464381299</c:v>
                      </c:pt>
                      <c:pt idx="21">
                        <c:v>3.50002455614763</c:v>
                      </c:pt>
                      <c:pt idx="22">
                        <c:v>3.79904476585713</c:v>
                      </c:pt>
                      <c:pt idx="23">
                        <c:v>4.0980649755666301</c:v>
                      </c:pt>
                      <c:pt idx="24">
                        <c:v>4.3970851852761301</c:v>
                      </c:pt>
                      <c:pt idx="25">
                        <c:v>4.6961053949856302</c:v>
                      </c:pt>
                      <c:pt idx="26">
                        <c:v>4.9951256046951302</c:v>
                      </c:pt>
                      <c:pt idx="27">
                        <c:v>5.2941458144046303</c:v>
                      </c:pt>
                      <c:pt idx="28">
                        <c:v>5.4870466321243496</c:v>
                      </c:pt>
                      <c:pt idx="29">
                        <c:v>5.5931660241141303</c:v>
                      </c:pt>
                      <c:pt idx="30">
                        <c:v>5.8921862338236304</c:v>
                      </c:pt>
                      <c:pt idx="31">
                        <c:v>6.1912064435331304</c:v>
                      </c:pt>
                      <c:pt idx="32">
                        <c:v>6.4902266532426296</c:v>
                      </c:pt>
                      <c:pt idx="33">
                        <c:v>6.7892468629521296</c:v>
                      </c:pt>
                      <c:pt idx="34">
                        <c:v>6.99481865284974</c:v>
                      </c:pt>
                      <c:pt idx="35">
                        <c:v>7.2513690052304502</c:v>
                      </c:pt>
                      <c:pt idx="36">
                        <c:v>7.5503892149399601</c:v>
                      </c:pt>
                      <c:pt idx="37">
                        <c:v>7.8494094246494601</c:v>
                      </c:pt>
                      <c:pt idx="38">
                        <c:v>8.1139896373056999</c:v>
                      </c:pt>
                      <c:pt idx="39">
                        <c:v>8.2072538860103599</c:v>
                      </c:pt>
                      <c:pt idx="40">
                        <c:v>8.4248704663212397</c:v>
                      </c:pt>
                      <c:pt idx="41">
                        <c:v>8.7464700537779603</c:v>
                      </c:pt>
                      <c:pt idx="42">
                        <c:v>9.0454902634874603</c:v>
                      </c:pt>
                      <c:pt idx="43">
                        <c:v>9.3575129533678698</c:v>
                      </c:pt>
                      <c:pt idx="44">
                        <c:v>9.9425508926159605</c:v>
                      </c:pt>
                      <c:pt idx="45">
                        <c:v>10.2415711023254</c:v>
                      </c:pt>
                      <c:pt idx="46">
                        <c:v>10.5405913120349</c:v>
                      </c:pt>
                      <c:pt idx="47">
                        <c:v>10.8396115217444</c:v>
                      </c:pt>
                      <c:pt idx="48">
                        <c:v>11.4376519411634</c:v>
                      </c:pt>
                      <c:pt idx="49">
                        <c:v>11.7366721508729</c:v>
                      </c:pt>
                      <c:pt idx="50">
                        <c:v>12.932752989710901</c:v>
                      </c:pt>
                      <c:pt idx="51">
                        <c:v>13.231773199420401</c:v>
                      </c:pt>
                      <c:pt idx="52">
                        <c:v>13.530793409129901</c:v>
                      </c:pt>
                      <c:pt idx="53">
                        <c:v>13.829813618839401</c:v>
                      </c:pt>
                      <c:pt idx="54">
                        <c:v>14.036269430051799</c:v>
                      </c:pt>
                      <c:pt idx="55">
                        <c:v>14.2694300518134</c:v>
                      </c:pt>
                      <c:pt idx="56">
                        <c:v>14.316062176165801</c:v>
                      </c:pt>
                      <c:pt idx="57">
                        <c:v>14.672506937111701</c:v>
                      </c:pt>
                      <c:pt idx="58">
                        <c:v>14.971527146821201</c:v>
                      </c:pt>
                      <c:pt idx="59">
                        <c:v>15.270547356530701</c:v>
                      </c:pt>
                      <c:pt idx="60">
                        <c:v>15.569567566240201</c:v>
                      </c:pt>
                      <c:pt idx="61">
                        <c:v>15.868587775949701</c:v>
                      </c:pt>
                      <c:pt idx="62">
                        <c:v>16.167607985659199</c:v>
                      </c:pt>
                      <c:pt idx="63">
                        <c:v>16.483356598709101</c:v>
                      </c:pt>
                      <c:pt idx="64">
                        <c:v>16.747525968126102</c:v>
                      </c:pt>
                      <c:pt idx="65">
                        <c:v>17.064668614787699</c:v>
                      </c:pt>
                      <c:pt idx="66">
                        <c:v>17.363688824497199</c:v>
                      </c:pt>
                      <c:pt idx="67">
                        <c:v>17.662709034206699</c:v>
                      </c:pt>
                      <c:pt idx="68">
                        <c:v>17.961729243916199</c:v>
                      </c:pt>
                      <c:pt idx="69">
                        <c:v>18.260749453625699</c:v>
                      </c:pt>
                      <c:pt idx="70">
                        <c:v>18.559769663335199</c:v>
                      </c:pt>
                      <c:pt idx="71">
                        <c:v>18.858789873044699</c:v>
                      </c:pt>
                      <c:pt idx="72">
                        <c:v>19.157810082754199</c:v>
                      </c:pt>
                      <c:pt idx="73">
                        <c:v>19.4568302924637</c:v>
                      </c:pt>
                      <c:pt idx="74">
                        <c:v>19.7558505021732</c:v>
                      </c:pt>
                      <c:pt idx="75">
                        <c:v>20.0548707118827</c:v>
                      </c:pt>
                    </c:numCache>
                  </c:numRef>
                </c:xVal>
                <c:yVal>
                  <c:numRef>
                    <c:extLst xmlns:c15="http://schemas.microsoft.com/office/drawing/2012/chart">
                      <c:ext xmlns:c15="http://schemas.microsoft.com/office/drawing/2012/chart" uri="{02D57815-91ED-43cb-92C2-25804820EDAC}">
                        <c15:formulaRef>
                          <c15:sqref>Sheet1!$H$3:$H$78</c15:sqref>
                        </c15:formulaRef>
                      </c:ext>
                    </c:extLst>
                    <c:numCache>
                      <c:formatCode>General</c:formatCode>
                      <c:ptCount val="76"/>
                      <c:pt idx="0">
                        <c:v>99.520705241920098</c:v>
                      </c:pt>
                      <c:pt idx="1">
                        <c:v>99.441748300327205</c:v>
                      </c:pt>
                      <c:pt idx="2">
                        <c:v>98.035366064375907</c:v>
                      </c:pt>
                      <c:pt idx="3">
                        <c:v>96.954516625963095</c:v>
                      </c:pt>
                      <c:pt idx="4">
                        <c:v>95.351529000225597</c:v>
                      </c:pt>
                      <c:pt idx="5">
                        <c:v>93.452380952380906</c:v>
                      </c:pt>
                      <c:pt idx="6">
                        <c:v>91.608961712647101</c:v>
                      </c:pt>
                      <c:pt idx="7">
                        <c:v>90.638214779395099</c:v>
                      </c:pt>
                      <c:pt idx="8">
                        <c:v>88.135243038763605</c:v>
                      </c:pt>
                      <c:pt idx="9">
                        <c:v>85.322986310934297</c:v>
                      </c:pt>
                      <c:pt idx="10">
                        <c:v>79.563451658062505</c:v>
                      </c:pt>
                      <c:pt idx="11">
                        <c:v>79.563451658062505</c:v>
                      </c:pt>
                      <c:pt idx="12">
                        <c:v>77.232142857142804</c:v>
                      </c:pt>
                      <c:pt idx="13">
                        <c:v>75.595238095238102</c:v>
                      </c:pt>
                      <c:pt idx="14">
                        <c:v>73.065476190476105</c:v>
                      </c:pt>
                      <c:pt idx="15">
                        <c:v>71.130952380952294</c:v>
                      </c:pt>
                      <c:pt idx="16">
                        <c:v>68.496459602798396</c:v>
                      </c:pt>
                      <c:pt idx="17">
                        <c:v>66.220238095238102</c:v>
                      </c:pt>
                      <c:pt idx="18">
                        <c:v>62.797619047619001</c:v>
                      </c:pt>
                      <c:pt idx="19">
                        <c:v>60.119047619047599</c:v>
                      </c:pt>
                      <c:pt idx="20">
                        <c:v>58.5954971174165</c:v>
                      </c:pt>
                      <c:pt idx="21">
                        <c:v>58.181478375494898</c:v>
                      </c:pt>
                      <c:pt idx="22">
                        <c:v>57.7778101021214</c:v>
                      </c:pt>
                      <c:pt idx="23">
                        <c:v>56.730638412732603</c:v>
                      </c:pt>
                      <c:pt idx="24">
                        <c:v>55.470641374817902</c:v>
                      </c:pt>
                      <c:pt idx="25">
                        <c:v>55.413861661640098</c:v>
                      </c:pt>
                      <c:pt idx="26">
                        <c:v>55.224201647483603</c:v>
                      </c:pt>
                      <c:pt idx="27">
                        <c:v>54.372505949816301</c:v>
                      </c:pt>
                      <c:pt idx="28">
                        <c:v>53.125</c:v>
                      </c:pt>
                      <c:pt idx="29">
                        <c:v>52.039036235993699</c:v>
                      </c:pt>
                      <c:pt idx="30">
                        <c:v>51.546138004965002</c:v>
                      </c:pt>
                      <c:pt idx="31">
                        <c:v>51.450716542541102</c:v>
                      </c:pt>
                      <c:pt idx="32">
                        <c:v>51.296938152684604</c:v>
                      </c:pt>
                      <c:pt idx="33">
                        <c:v>50.055163572322499</c:v>
                      </c:pt>
                      <c:pt idx="34">
                        <c:v>48.214285714285701</c:v>
                      </c:pt>
                      <c:pt idx="35">
                        <c:v>47.381898068361302</c:v>
                      </c:pt>
                      <c:pt idx="36">
                        <c:v>47.381898068361302</c:v>
                      </c:pt>
                      <c:pt idx="37">
                        <c:v>47.346016444061398</c:v>
                      </c:pt>
                      <c:pt idx="38">
                        <c:v>47.172619047619001</c:v>
                      </c:pt>
                      <c:pt idx="39">
                        <c:v>46.279761904761898</c:v>
                      </c:pt>
                      <c:pt idx="40">
                        <c:v>45.982142857142797</c:v>
                      </c:pt>
                      <c:pt idx="41">
                        <c:v>45.950181828440101</c:v>
                      </c:pt>
                      <c:pt idx="42">
                        <c:v>45.021991239408301</c:v>
                      </c:pt>
                      <c:pt idx="43">
                        <c:v>44.642857142857103</c:v>
                      </c:pt>
                      <c:pt idx="44">
                        <c:v>42.843201180730802</c:v>
                      </c:pt>
                      <c:pt idx="45">
                        <c:v>42.4558636466219</c:v>
                      </c:pt>
                      <c:pt idx="46">
                        <c:v>41.988219620032403</c:v>
                      </c:pt>
                      <c:pt idx="47">
                        <c:v>41.988219620032403</c:v>
                      </c:pt>
                      <c:pt idx="48">
                        <c:v>41.471982373302602</c:v>
                      </c:pt>
                      <c:pt idx="49">
                        <c:v>41.298808003382298</c:v>
                      </c:pt>
                      <c:pt idx="50">
                        <c:v>39.537622971420298</c:v>
                      </c:pt>
                      <c:pt idx="51">
                        <c:v>39.517626147830903</c:v>
                      </c:pt>
                      <c:pt idx="52">
                        <c:v>39.517626147830903</c:v>
                      </c:pt>
                      <c:pt idx="53">
                        <c:v>39.517626147830903</c:v>
                      </c:pt>
                      <c:pt idx="54">
                        <c:v>37.202380952380899</c:v>
                      </c:pt>
                      <c:pt idx="55">
                        <c:v>37.053571428571402</c:v>
                      </c:pt>
                      <c:pt idx="56">
                        <c:v>34.226190476190403</c:v>
                      </c:pt>
                      <c:pt idx="57">
                        <c:v>34.023287632588499</c:v>
                      </c:pt>
                      <c:pt idx="58">
                        <c:v>34.023287632588499</c:v>
                      </c:pt>
                      <c:pt idx="59">
                        <c:v>33.881338349643997</c:v>
                      </c:pt>
                      <c:pt idx="60">
                        <c:v>33.881338349643997</c:v>
                      </c:pt>
                      <c:pt idx="61">
                        <c:v>33.881338349643997</c:v>
                      </c:pt>
                      <c:pt idx="62">
                        <c:v>33.881338349643997</c:v>
                      </c:pt>
                      <c:pt idx="63">
                        <c:v>33.881338349643997</c:v>
                      </c:pt>
                      <c:pt idx="64">
                        <c:v>33.881338349643997</c:v>
                      </c:pt>
                      <c:pt idx="65">
                        <c:v>33.881338349643997</c:v>
                      </c:pt>
                      <c:pt idx="66">
                        <c:v>33.881338349643997</c:v>
                      </c:pt>
                      <c:pt idx="67">
                        <c:v>33.881338349643997</c:v>
                      </c:pt>
                      <c:pt idx="68">
                        <c:v>33.881338349643997</c:v>
                      </c:pt>
                      <c:pt idx="69">
                        <c:v>33.881338349643997</c:v>
                      </c:pt>
                      <c:pt idx="70">
                        <c:v>33.881338349643997</c:v>
                      </c:pt>
                      <c:pt idx="71">
                        <c:v>33.881338349643997</c:v>
                      </c:pt>
                      <c:pt idx="72">
                        <c:v>33.881338349643997</c:v>
                      </c:pt>
                      <c:pt idx="73">
                        <c:v>33.881338349643997</c:v>
                      </c:pt>
                      <c:pt idx="74">
                        <c:v>33.881338349643997</c:v>
                      </c:pt>
                      <c:pt idx="75">
                        <c:v>33.881338349643997</c:v>
                      </c:pt>
                    </c:numCache>
                  </c:numRef>
                </c:yVal>
                <c:smooth val="0"/>
                <c:extLst xmlns:c15="http://schemas.microsoft.com/office/drawing/2012/chart">
                  <c:ext xmlns:c16="http://schemas.microsoft.com/office/drawing/2014/chart" uri="{C3380CC4-5D6E-409C-BE32-E72D297353CC}">
                    <c16:uniqueId val="{00000005-BC1A-47B2-808F-0EF376B56ADD}"/>
                  </c:ext>
                </c:extLst>
              </c15:ser>
            </c15:filteredScatterSeries>
            <c15:filteredScatterSeries>
              <c15:ser>
                <c:idx val="4"/>
                <c:order val="4"/>
                <c:tx>
                  <c:v>067 NIVO+IPI PFS 4-yr follow up</c:v>
                </c:tx>
                <c:spPr>
                  <a:ln w="19050" cap="rnd">
                    <a:solidFill>
                      <a:schemeClr val="accent1">
                        <a:lumMod val="75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Sheet1!$I$3:$I$128</c15:sqref>
                        </c15:formulaRef>
                      </c:ext>
                    </c:extLst>
                    <c:numCache>
                      <c:formatCode>General</c:formatCode>
                      <c:ptCount val="126"/>
                      <c:pt idx="0">
                        <c:v>4.2986425339366301E-2</c:v>
                      </c:pt>
                      <c:pt idx="1">
                        <c:v>0.30090497737556599</c:v>
                      </c:pt>
                      <c:pt idx="2">
                        <c:v>0.42986425339366502</c:v>
                      </c:pt>
                      <c:pt idx="3">
                        <c:v>0.81674208144796401</c:v>
                      </c:pt>
                      <c:pt idx="4">
                        <c:v>1.07466063348416</c:v>
                      </c:pt>
                      <c:pt idx="5">
                        <c:v>1.28959276018099</c:v>
                      </c:pt>
                      <c:pt idx="6">
                        <c:v>1.5904977375565601</c:v>
                      </c:pt>
                      <c:pt idx="7">
                        <c:v>1.7194570135746601</c:v>
                      </c:pt>
                      <c:pt idx="8">
                        <c:v>1.8484162895927501</c:v>
                      </c:pt>
                      <c:pt idx="9">
                        <c:v>1.89140271493212</c:v>
                      </c:pt>
                      <c:pt idx="10">
                        <c:v>2.10633484162895</c:v>
                      </c:pt>
                      <c:pt idx="11">
                        <c:v>2.1923076923076898</c:v>
                      </c:pt>
                      <c:pt idx="12">
                        <c:v>2.4932126696832499</c:v>
                      </c:pt>
                      <c:pt idx="13">
                        <c:v>2.5361990950226199</c:v>
                      </c:pt>
                      <c:pt idx="14">
                        <c:v>2.5791855203619898</c:v>
                      </c:pt>
                      <c:pt idx="15">
                        <c:v>2.6651583710407198</c:v>
                      </c:pt>
                      <c:pt idx="16">
                        <c:v>2.7941176470588198</c:v>
                      </c:pt>
                      <c:pt idx="17">
                        <c:v>2.8007346051121602</c:v>
                      </c:pt>
                      <c:pt idx="18">
                        <c:v>2.83710407239818</c:v>
                      </c:pt>
                      <c:pt idx="19">
                        <c:v>2.83710407239818</c:v>
                      </c:pt>
                      <c:pt idx="20">
                        <c:v>2.9230769230769198</c:v>
                      </c:pt>
                      <c:pt idx="21">
                        <c:v>3.0661745914823801</c:v>
                      </c:pt>
                      <c:pt idx="22">
                        <c:v>3.5033698631509802</c:v>
                      </c:pt>
                      <c:pt idx="23">
                        <c:v>3.8257918552036099</c:v>
                      </c:pt>
                      <c:pt idx="24">
                        <c:v>4.0420568943140696</c:v>
                      </c:pt>
                      <c:pt idx="25">
                        <c:v>4.2986425339366496</c:v>
                      </c:pt>
                      <c:pt idx="26">
                        <c:v>4.56753198045421</c:v>
                      </c:pt>
                      <c:pt idx="27">
                        <c:v>4.8144796380090398</c:v>
                      </c:pt>
                      <c:pt idx="28">
                        <c:v>5.2079109520969897</c:v>
                      </c:pt>
                      <c:pt idx="29">
                        <c:v>5.4592760180995397</c:v>
                      </c:pt>
                      <c:pt idx="30">
                        <c:v>5.8142591562564201</c:v>
                      </c:pt>
                      <c:pt idx="31">
                        <c:v>6.1430230609437197</c:v>
                      </c:pt>
                      <c:pt idx="32">
                        <c:v>6.5339366515837103</c:v>
                      </c:pt>
                      <c:pt idx="33">
                        <c:v>6.71987793328422</c:v>
                      </c:pt>
                      <c:pt idx="34">
                        <c:v>7.0067873303167403</c:v>
                      </c:pt>
                      <c:pt idx="35">
                        <c:v>7.32102143182854</c:v>
                      </c:pt>
                      <c:pt idx="36">
                        <c:v>7.6515837104072402</c:v>
                      </c:pt>
                      <c:pt idx="37">
                        <c:v>7.9358272826125003</c:v>
                      </c:pt>
                      <c:pt idx="38">
                        <c:v>8.4443703937547898</c:v>
                      </c:pt>
                      <c:pt idx="39">
                        <c:v>8.5972850678732993</c:v>
                      </c:pt>
                      <c:pt idx="40">
                        <c:v>8.9605037005857806</c:v>
                      </c:pt>
                      <c:pt idx="41">
                        <c:v>9.2420814479638</c:v>
                      </c:pt>
                      <c:pt idx="42">
                        <c:v>9.5616471991300998</c:v>
                      </c:pt>
                      <c:pt idx="43">
                        <c:v>9.9298642533936601</c:v>
                      </c:pt>
                      <c:pt idx="44">
                        <c:v>10.162790697674399</c:v>
                      </c:pt>
                      <c:pt idx="45">
                        <c:v>10.4886877828054</c:v>
                      </c:pt>
                      <c:pt idx="46">
                        <c:v>10.763934196218701</c:v>
                      </c:pt>
                      <c:pt idx="47">
                        <c:v>11.0904977375565</c:v>
                      </c:pt>
                      <c:pt idx="48">
                        <c:v>11.4015106340687</c:v>
                      </c:pt>
                      <c:pt idx="49">
                        <c:v>11.962017392618201</c:v>
                      </c:pt>
                      <c:pt idx="50">
                        <c:v>12.5673646918516</c:v>
                      </c:pt>
                      <c:pt idx="51">
                        <c:v>13.168508190396</c:v>
                      </c:pt>
                      <c:pt idx="52">
                        <c:v>13.7696516889403</c:v>
                      </c:pt>
                      <c:pt idx="53">
                        <c:v>14.379903422310999</c:v>
                      </c:pt>
                      <c:pt idx="54">
                        <c:v>14.971938686028899</c:v>
                      </c:pt>
                      <c:pt idx="55">
                        <c:v>15.573082184573201</c:v>
                      </c:pt>
                      <c:pt idx="56">
                        <c:v>16.174225683117601</c:v>
                      </c:pt>
                      <c:pt idx="57">
                        <c:v>16.775369181661901</c:v>
                      </c:pt>
                      <c:pt idx="58">
                        <c:v>17.376512680206201</c:v>
                      </c:pt>
                      <c:pt idx="59">
                        <c:v>17.9776561787505</c:v>
                      </c:pt>
                      <c:pt idx="60">
                        <c:v>18.565137325055201</c:v>
                      </c:pt>
                      <c:pt idx="61">
                        <c:v>19.179943175839199</c:v>
                      </c:pt>
                      <c:pt idx="62">
                        <c:v>19.781086674383499</c:v>
                      </c:pt>
                      <c:pt idx="63">
                        <c:v>20.382230172927802</c:v>
                      </c:pt>
                      <c:pt idx="64">
                        <c:v>20.953947066648301</c:v>
                      </c:pt>
                      <c:pt idx="65">
                        <c:v>21.584517170016401</c:v>
                      </c:pt>
                      <c:pt idx="66">
                        <c:v>22.1856606685608</c:v>
                      </c:pt>
                      <c:pt idx="67">
                        <c:v>22.7868041671051</c:v>
                      </c:pt>
                      <c:pt idx="68">
                        <c:v>23.387947665649399</c:v>
                      </c:pt>
                      <c:pt idx="69">
                        <c:v>23.989091164193699</c:v>
                      </c:pt>
                      <c:pt idx="70">
                        <c:v>24.590234662737998</c:v>
                      </c:pt>
                      <c:pt idx="71">
                        <c:v>25.1871743605932</c:v>
                      </c:pt>
                      <c:pt idx="72">
                        <c:v>25.7970757772399</c:v>
                      </c:pt>
                      <c:pt idx="73">
                        <c:v>26.384556923544601</c:v>
                      </c:pt>
                      <c:pt idx="74">
                        <c:v>26.9948086569153</c:v>
                      </c:pt>
                      <c:pt idx="75">
                        <c:v>27.618722742525701</c:v>
                      </c:pt>
                      <c:pt idx="76">
                        <c:v>28.197095654003999</c:v>
                      </c:pt>
                      <c:pt idx="77">
                        <c:v>28.798239152548302</c:v>
                      </c:pt>
                      <c:pt idx="78">
                        <c:v>29.399382651092601</c:v>
                      </c:pt>
                      <c:pt idx="79">
                        <c:v>30.0141885018766</c:v>
                      </c:pt>
                      <c:pt idx="80">
                        <c:v>30.601669648181201</c:v>
                      </c:pt>
                      <c:pt idx="81">
                        <c:v>31.184596677072701</c:v>
                      </c:pt>
                      <c:pt idx="82">
                        <c:v>31.803956645269899</c:v>
                      </c:pt>
                      <c:pt idx="83">
                        <c:v>32.405100143814202</c:v>
                      </c:pt>
                      <c:pt idx="84">
                        <c:v>33.006243642358498</c:v>
                      </c:pt>
                      <c:pt idx="85">
                        <c:v>33.607387140902802</c:v>
                      </c:pt>
                      <c:pt idx="86">
                        <c:v>34.185760052381099</c:v>
                      </c:pt>
                      <c:pt idx="87">
                        <c:v>34.8096741379915</c:v>
                      </c:pt>
                      <c:pt idx="88">
                        <c:v>35.410817636535803</c:v>
                      </c:pt>
                      <c:pt idx="89">
                        <c:v>36.032980138525701</c:v>
                      </c:pt>
                      <c:pt idx="90">
                        <c:v>36.594888163971603</c:v>
                      </c:pt>
                      <c:pt idx="91">
                        <c:v>37.214248132168699</c:v>
                      </c:pt>
                      <c:pt idx="92">
                        <c:v>37.815391630713101</c:v>
                      </c:pt>
                      <c:pt idx="93">
                        <c:v>38.416535129257397</c:v>
                      </c:pt>
                      <c:pt idx="94">
                        <c:v>39.0302900298691</c:v>
                      </c:pt>
                      <c:pt idx="95">
                        <c:v>39.618822126345997</c:v>
                      </c:pt>
                      <c:pt idx="96">
                        <c:v>40.2199656248903</c:v>
                      </c:pt>
                      <c:pt idx="97">
                        <c:v>40.821109123434702</c:v>
                      </c:pt>
                      <c:pt idx="98">
                        <c:v>41.422252621978998</c:v>
                      </c:pt>
                      <c:pt idx="99">
                        <c:v>42.023396120523302</c:v>
                      </c:pt>
                      <c:pt idx="100">
                        <c:v>42.615431384241198</c:v>
                      </c:pt>
                      <c:pt idx="101">
                        <c:v>43.216574882785501</c:v>
                      </c:pt>
                      <c:pt idx="102">
                        <c:v>43.856253220980101</c:v>
                      </c:pt>
                      <c:pt idx="103">
                        <c:v>44.446186584353399</c:v>
                      </c:pt>
                      <c:pt idx="104">
                        <c:v>45.054336417379602</c:v>
                      </c:pt>
                      <c:pt idx="105">
                        <c:v>45.669292403902503</c:v>
                      </c:pt>
                      <c:pt idx="106">
                        <c:v>46.208630023267503</c:v>
                      </c:pt>
                      <c:pt idx="107">
                        <c:v>46.842188122223497</c:v>
                      </c:pt>
                      <c:pt idx="108">
                        <c:v>47.4375911366335</c:v>
                      </c:pt>
                      <c:pt idx="109">
                        <c:v>48.058252281234402</c:v>
                      </c:pt>
                      <c:pt idx="110">
                        <c:v>48.627567003132597</c:v>
                      </c:pt>
                      <c:pt idx="111">
                        <c:v>49.217600456998497</c:v>
                      </c:pt>
                      <c:pt idx="112">
                        <c:v>49.8109368971202</c:v>
                      </c:pt>
                      <c:pt idx="113">
                        <c:v>50.446236276263598</c:v>
                      </c:pt>
                      <c:pt idx="114">
                        <c:v>51.021030952631499</c:v>
                      </c:pt>
                      <c:pt idx="115">
                        <c:v>51.612545745787799</c:v>
                      </c:pt>
                      <c:pt idx="116">
                        <c:v>52.246739124988103</c:v>
                      </c:pt>
                      <c:pt idx="117">
                        <c:v>52.840563506261098</c:v>
                      </c:pt>
                      <c:pt idx="118">
                        <c:v>53.171875548072499</c:v>
                      </c:pt>
                      <c:pt idx="119">
                        <c:v>53.174208144796303</c:v>
                      </c:pt>
                      <c:pt idx="120">
                        <c:v>53.217194570135703</c:v>
                      </c:pt>
                      <c:pt idx="121">
                        <c:v>53.8190045248868</c:v>
                      </c:pt>
                      <c:pt idx="122">
                        <c:v>54.506787330316698</c:v>
                      </c:pt>
                      <c:pt idx="123">
                        <c:v>55.108597285067802</c:v>
                      </c:pt>
                      <c:pt idx="124">
                        <c:v>55.710407239818998</c:v>
                      </c:pt>
                      <c:pt idx="125">
                        <c:v>56.527149321266897</c:v>
                      </c:pt>
                    </c:numCache>
                  </c:numRef>
                </c:xVal>
                <c:yVal>
                  <c:numRef>
                    <c:extLst xmlns:c15="http://schemas.microsoft.com/office/drawing/2012/chart">
                      <c:ext xmlns:c15="http://schemas.microsoft.com/office/drawing/2012/chart" uri="{02D57815-91ED-43cb-92C2-25804820EDAC}">
                        <c15:formulaRef>
                          <c15:sqref>Sheet1!$J$3:$J$128</c15:sqref>
                        </c15:formulaRef>
                      </c:ext>
                    </c:extLst>
                    <c:numCache>
                      <c:formatCode>General</c:formatCode>
                      <c:ptCount val="126"/>
                      <c:pt idx="0">
                        <c:v>100</c:v>
                      </c:pt>
                      <c:pt idx="1">
                        <c:v>100</c:v>
                      </c:pt>
                      <c:pt idx="2">
                        <c:v>98.802395209580794</c:v>
                      </c:pt>
                      <c:pt idx="3">
                        <c:v>98.203592814371206</c:v>
                      </c:pt>
                      <c:pt idx="4">
                        <c:v>97.604790419161603</c:v>
                      </c:pt>
                      <c:pt idx="5">
                        <c:v>96.606786427145707</c:v>
                      </c:pt>
                      <c:pt idx="6">
                        <c:v>96.007984031936104</c:v>
                      </c:pt>
                      <c:pt idx="7">
                        <c:v>94.411177644710506</c:v>
                      </c:pt>
                      <c:pt idx="8">
                        <c:v>93.213572854291399</c:v>
                      </c:pt>
                      <c:pt idx="9">
                        <c:v>91.217564870259494</c:v>
                      </c:pt>
                      <c:pt idx="10">
                        <c:v>90.019960079840303</c:v>
                      </c:pt>
                      <c:pt idx="11">
                        <c:v>89.221556886227503</c:v>
                      </c:pt>
                      <c:pt idx="12">
                        <c:v>88.822355289421097</c:v>
                      </c:pt>
                      <c:pt idx="13">
                        <c:v>86.427145708582799</c:v>
                      </c:pt>
                      <c:pt idx="14">
                        <c:v>84.231536926147697</c:v>
                      </c:pt>
                      <c:pt idx="15">
                        <c:v>82.435129740518903</c:v>
                      </c:pt>
                      <c:pt idx="16">
                        <c:v>80.838323353293404</c:v>
                      </c:pt>
                      <c:pt idx="17">
                        <c:v>76.559694687160601</c:v>
                      </c:pt>
                      <c:pt idx="18">
                        <c:v>76.559694687160601</c:v>
                      </c:pt>
                      <c:pt idx="19">
                        <c:v>76.559694687160601</c:v>
                      </c:pt>
                      <c:pt idx="20">
                        <c:v>75.648702594810302</c:v>
                      </c:pt>
                      <c:pt idx="21">
                        <c:v>74.050127872715194</c:v>
                      </c:pt>
                      <c:pt idx="22">
                        <c:v>72.681657725523493</c:v>
                      </c:pt>
                      <c:pt idx="23">
                        <c:v>71.856287425149702</c:v>
                      </c:pt>
                      <c:pt idx="24">
                        <c:v>70.1284891764397</c:v>
                      </c:pt>
                      <c:pt idx="25">
                        <c:v>68.862275449101801</c:v>
                      </c:pt>
                      <c:pt idx="26">
                        <c:v>68.268765589473006</c:v>
                      </c:pt>
                      <c:pt idx="27">
                        <c:v>67.265469061876203</c:v>
                      </c:pt>
                      <c:pt idx="28">
                        <c:v>66.438956711899195</c:v>
                      </c:pt>
                      <c:pt idx="29">
                        <c:v>65.668662674650705</c:v>
                      </c:pt>
                      <c:pt idx="30">
                        <c:v>64.655371006655102</c:v>
                      </c:pt>
                      <c:pt idx="31">
                        <c:v>62.854652452201499</c:v>
                      </c:pt>
                      <c:pt idx="32">
                        <c:v>62.4750499001996</c:v>
                      </c:pt>
                      <c:pt idx="33">
                        <c:v>61.774266829273103</c:v>
                      </c:pt>
                      <c:pt idx="34">
                        <c:v>60.678642714570799</c:v>
                      </c:pt>
                      <c:pt idx="35">
                        <c:v>59.675012202515298</c:v>
                      </c:pt>
                      <c:pt idx="36">
                        <c:v>59.675012202515298</c:v>
                      </c:pt>
                      <c:pt idx="37">
                        <c:v>59.3549335437651</c:v>
                      </c:pt>
                      <c:pt idx="38">
                        <c:v>57.941653299774202</c:v>
                      </c:pt>
                      <c:pt idx="39">
                        <c:v>56.686626746506903</c:v>
                      </c:pt>
                      <c:pt idx="40">
                        <c:v>55.9840150565676</c:v>
                      </c:pt>
                      <c:pt idx="41">
                        <c:v>55.688622754491</c:v>
                      </c:pt>
                      <c:pt idx="42">
                        <c:v>55.280418725621303</c:v>
                      </c:pt>
                      <c:pt idx="43">
                        <c:v>54.491017964071801</c:v>
                      </c:pt>
                      <c:pt idx="44">
                        <c:v>54.380738171296599</c:v>
                      </c:pt>
                      <c:pt idx="45">
                        <c:v>53.892215568862198</c:v>
                      </c:pt>
                      <c:pt idx="46">
                        <c:v>53.334955646611398</c:v>
                      </c:pt>
                      <c:pt idx="47">
                        <c:v>52.495009980039903</c:v>
                      </c:pt>
                      <c:pt idx="48">
                        <c:v>51.130558865043298</c:v>
                      </c:pt>
                      <c:pt idx="49">
                        <c:v>49.636564676252704</c:v>
                      </c:pt>
                      <c:pt idx="50">
                        <c:v>49.636564676252704</c:v>
                      </c:pt>
                      <c:pt idx="51">
                        <c:v>48.809639354131697</c:v>
                      </c:pt>
                      <c:pt idx="52">
                        <c:v>48.452074005618002</c:v>
                      </c:pt>
                      <c:pt idx="53">
                        <c:v>48.041642812566003</c:v>
                      </c:pt>
                      <c:pt idx="54">
                        <c:v>47.967630630212398</c:v>
                      </c:pt>
                      <c:pt idx="55">
                        <c:v>47.460118522644599</c:v>
                      </c:pt>
                      <c:pt idx="56">
                        <c:v>47.275568665347201</c:v>
                      </c:pt>
                      <c:pt idx="57">
                        <c:v>46.560437968319803</c:v>
                      </c:pt>
                      <c:pt idx="58">
                        <c:v>45.891444735616801</c:v>
                      </c:pt>
                      <c:pt idx="59">
                        <c:v>45.383932628049003</c:v>
                      </c:pt>
                      <c:pt idx="60">
                        <c:v>44.848545802451902</c:v>
                      </c:pt>
                      <c:pt idx="61">
                        <c:v>44.841817422237902</c:v>
                      </c:pt>
                      <c:pt idx="62">
                        <c:v>44.415045877237702</c:v>
                      </c:pt>
                      <c:pt idx="63">
                        <c:v>44.253564752102498</c:v>
                      </c:pt>
                      <c:pt idx="64">
                        <c:v>43.790415591000396</c:v>
                      </c:pt>
                      <c:pt idx="65">
                        <c:v>43.400021662102098</c:v>
                      </c:pt>
                      <c:pt idx="66">
                        <c:v>42.673356598993699</c:v>
                      </c:pt>
                      <c:pt idx="67">
                        <c:v>41.6237292856148</c:v>
                      </c:pt>
                      <c:pt idx="68">
                        <c:v>41.6237292856148</c:v>
                      </c:pt>
                      <c:pt idx="69">
                        <c:v>41.162354642371298</c:v>
                      </c:pt>
                      <c:pt idx="70">
                        <c:v>41.162354642371298</c:v>
                      </c:pt>
                      <c:pt idx="71">
                        <c:v>40.962011576132099</c:v>
                      </c:pt>
                      <c:pt idx="72">
                        <c:v>40.962011576132099</c:v>
                      </c:pt>
                      <c:pt idx="73">
                        <c:v>40.962011576132099</c:v>
                      </c:pt>
                      <c:pt idx="74">
                        <c:v>40.962011576132099</c:v>
                      </c:pt>
                      <c:pt idx="75">
                        <c:v>40.682717252832802</c:v>
                      </c:pt>
                      <c:pt idx="76">
                        <c:v>40.682717252832802</c:v>
                      </c:pt>
                      <c:pt idx="77">
                        <c:v>40.608705070479203</c:v>
                      </c:pt>
                      <c:pt idx="78">
                        <c:v>40.608705070479203</c:v>
                      </c:pt>
                      <c:pt idx="79">
                        <c:v>40.513546550310203</c:v>
                      </c:pt>
                      <c:pt idx="80">
                        <c:v>40.513546550310203</c:v>
                      </c:pt>
                      <c:pt idx="81">
                        <c:v>40.4606807057719</c:v>
                      </c:pt>
                      <c:pt idx="82">
                        <c:v>39.7945710645891</c:v>
                      </c:pt>
                      <c:pt idx="83">
                        <c:v>39.028496917370298</c:v>
                      </c:pt>
                      <c:pt idx="84">
                        <c:v>38.9592907208838</c:v>
                      </c:pt>
                      <c:pt idx="85">
                        <c:v>38.9592907208838</c:v>
                      </c:pt>
                      <c:pt idx="86">
                        <c:v>38.906424876345497</c:v>
                      </c:pt>
                      <c:pt idx="87">
                        <c:v>38.906424876345497</c:v>
                      </c:pt>
                      <c:pt idx="88">
                        <c:v>38.906424876345497</c:v>
                      </c:pt>
                      <c:pt idx="89">
                        <c:v>38.588416488430397</c:v>
                      </c:pt>
                      <c:pt idx="90">
                        <c:v>38.5257907956696</c:v>
                      </c:pt>
                      <c:pt idx="91">
                        <c:v>38.5257907956696</c:v>
                      </c:pt>
                      <c:pt idx="92">
                        <c:v>38.5257907956696</c:v>
                      </c:pt>
                      <c:pt idx="93">
                        <c:v>38.5257907956696</c:v>
                      </c:pt>
                      <c:pt idx="94">
                        <c:v>38.422499068648598</c:v>
                      </c:pt>
                      <c:pt idx="95">
                        <c:v>38.186488193450998</c:v>
                      </c:pt>
                      <c:pt idx="96">
                        <c:v>38.071144532640098</c:v>
                      </c:pt>
                      <c:pt idx="97">
                        <c:v>38.071144532640098</c:v>
                      </c:pt>
                      <c:pt idx="98">
                        <c:v>38.071144532640098</c:v>
                      </c:pt>
                      <c:pt idx="99">
                        <c:v>38.071144532640098</c:v>
                      </c:pt>
                      <c:pt idx="100">
                        <c:v>37.997132350286499</c:v>
                      </c:pt>
                      <c:pt idx="101">
                        <c:v>37.997132350286499</c:v>
                      </c:pt>
                      <c:pt idx="102">
                        <c:v>37.934506657525702</c:v>
                      </c:pt>
                      <c:pt idx="103">
                        <c:v>37.934506657525702</c:v>
                      </c:pt>
                      <c:pt idx="104">
                        <c:v>37.924746809303201</c:v>
                      </c:pt>
                      <c:pt idx="105">
                        <c:v>37.373315384734397</c:v>
                      </c:pt>
                      <c:pt idx="106">
                        <c:v>37.267583695657699</c:v>
                      </c:pt>
                      <c:pt idx="107">
                        <c:v>37.071047144197699</c:v>
                      </c:pt>
                      <c:pt idx="108">
                        <c:v>36.9745558716454</c:v>
                      </c:pt>
                      <c:pt idx="109">
                        <c:v>36.666423520622097</c:v>
                      </c:pt>
                      <c:pt idx="110">
                        <c:v>36.665726388606203</c:v>
                      </c:pt>
                      <c:pt idx="111">
                        <c:v>36.612047223382604</c:v>
                      </c:pt>
                      <c:pt idx="112">
                        <c:v>36.602984507176103</c:v>
                      </c:pt>
                      <c:pt idx="113">
                        <c:v>36.516888703213702</c:v>
                      </c:pt>
                      <c:pt idx="114">
                        <c:v>36.516888703213702</c:v>
                      </c:pt>
                      <c:pt idx="115">
                        <c:v>36.516888703213702</c:v>
                      </c:pt>
                      <c:pt idx="116">
                        <c:v>36.516888703213702</c:v>
                      </c:pt>
                      <c:pt idx="117">
                        <c:v>36.508958826532897</c:v>
                      </c:pt>
                      <c:pt idx="118">
                        <c:v>34.518559779665402</c:v>
                      </c:pt>
                      <c:pt idx="119">
                        <c:v>31.936127744510902</c:v>
                      </c:pt>
                      <c:pt idx="120">
                        <c:v>29.5409181636726</c:v>
                      </c:pt>
                      <c:pt idx="121">
                        <c:v>29.5409181636726</c:v>
                      </c:pt>
                      <c:pt idx="122">
                        <c:v>29.5409181636726</c:v>
                      </c:pt>
                      <c:pt idx="123">
                        <c:v>29.5409181636726</c:v>
                      </c:pt>
                      <c:pt idx="124">
                        <c:v>29.5409181636726</c:v>
                      </c:pt>
                      <c:pt idx="125">
                        <c:v>29.5409181636726</c:v>
                      </c:pt>
                    </c:numCache>
                  </c:numRef>
                </c:yVal>
                <c:smooth val="0"/>
                <c:extLst xmlns:c15="http://schemas.microsoft.com/office/drawing/2012/chart">
                  <c:ext xmlns:c16="http://schemas.microsoft.com/office/drawing/2014/chart" uri="{C3380CC4-5D6E-409C-BE32-E72D297353CC}">
                    <c16:uniqueId val="{00000006-BC1A-47B2-808F-0EF376B56ADD}"/>
                  </c:ext>
                </c:extLst>
              </c15:ser>
            </c15:filteredScatterSeries>
            <c15:filteredScatterSeries>
              <c15:ser>
                <c:idx val="5"/>
                <c:order val="5"/>
                <c:tx>
                  <c:v>067 NIVO PFS 4-yr follow up</c:v>
                </c:tx>
                <c:spPr>
                  <a:ln w="19050" cap="rnd">
                    <a:solidFill>
                      <a:schemeClr val="accent1">
                        <a:lumMod val="75000"/>
                      </a:schemeClr>
                    </a:solidFill>
                    <a:prstDash val="sysDot"/>
                    <a:round/>
                  </a:ln>
                  <a:effectLst/>
                </c:spPr>
                <c:marker>
                  <c:symbol val="none"/>
                </c:marker>
                <c:xVal>
                  <c:numRef>
                    <c:extLst xmlns:c15="http://schemas.microsoft.com/office/drawing/2012/chart">
                      <c:ext xmlns:c15="http://schemas.microsoft.com/office/drawing/2012/chart" uri="{02D57815-91ED-43cb-92C2-25804820EDAC}">
                        <c15:formulaRef>
                          <c15:sqref>Sheet1!$K$3:$K$114</c15:sqref>
                        </c15:formulaRef>
                      </c:ext>
                    </c:extLst>
                    <c:numCache>
                      <c:formatCode>General</c:formatCode>
                      <c:ptCount val="112"/>
                      <c:pt idx="0">
                        <c:v>0.34389140271493202</c:v>
                      </c:pt>
                      <c:pt idx="1">
                        <c:v>0.55882352941176505</c:v>
                      </c:pt>
                      <c:pt idx="2">
                        <c:v>0.81774176575818203</c:v>
                      </c:pt>
                      <c:pt idx="3">
                        <c:v>1.3915605598232099</c:v>
                      </c:pt>
                      <c:pt idx="4">
                        <c:v>1.96537935388824</c:v>
                      </c:pt>
                      <c:pt idx="5">
                        <c:v>2.0746781718053899</c:v>
                      </c:pt>
                      <c:pt idx="6">
                        <c:v>2.2932758076396902</c:v>
                      </c:pt>
                      <c:pt idx="7">
                        <c:v>2.4932126696832499</c:v>
                      </c:pt>
                      <c:pt idx="8">
                        <c:v>2.5361990950226199</c:v>
                      </c:pt>
                      <c:pt idx="9">
                        <c:v>2.5791855203619898</c:v>
                      </c:pt>
                      <c:pt idx="10">
                        <c:v>2.5791855203619898</c:v>
                      </c:pt>
                      <c:pt idx="11">
                        <c:v>2.5938475569118502</c:v>
                      </c:pt>
                      <c:pt idx="12">
                        <c:v>2.7081447963800902</c:v>
                      </c:pt>
                      <c:pt idx="13">
                        <c:v>2.74504425503057</c:v>
                      </c:pt>
                      <c:pt idx="14">
                        <c:v>2.8288400154337201</c:v>
                      </c:pt>
                      <c:pt idx="15">
                        <c:v>2.8800904977375499</c:v>
                      </c:pt>
                      <c:pt idx="16">
                        <c:v>2.9490687151425798</c:v>
                      </c:pt>
                      <c:pt idx="17">
                        <c:v>3.0583675330597302</c:v>
                      </c:pt>
                      <c:pt idx="18">
                        <c:v>3.5678733031674201</c:v>
                      </c:pt>
                      <c:pt idx="19">
                        <c:v>3.9117647058823501</c:v>
                      </c:pt>
                      <c:pt idx="20">
                        <c:v>4.1696832579185497</c:v>
                      </c:pt>
                      <c:pt idx="21">
                        <c:v>4.5135746606334797</c:v>
                      </c:pt>
                      <c:pt idx="22">
                        <c:v>4.9434389140271504</c:v>
                      </c:pt>
                      <c:pt idx="23">
                        <c:v>5.3303167420814397</c:v>
                      </c:pt>
                      <c:pt idx="24">
                        <c:v>5.4592760180995397</c:v>
                      </c:pt>
                      <c:pt idx="25">
                        <c:v>5.5452488687782804</c:v>
                      </c:pt>
                      <c:pt idx="26">
                        <c:v>5.6815391630713101</c:v>
                      </c:pt>
                      <c:pt idx="27">
                        <c:v>6.0180995475113104</c:v>
                      </c:pt>
                      <c:pt idx="28">
                        <c:v>6.2826826616156302</c:v>
                      </c:pt>
                      <c:pt idx="29">
                        <c:v>6.5769230769230704</c:v>
                      </c:pt>
                      <c:pt idx="30">
                        <c:v>6.7745273422428003</c:v>
                      </c:pt>
                      <c:pt idx="31">
                        <c:v>6.9638009049773704</c:v>
                      </c:pt>
                      <c:pt idx="32">
                        <c:v>7.2663720228699704</c:v>
                      </c:pt>
                      <c:pt idx="33">
                        <c:v>7.5656108597285003</c:v>
                      </c:pt>
                      <c:pt idx="34">
                        <c:v>7.8675155214142896</c:v>
                      </c:pt>
                      <c:pt idx="35">
                        <c:v>8.4613724320974608</c:v>
                      </c:pt>
                      <c:pt idx="36">
                        <c:v>8.8122171945701293</c:v>
                      </c:pt>
                      <c:pt idx="37">
                        <c:v>9.0698025185029199</c:v>
                      </c:pt>
                      <c:pt idx="38">
                        <c:v>9.6709460170472497</c:v>
                      </c:pt>
                      <c:pt idx="39">
                        <c:v>10.326738924550099</c:v>
                      </c:pt>
                      <c:pt idx="40">
                        <c:v>11.0475113122171</c:v>
                      </c:pt>
                      <c:pt idx="41">
                        <c:v>11.437943573374399</c:v>
                      </c:pt>
                      <c:pt idx="42">
                        <c:v>12.0208706022659</c:v>
                      </c:pt>
                      <c:pt idx="43">
                        <c:v>12.6425076291697</c:v>
                      </c:pt>
                      <c:pt idx="44">
                        <c:v>12.9389140271493</c:v>
                      </c:pt>
                      <c:pt idx="45">
                        <c:v>13.223157599354501</c:v>
                      </c:pt>
                      <c:pt idx="46">
                        <c:v>13.795369057862001</c:v>
                      </c:pt>
                      <c:pt idx="47">
                        <c:v>14.441839419130799</c:v>
                      </c:pt>
                      <c:pt idx="48">
                        <c:v>15.048447858570899</c:v>
                      </c:pt>
                      <c:pt idx="49">
                        <c:v>15.649591357115201</c:v>
                      </c:pt>
                      <c:pt idx="50">
                        <c:v>16.228875092076098</c:v>
                      </c:pt>
                      <c:pt idx="51">
                        <c:v>16.8373051784816</c:v>
                      </c:pt>
                      <c:pt idx="52">
                        <c:v>17.4311620891648</c:v>
                      </c:pt>
                      <c:pt idx="53">
                        <c:v>18.070139793911199</c:v>
                      </c:pt>
                      <c:pt idx="54">
                        <c:v>18.610678499187301</c:v>
                      </c:pt>
                      <c:pt idx="55">
                        <c:v>19.234592584797699</c:v>
                      </c:pt>
                      <c:pt idx="56">
                        <c:v>19.835736083342098</c:v>
                      </c:pt>
                      <c:pt idx="57">
                        <c:v>20.436879581886402</c:v>
                      </c:pt>
                      <c:pt idx="58">
                        <c:v>21.038023080430701</c:v>
                      </c:pt>
                      <c:pt idx="59">
                        <c:v>21.639166578975001</c:v>
                      </c:pt>
                      <c:pt idx="60">
                        <c:v>22.2403100775193</c:v>
                      </c:pt>
                      <c:pt idx="61">
                        <c:v>22.841453576063699</c:v>
                      </c:pt>
                      <c:pt idx="62">
                        <c:v>23.442597074607999</c:v>
                      </c:pt>
                      <c:pt idx="63">
                        <c:v>24.043740573152299</c:v>
                      </c:pt>
                      <c:pt idx="64">
                        <c:v>24.644884071696598</c:v>
                      </c:pt>
                      <c:pt idx="65">
                        <c:v>25.2095946309352</c:v>
                      </c:pt>
                      <c:pt idx="66">
                        <c:v>25.894013419321201</c:v>
                      </c:pt>
                      <c:pt idx="67">
                        <c:v>26.400094500601401</c:v>
                      </c:pt>
                      <c:pt idx="68">
                        <c:v>27.0494580658739</c:v>
                      </c:pt>
                      <c:pt idx="69">
                        <c:v>27.650601564418199</c:v>
                      </c:pt>
                      <c:pt idx="70">
                        <c:v>28.251745062962499</c:v>
                      </c:pt>
                      <c:pt idx="71">
                        <c:v>28.852888561506798</c:v>
                      </c:pt>
                      <c:pt idx="72">
                        <c:v>29.454032060051201</c:v>
                      </c:pt>
                      <c:pt idx="73">
                        <c:v>30.055175558595501</c:v>
                      </c:pt>
                      <c:pt idx="74">
                        <c:v>30.6563190571398</c:v>
                      </c:pt>
                      <c:pt idx="75">
                        <c:v>31.2574625556841</c:v>
                      </c:pt>
                      <c:pt idx="76">
                        <c:v>31.881376641294501</c:v>
                      </c:pt>
                      <c:pt idx="77">
                        <c:v>32.459749552772799</c:v>
                      </c:pt>
                      <c:pt idx="78">
                        <c:v>33.060893051317102</c:v>
                      </c:pt>
                      <c:pt idx="79">
                        <c:v>33.498088322985701</c:v>
                      </c:pt>
                      <c:pt idx="80">
                        <c:v>34.263180048405701</c:v>
                      </c:pt>
                      <c:pt idx="81">
                        <c:v>34.864323546949997</c:v>
                      </c:pt>
                      <c:pt idx="82">
                        <c:v>35.4654670454944</c:v>
                      </c:pt>
                      <c:pt idx="83">
                        <c:v>37.870041039671598</c:v>
                      </c:pt>
                      <c:pt idx="84">
                        <c:v>38.471184538216001</c:v>
                      </c:pt>
                      <c:pt idx="85">
                        <c:v>39.072328036760297</c:v>
                      </c:pt>
                      <c:pt idx="86">
                        <c:v>39.400224490511697</c:v>
                      </c:pt>
                      <c:pt idx="87">
                        <c:v>40.247290329369598</c:v>
                      </c:pt>
                      <c:pt idx="88">
                        <c:v>40.923076923076898</c:v>
                      </c:pt>
                      <c:pt idx="89">
                        <c:v>41.696832579185497</c:v>
                      </c:pt>
                      <c:pt idx="90">
                        <c:v>42.470588235294102</c:v>
                      </c:pt>
                      <c:pt idx="91">
                        <c:v>43.072398190045199</c:v>
                      </c:pt>
                      <c:pt idx="92">
                        <c:v>43.717194570135703</c:v>
                      </c:pt>
                      <c:pt idx="93">
                        <c:v>44.490950226244301</c:v>
                      </c:pt>
                      <c:pt idx="94">
                        <c:v>45.264705882352899</c:v>
                      </c:pt>
                      <c:pt idx="95">
                        <c:v>45.780542986425303</c:v>
                      </c:pt>
                      <c:pt idx="96">
                        <c:v>46.296380090497699</c:v>
                      </c:pt>
                      <c:pt idx="97">
                        <c:v>46.726244343891402</c:v>
                      </c:pt>
                      <c:pt idx="98">
                        <c:v>47.328054298642499</c:v>
                      </c:pt>
                      <c:pt idx="99">
                        <c:v>47.929864253393603</c:v>
                      </c:pt>
                      <c:pt idx="100">
                        <c:v>48.4886877828054</c:v>
                      </c:pt>
                      <c:pt idx="101">
                        <c:v>49.090497737556497</c:v>
                      </c:pt>
                      <c:pt idx="102">
                        <c:v>49.5633484162895</c:v>
                      </c:pt>
                      <c:pt idx="103">
                        <c:v>50.122171945701297</c:v>
                      </c:pt>
                      <c:pt idx="104">
                        <c:v>50.552036199094999</c:v>
                      </c:pt>
                      <c:pt idx="105">
                        <c:v>51.282805429864197</c:v>
                      </c:pt>
                      <c:pt idx="106">
                        <c:v>51.7126696832579</c:v>
                      </c:pt>
                      <c:pt idx="107">
                        <c:v>52.228506787330303</c:v>
                      </c:pt>
                      <c:pt idx="108">
                        <c:v>52.787330316742</c:v>
                      </c:pt>
                      <c:pt idx="109">
                        <c:v>53.389140271493197</c:v>
                      </c:pt>
                      <c:pt idx="110">
                        <c:v>53.947963800904901</c:v>
                      </c:pt>
                      <c:pt idx="111">
                        <c:v>54.291855203619903</c:v>
                      </c:pt>
                    </c:numCache>
                  </c:numRef>
                </c:xVal>
                <c:yVal>
                  <c:numRef>
                    <c:extLst xmlns:c15="http://schemas.microsoft.com/office/drawing/2012/chart">
                      <c:ext xmlns:c15="http://schemas.microsoft.com/office/drawing/2012/chart" uri="{02D57815-91ED-43cb-92C2-25804820EDAC}">
                        <c15:formulaRef>
                          <c15:sqref>Sheet1!$L$3:$L$114</c15:sqref>
                        </c15:formulaRef>
                      </c:ext>
                    </c:extLst>
                    <c:numCache>
                      <c:formatCode>General</c:formatCode>
                      <c:ptCount val="112"/>
                      <c:pt idx="0">
                        <c:v>98.403193612774402</c:v>
                      </c:pt>
                      <c:pt idx="1">
                        <c:v>97.205588822355296</c:v>
                      </c:pt>
                      <c:pt idx="2">
                        <c:v>96.772279796928103</c:v>
                      </c:pt>
                      <c:pt idx="3">
                        <c:v>94.387648475658494</c:v>
                      </c:pt>
                      <c:pt idx="4">
                        <c:v>92.4519731301516</c:v>
                      </c:pt>
                      <c:pt idx="5">
                        <c:v>90.588074497000804</c:v>
                      </c:pt>
                      <c:pt idx="6">
                        <c:v>87.604326231258398</c:v>
                      </c:pt>
                      <c:pt idx="7">
                        <c:v>81.0379241516966</c:v>
                      </c:pt>
                      <c:pt idx="8">
                        <c:v>81.0379241516966</c:v>
                      </c:pt>
                      <c:pt idx="9">
                        <c:v>77.844311377245504</c:v>
                      </c:pt>
                      <c:pt idx="10">
                        <c:v>75.449101796407106</c:v>
                      </c:pt>
                      <c:pt idx="11">
                        <c:v>75.449101796407106</c:v>
                      </c:pt>
                      <c:pt idx="12">
                        <c:v>70.658682634730496</c:v>
                      </c:pt>
                      <c:pt idx="13">
                        <c:v>69.2308841977257</c:v>
                      </c:pt>
                      <c:pt idx="14">
                        <c:v>64.014881520335706</c:v>
                      </c:pt>
                      <c:pt idx="15">
                        <c:v>64.014881520335706</c:v>
                      </c:pt>
                      <c:pt idx="16">
                        <c:v>61.191140544062598</c:v>
                      </c:pt>
                      <c:pt idx="17">
                        <c:v>59.154043334519599</c:v>
                      </c:pt>
                      <c:pt idx="18">
                        <c:v>59.0818363273453</c:v>
                      </c:pt>
                      <c:pt idx="19">
                        <c:v>59.0818363273453</c:v>
                      </c:pt>
                      <c:pt idx="20">
                        <c:v>57.684630738522898</c:v>
                      </c:pt>
                      <c:pt idx="21">
                        <c:v>56.487025948103799</c:v>
                      </c:pt>
                      <c:pt idx="22">
                        <c:v>56.287425149700603</c:v>
                      </c:pt>
                      <c:pt idx="23">
                        <c:v>56.0878243512974</c:v>
                      </c:pt>
                      <c:pt idx="24">
                        <c:v>54.690618762474998</c:v>
                      </c:pt>
                      <c:pt idx="25">
                        <c:v>54.091816367265402</c:v>
                      </c:pt>
                      <c:pt idx="26">
                        <c:v>53.446454518728501</c:v>
                      </c:pt>
                      <c:pt idx="27">
                        <c:v>52.694610778443099</c:v>
                      </c:pt>
                      <c:pt idx="28">
                        <c:v>52.442964669673998</c:v>
                      </c:pt>
                      <c:pt idx="29">
                        <c:v>52.2954091816367</c:v>
                      </c:pt>
                      <c:pt idx="30">
                        <c:v>51.357086491468898</c:v>
                      </c:pt>
                      <c:pt idx="31">
                        <c:v>49.700598802395199</c:v>
                      </c:pt>
                      <c:pt idx="32">
                        <c:v>48.694295693320903</c:v>
                      </c:pt>
                      <c:pt idx="33">
                        <c:v>48.502994011976</c:v>
                      </c:pt>
                      <c:pt idx="34">
                        <c:v>48.005309559410598</c:v>
                      </c:pt>
                      <c:pt idx="35">
                        <c:v>47.148280527661299</c:v>
                      </c:pt>
                      <c:pt idx="36">
                        <c:v>47.148280527661299</c:v>
                      </c:pt>
                      <c:pt idx="37">
                        <c:v>46.375888111022498</c:v>
                      </c:pt>
                      <c:pt idx="38">
                        <c:v>44.962021994468699</c:v>
                      </c:pt>
                      <c:pt idx="39">
                        <c:v>44.216270301773697</c:v>
                      </c:pt>
                      <c:pt idx="40">
                        <c:v>44.111776447105797</c:v>
                      </c:pt>
                      <c:pt idx="41">
                        <c:v>43.974262213442699</c:v>
                      </c:pt>
                      <c:pt idx="42">
                        <c:v>43.653777715886001</c:v>
                      </c:pt>
                      <c:pt idx="43">
                        <c:v>43.177985115041203</c:v>
                      </c:pt>
                      <c:pt idx="44">
                        <c:v>42.914171656686598</c:v>
                      </c:pt>
                      <c:pt idx="45">
                        <c:v>42.543183038935702</c:v>
                      </c:pt>
                      <c:pt idx="46">
                        <c:v>42.543183038935702</c:v>
                      </c:pt>
                      <c:pt idx="47">
                        <c:v>41.801358523263502</c:v>
                      </c:pt>
                      <c:pt idx="48">
                        <c:v>41.507847354386797</c:v>
                      </c:pt>
                      <c:pt idx="49">
                        <c:v>41.507847354386797</c:v>
                      </c:pt>
                      <c:pt idx="50">
                        <c:v>41.002026953844201</c:v>
                      </c:pt>
                      <c:pt idx="51">
                        <c:v>40.325344143753803</c:v>
                      </c:pt>
                      <c:pt idx="52">
                        <c:v>40.1750129058303</c:v>
                      </c:pt>
                      <c:pt idx="53">
                        <c:v>40.091433114688897</c:v>
                      </c:pt>
                      <c:pt idx="54">
                        <c:v>40.041278339101297</c:v>
                      </c:pt>
                      <c:pt idx="55">
                        <c:v>40.041278339101297</c:v>
                      </c:pt>
                      <c:pt idx="56">
                        <c:v>39.7090245161544</c:v>
                      </c:pt>
                      <c:pt idx="57">
                        <c:v>39.5936808553435</c:v>
                      </c:pt>
                      <c:pt idx="58">
                        <c:v>39.5936808553435</c:v>
                      </c:pt>
                      <c:pt idx="59">
                        <c:v>39.316856069397502</c:v>
                      </c:pt>
                      <c:pt idx="60">
                        <c:v>38.8439470600729</c:v>
                      </c:pt>
                      <c:pt idx="61">
                        <c:v>38.221091291694201</c:v>
                      </c:pt>
                      <c:pt idx="62">
                        <c:v>37.817388478856202</c:v>
                      </c:pt>
                      <c:pt idx="63">
                        <c:v>37.390616933856002</c:v>
                      </c:pt>
                      <c:pt idx="64">
                        <c:v>36.935393952522503</c:v>
                      </c:pt>
                      <c:pt idx="65">
                        <c:v>36.630656000660203</c:v>
                      </c:pt>
                      <c:pt idx="66">
                        <c:v>35.745349463494499</c:v>
                      </c:pt>
                      <c:pt idx="67">
                        <c:v>35.532802113402802</c:v>
                      </c:pt>
                      <c:pt idx="68">
                        <c:v>35.532802113402802</c:v>
                      </c:pt>
                      <c:pt idx="69">
                        <c:v>35.302896673179298</c:v>
                      </c:pt>
                      <c:pt idx="70">
                        <c:v>34.518559779665402</c:v>
                      </c:pt>
                      <c:pt idx="71">
                        <c:v>34.4704999209942</c:v>
                      </c:pt>
                      <c:pt idx="72">
                        <c:v>34.4704999209942</c:v>
                      </c:pt>
                      <c:pt idx="73">
                        <c:v>34.4704999209942</c:v>
                      </c:pt>
                      <c:pt idx="74">
                        <c:v>34.403216118854601</c:v>
                      </c:pt>
                      <c:pt idx="75">
                        <c:v>34.011047672097597</c:v>
                      </c:pt>
                      <c:pt idx="76">
                        <c:v>33.699139189321599</c:v>
                      </c:pt>
                      <c:pt idx="77">
                        <c:v>33.699139189321599</c:v>
                      </c:pt>
                      <c:pt idx="78">
                        <c:v>33.122901483853902</c:v>
                      </c:pt>
                      <c:pt idx="79">
                        <c:v>33.122901483853902</c:v>
                      </c:pt>
                      <c:pt idx="80">
                        <c:v>32.500045715475302</c:v>
                      </c:pt>
                      <c:pt idx="81">
                        <c:v>32.488511349394201</c:v>
                      </c:pt>
                      <c:pt idx="82">
                        <c:v>32.488511349394201</c:v>
                      </c:pt>
                      <c:pt idx="83">
                        <c:v>32.317033773655403</c:v>
                      </c:pt>
                      <c:pt idx="84">
                        <c:v>32.317033773655403</c:v>
                      </c:pt>
                      <c:pt idx="85">
                        <c:v>32.317033773655403</c:v>
                      </c:pt>
                      <c:pt idx="86">
                        <c:v>31.7272431880425</c:v>
                      </c:pt>
                      <c:pt idx="87">
                        <c:v>31.283170093920599</c:v>
                      </c:pt>
                      <c:pt idx="88">
                        <c:v>31.137724550898199</c:v>
                      </c:pt>
                      <c:pt idx="89">
                        <c:v>31.137724550898199</c:v>
                      </c:pt>
                      <c:pt idx="90">
                        <c:v>31.137724550898199</c:v>
                      </c:pt>
                      <c:pt idx="91">
                        <c:v>31.137724550898199</c:v>
                      </c:pt>
                      <c:pt idx="92">
                        <c:v>31.137724550898199</c:v>
                      </c:pt>
                      <c:pt idx="93">
                        <c:v>31.137724550898199</c:v>
                      </c:pt>
                      <c:pt idx="94">
                        <c:v>31.137724550898199</c:v>
                      </c:pt>
                      <c:pt idx="95">
                        <c:v>31.137724550898199</c:v>
                      </c:pt>
                      <c:pt idx="96">
                        <c:v>31.137724550898199</c:v>
                      </c:pt>
                      <c:pt idx="97">
                        <c:v>31.137724550898199</c:v>
                      </c:pt>
                      <c:pt idx="98">
                        <c:v>31.137724550898199</c:v>
                      </c:pt>
                      <c:pt idx="99">
                        <c:v>31.137724550898199</c:v>
                      </c:pt>
                      <c:pt idx="100">
                        <c:v>31.137724550898199</c:v>
                      </c:pt>
                      <c:pt idx="101">
                        <c:v>31.137724550898199</c:v>
                      </c:pt>
                      <c:pt idx="102">
                        <c:v>30.738522954091799</c:v>
                      </c:pt>
                      <c:pt idx="103">
                        <c:v>29.7405189620758</c:v>
                      </c:pt>
                      <c:pt idx="104">
                        <c:v>29.5409181636726</c:v>
                      </c:pt>
                      <c:pt idx="105">
                        <c:v>29.5409181636726</c:v>
                      </c:pt>
                      <c:pt idx="106">
                        <c:v>29.5409181636726</c:v>
                      </c:pt>
                      <c:pt idx="107">
                        <c:v>29.5409181636726</c:v>
                      </c:pt>
                      <c:pt idx="108">
                        <c:v>29.5409181636726</c:v>
                      </c:pt>
                      <c:pt idx="109">
                        <c:v>29.5409181636726</c:v>
                      </c:pt>
                      <c:pt idx="110">
                        <c:v>29.5409181636726</c:v>
                      </c:pt>
                      <c:pt idx="111">
                        <c:v>29.5409181636726</c:v>
                      </c:pt>
                    </c:numCache>
                  </c:numRef>
                </c:yVal>
                <c:smooth val="0"/>
                <c:extLst xmlns:c15="http://schemas.microsoft.com/office/drawing/2012/chart">
                  <c:ext xmlns:c16="http://schemas.microsoft.com/office/drawing/2014/chart" uri="{C3380CC4-5D6E-409C-BE32-E72D297353CC}">
                    <c16:uniqueId val="{00000007-BC1A-47B2-808F-0EF376B56ADD}"/>
                  </c:ext>
                </c:extLst>
              </c15:ser>
            </c15:filteredScatterSeries>
            <c15:filteredScatterSeries>
              <c15:ser>
                <c:idx val="10"/>
                <c:order val="8"/>
                <c:tx>
                  <c:v>067 NIVO+IPO OS 4-yr follow up</c:v>
                </c:tx>
                <c:spPr>
                  <a:ln w="19050" cap="rnd" cmpd="sng">
                    <a:solidFill>
                      <a:schemeClr val="accent5">
                        <a:lumMod val="60000"/>
                      </a:schemeClr>
                    </a:solidFill>
                    <a:prstDash val="lgDash"/>
                    <a:round/>
                  </a:ln>
                  <a:effectLst/>
                </c:spPr>
                <c:marker>
                  <c:symbol val="none"/>
                </c:marker>
                <c:xVal>
                  <c:numRef>
                    <c:extLst xmlns:c15="http://schemas.microsoft.com/office/drawing/2012/chart">
                      <c:ext xmlns:c15="http://schemas.microsoft.com/office/drawing/2012/chart" uri="{02D57815-91ED-43cb-92C2-25804820EDAC}">
                        <c15:formulaRef>
                          <c15:sqref>Sheet1!$V$3:$V$84</c15:sqref>
                        </c15:formulaRef>
                      </c:ext>
                    </c:extLst>
                    <c:numCache>
                      <c:formatCode>General</c:formatCode>
                      <c:ptCount val="82"/>
                      <c:pt idx="0">
                        <c:v>4.2222222222221703E-2</c:v>
                      </c:pt>
                      <c:pt idx="1">
                        <c:v>0.36382978723404202</c:v>
                      </c:pt>
                      <c:pt idx="2">
                        <c:v>0.80222222222222095</c:v>
                      </c:pt>
                      <c:pt idx="3">
                        <c:v>1.17413711583924</c:v>
                      </c:pt>
                      <c:pt idx="4">
                        <c:v>1.6044444444444399</c:v>
                      </c:pt>
                      <c:pt idx="5">
                        <c:v>1.92919621749408</c:v>
                      </c:pt>
                      <c:pt idx="6">
                        <c:v>2.44888888888888</c:v>
                      </c:pt>
                      <c:pt idx="7">
                        <c:v>2.7210874704491701</c:v>
                      </c:pt>
                      <c:pt idx="8">
                        <c:v>3.25111111111111</c:v>
                      </c:pt>
                      <c:pt idx="9">
                        <c:v>3.4199999999999902</c:v>
                      </c:pt>
                      <c:pt idx="10">
                        <c:v>3.82605200945626</c:v>
                      </c:pt>
                      <c:pt idx="11">
                        <c:v>4.2644444444444396</c:v>
                      </c:pt>
                      <c:pt idx="12">
                        <c:v>4.7100236406619302</c:v>
                      </c:pt>
                      <c:pt idx="13">
                        <c:v>5.2901300236406597</c:v>
                      </c:pt>
                      <c:pt idx="14">
                        <c:v>5.9623167848699703</c:v>
                      </c:pt>
                      <c:pt idx="15">
                        <c:v>6.6547612293144196</c:v>
                      </c:pt>
                      <c:pt idx="16">
                        <c:v>7.0088888888888796</c:v>
                      </c:pt>
                      <c:pt idx="17">
                        <c:v>7.43560283687943</c:v>
                      </c:pt>
                      <c:pt idx="18">
                        <c:v>8.2459101654846307</c:v>
                      </c:pt>
                      <c:pt idx="19">
                        <c:v>9.0562174940898306</c:v>
                      </c:pt>
                      <c:pt idx="20">
                        <c:v>9.8665248226950304</c:v>
                      </c:pt>
                      <c:pt idx="21">
                        <c:v>10.6768321513002</c:v>
                      </c:pt>
                      <c:pt idx="22">
                        <c:v>11.4871394799054</c:v>
                      </c:pt>
                      <c:pt idx="23">
                        <c:v>11.8222222222222</c:v>
                      </c:pt>
                      <c:pt idx="24">
                        <c:v>12.2974468085106</c:v>
                      </c:pt>
                      <c:pt idx="25">
                        <c:v>13.1077541371158</c:v>
                      </c:pt>
                      <c:pt idx="26">
                        <c:v>13.918061465720999</c:v>
                      </c:pt>
                      <c:pt idx="27">
                        <c:v>14.728368794326199</c:v>
                      </c:pt>
                      <c:pt idx="28">
                        <c:v>15.115555555555501</c:v>
                      </c:pt>
                      <c:pt idx="29">
                        <c:v>15.538676122931401</c:v>
                      </c:pt>
                      <c:pt idx="30">
                        <c:v>16.002222222222201</c:v>
                      </c:pt>
                      <c:pt idx="31">
                        <c:v>16.348983451536601</c:v>
                      </c:pt>
                      <c:pt idx="32">
                        <c:v>17.159290780141799</c:v>
                      </c:pt>
                      <c:pt idx="33">
                        <c:v>17.969598108747</c:v>
                      </c:pt>
                      <c:pt idx="34">
                        <c:v>18.779905437352198</c:v>
                      </c:pt>
                      <c:pt idx="35">
                        <c:v>19.5902127659574</c:v>
                      </c:pt>
                      <c:pt idx="36">
                        <c:v>20.400520094562602</c:v>
                      </c:pt>
                      <c:pt idx="37">
                        <c:v>21.2108274231678</c:v>
                      </c:pt>
                      <c:pt idx="38">
                        <c:v>22.021134751773001</c:v>
                      </c:pt>
                      <c:pt idx="39">
                        <c:v>22.831442080378199</c:v>
                      </c:pt>
                      <c:pt idx="40">
                        <c:v>23.641749408983401</c:v>
                      </c:pt>
                      <c:pt idx="41">
                        <c:v>24.452056737588599</c:v>
                      </c:pt>
                      <c:pt idx="42">
                        <c:v>25.2623640661938</c:v>
                      </c:pt>
                      <c:pt idx="43">
                        <c:v>26.072671394798999</c:v>
                      </c:pt>
                      <c:pt idx="44">
                        <c:v>26.8829787234042</c:v>
                      </c:pt>
                      <c:pt idx="45">
                        <c:v>27.693286052009402</c:v>
                      </c:pt>
                      <c:pt idx="46">
                        <c:v>28.5035933806146</c:v>
                      </c:pt>
                      <c:pt idx="47">
                        <c:v>29.313900709219801</c:v>
                      </c:pt>
                      <c:pt idx="48">
                        <c:v>30.124208037824999</c:v>
                      </c:pt>
                      <c:pt idx="49">
                        <c:v>30.934515366430201</c:v>
                      </c:pt>
                      <c:pt idx="50">
                        <c:v>31.744822695035399</c:v>
                      </c:pt>
                      <c:pt idx="51">
                        <c:v>32.555130023640601</c:v>
                      </c:pt>
                      <c:pt idx="52">
                        <c:v>33.365437352245799</c:v>
                      </c:pt>
                      <c:pt idx="53">
                        <c:v>34.175744680850997</c:v>
                      </c:pt>
                      <c:pt idx="54">
                        <c:v>34.986052009456202</c:v>
                      </c:pt>
                      <c:pt idx="55">
                        <c:v>35.7963593380614</c:v>
                      </c:pt>
                      <c:pt idx="56">
                        <c:v>36.606666666666598</c:v>
                      </c:pt>
                      <c:pt idx="57">
                        <c:v>37.416973995271803</c:v>
                      </c:pt>
                      <c:pt idx="58">
                        <c:v>38.227281323877001</c:v>
                      </c:pt>
                      <c:pt idx="59">
                        <c:v>39.037588652482199</c:v>
                      </c:pt>
                      <c:pt idx="60">
                        <c:v>39.847895981087397</c:v>
                      </c:pt>
                      <c:pt idx="61">
                        <c:v>40.658203309692603</c:v>
                      </c:pt>
                      <c:pt idx="62">
                        <c:v>41.468510638297801</c:v>
                      </c:pt>
                      <c:pt idx="63">
                        <c:v>42.278817966902999</c:v>
                      </c:pt>
                      <c:pt idx="64">
                        <c:v>43.089125295508197</c:v>
                      </c:pt>
                      <c:pt idx="65">
                        <c:v>43.899432624113402</c:v>
                      </c:pt>
                      <c:pt idx="66">
                        <c:v>44.7097399527186</c:v>
                      </c:pt>
                      <c:pt idx="67">
                        <c:v>45.520047281323798</c:v>
                      </c:pt>
                      <c:pt idx="68">
                        <c:v>46.330354609929003</c:v>
                      </c:pt>
                      <c:pt idx="69">
                        <c:v>47.140661938534201</c:v>
                      </c:pt>
                      <c:pt idx="70">
                        <c:v>47.950969267139399</c:v>
                      </c:pt>
                      <c:pt idx="71">
                        <c:v>48.761276595744597</c:v>
                      </c:pt>
                      <c:pt idx="72">
                        <c:v>49.571583924349802</c:v>
                      </c:pt>
                      <c:pt idx="73">
                        <c:v>50.381891252955</c:v>
                      </c:pt>
                      <c:pt idx="74">
                        <c:v>51.192198581560199</c:v>
                      </c:pt>
                      <c:pt idx="75">
                        <c:v>52.002505910165397</c:v>
                      </c:pt>
                      <c:pt idx="76">
                        <c:v>52.812813238770602</c:v>
                      </c:pt>
                      <c:pt idx="77">
                        <c:v>53.6231205673758</c:v>
                      </c:pt>
                      <c:pt idx="78">
                        <c:v>54.433427895980998</c:v>
                      </c:pt>
                      <c:pt idx="79">
                        <c:v>55.243735224586203</c:v>
                      </c:pt>
                      <c:pt idx="80">
                        <c:v>56.054042553191401</c:v>
                      </c:pt>
                      <c:pt idx="81">
                        <c:v>56.496028368794299</c:v>
                      </c:pt>
                    </c:numCache>
                  </c:numRef>
                </c:xVal>
                <c:yVal>
                  <c:numRef>
                    <c:extLst xmlns:c15="http://schemas.microsoft.com/office/drawing/2012/chart">
                      <c:ext xmlns:c15="http://schemas.microsoft.com/office/drawing/2012/chart" uri="{02D57815-91ED-43cb-92C2-25804820EDAC}">
                        <c15:formulaRef>
                          <c15:sqref>Sheet1!$W$3:$W$84</c15:sqref>
                        </c15:formulaRef>
                      </c:ext>
                    </c:extLst>
                    <c:numCache>
                      <c:formatCode>General</c:formatCode>
                      <c:ptCount val="82"/>
                      <c:pt idx="0">
                        <c:v>100</c:v>
                      </c:pt>
                      <c:pt idx="1">
                        <c:v>99.112219042829693</c:v>
                      </c:pt>
                      <c:pt idx="2">
                        <c:v>98.821218074656102</c:v>
                      </c:pt>
                      <c:pt idx="3">
                        <c:v>97.591755873325894</c:v>
                      </c:pt>
                      <c:pt idx="4">
                        <c:v>96.856581532416499</c:v>
                      </c:pt>
                      <c:pt idx="5">
                        <c:v>95.384764545509398</c:v>
                      </c:pt>
                      <c:pt idx="6">
                        <c:v>94.695481335952806</c:v>
                      </c:pt>
                      <c:pt idx="7">
                        <c:v>93.506084546505804</c:v>
                      </c:pt>
                      <c:pt idx="8">
                        <c:v>93.123772102161098</c:v>
                      </c:pt>
                      <c:pt idx="9">
                        <c:v>91.159135559921395</c:v>
                      </c:pt>
                      <c:pt idx="10">
                        <c:v>90.028044521628104</c:v>
                      </c:pt>
                      <c:pt idx="11">
                        <c:v>90.028044521628104</c:v>
                      </c:pt>
                      <c:pt idx="12">
                        <c:v>88.649188874912994</c:v>
                      </c:pt>
                      <c:pt idx="13">
                        <c:v>86.238139029385906</c:v>
                      </c:pt>
                      <c:pt idx="14">
                        <c:v>85.424068887681301</c:v>
                      </c:pt>
                      <c:pt idx="15">
                        <c:v>84.1215566609539</c:v>
                      </c:pt>
                      <c:pt idx="16">
                        <c:v>83.693516699410594</c:v>
                      </c:pt>
                      <c:pt idx="17">
                        <c:v>83.164926867639707</c:v>
                      </c:pt>
                      <c:pt idx="18">
                        <c:v>81.840602235201501</c:v>
                      </c:pt>
                      <c:pt idx="19">
                        <c:v>79.908646300821104</c:v>
                      </c:pt>
                      <c:pt idx="20">
                        <c:v>78.241555292928396</c:v>
                      </c:pt>
                      <c:pt idx="21">
                        <c:v>76.496562836068705</c:v>
                      </c:pt>
                      <c:pt idx="22">
                        <c:v>74.346482844580905</c:v>
                      </c:pt>
                      <c:pt idx="23">
                        <c:v>72.888015717092301</c:v>
                      </c:pt>
                      <c:pt idx="24">
                        <c:v>72.888015717092301</c:v>
                      </c:pt>
                      <c:pt idx="25">
                        <c:v>72.554749518340998</c:v>
                      </c:pt>
                      <c:pt idx="26">
                        <c:v>72.508008648960796</c:v>
                      </c:pt>
                      <c:pt idx="27">
                        <c:v>71.947118216398806</c:v>
                      </c:pt>
                      <c:pt idx="28">
                        <c:v>70.923379174852599</c:v>
                      </c:pt>
                      <c:pt idx="29">
                        <c:v>70.311187788092795</c:v>
                      </c:pt>
                      <c:pt idx="30">
                        <c:v>69.941060903732804</c:v>
                      </c:pt>
                      <c:pt idx="31">
                        <c:v>69.812618514704297</c:v>
                      </c:pt>
                      <c:pt idx="32">
                        <c:v>68.799899678133997</c:v>
                      </c:pt>
                      <c:pt idx="33">
                        <c:v>67.569056784456194</c:v>
                      </c:pt>
                      <c:pt idx="34">
                        <c:v>66.805622584579993</c:v>
                      </c:pt>
                      <c:pt idx="35">
                        <c:v>65.933126356150197</c:v>
                      </c:pt>
                      <c:pt idx="36">
                        <c:v>65.076210417513707</c:v>
                      </c:pt>
                      <c:pt idx="37">
                        <c:v>64.577641144125195</c:v>
                      </c:pt>
                      <c:pt idx="38">
                        <c:v>64.343936797224401</c:v>
                      </c:pt>
                      <c:pt idx="39">
                        <c:v>64.343936797224401</c:v>
                      </c:pt>
                      <c:pt idx="40">
                        <c:v>64.0011704217698</c:v>
                      </c:pt>
                      <c:pt idx="41">
                        <c:v>63.658404046315198</c:v>
                      </c:pt>
                      <c:pt idx="42">
                        <c:v>63.2221559321003</c:v>
                      </c:pt>
                      <c:pt idx="43">
                        <c:v>62.972871295406001</c:v>
                      </c:pt>
                      <c:pt idx="44">
                        <c:v>62.365239993463803</c:v>
                      </c:pt>
                      <c:pt idx="45">
                        <c:v>61.383681736480298</c:v>
                      </c:pt>
                      <c:pt idx="46">
                        <c:v>60.573506667224002</c:v>
                      </c:pt>
                      <c:pt idx="47">
                        <c:v>60.246320581562799</c:v>
                      </c:pt>
                      <c:pt idx="48">
                        <c:v>60.215160001976002</c:v>
                      </c:pt>
                      <c:pt idx="49">
                        <c:v>59.887973916314799</c:v>
                      </c:pt>
                      <c:pt idx="50">
                        <c:v>59.140120006232102</c:v>
                      </c:pt>
                      <c:pt idx="51">
                        <c:v>58.407846385942698</c:v>
                      </c:pt>
                      <c:pt idx="52">
                        <c:v>58.174142039041897</c:v>
                      </c:pt>
                      <c:pt idx="53">
                        <c:v>58.174142039041897</c:v>
                      </c:pt>
                      <c:pt idx="54">
                        <c:v>58.174142039041897</c:v>
                      </c:pt>
                      <c:pt idx="55">
                        <c:v>58.174142039041897</c:v>
                      </c:pt>
                      <c:pt idx="56">
                        <c:v>57.441868418752499</c:v>
                      </c:pt>
                      <c:pt idx="57">
                        <c:v>56.507051031149103</c:v>
                      </c:pt>
                      <c:pt idx="58">
                        <c:v>56.008481757760599</c:v>
                      </c:pt>
                      <c:pt idx="59">
                        <c:v>55.509912484372201</c:v>
                      </c:pt>
                      <c:pt idx="60">
                        <c:v>55.089244659950602</c:v>
                      </c:pt>
                      <c:pt idx="61">
                        <c:v>55.026923500777102</c:v>
                      </c:pt>
                      <c:pt idx="62">
                        <c:v>54.964602341603502</c:v>
                      </c:pt>
                      <c:pt idx="63">
                        <c:v>54.808799443669599</c:v>
                      </c:pt>
                      <c:pt idx="64">
                        <c:v>53.796080607099199</c:v>
                      </c:pt>
                      <c:pt idx="65">
                        <c:v>53.375412782677699</c:v>
                      </c:pt>
                      <c:pt idx="66">
                        <c:v>53.375412782677699</c:v>
                      </c:pt>
                      <c:pt idx="67">
                        <c:v>53.375412782677699</c:v>
                      </c:pt>
                      <c:pt idx="68">
                        <c:v>53.172869015363602</c:v>
                      </c:pt>
                      <c:pt idx="69">
                        <c:v>52.939164668462801</c:v>
                      </c:pt>
                      <c:pt idx="70">
                        <c:v>52.830102639909001</c:v>
                      </c:pt>
                      <c:pt idx="71">
                        <c:v>52.736620901148697</c:v>
                      </c:pt>
                      <c:pt idx="72">
                        <c:v>52.456175684867702</c:v>
                      </c:pt>
                      <c:pt idx="73">
                        <c:v>52.284792497140401</c:v>
                      </c:pt>
                      <c:pt idx="74">
                        <c:v>51.8173838033387</c:v>
                      </c:pt>
                      <c:pt idx="75">
                        <c:v>51.770642933958499</c:v>
                      </c:pt>
                      <c:pt idx="76">
                        <c:v>51.770642933958499</c:v>
                      </c:pt>
                      <c:pt idx="77">
                        <c:v>51.770642933958499</c:v>
                      </c:pt>
                      <c:pt idx="78">
                        <c:v>51.770642933958499</c:v>
                      </c:pt>
                      <c:pt idx="79">
                        <c:v>51.770642933958499</c:v>
                      </c:pt>
                      <c:pt idx="80">
                        <c:v>51.770642933958499</c:v>
                      </c:pt>
                      <c:pt idx="81">
                        <c:v>51.770642933958499</c:v>
                      </c:pt>
                    </c:numCache>
                  </c:numRef>
                </c:yVal>
                <c:smooth val="0"/>
                <c:extLst xmlns:c15="http://schemas.microsoft.com/office/drawing/2012/chart">
                  <c:ext xmlns:c16="http://schemas.microsoft.com/office/drawing/2014/chart" uri="{C3380CC4-5D6E-409C-BE32-E72D297353CC}">
                    <c16:uniqueId val="{00000008-BC1A-47B2-808F-0EF376B56ADD}"/>
                  </c:ext>
                </c:extLst>
              </c15:ser>
            </c15:filteredScatterSeries>
            <c15:filteredScatterSeries>
              <c15:ser>
                <c:idx val="11"/>
                <c:order val="9"/>
                <c:tx>
                  <c:v>067 NIVO OS 4-yr follow up</c:v>
                </c:tx>
                <c:spPr>
                  <a:ln w="19050" cap="rnd">
                    <a:solidFill>
                      <a:schemeClr val="accent1">
                        <a:lumMod val="75000"/>
                      </a:schemeClr>
                    </a:solidFill>
                    <a:prstDash val="sysDash"/>
                    <a:round/>
                  </a:ln>
                  <a:effectLst/>
                </c:spPr>
                <c:marker>
                  <c:symbol val="none"/>
                </c:marker>
                <c:xVal>
                  <c:numRef>
                    <c:extLst xmlns:c15="http://schemas.microsoft.com/office/drawing/2012/chart">
                      <c:ext xmlns:c15="http://schemas.microsoft.com/office/drawing/2012/chart" uri="{02D57815-91ED-43cb-92C2-25804820EDAC}">
                        <c15:formulaRef>
                          <c15:sqref>Sheet1!$X$3:$X$77</c15:sqref>
                        </c15:formulaRef>
                      </c:ext>
                    </c:extLst>
                    <c:numCache>
                      <c:formatCode>General</c:formatCode>
                      <c:ptCount val="75"/>
                      <c:pt idx="0">
                        <c:v>4.2222222222221703E-2</c:v>
                      </c:pt>
                      <c:pt idx="1">
                        <c:v>0.71777777777777696</c:v>
                      </c:pt>
                      <c:pt idx="2">
                        <c:v>1.05555555555555</c:v>
                      </c:pt>
                      <c:pt idx="3">
                        <c:v>1.98444444444444</c:v>
                      </c:pt>
                      <c:pt idx="4">
                        <c:v>2.2463619648016802</c:v>
                      </c:pt>
                      <c:pt idx="5">
                        <c:v>2.91333333333333</c:v>
                      </c:pt>
                      <c:pt idx="6">
                        <c:v>3.25111111111111</c:v>
                      </c:pt>
                      <c:pt idx="7">
                        <c:v>3.7577777777777701</c:v>
                      </c:pt>
                      <c:pt idx="8">
                        <c:v>4.0533333333333301</c:v>
                      </c:pt>
                      <c:pt idx="9">
                        <c:v>4.31491510853213</c:v>
                      </c:pt>
                      <c:pt idx="10">
                        <c:v>4.8133333333333299</c:v>
                      </c:pt>
                      <c:pt idx="11">
                        <c:v>5.2551394799054298</c:v>
                      </c:pt>
                      <c:pt idx="12">
                        <c:v>6.0359810874704403</c:v>
                      </c:pt>
                      <c:pt idx="13">
                        <c:v>6.8462884160756499</c:v>
                      </c:pt>
                      <c:pt idx="14">
                        <c:v>7.6565957446808497</c:v>
                      </c:pt>
                      <c:pt idx="15">
                        <c:v>8.4669030732860495</c:v>
                      </c:pt>
                      <c:pt idx="16">
                        <c:v>9.2772104018912493</c:v>
                      </c:pt>
                      <c:pt idx="17">
                        <c:v>10.087517730496399</c:v>
                      </c:pt>
                      <c:pt idx="18">
                        <c:v>10.897825059101599</c:v>
                      </c:pt>
                      <c:pt idx="19">
                        <c:v>11.722865248226899</c:v>
                      </c:pt>
                      <c:pt idx="20">
                        <c:v>12.481607565011799</c:v>
                      </c:pt>
                      <c:pt idx="21">
                        <c:v>13.328747044917201</c:v>
                      </c:pt>
                      <c:pt idx="22">
                        <c:v>14.1390543735224</c:v>
                      </c:pt>
                      <c:pt idx="23">
                        <c:v>14.9493617021276</c:v>
                      </c:pt>
                      <c:pt idx="24">
                        <c:v>15.7596690307328</c:v>
                      </c:pt>
                      <c:pt idx="25">
                        <c:v>16.569976359338</c:v>
                      </c:pt>
                      <c:pt idx="26">
                        <c:v>17.380283687943201</c:v>
                      </c:pt>
                      <c:pt idx="27">
                        <c:v>18.190591016548399</c:v>
                      </c:pt>
                      <c:pt idx="28">
                        <c:v>19.000898345153601</c:v>
                      </c:pt>
                      <c:pt idx="29">
                        <c:v>19.811205673758799</c:v>
                      </c:pt>
                      <c:pt idx="30">
                        <c:v>20.621513002364001</c:v>
                      </c:pt>
                      <c:pt idx="31">
                        <c:v>21.431820330969199</c:v>
                      </c:pt>
                      <c:pt idx="32">
                        <c:v>22.2421276595744</c:v>
                      </c:pt>
                      <c:pt idx="33">
                        <c:v>23.052434988179598</c:v>
                      </c:pt>
                      <c:pt idx="34">
                        <c:v>23.8627423167848</c:v>
                      </c:pt>
                      <c:pt idx="35">
                        <c:v>24.673049645390002</c:v>
                      </c:pt>
                      <c:pt idx="36">
                        <c:v>25.4833569739952</c:v>
                      </c:pt>
                      <c:pt idx="37">
                        <c:v>26.293664302600401</c:v>
                      </c:pt>
                      <c:pt idx="38">
                        <c:v>27.103971631205599</c:v>
                      </c:pt>
                      <c:pt idx="39">
                        <c:v>27.914278959810801</c:v>
                      </c:pt>
                      <c:pt idx="40">
                        <c:v>28.724586288415999</c:v>
                      </c:pt>
                      <c:pt idx="41">
                        <c:v>29.534893617021201</c:v>
                      </c:pt>
                      <c:pt idx="42">
                        <c:v>30.345200945626399</c:v>
                      </c:pt>
                      <c:pt idx="43">
                        <c:v>31.1555082742316</c:v>
                      </c:pt>
                      <c:pt idx="44">
                        <c:v>31.965815602836798</c:v>
                      </c:pt>
                      <c:pt idx="45">
                        <c:v>32.776122931442004</c:v>
                      </c:pt>
                      <c:pt idx="46">
                        <c:v>33.586430260047202</c:v>
                      </c:pt>
                      <c:pt idx="47">
                        <c:v>34.3967375886524</c:v>
                      </c:pt>
                      <c:pt idx="48">
                        <c:v>35.207044917257598</c:v>
                      </c:pt>
                      <c:pt idx="49">
                        <c:v>36.017352245862803</c:v>
                      </c:pt>
                      <c:pt idx="50">
                        <c:v>36.827659574468001</c:v>
                      </c:pt>
                      <c:pt idx="51">
                        <c:v>37.637966903073199</c:v>
                      </c:pt>
                      <c:pt idx="52">
                        <c:v>38.448274231678397</c:v>
                      </c:pt>
                      <c:pt idx="53">
                        <c:v>39.258581560283602</c:v>
                      </c:pt>
                      <c:pt idx="54">
                        <c:v>40.0688888888888</c:v>
                      </c:pt>
                      <c:pt idx="55">
                        <c:v>40.879196217493998</c:v>
                      </c:pt>
                      <c:pt idx="56">
                        <c:v>41.689503546099203</c:v>
                      </c:pt>
                      <c:pt idx="57">
                        <c:v>42.499810874704401</c:v>
                      </c:pt>
                      <c:pt idx="58">
                        <c:v>43.310118203309599</c:v>
                      </c:pt>
                      <c:pt idx="59">
                        <c:v>44.120425531914897</c:v>
                      </c:pt>
                      <c:pt idx="60">
                        <c:v>44.930732860520003</c:v>
                      </c:pt>
                      <c:pt idx="61">
                        <c:v>45.7410401891253</c:v>
                      </c:pt>
                      <c:pt idx="62">
                        <c:v>46.551347517730498</c:v>
                      </c:pt>
                      <c:pt idx="63">
                        <c:v>47.361654846335597</c:v>
                      </c:pt>
                      <c:pt idx="64">
                        <c:v>48.171962174940901</c:v>
                      </c:pt>
                      <c:pt idx="65">
                        <c:v>49.033267866884799</c:v>
                      </c:pt>
                      <c:pt idx="66">
                        <c:v>49.792576832151298</c:v>
                      </c:pt>
                      <c:pt idx="67">
                        <c:v>50.602884160756503</c:v>
                      </c:pt>
                      <c:pt idx="68">
                        <c:v>51.413191489361701</c:v>
                      </c:pt>
                      <c:pt idx="69">
                        <c:v>52.223498817966899</c:v>
                      </c:pt>
                      <c:pt idx="70">
                        <c:v>53.033806146572097</c:v>
                      </c:pt>
                      <c:pt idx="71">
                        <c:v>53.844113475177302</c:v>
                      </c:pt>
                      <c:pt idx="72">
                        <c:v>54.6544208037825</c:v>
                      </c:pt>
                      <c:pt idx="73">
                        <c:v>55.464728132387698</c:v>
                      </c:pt>
                      <c:pt idx="74">
                        <c:v>56.275035460992903</c:v>
                      </c:pt>
                    </c:numCache>
                  </c:numRef>
                </c:xVal>
                <c:yVal>
                  <c:numRef>
                    <c:extLst xmlns:c15="http://schemas.microsoft.com/office/drawing/2012/chart">
                      <c:ext xmlns:c15="http://schemas.microsoft.com/office/drawing/2012/chart" uri="{02D57815-91ED-43cb-92C2-25804820EDAC}">
                        <c15:formulaRef>
                          <c15:sqref>Sheet1!$Y$3:$Y$77</c15:sqref>
                        </c15:formulaRef>
                      </c:ext>
                    </c:extLst>
                    <c:numCache>
                      <c:formatCode>General</c:formatCode>
                      <c:ptCount val="75"/>
                      <c:pt idx="0">
                        <c:v>99.803536345775996</c:v>
                      </c:pt>
                      <c:pt idx="1">
                        <c:v>99.410609037328101</c:v>
                      </c:pt>
                      <c:pt idx="2">
                        <c:v>97.249508840864394</c:v>
                      </c:pt>
                      <c:pt idx="3">
                        <c:v>96.856581532416499</c:v>
                      </c:pt>
                      <c:pt idx="4">
                        <c:v>95.319861097564498</c:v>
                      </c:pt>
                      <c:pt idx="5">
                        <c:v>93.909626719056902</c:v>
                      </c:pt>
                      <c:pt idx="6">
                        <c:v>92.534381139489199</c:v>
                      </c:pt>
                      <c:pt idx="7">
                        <c:v>92.337917485265194</c:v>
                      </c:pt>
                      <c:pt idx="8">
                        <c:v>91.159135559921395</c:v>
                      </c:pt>
                      <c:pt idx="9">
                        <c:v>90.186444134527505</c:v>
                      </c:pt>
                      <c:pt idx="10">
                        <c:v>88.212180746561799</c:v>
                      </c:pt>
                      <c:pt idx="11">
                        <c:v>86.400953057726795</c:v>
                      </c:pt>
                      <c:pt idx="12">
                        <c:v>84.255547153177005</c:v>
                      </c:pt>
                      <c:pt idx="13">
                        <c:v>82.946802810532205</c:v>
                      </c:pt>
                      <c:pt idx="14">
                        <c:v>80.835673543527903</c:v>
                      </c:pt>
                      <c:pt idx="15">
                        <c:v>78.849186594870602</c:v>
                      </c:pt>
                      <c:pt idx="16">
                        <c:v>77.961110076647401</c:v>
                      </c:pt>
                      <c:pt idx="17">
                        <c:v>76.699106603382802</c:v>
                      </c:pt>
                      <c:pt idx="18">
                        <c:v>75.698072984157506</c:v>
                      </c:pt>
                      <c:pt idx="19">
                        <c:v>74.455544873134599</c:v>
                      </c:pt>
                      <c:pt idx="20">
                        <c:v>73.684320528361795</c:v>
                      </c:pt>
                      <c:pt idx="21">
                        <c:v>71.418427049409701</c:v>
                      </c:pt>
                      <c:pt idx="22">
                        <c:v>70.612406724098406</c:v>
                      </c:pt>
                      <c:pt idx="23">
                        <c:v>69.376370400489407</c:v>
                      </c:pt>
                      <c:pt idx="24">
                        <c:v>68.425972723092599</c:v>
                      </c:pt>
                      <c:pt idx="25">
                        <c:v>66.431695629538694</c:v>
                      </c:pt>
                      <c:pt idx="26">
                        <c:v>65.247593605240993</c:v>
                      </c:pt>
                      <c:pt idx="27">
                        <c:v>64.468579115571501</c:v>
                      </c:pt>
                      <c:pt idx="28">
                        <c:v>63.705144915695399</c:v>
                      </c:pt>
                      <c:pt idx="29">
                        <c:v>62.349659703670397</c:v>
                      </c:pt>
                      <c:pt idx="30">
                        <c:v>61.586225503794303</c:v>
                      </c:pt>
                      <c:pt idx="31">
                        <c:v>60.994174491645502</c:v>
                      </c:pt>
                      <c:pt idx="32">
                        <c:v>60.7137292753645</c:v>
                      </c:pt>
                      <c:pt idx="33">
                        <c:v>60.2203534319071</c:v>
                      </c:pt>
                      <c:pt idx="34">
                        <c:v>58.641550732843598</c:v>
                      </c:pt>
                      <c:pt idx="35">
                        <c:v>58.174142039041897</c:v>
                      </c:pt>
                      <c:pt idx="36">
                        <c:v>58.111820879868297</c:v>
                      </c:pt>
                      <c:pt idx="37">
                        <c:v>57.628831896273198</c:v>
                      </c:pt>
                      <c:pt idx="38">
                        <c:v>56.569372190322703</c:v>
                      </c:pt>
                      <c:pt idx="39">
                        <c:v>56.195445235281298</c:v>
                      </c:pt>
                      <c:pt idx="40">
                        <c:v>55.432011035405203</c:v>
                      </c:pt>
                      <c:pt idx="41">
                        <c:v>55.432011035405203</c:v>
                      </c:pt>
                      <c:pt idx="42">
                        <c:v>55.432011035405203</c:v>
                      </c:pt>
                      <c:pt idx="43">
                        <c:v>55.135985529330803</c:v>
                      </c:pt>
                      <c:pt idx="44">
                        <c:v>54.014204664206702</c:v>
                      </c:pt>
                      <c:pt idx="45">
                        <c:v>53.048226697016503</c:v>
                      </c:pt>
                      <c:pt idx="46">
                        <c:v>52.580818003214802</c:v>
                      </c:pt>
                      <c:pt idx="47">
                        <c:v>52.160150178793302</c:v>
                      </c:pt>
                      <c:pt idx="48">
                        <c:v>51.7550626441651</c:v>
                      </c:pt>
                      <c:pt idx="49">
                        <c:v>51.007208734082397</c:v>
                      </c:pt>
                      <c:pt idx="50">
                        <c:v>49.968522747856397</c:v>
                      </c:pt>
                      <c:pt idx="51">
                        <c:v>49.6673038118508</c:v>
                      </c:pt>
                      <c:pt idx="52">
                        <c:v>49.262216277222699</c:v>
                      </c:pt>
                      <c:pt idx="53">
                        <c:v>48.639004685487102</c:v>
                      </c:pt>
                      <c:pt idx="54">
                        <c:v>48.065650021090299</c:v>
                      </c:pt>
                      <c:pt idx="55">
                        <c:v>47.750928167263901</c:v>
                      </c:pt>
                      <c:pt idx="56">
                        <c:v>47.548384399949803</c:v>
                      </c:pt>
                      <c:pt idx="57">
                        <c:v>47.548384399949803</c:v>
                      </c:pt>
                      <c:pt idx="58">
                        <c:v>47.371807782291398</c:v>
                      </c:pt>
                      <c:pt idx="59">
                        <c:v>46.894012228627403</c:v>
                      </c:pt>
                      <c:pt idx="60">
                        <c:v>46.8036465478257</c:v>
                      </c:pt>
                      <c:pt idx="61">
                        <c:v>46.436990394687903</c:v>
                      </c:pt>
                      <c:pt idx="62">
                        <c:v>46.253142975125897</c:v>
                      </c:pt>
                      <c:pt idx="63">
                        <c:v>46.151351748475797</c:v>
                      </c:pt>
                      <c:pt idx="64">
                        <c:v>46.003338995438597</c:v>
                      </c:pt>
                      <c:pt idx="65">
                        <c:v>46.003338995438597</c:v>
                      </c:pt>
                      <c:pt idx="66">
                        <c:v>45.711579521093299</c:v>
                      </c:pt>
                      <c:pt idx="67">
                        <c:v>45.711579521093299</c:v>
                      </c:pt>
                      <c:pt idx="68">
                        <c:v>45.589224784977802</c:v>
                      </c:pt>
                      <c:pt idx="69">
                        <c:v>45.589224784977802</c:v>
                      </c:pt>
                      <c:pt idx="70">
                        <c:v>45.589224784977802</c:v>
                      </c:pt>
                      <c:pt idx="71">
                        <c:v>45.589224784977802</c:v>
                      </c:pt>
                      <c:pt idx="72">
                        <c:v>45.589224784977802</c:v>
                      </c:pt>
                      <c:pt idx="73">
                        <c:v>45.589224784977802</c:v>
                      </c:pt>
                      <c:pt idx="74">
                        <c:v>45.589224784977802</c:v>
                      </c:pt>
                    </c:numCache>
                  </c:numRef>
                </c:yVal>
                <c:smooth val="0"/>
                <c:extLst xmlns:c15="http://schemas.microsoft.com/office/drawing/2012/chart">
                  <c:ext xmlns:c16="http://schemas.microsoft.com/office/drawing/2014/chart" uri="{C3380CC4-5D6E-409C-BE32-E72D297353CC}">
                    <c16:uniqueId val="{00000009-BC1A-47B2-808F-0EF376B56ADD}"/>
                  </c:ext>
                </c:extLst>
              </c15:ser>
            </c15:filteredScatterSeries>
            <c15:filteredScatterSeries>
              <c15:ser>
                <c:idx val="8"/>
                <c:order val="10"/>
                <c:tx>
                  <c:v>067 NIVO+IPI OS 6.5-yr follow up</c:v>
                </c:tx>
                <c:spPr>
                  <a:ln w="19050" cap="rnd" cmpd="sng">
                    <a:solidFill>
                      <a:schemeClr val="accent4">
                        <a:lumMod val="60000"/>
                        <a:lumOff val="40000"/>
                      </a:schemeClr>
                    </a:solidFill>
                    <a:prstDash val="lgDash"/>
                    <a:round/>
                  </a:ln>
                  <a:effectLst/>
                </c:spPr>
                <c:marker>
                  <c:symbol val="none"/>
                </c:marker>
                <c:xVal>
                  <c:numRef>
                    <c:extLst xmlns:c15="http://schemas.microsoft.com/office/drawing/2012/chart">
                      <c:ext xmlns:c15="http://schemas.microsoft.com/office/drawing/2012/chart" uri="{02D57815-91ED-43cb-92C2-25804820EDAC}">
                        <c15:formulaRef>
                          <c15:sqref>Sheet1!$R$3:$R$113</c15:sqref>
                        </c15:formulaRef>
                      </c:ext>
                    </c:extLst>
                    <c:numCache>
                      <c:formatCode>General</c:formatCode>
                      <c:ptCount val="111"/>
                      <c:pt idx="0">
                        <c:v>0.13033707865168501</c:v>
                      </c:pt>
                      <c:pt idx="1">
                        <c:v>0.91235955056179696</c:v>
                      </c:pt>
                      <c:pt idx="2">
                        <c:v>1.56404494382022</c:v>
                      </c:pt>
                      <c:pt idx="3">
                        <c:v>2.2157303370786501</c:v>
                      </c:pt>
                      <c:pt idx="4">
                        <c:v>2.5415730337078601</c:v>
                      </c:pt>
                      <c:pt idx="5">
                        <c:v>3.5191011235955001</c:v>
                      </c:pt>
                      <c:pt idx="6">
                        <c:v>4.0404494382022396</c:v>
                      </c:pt>
                      <c:pt idx="7">
                        <c:v>4.8224719101123501</c:v>
                      </c:pt>
                      <c:pt idx="8">
                        <c:v>5.47415730337078</c:v>
                      </c:pt>
                      <c:pt idx="9">
                        <c:v>6.2561797752808896</c:v>
                      </c:pt>
                      <c:pt idx="10">
                        <c:v>6.9078651685393204</c:v>
                      </c:pt>
                      <c:pt idx="11">
                        <c:v>7.1685393258426897</c:v>
                      </c:pt>
                      <c:pt idx="12">
                        <c:v>7.4943820224719104</c:v>
                      </c:pt>
                      <c:pt idx="13">
                        <c:v>7.9056547497446301</c:v>
                      </c:pt>
                      <c:pt idx="14">
                        <c:v>8.4719101123595504</c:v>
                      </c:pt>
                      <c:pt idx="15">
                        <c:v>8.8675423901940693</c:v>
                      </c:pt>
                      <c:pt idx="16">
                        <c:v>9.3191011235954999</c:v>
                      </c:pt>
                      <c:pt idx="17">
                        <c:v>9.8031967313585202</c:v>
                      </c:pt>
                      <c:pt idx="18">
                        <c:v>10.7184473953013</c:v>
                      </c:pt>
                      <c:pt idx="19">
                        <c:v>11.578316649642399</c:v>
                      </c:pt>
                      <c:pt idx="20">
                        <c:v>11.795505617977501</c:v>
                      </c:pt>
                      <c:pt idx="21">
                        <c:v>12.365315628192</c:v>
                      </c:pt>
                      <c:pt idx="22">
                        <c:v>13.467114198161299</c:v>
                      </c:pt>
                      <c:pt idx="23">
                        <c:v>14.4639795709908</c:v>
                      </c:pt>
                      <c:pt idx="24">
                        <c:v>14.9887640449438</c:v>
                      </c:pt>
                      <c:pt idx="25">
                        <c:v>15.425867211440201</c:v>
                      </c:pt>
                      <c:pt idx="26">
                        <c:v>16.3877548518896</c:v>
                      </c:pt>
                      <c:pt idx="27">
                        <c:v>17.008988764044901</c:v>
                      </c:pt>
                      <c:pt idx="28">
                        <c:v>17.3496424923391</c:v>
                      </c:pt>
                      <c:pt idx="29">
                        <c:v>18.311530132788501</c:v>
                      </c:pt>
                      <c:pt idx="30">
                        <c:v>18.833707865168499</c:v>
                      </c:pt>
                      <c:pt idx="31">
                        <c:v>19.273417773237899</c:v>
                      </c:pt>
                      <c:pt idx="32">
                        <c:v>19.615730337078599</c:v>
                      </c:pt>
                      <c:pt idx="33">
                        <c:v>20.235305413687399</c:v>
                      </c:pt>
                      <c:pt idx="34">
                        <c:v>20.8539325842696</c:v>
                      </c:pt>
                      <c:pt idx="35">
                        <c:v>21.1971930541368</c:v>
                      </c:pt>
                      <c:pt idx="36">
                        <c:v>21.701123595505599</c:v>
                      </c:pt>
                      <c:pt idx="37">
                        <c:v>22.159080694586301</c:v>
                      </c:pt>
                      <c:pt idx="38">
                        <c:v>22.613483146067399</c:v>
                      </c:pt>
                      <c:pt idx="39">
                        <c:v>23.120968335035698</c:v>
                      </c:pt>
                      <c:pt idx="40">
                        <c:v>24.082855975485099</c:v>
                      </c:pt>
                      <c:pt idx="41">
                        <c:v>25.0447436159346</c:v>
                      </c:pt>
                      <c:pt idx="42">
                        <c:v>25.4157303370786</c:v>
                      </c:pt>
                      <c:pt idx="43">
                        <c:v>26.006631256384001</c:v>
                      </c:pt>
                      <c:pt idx="44">
                        <c:v>26.968518896833501</c:v>
                      </c:pt>
                      <c:pt idx="45">
                        <c:v>27.631460674157299</c:v>
                      </c:pt>
                      <c:pt idx="46">
                        <c:v>27.930406537282899</c:v>
                      </c:pt>
                      <c:pt idx="47">
                        <c:v>28.8922941777323</c:v>
                      </c:pt>
                      <c:pt idx="48">
                        <c:v>29.8541818181818</c:v>
                      </c:pt>
                      <c:pt idx="49">
                        <c:v>30.816069458631201</c:v>
                      </c:pt>
                      <c:pt idx="50">
                        <c:v>31.777957099080599</c:v>
                      </c:pt>
                      <c:pt idx="51">
                        <c:v>32.739844739530099</c:v>
                      </c:pt>
                      <c:pt idx="52">
                        <c:v>33.679871297242002</c:v>
                      </c:pt>
                      <c:pt idx="53">
                        <c:v>34.663620020429001</c:v>
                      </c:pt>
                      <c:pt idx="54">
                        <c:v>35.625507660878398</c:v>
                      </c:pt>
                      <c:pt idx="55">
                        <c:v>36.587395301327803</c:v>
                      </c:pt>
                      <c:pt idx="56">
                        <c:v>37.080898876404397</c:v>
                      </c:pt>
                      <c:pt idx="57">
                        <c:v>37.5492829417773</c:v>
                      </c:pt>
                      <c:pt idx="58">
                        <c:v>38.058426966292103</c:v>
                      </c:pt>
                      <c:pt idx="59">
                        <c:v>38.540318692543401</c:v>
                      </c:pt>
                      <c:pt idx="60">
                        <c:v>39.473058222676201</c:v>
                      </c:pt>
                      <c:pt idx="61">
                        <c:v>39.948314606741498</c:v>
                      </c:pt>
                      <c:pt idx="62">
                        <c:v>40.434945863125598</c:v>
                      </c:pt>
                      <c:pt idx="63">
                        <c:v>41.396833503575003</c:v>
                      </c:pt>
                      <c:pt idx="64">
                        <c:v>42.3587211440245</c:v>
                      </c:pt>
                      <c:pt idx="65">
                        <c:v>43.320608784473897</c:v>
                      </c:pt>
                      <c:pt idx="66">
                        <c:v>44.282496424923302</c:v>
                      </c:pt>
                      <c:pt idx="67">
                        <c:v>45.244384065372799</c:v>
                      </c:pt>
                      <c:pt idx="68">
                        <c:v>46.206271705822203</c:v>
                      </c:pt>
                      <c:pt idx="69">
                        <c:v>47.1681593462717</c:v>
                      </c:pt>
                      <c:pt idx="70">
                        <c:v>48.130046986721098</c:v>
                      </c:pt>
                      <c:pt idx="71">
                        <c:v>49.091934627170502</c:v>
                      </c:pt>
                      <c:pt idx="72">
                        <c:v>50.082970377936597</c:v>
                      </c:pt>
                      <c:pt idx="73">
                        <c:v>51.015709908069397</c:v>
                      </c:pt>
                      <c:pt idx="74">
                        <c:v>51.977597548518801</c:v>
                      </c:pt>
                      <c:pt idx="75">
                        <c:v>52.939485188968298</c:v>
                      </c:pt>
                      <c:pt idx="76">
                        <c:v>53.872224719101098</c:v>
                      </c:pt>
                      <c:pt idx="77">
                        <c:v>54.899695607763</c:v>
                      </c:pt>
                      <c:pt idx="78">
                        <c:v>55.825148110316597</c:v>
                      </c:pt>
                      <c:pt idx="79">
                        <c:v>56.787035750766002</c:v>
                      </c:pt>
                      <c:pt idx="80">
                        <c:v>57.748923391215499</c:v>
                      </c:pt>
                      <c:pt idx="81">
                        <c:v>58.710811031664903</c:v>
                      </c:pt>
                      <c:pt idx="82">
                        <c:v>59.6726986721144</c:v>
                      </c:pt>
                      <c:pt idx="83">
                        <c:v>60.634586312563798</c:v>
                      </c:pt>
                      <c:pt idx="84">
                        <c:v>61.596473953013202</c:v>
                      </c:pt>
                      <c:pt idx="85">
                        <c:v>62.558361593462699</c:v>
                      </c:pt>
                      <c:pt idx="86">
                        <c:v>63.520249233912097</c:v>
                      </c:pt>
                      <c:pt idx="87">
                        <c:v>64.482136874361601</c:v>
                      </c:pt>
                      <c:pt idx="88">
                        <c:v>65.444024514811005</c:v>
                      </c:pt>
                      <c:pt idx="89">
                        <c:v>66.392459181268094</c:v>
                      </c:pt>
                      <c:pt idx="90">
                        <c:v>67.3677997957099</c:v>
                      </c:pt>
                      <c:pt idx="91">
                        <c:v>68.329687436159304</c:v>
                      </c:pt>
                      <c:pt idx="92">
                        <c:v>69.291575076608794</c:v>
                      </c:pt>
                      <c:pt idx="93">
                        <c:v>70.253462717058198</c:v>
                      </c:pt>
                      <c:pt idx="94">
                        <c:v>71.237211440245105</c:v>
                      </c:pt>
                      <c:pt idx="95">
                        <c:v>72.177237997957107</c:v>
                      </c:pt>
                      <c:pt idx="96">
                        <c:v>73.139125638406497</c:v>
                      </c:pt>
                      <c:pt idx="97">
                        <c:v>74.0791521961184</c:v>
                      </c:pt>
                      <c:pt idx="98">
                        <c:v>75.062900919305406</c:v>
                      </c:pt>
                      <c:pt idx="99">
                        <c:v>76.024788559754796</c:v>
                      </c:pt>
                      <c:pt idx="100">
                        <c:v>77.027035122181104</c:v>
                      </c:pt>
                      <c:pt idx="101">
                        <c:v>77.9321680286006</c:v>
                      </c:pt>
                      <c:pt idx="102">
                        <c:v>78.915595265276593</c:v>
                      </c:pt>
                      <c:pt idx="103">
                        <c:v>79.876711338100094</c:v>
                      </c:pt>
                      <c:pt idx="104">
                        <c:v>80.855046840799602</c:v>
                      </c:pt>
                      <c:pt idx="105">
                        <c:v>81.782307402827797</c:v>
                      </c:pt>
                      <c:pt idx="106">
                        <c:v>82.762374259448407</c:v>
                      </c:pt>
                      <c:pt idx="107">
                        <c:v>83.681632788559696</c:v>
                      </c:pt>
                      <c:pt idx="108">
                        <c:v>84.681777323799693</c:v>
                      </c:pt>
                      <c:pt idx="109">
                        <c:v>85.643664964249197</c:v>
                      </c:pt>
                      <c:pt idx="110">
                        <c:v>86.474386108273706</c:v>
                      </c:pt>
                    </c:numCache>
                  </c:numRef>
                </c:xVal>
                <c:yVal>
                  <c:numRef>
                    <c:extLst xmlns:c15="http://schemas.microsoft.com/office/drawing/2012/chart">
                      <c:ext xmlns:c15="http://schemas.microsoft.com/office/drawing/2012/chart" uri="{02D57815-91ED-43cb-92C2-25804820EDAC}">
                        <c15:formulaRef>
                          <c15:sqref>Sheet1!$S$3:$S$113</c15:sqref>
                        </c15:formulaRef>
                      </c:ext>
                    </c:extLst>
                    <c:numCache>
                      <c:formatCode>General</c:formatCode>
                      <c:ptCount val="111"/>
                      <c:pt idx="0">
                        <c:v>99.818511796733205</c:v>
                      </c:pt>
                      <c:pt idx="1">
                        <c:v>98.9110707803992</c:v>
                      </c:pt>
                      <c:pt idx="2">
                        <c:v>96.551724137931004</c:v>
                      </c:pt>
                      <c:pt idx="3">
                        <c:v>95.644283121597098</c:v>
                      </c:pt>
                      <c:pt idx="4">
                        <c:v>94.373865698729503</c:v>
                      </c:pt>
                      <c:pt idx="5">
                        <c:v>91.470054446460907</c:v>
                      </c:pt>
                      <c:pt idx="6">
                        <c:v>90.381125226860206</c:v>
                      </c:pt>
                      <c:pt idx="7">
                        <c:v>88.566243194192296</c:v>
                      </c:pt>
                      <c:pt idx="8">
                        <c:v>86.2068965517241</c:v>
                      </c:pt>
                      <c:pt idx="9">
                        <c:v>84.754990925589794</c:v>
                      </c:pt>
                      <c:pt idx="10">
                        <c:v>83.847549909255903</c:v>
                      </c:pt>
                      <c:pt idx="11">
                        <c:v>82.395644283121598</c:v>
                      </c:pt>
                      <c:pt idx="12">
                        <c:v>82.395644283121598</c:v>
                      </c:pt>
                      <c:pt idx="13">
                        <c:v>81.687180333278306</c:v>
                      </c:pt>
                      <c:pt idx="14">
                        <c:v>80.943738656987307</c:v>
                      </c:pt>
                      <c:pt idx="15">
                        <c:v>80.048926819756701</c:v>
                      </c:pt>
                      <c:pt idx="16">
                        <c:v>78.947368421052602</c:v>
                      </c:pt>
                      <c:pt idx="17">
                        <c:v>77.754264972776696</c:v>
                      </c:pt>
                      <c:pt idx="18">
                        <c:v>76.065830721003096</c:v>
                      </c:pt>
                      <c:pt idx="19">
                        <c:v>74.263172036674703</c:v>
                      </c:pt>
                      <c:pt idx="20">
                        <c:v>73.139745916515395</c:v>
                      </c:pt>
                      <c:pt idx="21">
                        <c:v>72.4996775209611</c:v>
                      </c:pt>
                      <c:pt idx="22">
                        <c:v>72.311499752515999</c:v>
                      </c:pt>
                      <c:pt idx="23">
                        <c:v>71.935144215625996</c:v>
                      </c:pt>
                      <c:pt idx="24">
                        <c:v>71.324863883847499</c:v>
                      </c:pt>
                      <c:pt idx="25">
                        <c:v>70.562553434026796</c:v>
                      </c:pt>
                      <c:pt idx="26">
                        <c:v>69.566318189317698</c:v>
                      </c:pt>
                      <c:pt idx="27">
                        <c:v>68.965517241379303</c:v>
                      </c:pt>
                      <c:pt idx="28">
                        <c:v>68.127311724737893</c:v>
                      </c:pt>
                      <c:pt idx="29">
                        <c:v>66.854344467609593</c:v>
                      </c:pt>
                      <c:pt idx="30">
                        <c:v>66.606170598911007</c:v>
                      </c:pt>
                      <c:pt idx="31">
                        <c:v>65.835970661906899</c:v>
                      </c:pt>
                      <c:pt idx="32">
                        <c:v>64.972776769509906</c:v>
                      </c:pt>
                      <c:pt idx="33">
                        <c:v>64.972776769509906</c:v>
                      </c:pt>
                      <c:pt idx="34">
                        <c:v>64.972776769509906</c:v>
                      </c:pt>
                      <c:pt idx="35">
                        <c:v>64.408033477823906</c:v>
                      </c:pt>
                      <c:pt idx="36">
                        <c:v>64.246823956442796</c:v>
                      </c:pt>
                      <c:pt idx="37">
                        <c:v>64.009539379940307</c:v>
                      </c:pt>
                      <c:pt idx="38">
                        <c:v>63.883847549909198</c:v>
                      </c:pt>
                      <c:pt idx="39">
                        <c:v>63.788153770004897</c:v>
                      </c:pt>
                      <c:pt idx="40">
                        <c:v>63.655322404043702</c:v>
                      </c:pt>
                      <c:pt idx="41">
                        <c:v>63.511421757585701</c:v>
                      </c:pt>
                      <c:pt idx="42">
                        <c:v>63.511421757585701</c:v>
                      </c:pt>
                      <c:pt idx="43">
                        <c:v>62.670156439831402</c:v>
                      </c:pt>
                      <c:pt idx="44">
                        <c:v>61.862098963567298</c:v>
                      </c:pt>
                      <c:pt idx="45">
                        <c:v>60.072595281306697</c:v>
                      </c:pt>
                      <c:pt idx="46">
                        <c:v>60.072595281306697</c:v>
                      </c:pt>
                      <c:pt idx="47">
                        <c:v>60.068875523091002</c:v>
                      </c:pt>
                      <c:pt idx="48">
                        <c:v>59.891767035142699</c:v>
                      </c:pt>
                      <c:pt idx="49">
                        <c:v>59.670381425207303</c:v>
                      </c:pt>
                      <c:pt idx="50">
                        <c:v>58.851254668446501</c:v>
                      </c:pt>
                      <c:pt idx="51">
                        <c:v>58.360516566423101</c:v>
                      </c:pt>
                      <c:pt idx="52">
                        <c:v>58.0078369905956</c:v>
                      </c:pt>
                      <c:pt idx="53">
                        <c:v>57.832880862743899</c:v>
                      </c:pt>
                      <c:pt idx="54">
                        <c:v>57.700049496782697</c:v>
                      </c:pt>
                      <c:pt idx="55">
                        <c:v>57.257278276911997</c:v>
                      </c:pt>
                      <c:pt idx="56">
                        <c:v>57.1687840290381</c:v>
                      </c:pt>
                      <c:pt idx="57">
                        <c:v>56.272112312699598</c:v>
                      </c:pt>
                      <c:pt idx="58">
                        <c:v>55.535390199637</c:v>
                      </c:pt>
                      <c:pt idx="59">
                        <c:v>55.464362316449403</c:v>
                      </c:pt>
                      <c:pt idx="60">
                        <c:v>55.022021568597999</c:v>
                      </c:pt>
                      <c:pt idx="61">
                        <c:v>54.809437386569797</c:v>
                      </c:pt>
                      <c:pt idx="62">
                        <c:v>54.777759445636001</c:v>
                      </c:pt>
                      <c:pt idx="63">
                        <c:v>54.711343762655403</c:v>
                      </c:pt>
                      <c:pt idx="64">
                        <c:v>54.279641823281402</c:v>
                      </c:pt>
                      <c:pt idx="65">
                        <c:v>53.5601385909915</c:v>
                      </c:pt>
                      <c:pt idx="66">
                        <c:v>53.327683700559398</c:v>
                      </c:pt>
                      <c:pt idx="67">
                        <c:v>53.316614420062699</c:v>
                      </c:pt>
                      <c:pt idx="68">
                        <c:v>53.316614420062699</c:v>
                      </c:pt>
                      <c:pt idx="69">
                        <c:v>52.962397444166101</c:v>
                      </c:pt>
                      <c:pt idx="70">
                        <c:v>52.829566078204898</c:v>
                      </c:pt>
                      <c:pt idx="71">
                        <c:v>52.696734712243703</c:v>
                      </c:pt>
                      <c:pt idx="72">
                        <c:v>52.454132981356203</c:v>
                      </c:pt>
                      <c:pt idx="73">
                        <c:v>52.290861094028799</c:v>
                      </c:pt>
                      <c:pt idx="74">
                        <c:v>52.098993565418198</c:v>
                      </c:pt>
                      <c:pt idx="75">
                        <c:v>52.091614045086999</c:v>
                      </c:pt>
                      <c:pt idx="76">
                        <c:v>52.031347962382398</c:v>
                      </c:pt>
                      <c:pt idx="77">
                        <c:v>52.031347962382398</c:v>
                      </c:pt>
                      <c:pt idx="78">
                        <c:v>52.031347962382398</c:v>
                      </c:pt>
                      <c:pt idx="79">
                        <c:v>52.031347962382398</c:v>
                      </c:pt>
                      <c:pt idx="80">
                        <c:v>52.031347962382398</c:v>
                      </c:pt>
                      <c:pt idx="81">
                        <c:v>52.031347962382398</c:v>
                      </c:pt>
                      <c:pt idx="82">
                        <c:v>51.523390979586303</c:v>
                      </c:pt>
                      <c:pt idx="83">
                        <c:v>51.523390979586303</c:v>
                      </c:pt>
                      <c:pt idx="84">
                        <c:v>51.014204076734998</c:v>
                      </c:pt>
                      <c:pt idx="85">
                        <c:v>50.881372710773803</c:v>
                      </c:pt>
                      <c:pt idx="86">
                        <c:v>50.881372710773803</c:v>
                      </c:pt>
                      <c:pt idx="87">
                        <c:v>50.881372710773803</c:v>
                      </c:pt>
                      <c:pt idx="88">
                        <c:v>50.799776300254699</c:v>
                      </c:pt>
                      <c:pt idx="89">
                        <c:v>50.489860774434199</c:v>
                      </c:pt>
                      <c:pt idx="90">
                        <c:v>50.489860774434199</c:v>
                      </c:pt>
                      <c:pt idx="91">
                        <c:v>50.489860774434199</c:v>
                      </c:pt>
                      <c:pt idx="92">
                        <c:v>50.489860774434199</c:v>
                      </c:pt>
                      <c:pt idx="93">
                        <c:v>50.489860774434199</c:v>
                      </c:pt>
                      <c:pt idx="94">
                        <c:v>50.407853489523099</c:v>
                      </c:pt>
                      <c:pt idx="95">
                        <c:v>49.840860344077598</c:v>
                      </c:pt>
                      <c:pt idx="96">
                        <c:v>49.663751856129302</c:v>
                      </c:pt>
                      <c:pt idx="97">
                        <c:v>49.577503712258697</c:v>
                      </c:pt>
                      <c:pt idx="98">
                        <c:v>49.5751976121552</c:v>
                      </c:pt>
                      <c:pt idx="99">
                        <c:v>49.150875193112398</c:v>
                      </c:pt>
                      <c:pt idx="100">
                        <c:v>49.093700129271802</c:v>
                      </c:pt>
                      <c:pt idx="101">
                        <c:v>48.971229995050301</c:v>
                      </c:pt>
                      <c:pt idx="102">
                        <c:v>48.933179343342601</c:v>
                      </c:pt>
                      <c:pt idx="103">
                        <c:v>48.860122092064003</c:v>
                      </c:pt>
                      <c:pt idx="104">
                        <c:v>48.828811841516</c:v>
                      </c:pt>
                      <c:pt idx="105">
                        <c:v>48.828811841516</c:v>
                      </c:pt>
                      <c:pt idx="106">
                        <c:v>48.828811841516</c:v>
                      </c:pt>
                      <c:pt idx="107">
                        <c:v>48.828811841516</c:v>
                      </c:pt>
                      <c:pt idx="108">
                        <c:v>48.828811841516</c:v>
                      </c:pt>
                      <c:pt idx="109">
                        <c:v>48.828811841516</c:v>
                      </c:pt>
                      <c:pt idx="110">
                        <c:v>48.828811841516</c:v>
                      </c:pt>
                    </c:numCache>
                  </c:numRef>
                </c:yVal>
                <c:smooth val="0"/>
                <c:extLst xmlns:c15="http://schemas.microsoft.com/office/drawing/2012/chart">
                  <c:ext xmlns:c16="http://schemas.microsoft.com/office/drawing/2014/chart" uri="{C3380CC4-5D6E-409C-BE32-E72D297353CC}">
                    <c16:uniqueId val="{0000000A-BC1A-47B2-808F-0EF376B56ADD}"/>
                  </c:ext>
                </c:extLst>
              </c15:ser>
            </c15:filteredScatterSeries>
            <c15:filteredScatterSeries>
              <c15:ser>
                <c:idx val="9"/>
                <c:order val="11"/>
                <c:tx>
                  <c:v>067 NIVO OS 6.5-yr follow up</c:v>
                </c:tx>
                <c:spPr>
                  <a:ln w="19050" cap="rnd">
                    <a:solidFill>
                      <a:schemeClr val="accent4">
                        <a:lumMod val="60000"/>
                        <a:lumOff val="40000"/>
                      </a:schemeClr>
                    </a:solidFill>
                    <a:prstDash val="sysDash"/>
                    <a:round/>
                  </a:ln>
                  <a:effectLst/>
                </c:spPr>
                <c:marker>
                  <c:symbol val="none"/>
                </c:marker>
                <c:xVal>
                  <c:numRef>
                    <c:extLst xmlns:c15="http://schemas.microsoft.com/office/drawing/2012/chart">
                      <c:ext xmlns:c15="http://schemas.microsoft.com/office/drawing/2012/chart" uri="{02D57815-91ED-43cb-92C2-25804820EDAC}">
                        <c15:formulaRef>
                          <c15:sqref>Sheet1!$T$3:$T$95</c15:sqref>
                        </c15:formulaRef>
                      </c:ext>
                    </c:extLst>
                    <c:numCache>
                      <c:formatCode>General</c:formatCode>
                      <c:ptCount val="93"/>
                      <c:pt idx="0">
                        <c:v>0.195505617977528</c:v>
                      </c:pt>
                      <c:pt idx="1">
                        <c:v>0.78768621041879405</c:v>
                      </c:pt>
                      <c:pt idx="2">
                        <c:v>1.5987323799795701</c:v>
                      </c:pt>
                      <c:pt idx="3">
                        <c:v>3.0670684371807901</c:v>
                      </c:pt>
                      <c:pt idx="4">
                        <c:v>3.7957711950970299</c:v>
                      </c:pt>
                      <c:pt idx="5">
                        <c:v>4.2359550561797699</c:v>
                      </c:pt>
                      <c:pt idx="6">
                        <c:v>4.6264923391215502</c:v>
                      </c:pt>
                      <c:pt idx="7">
                        <c:v>4.9528089887640396</c:v>
                      </c:pt>
                      <c:pt idx="8">
                        <c:v>5.3260469867211402</c:v>
                      </c:pt>
                      <c:pt idx="9">
                        <c:v>6.12033299284984</c:v>
                      </c:pt>
                      <c:pt idx="10">
                        <c:v>7.2061001021450402</c:v>
                      </c:pt>
                      <c:pt idx="11">
                        <c:v>7.6247191011235902</c:v>
                      </c:pt>
                      <c:pt idx="12">
                        <c:v>8.1679877425944802</c:v>
                      </c:pt>
                      <c:pt idx="13">
                        <c:v>8.6022471910112301</c:v>
                      </c:pt>
                      <c:pt idx="14">
                        <c:v>9.1298753830439203</c:v>
                      </c:pt>
                      <c:pt idx="15">
                        <c:v>10.0917630234933</c:v>
                      </c:pt>
                      <c:pt idx="16">
                        <c:v>11.053650663942699</c:v>
                      </c:pt>
                      <c:pt idx="17">
                        <c:v>12.0155383043922</c:v>
                      </c:pt>
                      <c:pt idx="18">
                        <c:v>12.802537282941699</c:v>
                      </c:pt>
                      <c:pt idx="19">
                        <c:v>13.2943820224719</c:v>
                      </c:pt>
                      <c:pt idx="20">
                        <c:v>14.212577119509699</c:v>
                      </c:pt>
                      <c:pt idx="21">
                        <c:v>15.0760898876404</c:v>
                      </c:pt>
                      <c:pt idx="22">
                        <c:v>15.770786516853899</c:v>
                      </c:pt>
                      <c:pt idx="23">
                        <c:v>16.037977528089801</c:v>
                      </c:pt>
                      <c:pt idx="24">
                        <c:v>16.552808988763999</c:v>
                      </c:pt>
                      <c:pt idx="25">
                        <c:v>16.999865168539301</c:v>
                      </c:pt>
                      <c:pt idx="26">
                        <c:v>17.961752808988699</c:v>
                      </c:pt>
                      <c:pt idx="27">
                        <c:v>18.923640449438199</c:v>
                      </c:pt>
                      <c:pt idx="28">
                        <c:v>19.2898876404494</c:v>
                      </c:pt>
                      <c:pt idx="29">
                        <c:v>19.8855280898876</c:v>
                      </c:pt>
                      <c:pt idx="30">
                        <c:v>20.847415730337001</c:v>
                      </c:pt>
                      <c:pt idx="31">
                        <c:v>21.809303370786498</c:v>
                      </c:pt>
                      <c:pt idx="32">
                        <c:v>22.771191011235899</c:v>
                      </c:pt>
                      <c:pt idx="33">
                        <c:v>23.7330786516853</c:v>
                      </c:pt>
                      <c:pt idx="34">
                        <c:v>24.694966292134801</c:v>
                      </c:pt>
                      <c:pt idx="35">
                        <c:v>25.656853932584202</c:v>
                      </c:pt>
                      <c:pt idx="36">
                        <c:v>26.618741573033699</c:v>
                      </c:pt>
                      <c:pt idx="37">
                        <c:v>27.5806292134831</c:v>
                      </c:pt>
                      <c:pt idx="38">
                        <c:v>28.542516853932501</c:v>
                      </c:pt>
                      <c:pt idx="39">
                        <c:v>29.504404494382001</c:v>
                      </c:pt>
                      <c:pt idx="40">
                        <c:v>30.466292134831399</c:v>
                      </c:pt>
                      <c:pt idx="41">
                        <c:v>31.4281797752808</c:v>
                      </c:pt>
                      <c:pt idx="42">
                        <c:v>32.3900674157303</c:v>
                      </c:pt>
                      <c:pt idx="43">
                        <c:v>33.351955056179698</c:v>
                      </c:pt>
                      <c:pt idx="44">
                        <c:v>34.313842696629202</c:v>
                      </c:pt>
                      <c:pt idx="45">
                        <c:v>35.275730337078599</c:v>
                      </c:pt>
                      <c:pt idx="46">
                        <c:v>36.237617977527997</c:v>
                      </c:pt>
                      <c:pt idx="47">
                        <c:v>37.199505617977501</c:v>
                      </c:pt>
                      <c:pt idx="48">
                        <c:v>38.161393258426898</c:v>
                      </c:pt>
                      <c:pt idx="49">
                        <c:v>39.204895607763</c:v>
                      </c:pt>
                      <c:pt idx="50">
                        <c:v>40.085168539325799</c:v>
                      </c:pt>
                      <c:pt idx="51">
                        <c:v>41.047056179775197</c:v>
                      </c:pt>
                      <c:pt idx="52">
                        <c:v>42.008943820224701</c:v>
                      </c:pt>
                      <c:pt idx="53">
                        <c:v>42.970831460674098</c:v>
                      </c:pt>
                      <c:pt idx="54">
                        <c:v>43.728089887640401</c:v>
                      </c:pt>
                      <c:pt idx="55">
                        <c:v>44.894606741573</c:v>
                      </c:pt>
                      <c:pt idx="56">
                        <c:v>45.856494382022397</c:v>
                      </c:pt>
                      <c:pt idx="57">
                        <c:v>46.818382022471901</c:v>
                      </c:pt>
                      <c:pt idx="58">
                        <c:v>47.780269662921299</c:v>
                      </c:pt>
                      <c:pt idx="59">
                        <c:v>48.742157303370703</c:v>
                      </c:pt>
                      <c:pt idx="60">
                        <c:v>49.7040449438202</c:v>
                      </c:pt>
                      <c:pt idx="61">
                        <c:v>50.665932584269598</c:v>
                      </c:pt>
                      <c:pt idx="62">
                        <c:v>51.627820224719102</c:v>
                      </c:pt>
                      <c:pt idx="63">
                        <c:v>52.589707865168499</c:v>
                      </c:pt>
                      <c:pt idx="64">
                        <c:v>53.551595505617897</c:v>
                      </c:pt>
                      <c:pt idx="65">
                        <c:v>54.513483146067401</c:v>
                      </c:pt>
                      <c:pt idx="66">
                        <c:v>55.475370786516798</c:v>
                      </c:pt>
                      <c:pt idx="67">
                        <c:v>56.437258426966203</c:v>
                      </c:pt>
                      <c:pt idx="68">
                        <c:v>57.3991460674157</c:v>
                      </c:pt>
                      <c:pt idx="69">
                        <c:v>58.361033707865097</c:v>
                      </c:pt>
                      <c:pt idx="70">
                        <c:v>59.322921348314601</c:v>
                      </c:pt>
                      <c:pt idx="71">
                        <c:v>60.284808988763999</c:v>
                      </c:pt>
                      <c:pt idx="72">
                        <c:v>61.246696629213403</c:v>
                      </c:pt>
                      <c:pt idx="73">
                        <c:v>62.2085842696629</c:v>
                      </c:pt>
                      <c:pt idx="74">
                        <c:v>63.170471910112298</c:v>
                      </c:pt>
                      <c:pt idx="75">
                        <c:v>64.132359550561802</c:v>
                      </c:pt>
                      <c:pt idx="76">
                        <c:v>65.038202247190995</c:v>
                      </c:pt>
                      <c:pt idx="77">
                        <c:v>66.080898876404504</c:v>
                      </c:pt>
                      <c:pt idx="78">
                        <c:v>66.928089887640397</c:v>
                      </c:pt>
                      <c:pt idx="79">
                        <c:v>67.979910112359505</c:v>
                      </c:pt>
                      <c:pt idx="80">
                        <c:v>69.013483146067401</c:v>
                      </c:pt>
                      <c:pt idx="81">
                        <c:v>69.903685393258399</c:v>
                      </c:pt>
                      <c:pt idx="82">
                        <c:v>70.865573033707804</c:v>
                      </c:pt>
                      <c:pt idx="83">
                        <c:v>72.076404494382004</c:v>
                      </c:pt>
                      <c:pt idx="84">
                        <c:v>73.444943820224694</c:v>
                      </c:pt>
                      <c:pt idx="85">
                        <c:v>74.683146067415706</c:v>
                      </c:pt>
                      <c:pt idx="86">
                        <c:v>76.638202247191003</c:v>
                      </c:pt>
                      <c:pt idx="87">
                        <c:v>78.332584269662902</c:v>
                      </c:pt>
                      <c:pt idx="88">
                        <c:v>80.352808988763996</c:v>
                      </c:pt>
                      <c:pt idx="89">
                        <c:v>81.525842696629198</c:v>
                      </c:pt>
                      <c:pt idx="90">
                        <c:v>82.6988764044943</c:v>
                      </c:pt>
                      <c:pt idx="91">
                        <c:v>83.676404494381998</c:v>
                      </c:pt>
                      <c:pt idx="92">
                        <c:v>84.914606741572996</c:v>
                      </c:pt>
                    </c:numCache>
                  </c:numRef>
                </c:xVal>
                <c:yVal>
                  <c:numRef>
                    <c:extLst xmlns:c15="http://schemas.microsoft.com/office/drawing/2012/chart">
                      <c:ext xmlns:c15="http://schemas.microsoft.com/office/drawing/2012/chart" uri="{02D57815-91ED-43cb-92C2-25804820EDAC}">
                        <c15:formulaRef>
                          <c15:sqref>Sheet1!$U$3:$U$95</c15:sqref>
                        </c15:formulaRef>
                      </c:ext>
                    </c:extLst>
                    <c:numCache>
                      <c:formatCode>General</c:formatCode>
                      <c:ptCount val="93"/>
                      <c:pt idx="0">
                        <c:v>99.637023593466395</c:v>
                      </c:pt>
                      <c:pt idx="1">
                        <c:v>98.008170268932503</c:v>
                      </c:pt>
                      <c:pt idx="2">
                        <c:v>96.715665731727398</c:v>
                      </c:pt>
                      <c:pt idx="3">
                        <c:v>93.673981191222495</c:v>
                      </c:pt>
                      <c:pt idx="4">
                        <c:v>92.3114757540759</c:v>
                      </c:pt>
                      <c:pt idx="5">
                        <c:v>91.288566243194197</c:v>
                      </c:pt>
                      <c:pt idx="6">
                        <c:v>89.662596931199403</c:v>
                      </c:pt>
                      <c:pt idx="7">
                        <c:v>88.021778584391996</c:v>
                      </c:pt>
                      <c:pt idx="8">
                        <c:v>86.877289226200304</c:v>
                      </c:pt>
                      <c:pt idx="9">
                        <c:v>84.766577297475607</c:v>
                      </c:pt>
                      <c:pt idx="10">
                        <c:v>82.2185057971231</c:v>
                      </c:pt>
                      <c:pt idx="11">
                        <c:v>81.306715063520798</c:v>
                      </c:pt>
                      <c:pt idx="12">
                        <c:v>79.550809197402103</c:v>
                      </c:pt>
                      <c:pt idx="13">
                        <c:v>78.765880217785806</c:v>
                      </c:pt>
                      <c:pt idx="14">
                        <c:v>78.244634098783493</c:v>
                      </c:pt>
                      <c:pt idx="15">
                        <c:v>76.728142670726399</c:v>
                      </c:pt>
                      <c:pt idx="16">
                        <c:v>75.255928364656299</c:v>
                      </c:pt>
                      <c:pt idx="17">
                        <c:v>74.292900961437496</c:v>
                      </c:pt>
                      <c:pt idx="18">
                        <c:v>72.920310179838296</c:v>
                      </c:pt>
                      <c:pt idx="19">
                        <c:v>71.506352087114294</c:v>
                      </c:pt>
                      <c:pt idx="20">
                        <c:v>70.625312301129</c:v>
                      </c:pt>
                      <c:pt idx="21">
                        <c:v>69.167824091433999</c:v>
                      </c:pt>
                      <c:pt idx="22">
                        <c:v>68.784029038112493</c:v>
                      </c:pt>
                      <c:pt idx="23">
                        <c:v>67.673471224370402</c:v>
                      </c:pt>
                      <c:pt idx="24">
                        <c:v>66.424682395644197</c:v>
                      </c:pt>
                      <c:pt idx="25">
                        <c:v>65.614585051971602</c:v>
                      </c:pt>
                      <c:pt idx="26">
                        <c:v>64.563003404778698</c:v>
                      </c:pt>
                      <c:pt idx="27">
                        <c:v>63.721738087024299</c:v>
                      </c:pt>
                      <c:pt idx="28">
                        <c:v>63.157894736842103</c:v>
                      </c:pt>
                      <c:pt idx="29">
                        <c:v>62.282731622444501</c:v>
                      </c:pt>
                      <c:pt idx="30">
                        <c:v>61.419327743696599</c:v>
                      </c:pt>
                      <c:pt idx="31">
                        <c:v>60.666616669916401</c:v>
                      </c:pt>
                      <c:pt idx="32">
                        <c:v>60.312399694019803</c:v>
                      </c:pt>
                      <c:pt idx="33">
                        <c:v>58.762700424472399</c:v>
                      </c:pt>
                      <c:pt idx="34">
                        <c:v>57.943573667711597</c:v>
                      </c:pt>
                      <c:pt idx="35">
                        <c:v>57.832880862743899</c:v>
                      </c:pt>
                      <c:pt idx="36">
                        <c:v>57.102308349957198</c:v>
                      </c:pt>
                      <c:pt idx="37">
                        <c:v>56.393874398164101</c:v>
                      </c:pt>
                      <c:pt idx="38">
                        <c:v>55.530470519416198</c:v>
                      </c:pt>
                      <c:pt idx="39">
                        <c:v>55.043422177558398</c:v>
                      </c:pt>
                      <c:pt idx="40">
                        <c:v>55.021283616564901</c:v>
                      </c:pt>
                      <c:pt idx="41">
                        <c:v>54.512096713713603</c:v>
                      </c:pt>
                      <c:pt idx="42">
                        <c:v>53.1173673711208</c:v>
                      </c:pt>
                      <c:pt idx="43">
                        <c:v>52.586041907275998</c:v>
                      </c:pt>
                      <c:pt idx="44">
                        <c:v>52.209686370385903</c:v>
                      </c:pt>
                      <c:pt idx="45">
                        <c:v>51.634083784554001</c:v>
                      </c:pt>
                      <c:pt idx="46">
                        <c:v>50.438601490902997</c:v>
                      </c:pt>
                      <c:pt idx="47">
                        <c:v>49.740288024135502</c:v>
                      </c:pt>
                      <c:pt idx="48">
                        <c:v>49.021733587316803</c:v>
                      </c:pt>
                      <c:pt idx="49">
                        <c:v>48.148760930539503</c:v>
                      </c:pt>
                      <c:pt idx="50">
                        <c:v>48.0361986470879</c:v>
                      </c:pt>
                      <c:pt idx="51">
                        <c:v>47.604865683730502</c:v>
                      </c:pt>
                      <c:pt idx="52">
                        <c:v>47.4720343177693</c:v>
                      </c:pt>
                      <c:pt idx="53">
                        <c:v>47.449895756775803</c:v>
                      </c:pt>
                      <c:pt idx="54">
                        <c:v>46.823956442831197</c:v>
                      </c:pt>
                      <c:pt idx="55">
                        <c:v>46.734820236684598</c:v>
                      </c:pt>
                      <c:pt idx="56">
                        <c:v>46.509006914550497</c:v>
                      </c:pt>
                      <c:pt idx="57">
                        <c:v>46.497937634053699</c:v>
                      </c:pt>
                      <c:pt idx="58">
                        <c:v>46.497937634053699</c:v>
                      </c:pt>
                      <c:pt idx="59">
                        <c:v>46.033027853189502</c:v>
                      </c:pt>
                      <c:pt idx="60">
                        <c:v>45.767365121267098</c:v>
                      </c:pt>
                      <c:pt idx="61">
                        <c:v>45.767365121267098</c:v>
                      </c:pt>
                      <c:pt idx="62">
                        <c:v>45.767365121267098</c:v>
                      </c:pt>
                      <c:pt idx="63">
                        <c:v>45.612395194312299</c:v>
                      </c:pt>
                      <c:pt idx="64">
                        <c:v>45.058931169473901</c:v>
                      </c:pt>
                      <c:pt idx="65">
                        <c:v>45.036792608480397</c:v>
                      </c:pt>
                      <c:pt idx="66">
                        <c:v>45.036792608480397</c:v>
                      </c:pt>
                      <c:pt idx="67">
                        <c:v>45.036792608480397</c:v>
                      </c:pt>
                      <c:pt idx="68">
                        <c:v>44.859684120532101</c:v>
                      </c:pt>
                      <c:pt idx="69">
                        <c:v>44.616159949603201</c:v>
                      </c:pt>
                      <c:pt idx="70">
                        <c:v>44.129111607745401</c:v>
                      </c:pt>
                      <c:pt idx="71">
                        <c:v>44.051626644268097</c:v>
                      </c:pt>
                      <c:pt idx="72">
                        <c:v>43.653132546384398</c:v>
                      </c:pt>
                      <c:pt idx="73">
                        <c:v>43.332123411978202</c:v>
                      </c:pt>
                      <c:pt idx="74">
                        <c:v>43.332123411978202</c:v>
                      </c:pt>
                      <c:pt idx="75">
                        <c:v>43.0310389824661</c:v>
                      </c:pt>
                      <c:pt idx="76">
                        <c:v>43.194192377495398</c:v>
                      </c:pt>
                      <c:pt idx="77">
                        <c:v>43.012704174228602</c:v>
                      </c:pt>
                      <c:pt idx="78">
                        <c:v>42.8312159709618</c:v>
                      </c:pt>
                      <c:pt idx="79">
                        <c:v>42.8312159709618</c:v>
                      </c:pt>
                      <c:pt idx="80">
                        <c:v>42.8312159709618</c:v>
                      </c:pt>
                      <c:pt idx="81">
                        <c:v>42.660218085824397</c:v>
                      </c:pt>
                      <c:pt idx="82">
                        <c:v>42.402303850249702</c:v>
                      </c:pt>
                      <c:pt idx="83">
                        <c:v>42.2867513611615</c:v>
                      </c:pt>
                      <c:pt idx="84">
                        <c:v>42.105263157894697</c:v>
                      </c:pt>
                      <c:pt idx="85">
                        <c:v>42.105263157894697</c:v>
                      </c:pt>
                      <c:pt idx="86">
                        <c:v>42.105263157894697</c:v>
                      </c:pt>
                      <c:pt idx="87">
                        <c:v>42.105263157894697</c:v>
                      </c:pt>
                      <c:pt idx="88">
                        <c:v>42.105263157894697</c:v>
                      </c:pt>
                      <c:pt idx="89">
                        <c:v>41.923774954627902</c:v>
                      </c:pt>
                      <c:pt idx="90">
                        <c:v>41.923774954627902</c:v>
                      </c:pt>
                      <c:pt idx="91">
                        <c:v>41.923774954627902</c:v>
                      </c:pt>
                      <c:pt idx="92">
                        <c:v>41.923774954627902</c:v>
                      </c:pt>
                    </c:numCache>
                  </c:numRef>
                </c:yVal>
                <c:smooth val="0"/>
                <c:extLst xmlns:c15="http://schemas.microsoft.com/office/drawing/2012/chart">
                  <c:ext xmlns:c16="http://schemas.microsoft.com/office/drawing/2014/chart" uri="{C3380CC4-5D6E-409C-BE32-E72D297353CC}">
                    <c16:uniqueId val="{0000000B-BC1A-47B2-808F-0EF376B56ADD}"/>
                  </c:ext>
                </c:extLst>
              </c15:ser>
            </c15:filteredScatterSeries>
          </c:ext>
        </c:extLst>
      </c:scatterChart>
      <c:valAx>
        <c:axId val="15776024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608288"/>
        <c:crosses val="autoZero"/>
        <c:crossBetween val="midCat"/>
      </c:valAx>
      <c:valAx>
        <c:axId val="157760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Probability</a:t>
                </a:r>
                <a:r>
                  <a:rPr lang="en-AU" baseline="0"/>
                  <a:t> of progression free survival</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602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PFS NIVO+RELA</c:v>
          </c:tx>
          <c:spPr>
            <a:ln w="19050" cap="rnd">
              <a:solidFill>
                <a:schemeClr val="tx1"/>
              </a:solidFill>
              <a:prstDash val="dash"/>
              <a:round/>
            </a:ln>
            <a:effectLst/>
          </c:spPr>
          <c:marker>
            <c:symbol val="none"/>
          </c:marker>
          <c:xVal>
            <c:numRef>
              <c:f>'Markov Trace'!$C$28:$C$508</c:f>
              <c:numCache>
                <c:formatCode>0.0</c:formatCode>
                <c:ptCount val="48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pt idx="421">
                  <c:v>35.083333333333336</c:v>
                </c:pt>
                <c:pt idx="422">
                  <c:v>35.166666666666664</c:v>
                </c:pt>
                <c:pt idx="423">
                  <c:v>35.25</c:v>
                </c:pt>
                <c:pt idx="424">
                  <c:v>35.333333333333336</c:v>
                </c:pt>
                <c:pt idx="425">
                  <c:v>35.416666666666664</c:v>
                </c:pt>
                <c:pt idx="426">
                  <c:v>35.5</c:v>
                </c:pt>
                <c:pt idx="427">
                  <c:v>35.583333333333336</c:v>
                </c:pt>
                <c:pt idx="428">
                  <c:v>35.666666666666664</c:v>
                </c:pt>
                <c:pt idx="429">
                  <c:v>35.75</c:v>
                </c:pt>
                <c:pt idx="430">
                  <c:v>35.833333333333336</c:v>
                </c:pt>
                <c:pt idx="431">
                  <c:v>35.916666666666664</c:v>
                </c:pt>
                <c:pt idx="432">
                  <c:v>36</c:v>
                </c:pt>
                <c:pt idx="433">
                  <c:v>36.083333333333336</c:v>
                </c:pt>
                <c:pt idx="434">
                  <c:v>36.166666666666664</c:v>
                </c:pt>
                <c:pt idx="435">
                  <c:v>36.25</c:v>
                </c:pt>
                <c:pt idx="436">
                  <c:v>36.333333333333336</c:v>
                </c:pt>
                <c:pt idx="437">
                  <c:v>36.416666666666664</c:v>
                </c:pt>
                <c:pt idx="438">
                  <c:v>36.5</c:v>
                </c:pt>
                <c:pt idx="439">
                  <c:v>36.583333333333336</c:v>
                </c:pt>
                <c:pt idx="440">
                  <c:v>36.666666666666664</c:v>
                </c:pt>
                <c:pt idx="441">
                  <c:v>36.75</c:v>
                </c:pt>
                <c:pt idx="442">
                  <c:v>36.833333333333336</c:v>
                </c:pt>
                <c:pt idx="443">
                  <c:v>36.916666666666664</c:v>
                </c:pt>
                <c:pt idx="444">
                  <c:v>37</c:v>
                </c:pt>
                <c:pt idx="445">
                  <c:v>37.083333333333336</c:v>
                </c:pt>
                <c:pt idx="446">
                  <c:v>37.166666666666664</c:v>
                </c:pt>
                <c:pt idx="447">
                  <c:v>37.25</c:v>
                </c:pt>
                <c:pt idx="448">
                  <c:v>37.333333333333336</c:v>
                </c:pt>
                <c:pt idx="449">
                  <c:v>37.416666666666664</c:v>
                </c:pt>
                <c:pt idx="450">
                  <c:v>37.5</c:v>
                </c:pt>
                <c:pt idx="451">
                  <c:v>37.583333333333336</c:v>
                </c:pt>
                <c:pt idx="452">
                  <c:v>37.666666666666664</c:v>
                </c:pt>
                <c:pt idx="453">
                  <c:v>37.75</c:v>
                </c:pt>
                <c:pt idx="454">
                  <c:v>37.833333333333336</c:v>
                </c:pt>
                <c:pt idx="455">
                  <c:v>37.916666666666664</c:v>
                </c:pt>
                <c:pt idx="456">
                  <c:v>38</c:v>
                </c:pt>
                <c:pt idx="457">
                  <c:v>38.083333333333336</c:v>
                </c:pt>
                <c:pt idx="458">
                  <c:v>38.166666666666664</c:v>
                </c:pt>
                <c:pt idx="459">
                  <c:v>38.25</c:v>
                </c:pt>
                <c:pt idx="460">
                  <c:v>38.333333333333336</c:v>
                </c:pt>
                <c:pt idx="461">
                  <c:v>38.416666666666664</c:v>
                </c:pt>
                <c:pt idx="462">
                  <c:v>38.5</c:v>
                </c:pt>
                <c:pt idx="463">
                  <c:v>38.583333333333336</c:v>
                </c:pt>
                <c:pt idx="464">
                  <c:v>38.666666666666664</c:v>
                </c:pt>
                <c:pt idx="465">
                  <c:v>38.75</c:v>
                </c:pt>
                <c:pt idx="466">
                  <c:v>38.833333333333336</c:v>
                </c:pt>
                <c:pt idx="467">
                  <c:v>38.916666666666664</c:v>
                </c:pt>
                <c:pt idx="468">
                  <c:v>39</c:v>
                </c:pt>
                <c:pt idx="469">
                  <c:v>39.083333333333336</c:v>
                </c:pt>
                <c:pt idx="470">
                  <c:v>39.166666666666664</c:v>
                </c:pt>
                <c:pt idx="471">
                  <c:v>39.25</c:v>
                </c:pt>
                <c:pt idx="472">
                  <c:v>39.333333333333336</c:v>
                </c:pt>
                <c:pt idx="473">
                  <c:v>39.416666666666664</c:v>
                </c:pt>
                <c:pt idx="474">
                  <c:v>39.5</c:v>
                </c:pt>
                <c:pt idx="475">
                  <c:v>39.583333333333336</c:v>
                </c:pt>
                <c:pt idx="476">
                  <c:v>39.666666666666664</c:v>
                </c:pt>
                <c:pt idx="477">
                  <c:v>39.75</c:v>
                </c:pt>
                <c:pt idx="478">
                  <c:v>39.833333333333336</c:v>
                </c:pt>
                <c:pt idx="479">
                  <c:v>39.916666666666664</c:v>
                </c:pt>
                <c:pt idx="480">
                  <c:v>40</c:v>
                </c:pt>
              </c:numCache>
              <c:extLst xmlns:c15="http://schemas.microsoft.com/office/drawing/2012/chart"/>
            </c:numRef>
          </c:xVal>
          <c:yVal>
            <c:numRef>
              <c:f>'Markov Trace'!$M$28:$M$508</c:f>
              <c:numCache>
                <c:formatCode>#,##0.000</c:formatCode>
                <c:ptCount val="481"/>
                <c:pt idx="0">
                  <c:v>1</c:v>
                </c:pt>
                <c:pt idx="1">
                  <c:v>0.96100671049347985</c:v>
                </c:pt>
                <c:pt idx="2">
                  <c:v>0.89966978710735834</c:v>
                </c:pt>
                <c:pt idx="3">
                  <c:v>0.6616935376059454</c:v>
                </c:pt>
                <c:pt idx="4">
                  <c:v>0.6455660226949762</c:v>
                </c:pt>
                <c:pt idx="5">
                  <c:v>0.60476405580952974</c:v>
                </c:pt>
                <c:pt idx="6">
                  <c:v>0.57652619311962994</c:v>
                </c:pt>
                <c:pt idx="7">
                  <c:v>0.54809719015078062</c:v>
                </c:pt>
                <c:pt idx="8">
                  <c:v>0.5376619970832226</c:v>
                </c:pt>
                <c:pt idx="9">
                  <c:v>0.53284671532846695</c:v>
                </c:pt>
                <c:pt idx="10">
                  <c:v>0.50870224328253444</c:v>
                </c:pt>
                <c:pt idx="11">
                  <c:v>0.49051506730456512</c:v>
                </c:pt>
                <c:pt idx="12">
                  <c:v>0.47999839265419136</c:v>
                </c:pt>
                <c:pt idx="13">
                  <c:v>0.46230653955060064</c:v>
                </c:pt>
                <c:pt idx="14">
                  <c:v>0.45356475978255317</c:v>
                </c:pt>
                <c:pt idx="15">
                  <c:v>0.44152286546247843</c:v>
                </c:pt>
                <c:pt idx="16">
                  <c:v>0.43277759681345007</c:v>
                </c:pt>
                <c:pt idx="17">
                  <c:v>0.42852631636795963</c:v>
                </c:pt>
                <c:pt idx="18">
                  <c:v>0.42383960321916464</c:v>
                </c:pt>
                <c:pt idx="19">
                  <c:v>0.41759754957341055</c:v>
                </c:pt>
                <c:pt idx="20">
                  <c:v>0.40861485931589336</c:v>
                </c:pt>
                <c:pt idx="21">
                  <c:v>0.40021845488808694</c:v>
                </c:pt>
                <c:pt idx="22">
                  <c:v>0.39234664424512988</c:v>
                </c:pt>
                <c:pt idx="23">
                  <c:v>0.38494648374444818</c:v>
                </c:pt>
                <c:pt idx="24">
                  <c:v>0.37797224364265281</c:v>
                </c:pt>
                <c:pt idx="25">
                  <c:v>0.37138419023760338</c:v>
                </c:pt>
                <c:pt idx="26">
                  <c:v>0.3651476102641143</c:v>
                </c:pt>
                <c:pt idx="27">
                  <c:v>0.3592320225985744</c:v>
                </c:pt>
                <c:pt idx="28">
                  <c:v>0.35361053621300298</c:v>
                </c:pt>
                <c:pt idx="29">
                  <c:v>0.34825932336038257</c:v>
                </c:pt>
                <c:pt idx="30">
                  <c:v>0.3431571843212235</c:v>
                </c:pt>
                <c:pt idx="31">
                  <c:v>0.33828518547810693</c:v>
                </c:pt>
                <c:pt idx="32">
                  <c:v>0.33362635654919648</c:v>
                </c:pt>
                <c:pt idx="33">
                  <c:v>0.32916543587926134</c:v>
                </c:pt>
                <c:pt idx="34">
                  <c:v>0.3248886550229691</c:v>
                </c:pt>
                <c:pt idx="35">
                  <c:v>0.32078355564959166</c:v>
                </c:pt>
                <c:pt idx="36">
                  <c:v>0.31683883318743739</c:v>
                </c:pt>
                <c:pt idx="37">
                  <c:v>0.31304420270993039</c:v>
                </c:pt>
                <c:pt idx="38">
                  <c:v>0.30939028341643954</c:v>
                </c:pt>
                <c:pt idx="39">
                  <c:v>0.30586849873413441</c:v>
                </c:pt>
                <c:pt idx="40">
                  <c:v>0.30247098960282753</c:v>
                </c:pt>
                <c:pt idx="41">
                  <c:v>0.29919053893366404</c:v>
                </c:pt>
                <c:pt idx="42">
                  <c:v>0.2960205055778598</c:v>
                </c:pt>
                <c:pt idx="43">
                  <c:v>0.29295476642123247</c:v>
                </c:pt>
                <c:pt idx="44">
                  <c:v>0.28998766544777238</c:v>
                </c:pt>
                <c:pt idx="45">
                  <c:v>0.2871139688014967</c:v>
                </c:pt>
                <c:pt idx="46">
                  <c:v>0.28432882502866069</c:v>
                </c:pt>
                <c:pt idx="47">
                  <c:v>0.28162772980850448</c:v>
                </c:pt>
                <c:pt idx="48">
                  <c:v>0.27900649458521398</c:v>
                </c:pt>
                <c:pt idx="49">
                  <c:v>0.27646121860076278</c:v>
                </c:pt>
                <c:pt idx="50">
                  <c:v>0.2739882639009219</c:v>
                </c:pt>
                <c:pt idx="51">
                  <c:v>0.27158423294766948</c:v>
                </c:pt>
                <c:pt idx="52">
                  <c:v>0.2692459485224768</c:v>
                </c:pt>
                <c:pt idx="53">
                  <c:v>0.26697043564824818</c:v>
                </c:pt>
                <c:pt idx="54">
                  <c:v>0.2647549052943643</c:v>
                </c:pt>
                <c:pt idx="55">
                  <c:v>0.26259673966045227</c:v>
                </c:pt>
                <c:pt idx="56">
                  <c:v>0.26049347886108165</c:v>
                </c:pt>
                <c:pt idx="57">
                  <c:v>0.25844280885631638</c:v>
                </c:pt>
                <c:pt idx="58">
                  <c:v>0.25644255049252929</c:v>
                </c:pt>
                <c:pt idx="59">
                  <c:v>0.25449064953465561</c:v>
                </c:pt>
                <c:pt idx="60">
                  <c:v>0.25258516758549537</c:v>
                </c:pt>
                <c:pt idx="61">
                  <c:v>0.25072427380016915</c:v>
                </c:pt>
                <c:pt idx="62">
                  <c:v>0.24890623731465475</c:v>
                </c:pt>
                <c:pt idx="63">
                  <c:v>0.24712942031671717</c:v>
                </c:pt>
                <c:pt idx="64">
                  <c:v>0.24539227169573888</c:v>
                </c:pt>
                <c:pt idx="65">
                  <c:v>0.24369332121509282</c:v>
                </c:pt>
                <c:pt idx="66">
                  <c:v>0.24203117415693315</c:v>
                </c:pt>
                <c:pt idx="67">
                  <c:v>0.24040450639476341</c:v>
                </c:pt>
                <c:pt idx="68">
                  <c:v>0.23881205985393097</c:v>
                </c:pt>
                <c:pt idx="69">
                  <c:v>0.23725263832443066</c:v>
                </c:pt>
                <c:pt idx="70">
                  <c:v>0.23572510359411833</c:v>
                </c:pt>
                <c:pt idx="71">
                  <c:v>0.23422837187372764</c:v>
                </c:pt>
                <c:pt idx="72">
                  <c:v>0.23276141048799015</c:v>
                </c:pt>
                <c:pt idx="73">
                  <c:v>0.23132323480974243</c:v>
                </c:pt>
                <c:pt idx="74">
                  <c:v>0.22991290541618148</c:v>
                </c:pt>
                <c:pt idx="75">
                  <c:v>0.2285295254484806</c:v>
                </c:pt>
                <c:pt idx="76">
                  <c:v>0.22717223815777648</c:v>
                </c:pt>
                <c:pt idx="77">
                  <c:v>0.22584022462216469</c:v>
                </c:pt>
                <c:pt idx="78">
                  <c:v>0.22453270162077923</c:v>
                </c:pt>
                <c:pt idx="79">
                  <c:v>0.22324891965232918</c:v>
                </c:pt>
                <c:pt idx="80">
                  <c:v>0.22198816108662051</c:v>
                </c:pt>
                <c:pt idx="81">
                  <c:v>0.22074973843863005</c:v>
                </c:pt>
                <c:pt idx="82">
                  <c:v>0.21953299275563648</c:v>
                </c:pt>
                <c:pt idx="83">
                  <c:v>0.21833729210874508</c:v>
                </c:pt>
                <c:pt idx="84">
                  <c:v>0.21716203018091035</c:v>
                </c:pt>
                <c:pt idx="85">
                  <c:v>0.2160066249442337</c:v>
                </c:pt>
                <c:pt idx="86">
                  <c:v>0.21487051741993443</c:v>
                </c:pt>
                <c:pt idx="87">
                  <c:v>0.21375317051495146</c:v>
                </c:pt>
                <c:pt idx="88">
                  <c:v>0.21265406792963326</c:v>
                </c:pt>
                <c:pt idx="89">
                  <c:v>0.2115727131314335</c:v>
                </c:pt>
                <c:pt idx="90">
                  <c:v>0.2105086283899458</c:v>
                </c:pt>
                <c:pt idx="91">
                  <c:v>0.20946135386898654</c:v>
                </c:pt>
                <c:pt idx="92">
                  <c:v>0.20843044677177716</c:v>
                </c:pt>
                <c:pt idx="93">
                  <c:v>0.20741548053559183</c:v>
                </c:pt>
                <c:pt idx="94">
                  <c:v>0.20641604407251862</c:v>
                </c:pt>
                <c:pt idx="95">
                  <c:v>0.2054317410532413</c:v>
                </c:pt>
                <c:pt idx="96">
                  <c:v>0.20446218923098902</c:v>
                </c:pt>
                <c:pt idx="97">
                  <c:v>0.203507019803015</c:v>
                </c:pt>
                <c:pt idx="98">
                  <c:v>0.20256587680716368</c:v>
                </c:pt>
                <c:pt idx="99">
                  <c:v>0.20163841655126616</c:v>
                </c:pt>
                <c:pt idx="100">
                  <c:v>0.20072430707327538</c:v>
                </c:pt>
                <c:pt idx="101">
                  <c:v>0.19982322763019739</c:v>
                </c:pt>
                <c:pt idx="102">
                  <c:v>0.19893486821402051</c:v>
                </c:pt>
                <c:pt idx="103">
                  <c:v>0.19805892909297002</c:v>
                </c:pt>
                <c:pt idx="104">
                  <c:v>0.19719512037653664</c:v>
                </c:pt>
                <c:pt idx="105">
                  <c:v>0.19634316160283502</c:v>
                </c:pt>
                <c:pt idx="106">
                  <c:v>0.1955027813469464</c:v>
                </c:pt>
                <c:pt idx="107">
                  <c:v>0.19467371684899634</c:v>
                </c:pt>
                <c:pt idx="108">
                  <c:v>0.19385571366080204</c:v>
                </c:pt>
                <c:pt idx="109">
                  <c:v>0.19304852531000027</c:v>
                </c:pt>
                <c:pt idx="110">
                  <c:v>0.19225191298064276</c:v>
                </c:pt>
                <c:pt idx="111">
                  <c:v>0.19146564520931403</c:v>
                </c:pt>
                <c:pt idx="112">
                  <c:v>0.19068949759588369</c:v>
                </c:pt>
                <c:pt idx="113">
                  <c:v>0.18992325252806791</c:v>
                </c:pt>
                <c:pt idx="114">
                  <c:v>0.18916669891903018</c:v>
                </c:pt>
                <c:pt idx="115">
                  <c:v>0.18841963195729072</c:v>
                </c:pt>
                <c:pt idx="116">
                  <c:v>0.18768185286827155</c:v>
                </c:pt>
                <c:pt idx="117">
                  <c:v>0.1869531686868435</c:v>
                </c:pt>
                <c:pt idx="118">
                  <c:v>0.18623339204027406</c:v>
                </c:pt>
                <c:pt idx="119">
                  <c:v>0.18552234094102382</c:v>
                </c:pt>
                <c:pt idx="120">
                  <c:v>0.18481983858886275</c:v>
                </c:pt>
                <c:pt idx="121">
                  <c:v>0.1841257131818172</c:v>
                </c:pt>
                <c:pt idx="122">
                  <c:v>0.18343979773548466</c:v>
                </c:pt>
                <c:pt idx="123">
                  <c:v>0.18276192991027912</c:v>
                </c:pt>
                <c:pt idx="124">
                  <c:v>0.18209195184620153</c:v>
                </c:pt>
                <c:pt idx="125">
                  <c:v>0.18142971000475017</c:v>
                </c:pt>
                <c:pt idx="126">
                  <c:v>0.18077505501760704</c:v>
                </c:pt>
                <c:pt idx="127">
                  <c:v>0.18012784154175901</c:v>
                </c:pt>
                <c:pt idx="128">
                  <c:v>0.17948792812073663</c:v>
                </c:pt>
                <c:pt idx="129">
                  <c:v>0.17885517705166196</c:v>
                </c:pt>
                <c:pt idx="130">
                  <c:v>0.17822945425782294</c:v>
                </c:pt>
                <c:pt idx="131">
                  <c:v>0.17761062916650416</c:v>
                </c:pt>
                <c:pt idx="132">
                  <c:v>0.17699857459181914</c:v>
                </c:pt>
                <c:pt idx="133">
                  <c:v>0.17639316662230234</c:v>
                </c:pt>
                <c:pt idx="134">
                  <c:v>0.17579428451303741</c:v>
                </c:pt>
                <c:pt idx="135">
                  <c:v>0.17520181058210213</c:v>
                </c:pt>
                <c:pt idx="136">
                  <c:v>0.17461563011113004</c:v>
                </c:pt>
                <c:pt idx="137">
                  <c:v>0.17403563124979665</c:v>
                </c:pt>
                <c:pt idx="138">
                  <c:v>0.17346170492404581</c:v>
                </c:pt>
                <c:pt idx="139">
                  <c:v>0.17289374474788824</c:v>
                </c:pt>
                <c:pt idx="140">
                  <c:v>0.1723316469386032</c:v>
                </c:pt>
                <c:pt idx="141">
                  <c:v>0.17177531023519518</c:v>
                </c:pt>
                <c:pt idx="142">
                  <c:v>0.17122463581995476</c:v>
                </c:pt>
                <c:pt idx="143">
                  <c:v>0.17067952724298543</c:v>
                </c:pt>
                <c:pt idx="144">
                  <c:v>0.17013989034956595</c:v>
                </c:pt>
                <c:pt idx="145">
                  <c:v>0.16960563321022162</c:v>
                </c:pt>
                <c:pt idx="146">
                  <c:v>0.16907666605338659</c:v>
                </c:pt>
                <c:pt idx="147">
                  <c:v>0.16855290120054439</c:v>
                </c:pt>
                <c:pt idx="148">
                  <c:v>0.16803425300373828</c:v>
                </c:pt>
                <c:pt idx="149">
                  <c:v>0.1675206377853514</c:v>
                </c:pt>
                <c:pt idx="150">
                  <c:v>0.16701197378005891</c:v>
                </c:pt>
                <c:pt idx="151">
                  <c:v>0.16650818107885973</c:v>
                </c:pt>
                <c:pt idx="152">
                  <c:v>0.16600918157510083</c:v>
                </c:pt>
                <c:pt idx="153">
                  <c:v>0.16551489891241086</c:v>
                </c:pt>
                <c:pt idx="154">
                  <c:v>0.16502525843446333</c:v>
                </c:pt>
                <c:pt idx="155">
                  <c:v>0.16454018713649216</c:v>
                </c:pt>
                <c:pt idx="156">
                  <c:v>0.16405961361849314</c:v>
                </c:pt>
                <c:pt idx="157">
                  <c:v>0.1635834680400346</c:v>
                </c:pt>
                <c:pt idx="158">
                  <c:v>0.16311168207661869</c:v>
                </c:pt>
                <c:pt idx="159">
                  <c:v>0.16264418887752738</c:v>
                </c:pt>
                <c:pt idx="160">
                  <c:v>0.16218092302509526</c:v>
                </c:pt>
                <c:pt idx="161">
                  <c:v>0.16172182049535092</c:v>
                </c:pt>
                <c:pt idx="162">
                  <c:v>0.16126681861997441</c:v>
                </c:pt>
                <c:pt idx="163">
                  <c:v>0.16081585604951831</c:v>
                </c:pt>
                <c:pt idx="164">
                  <c:v>0.16036887271784223</c:v>
                </c:pt>
                <c:pt idx="165">
                  <c:v>0.15992580980771523</c:v>
                </c:pt>
                <c:pt idx="166">
                  <c:v>0.15948660971754022</c:v>
                </c:pt>
                <c:pt idx="167">
                  <c:v>0.1590512160291572</c:v>
                </c:pt>
                <c:pt idx="168">
                  <c:v>0.15861957347668418</c:v>
                </c:pt>
                <c:pt idx="169">
                  <c:v>0.15819162791635646</c:v>
                </c:pt>
                <c:pt idx="170">
                  <c:v>0.15776732629732809</c:v>
                </c:pt>
                <c:pt idx="171">
                  <c:v>0.157346616633396</c:v>
                </c:pt>
                <c:pt idx="172">
                  <c:v>0.15692944797561684</c:v>
                </c:pt>
                <c:pt idx="173">
                  <c:v>0.15651577038577894</c:v>
                </c:pt>
                <c:pt idx="174">
                  <c:v>0.15610553491070242</c:v>
                </c:pt>
                <c:pt idx="175">
                  <c:v>0.15569869355733296</c:v>
                </c:pt>
                <c:pt idx="176">
                  <c:v>0.15529519926860297</c:v>
                </c:pt>
                <c:pt idx="177">
                  <c:v>0.15489500590003191</c:v>
                </c:pt>
                <c:pt idx="178">
                  <c:v>0.15449806819703815</c:v>
                </c:pt>
                <c:pt idx="179">
                  <c:v>0.15410434177293833</c:v>
                </c:pt>
                <c:pt idx="180">
                  <c:v>0.15371378308760811</c:v>
                </c:pt>
                <c:pt idx="181">
                  <c:v>0.15332634942678233</c:v>
                </c:pt>
                <c:pt idx="182">
                  <c:v>0.15294199888197132</c:v>
                </c:pt>
                <c:pt idx="183">
                  <c:v>0.15256069033097192</c:v>
                </c:pt>
                <c:pt idx="184">
                  <c:v>0.15218238341895252</c:v>
                </c:pt>
                <c:pt idx="185">
                  <c:v>0.15180703854009206</c:v>
                </c:pt>
                <c:pt idx="186">
                  <c:v>0.15143461681975398</c:v>
                </c:pt>
                <c:pt idx="187">
                  <c:v>0.15106508009717742</c:v>
                </c:pt>
                <c:pt idx="188">
                  <c:v>0.15069839090866652</c:v>
                </c:pt>
                <c:pt idx="189">
                  <c:v>0.15033451247126228</c:v>
                </c:pt>
                <c:pt idx="190">
                  <c:v>0.1499734086668805</c:v>
                </c:pt>
                <c:pt idx="191">
                  <c:v>0.14961504402689893</c:v>
                </c:pt>
                <c:pt idx="192">
                  <c:v>0.14925938371718117</c:v>
                </c:pt>
                <c:pt idx="193">
                  <c:v>0.14890639352351961</c:v>
                </c:pt>
                <c:pt idx="194">
                  <c:v>0.14855603983748594</c:v>
                </c:pt>
                <c:pt idx="195">
                  <c:v>0.14820828964267493</c:v>
                </c:pt>
                <c:pt idx="196">
                  <c:v>0.14786311050132889</c:v>
                </c:pt>
                <c:pt idx="197">
                  <c:v>0.14752047054132961</c:v>
                </c:pt>
                <c:pt idx="198">
                  <c:v>0.14718033844354761</c:v>
                </c:pt>
                <c:pt idx="199">
                  <c:v>0.14684265458277421</c:v>
                </c:pt>
                <c:pt idx="200">
                  <c:v>0.14650574548846099</c:v>
                </c:pt>
                <c:pt idx="201">
                  <c:v>0.14616960938301912</c:v>
                </c:pt>
                <c:pt idx="202">
                  <c:v>0.14579174975684395</c:v>
                </c:pt>
                <c:pt idx="203">
                  <c:v>0.14541486692671887</c:v>
                </c:pt>
                <c:pt idx="204">
                  <c:v>0.14503895836755137</c:v>
                </c:pt>
                <c:pt idx="205">
                  <c:v>0.14466402156077648</c:v>
                </c:pt>
                <c:pt idx="206">
                  <c:v>0.14429005399433992</c:v>
                </c:pt>
                <c:pt idx="207">
                  <c:v>0.14391705316268119</c:v>
                </c:pt>
                <c:pt idx="208">
                  <c:v>0.14354501656671692</c:v>
                </c:pt>
                <c:pt idx="209">
                  <c:v>0.14317394171382408</c:v>
                </c:pt>
                <c:pt idx="210">
                  <c:v>0.14280382611782322</c:v>
                </c:pt>
                <c:pt idx="211">
                  <c:v>0.14243466729896181</c:v>
                </c:pt>
                <c:pt idx="212">
                  <c:v>0.14206646278389778</c:v>
                </c:pt>
                <c:pt idx="213">
                  <c:v>0.14169921010568279</c:v>
                </c:pt>
                <c:pt idx="214">
                  <c:v>0.14128567711822065</c:v>
                </c:pt>
                <c:pt idx="215">
                  <c:v>0.14087335097962941</c:v>
                </c:pt>
                <c:pt idx="216">
                  <c:v>0.14046222816785822</c:v>
                </c:pt>
                <c:pt idx="217">
                  <c:v>0.14005230517113496</c:v>
                </c:pt>
                <c:pt idx="218">
                  <c:v>0.13964357848793624</c:v>
                </c:pt>
                <c:pt idx="219">
                  <c:v>0.13923604462695743</c:v>
                </c:pt>
                <c:pt idx="220">
                  <c:v>0.13882970010708287</c:v>
                </c:pt>
                <c:pt idx="221">
                  <c:v>0.13842454145735622</c:v>
                </c:pt>
                <c:pt idx="222">
                  <c:v>0.13802056521695064</c:v>
                </c:pt>
                <c:pt idx="223">
                  <c:v>0.13761776793513933</c:v>
                </c:pt>
                <c:pt idx="224">
                  <c:v>0.1372161461712661</c:v>
                </c:pt>
                <c:pt idx="225">
                  <c:v>0.13681569649471587</c:v>
                </c:pt>
                <c:pt idx="226">
                  <c:v>0.13636388788252587</c:v>
                </c:pt>
                <c:pt idx="227">
                  <c:v>0.13591357128497517</c:v>
                </c:pt>
                <c:pt idx="228">
                  <c:v>0.13546474177496043</c:v>
                </c:pt>
                <c:pt idx="229">
                  <c:v>0.13501739444164929</c:v>
                </c:pt>
                <c:pt idx="230">
                  <c:v>0.13457152439042644</c:v>
                </c:pt>
                <c:pt idx="231">
                  <c:v>0.13412712674284016</c:v>
                </c:pt>
                <c:pt idx="232">
                  <c:v>0.13368419663654893</c:v>
                </c:pt>
                <c:pt idx="233">
                  <c:v>0.1332427292252682</c:v>
                </c:pt>
                <c:pt idx="234">
                  <c:v>0.13280271967871737</c:v>
                </c:pt>
                <c:pt idx="235">
                  <c:v>0.132364163182567</c:v>
                </c:pt>
                <c:pt idx="236">
                  <c:v>0.13192705493838602</c:v>
                </c:pt>
                <c:pt idx="237">
                  <c:v>0.13149139016358932</c:v>
                </c:pt>
                <c:pt idx="238">
                  <c:v>0.13099917877177983</c:v>
                </c:pt>
                <c:pt idx="239">
                  <c:v>0.13050880987364177</c:v>
                </c:pt>
                <c:pt idx="240">
                  <c:v>0.13002027657217322</c:v>
                </c:pt>
                <c:pt idx="241">
                  <c:v>0.12953357199618976</c:v>
                </c:pt>
                <c:pt idx="242">
                  <c:v>0.12904868930022784</c:v>
                </c:pt>
                <c:pt idx="243">
                  <c:v>0.12856562166444854</c:v>
                </c:pt>
                <c:pt idx="244">
                  <c:v>0.12808436229454162</c:v>
                </c:pt>
                <c:pt idx="245">
                  <c:v>0.12760490442162997</c:v>
                </c:pt>
                <c:pt idx="246">
                  <c:v>0.12712724130217443</c:v>
                </c:pt>
                <c:pt idx="247">
                  <c:v>0.12665136621787881</c:v>
                </c:pt>
                <c:pt idx="248">
                  <c:v>0.1261772724755956</c:v>
                </c:pt>
                <c:pt idx="249">
                  <c:v>0.1257049534072317</c:v>
                </c:pt>
                <c:pt idx="250">
                  <c:v>0.12517069586180538</c:v>
                </c:pt>
                <c:pt idx="251">
                  <c:v>0.12463870895979531</c:v>
                </c:pt>
                <c:pt idx="252">
                  <c:v>0.1241089830507594</c:v>
                </c:pt>
                <c:pt idx="253">
                  <c:v>0.12358150852527074</c:v>
                </c:pt>
                <c:pt idx="254">
                  <c:v>0.1230562758147434</c:v>
                </c:pt>
                <c:pt idx="255">
                  <c:v>0.12253327539125886</c:v>
                </c:pt>
                <c:pt idx="256">
                  <c:v>0.12201249776739305</c:v>
                </c:pt>
                <c:pt idx="257">
                  <c:v>0.12149393349604437</c:v>
                </c:pt>
                <c:pt idx="258">
                  <c:v>0.12097757317026225</c:v>
                </c:pt>
                <c:pt idx="259">
                  <c:v>0.12046340742307653</c:v>
                </c:pt>
                <c:pt idx="260">
                  <c:v>0.11995142692732749</c:v>
                </c:pt>
                <c:pt idx="261">
                  <c:v>0.11944162239549676</c:v>
                </c:pt>
                <c:pt idx="262">
                  <c:v>0.11886420938016638</c:v>
                </c:pt>
                <c:pt idx="263">
                  <c:v>0.11828958773507685</c:v>
                </c:pt>
                <c:pt idx="264">
                  <c:v>0.11771774396599158</c:v>
                </c:pt>
                <c:pt idx="265">
                  <c:v>0.11714866464390883</c:v>
                </c:pt>
                <c:pt idx="266">
                  <c:v>0.11658233640474622</c:v>
                </c:pt>
                <c:pt idx="267">
                  <c:v>0.11601874594902696</c:v>
                </c:pt>
                <c:pt idx="268">
                  <c:v>0.11545788004156754</c:v>
                </c:pt>
                <c:pt idx="269">
                  <c:v>0.11489972551116685</c:v>
                </c:pt>
                <c:pt idx="270">
                  <c:v>0.11434426925029695</c:v>
                </c:pt>
                <c:pt idx="271">
                  <c:v>0.11379149821479523</c:v>
                </c:pt>
                <c:pt idx="272">
                  <c:v>0.11324139942355808</c:v>
                </c:pt>
                <c:pt idx="273">
                  <c:v>0.11269395995823604</c:v>
                </c:pt>
                <c:pt idx="274">
                  <c:v>0.11207212444411808</c:v>
                </c:pt>
                <c:pt idx="275">
                  <c:v>0.11145372016452915</c:v>
                </c:pt>
                <c:pt idx="276">
                  <c:v>0.11083872818621414</c:v>
                </c:pt>
                <c:pt idx="277">
                  <c:v>0.11022712968039008</c:v>
                </c:pt>
                <c:pt idx="278">
                  <c:v>0.10961890592216958</c:v>
                </c:pt>
                <c:pt idx="279">
                  <c:v>0.10901403828998751</c:v>
                </c:pt>
                <c:pt idx="280">
                  <c:v>0.10841250826503099</c:v>
                </c:pt>
                <c:pt idx="281">
                  <c:v>0.10781429743067229</c:v>
                </c:pt>
                <c:pt idx="282">
                  <c:v>0.1072193874719051</c:v>
                </c:pt>
                <c:pt idx="283">
                  <c:v>0.10662776017478366</c:v>
                </c:pt>
                <c:pt idx="284">
                  <c:v>0.10603939742586523</c:v>
                </c:pt>
                <c:pt idx="285">
                  <c:v>0.10545428121165545</c:v>
                </c:pt>
                <c:pt idx="286">
                  <c:v>0.10478933155543117</c:v>
                </c:pt>
                <c:pt idx="287">
                  <c:v>0.10412857478772913</c:v>
                </c:pt>
                <c:pt idx="288">
                  <c:v>0.10347198446998515</c:v>
                </c:pt>
                <c:pt idx="289">
                  <c:v>0.10281953433034534</c:v>
                </c:pt>
                <c:pt idx="290">
                  <c:v>0.10217119826261491</c:v>
                </c:pt>
                <c:pt idx="291">
                  <c:v>0.10152695032521358</c:v>
                </c:pt>
                <c:pt idx="292">
                  <c:v>0.10088676474013761</c:v>
                </c:pt>
                <c:pt idx="293">
                  <c:v>0.1002506158919283</c:v>
                </c:pt>
                <c:pt idx="294">
                  <c:v>9.9618478326647136E-2</c:v>
                </c:pt>
                <c:pt idx="295">
                  <c:v>9.8990326750857269E-2</c:v>
                </c:pt>
                <c:pt idx="296">
                  <c:v>9.8366136030611423E-2</c:v>
                </c:pt>
                <c:pt idx="297">
                  <c:v>9.7745881190446277E-2</c:v>
                </c:pt>
                <c:pt idx="298">
                  <c:v>9.7042461360163076E-2</c:v>
                </c:pt>
                <c:pt idx="299">
                  <c:v>9.6344103630211966E-2</c:v>
                </c:pt>
                <c:pt idx="300">
                  <c:v>9.5650771571623133E-2</c:v>
                </c:pt>
                <c:pt idx="301">
                  <c:v>9.4962429017584712E-2</c:v>
                </c:pt>
                <c:pt idx="302">
                  <c:v>9.4279040061556157E-2</c:v>
                </c:pt>
                <c:pt idx="303">
                  <c:v>9.3600569055395294E-2</c:v>
                </c:pt>
                <c:pt idx="304">
                  <c:v>9.2926980607498696E-2</c:v>
                </c:pt>
                <c:pt idx="305">
                  <c:v>9.2258239580955623E-2</c:v>
                </c:pt>
                <c:pt idx="306">
                  <c:v>9.1594311091715036E-2</c:v>
                </c:pt>
                <c:pt idx="307">
                  <c:v>9.0935160506766005E-2</c:v>
                </c:pt>
                <c:pt idx="308">
                  <c:v>9.028075344233108E-2</c:v>
                </c:pt>
                <c:pt idx="309">
                  <c:v>8.9631055762072698E-2</c:v>
                </c:pt>
                <c:pt idx="310">
                  <c:v>8.8894867605733535E-2</c:v>
                </c:pt>
                <c:pt idx="311">
                  <c:v>8.8164726159398257E-2</c:v>
                </c:pt>
                <c:pt idx="312">
                  <c:v>8.7440581758179467E-2</c:v>
                </c:pt>
                <c:pt idx="313">
                  <c:v>8.6722385145114281E-2</c:v>
                </c:pt>
                <c:pt idx="314">
                  <c:v>8.6010087467813787E-2</c:v>
                </c:pt>
                <c:pt idx="315">
                  <c:v>8.5303640275140064E-2</c:v>
                </c:pt>
                <c:pt idx="316">
                  <c:v>8.460299551391047E-2</c:v>
                </c:pt>
                <c:pt idx="317">
                  <c:v>8.3908105525629079E-2</c:v>
                </c:pt>
                <c:pt idx="318">
                  <c:v>8.3218923043244852E-2</c:v>
                </c:pt>
                <c:pt idx="319">
                  <c:v>8.2535401187936522E-2</c:v>
                </c:pt>
                <c:pt idx="320">
                  <c:v>8.1857493465923817E-2</c:v>
                </c:pt>
                <c:pt idx="321">
                  <c:v>8.1185153765304982E-2</c:v>
                </c:pt>
                <c:pt idx="322">
                  <c:v>8.042476557485001E-2</c:v>
                </c:pt>
                <c:pt idx="323">
                  <c:v>7.9671499255492995E-2</c:v>
                </c:pt>
                <c:pt idx="324">
                  <c:v>7.8925288103083899E-2</c:v>
                </c:pt>
                <c:pt idx="325">
                  <c:v>7.8186066038230362E-2</c:v>
                </c:pt>
                <c:pt idx="326">
                  <c:v>7.7453767600446172E-2</c:v>
                </c:pt>
                <c:pt idx="327">
                  <c:v>7.6728327942354499E-2</c:v>
                </c:pt>
                <c:pt idx="328">
                  <c:v>7.6009682823945476E-2</c:v>
                </c:pt>
                <c:pt idx="329">
                  <c:v>7.5297768606887527E-2</c:v>
                </c:pt>
                <c:pt idx="330">
                  <c:v>7.4592522248891999E-2</c:v>
                </c:pt>
                <c:pt idx="331">
                  <c:v>7.3893881298130543E-2</c:v>
                </c:pt>
                <c:pt idx="332">
                  <c:v>7.3201783887704847E-2</c:v>
                </c:pt>
                <c:pt idx="333">
                  <c:v>7.2516168730168071E-2</c:v>
                </c:pt>
                <c:pt idx="334">
                  <c:v>7.1741796451323586E-2</c:v>
                </c:pt>
                <c:pt idx="335">
                  <c:v>7.0975693396250067E-2</c:v>
                </c:pt>
                <c:pt idx="336">
                  <c:v>7.02177712610869E-2</c:v>
                </c:pt>
                <c:pt idx="337">
                  <c:v>6.9467942684936446E-2</c:v>
                </c:pt>
                <c:pt idx="338">
                  <c:v>6.8726121239794491E-2</c:v>
                </c:pt>
                <c:pt idx="339">
                  <c:v>6.7992221420588209E-2</c:v>
                </c:pt>
                <c:pt idx="340">
                  <c:v>6.7266158635320636E-2</c:v>
                </c:pt>
                <c:pt idx="341">
                  <c:v>6.6547849195320155E-2</c:v>
                </c:pt>
                <c:pt idx="342">
                  <c:v>6.5837210305594307E-2</c:v>
                </c:pt>
                <c:pt idx="343">
                  <c:v>6.5134160055286522E-2</c:v>
                </c:pt>
                <c:pt idx="344">
                  <c:v>6.4438617408234755E-2</c:v>
                </c:pt>
                <c:pt idx="345">
                  <c:v>6.3750502193630987E-2</c:v>
                </c:pt>
                <c:pt idx="346">
                  <c:v>6.297645656192663E-2</c:v>
                </c:pt>
                <c:pt idx="347">
                  <c:v>6.2211809234852741E-2</c:v>
                </c:pt>
                <c:pt idx="348">
                  <c:v>6.145644610010597E-2</c:v>
                </c:pt>
                <c:pt idx="349">
                  <c:v>6.0710254430911346E-2</c:v>
                </c:pt>
                <c:pt idx="350">
                  <c:v>5.9973122869199487E-2</c:v>
                </c:pt>
                <c:pt idx="351">
                  <c:v>5.9244941408988026E-2</c:v>
                </c:pt>
                <c:pt idx="352">
                  <c:v>5.8525601379964869E-2</c:v>
                </c:pt>
                <c:pt idx="353">
                  <c:v>5.7814995431270742E-2</c:v>
                </c:pt>
                <c:pt idx="354">
                  <c:v>5.711301751547869E-2</c:v>
                </c:pt>
                <c:pt idx="355">
                  <c:v>5.6419562872768017E-2</c:v>
                </c:pt>
                <c:pt idx="356">
                  <c:v>5.5734528015290483E-2</c:v>
                </c:pt>
                <c:pt idx="357">
                  <c:v>5.5057810711726253E-2</c:v>
                </c:pt>
                <c:pt idx="358">
                  <c:v>5.430200103302258E-2</c:v>
                </c:pt>
                <c:pt idx="359">
                  <c:v>5.3556566780857622E-2</c:v>
                </c:pt>
                <c:pt idx="360">
                  <c:v>5.2821365525888522E-2</c:v>
                </c:pt>
                <c:pt idx="361">
                  <c:v>5.20962567939805E-2</c:v>
                </c:pt>
                <c:pt idx="362">
                  <c:v>5.1381102039366605E-2</c:v>
                </c:pt>
                <c:pt idx="363">
                  <c:v>5.0675764618175904E-2</c:v>
                </c:pt>
                <c:pt idx="364">
                  <c:v>4.9980109762325101E-2</c:v>
                </c:pt>
                <c:pt idx="365">
                  <c:v>4.929400455376852E-2</c:v>
                </c:pt>
                <c:pt idx="366">
                  <c:v>4.8617317899101613E-2</c:v>
                </c:pt>
                <c:pt idx="367">
                  <c:v>4.7949920504513084E-2</c:v>
                </c:pt>
                <c:pt idx="368">
                  <c:v>4.7291684851080824E-2</c:v>
                </c:pt>
                <c:pt idx="369">
                  <c:v>4.6642485170407026E-2</c:v>
                </c:pt>
                <c:pt idx="370">
                  <c:v>4.5923720080735801E-2</c:v>
                </c:pt>
                <c:pt idx="371">
                  <c:v>4.5216031228795958E-2</c:v>
                </c:pt>
                <c:pt idx="372">
                  <c:v>4.4519247928720813E-2</c:v>
                </c:pt>
                <c:pt idx="373">
                  <c:v>4.3833202124928937E-2</c:v>
                </c:pt>
                <c:pt idx="374">
                  <c:v>4.3157728351591269E-2</c:v>
                </c:pt>
                <c:pt idx="375">
                  <c:v>4.2492663692722726E-2</c:v>
                </c:pt>
                <c:pt idx="376">
                  <c:v>4.1837847742888928E-2</c:v>
                </c:pt>
                <c:pt idx="377">
                  <c:v>4.1193122568518342E-2</c:v>
                </c:pt>
                <c:pt idx="378">
                  <c:v>4.0558332669810626E-2</c:v>
                </c:pt>
                <c:pt idx="379">
                  <c:v>3.9933324943232033E-2</c:v>
                </c:pt>
                <c:pt idx="380">
                  <c:v>3.9317948644588686E-2</c:v>
                </c:pt>
                <c:pt idx="381">
                  <c:v>3.8712055352668931E-2</c:v>
                </c:pt>
                <c:pt idx="382">
                  <c:v>3.8047941087946485E-2</c:v>
                </c:pt>
                <c:pt idx="383">
                  <c:v>3.7395219857062983E-2</c:v>
                </c:pt>
                <c:pt idx="384">
                  <c:v>3.6753696209887395E-2</c:v>
                </c:pt>
                <c:pt idx="385">
                  <c:v>3.6123178049280912E-2</c:v>
                </c:pt>
                <c:pt idx="386">
                  <c:v>3.5503476573575561E-2</c:v>
                </c:pt>
                <c:pt idx="387">
                  <c:v>3.4894406220039684E-2</c:v>
                </c:pt>
                <c:pt idx="388">
                  <c:v>3.4295784609313193E-2</c:v>
                </c:pt>
                <c:pt idx="389">
                  <c:v>3.3707432490796108E-2</c:v>
                </c:pt>
                <c:pt idx="390">
                  <c:v>3.312917368897398E-2</c:v>
                </c:pt>
                <c:pt idx="391">
                  <c:v>3.2560835050664039E-2</c:v>
                </c:pt>
                <c:pt idx="392">
                  <c:v>3.2002246393166435E-2</c:v>
                </c:pt>
                <c:pt idx="393">
                  <c:v>3.1453240453304894E-2</c:v>
                </c:pt>
                <c:pt idx="394">
                  <c:v>3.085832906785264E-2</c:v>
                </c:pt>
                <c:pt idx="395">
                  <c:v>3.0274669927047998E-2</c:v>
                </c:pt>
                <c:pt idx="396">
                  <c:v>2.9702050204220128E-2</c:v>
                </c:pt>
                <c:pt idx="397">
                  <c:v>2.9140261098134293E-2</c:v>
                </c:pt>
                <c:pt idx="398">
                  <c:v>2.8589097756854146E-2</c:v>
                </c:pt>
                <c:pt idx="399">
                  <c:v>2.804835920304409E-2</c:v>
                </c:pt>
                <c:pt idx="400">
                  <c:v>2.7517848260684506E-2</c:v>
                </c:pt>
                <c:pt idx="401">
                  <c:v>2.6997371483173063E-2</c:v>
                </c:pt>
                <c:pt idx="402">
                  <c:v>2.6486739082785968E-2</c:v>
                </c:pt>
                <c:pt idx="403">
                  <c:v>2.5985764861473363E-2</c:v>
                </c:pt>
                <c:pt idx="404">
                  <c:v>2.5494266142963701E-2</c:v>
                </c:pt>
                <c:pt idx="405">
                  <c:v>2.5012063706152287E-2</c:v>
                </c:pt>
                <c:pt idx="406">
                  <c:v>2.4516030520609362E-2</c:v>
                </c:pt>
                <c:pt idx="407">
                  <c:v>2.4029834544984439E-2</c:v>
                </c:pt>
                <c:pt idx="408">
                  <c:v>2.3553280690114555E-2</c:v>
                </c:pt>
                <c:pt idx="409">
                  <c:v>2.3086177735797738E-2</c:v>
                </c:pt>
                <c:pt idx="410">
                  <c:v>2.2628338254064725E-2</c:v>
                </c:pt>
                <c:pt idx="411">
                  <c:v>2.2179578533972309E-2</c:v>
                </c:pt>
                <c:pt idx="412">
                  <c:v>2.1739718507888191E-2</c:v>
                </c:pt>
                <c:pt idx="413">
                  <c:v>2.1308581679237711E-2</c:v>
                </c:pt>
                <c:pt idx="414">
                  <c:v>2.0885995051683506E-2</c:v>
                </c:pt>
                <c:pt idx="415">
                  <c:v>2.0471789059709637E-2</c:v>
                </c:pt>
                <c:pt idx="416">
                  <c:v>2.0065797500582402E-2</c:v>
                </c:pt>
                <c:pt idx="417">
                  <c:v>1.9667857467660411E-2</c:v>
                </c:pt>
                <c:pt idx="418">
                  <c:v>1.9232915879718572E-2</c:v>
                </c:pt>
                <c:pt idx="419">
                  <c:v>1.8807592735739544E-2</c:v>
                </c:pt>
                <c:pt idx="420">
                  <c:v>1.8391675330231769E-2</c:v>
                </c:pt>
                <c:pt idx="421">
                  <c:v>1.7984955661544164E-2</c:v>
                </c:pt>
                <c:pt idx="422">
                  <c:v>1.7587230327843841E-2</c:v>
                </c:pt>
                <c:pt idx="423">
                  <c:v>1.7198300425394164E-2</c:v>
                </c:pt>
                <c:pt idx="424">
                  <c:v>1.6817971449082359E-2</c:v>
                </c:pt>
                <c:pt idx="425">
                  <c:v>1.6446053195146863E-2</c:v>
                </c:pt>
                <c:pt idx="426">
                  <c:v>1.6082359666055812E-2</c:v>
                </c:pt>
                <c:pt idx="427">
                  <c:v>1.5726708977489061E-2</c:v>
                </c:pt>
                <c:pt idx="428">
                  <c:v>1.5378923267377241E-2</c:v>
                </c:pt>
                <c:pt idx="429">
                  <c:v>1.5038828606952366E-2</c:v>
                </c:pt>
                <c:pt idx="430">
                  <c:v>1.4677547350116751E-2</c:v>
                </c:pt>
                <c:pt idx="431">
                  <c:v>1.4324945236447936E-2</c:v>
                </c:pt>
                <c:pt idx="432">
                  <c:v>1.3980813764882876E-2</c:v>
                </c:pt>
                <c:pt idx="433">
                  <c:v>1.3644949443227765E-2</c:v>
                </c:pt>
                <c:pt idx="434">
                  <c:v>1.3317153667828823E-2</c:v>
                </c:pt>
                <c:pt idx="435">
                  <c:v>1.2997232606133766E-2</c:v>
                </c:pt>
                <c:pt idx="436">
                  <c:v>1.2684997082074526E-2</c:v>
                </c:pt>
                <c:pt idx="437">
                  <c:v>1.2380262464203465E-2</c:v>
                </c:pt>
                <c:pt idx="438">
                  <c:v>1.20828485565169E-2</c:v>
                </c:pt>
                <c:pt idx="439">
                  <c:v>1.1792579491901404E-2</c:v>
                </c:pt>
                <c:pt idx="440">
                  <c:v>1.1509283628139884E-2</c:v>
                </c:pt>
                <c:pt idx="441">
                  <c:v>1.1232793446415911E-2</c:v>
                </c:pt>
                <c:pt idx="442">
                  <c:v>1.0942006372613671E-2</c:v>
                </c:pt>
                <c:pt idx="443">
                  <c:v>1.0658747000864697E-2</c:v>
                </c:pt>
                <c:pt idx="444">
                  <c:v>1.0382820459032953E-2</c:v>
                </c:pt>
                <c:pt idx="445">
                  <c:v>1.0114036919702446E-2</c:v>
                </c:pt>
                <c:pt idx="446">
                  <c:v>9.8522114695828687E-3</c:v>
                </c:pt>
                <c:pt idx="447">
                  <c:v>9.5971639822959951E-3</c:v>
                </c:pt>
                <c:pt idx="448">
                  <c:v>9.3487189944552792E-3</c:v>
                </c:pt>
                <c:pt idx="449">
                  <c:v>9.1067055849534378E-3</c:v>
                </c:pt>
                <c:pt idx="450">
                  <c:v>8.8709572573749552E-3</c:v>
                </c:pt>
                <c:pt idx="451">
                  <c:v>8.6413118254526008E-3</c:v>
                </c:pt>
                <c:pt idx="452">
                  <c:v>8.4176113014891862E-3</c:v>
                </c:pt>
                <c:pt idx="453">
                  <c:v>8.1997017876677871E-3</c:v>
                </c:pt>
                <c:pt idx="454">
                  <c:v>7.9714464894803314E-3</c:v>
                </c:pt>
                <c:pt idx="455">
                  <c:v>7.7495451395826788E-3</c:v>
                </c:pt>
                <c:pt idx="456">
                  <c:v>7.5338208629616744E-3</c:v>
                </c:pt>
                <c:pt idx="457">
                  <c:v>7.324101708278209E-3</c:v>
                </c:pt>
                <c:pt idx="458">
                  <c:v>7.1202205108067832E-3</c:v>
                </c:pt>
                <c:pt idx="459">
                  <c:v>6.9220147591904316E-3</c:v>
                </c:pt>
                <c:pt idx="460">
                  <c:v>6.7293264659047843E-3</c:v>
                </c:pt>
                <c:pt idx="461">
                  <c:v>6.5420020413280329E-3</c:v>
                </c:pt>
                <c:pt idx="462">
                  <c:v>6.3598921713164079E-3</c:v>
                </c:pt>
                <c:pt idx="463">
                  <c:v>6.1828516981875933E-3</c:v>
                </c:pt>
                <c:pt idx="464">
                  <c:v>6.0107395050172088E-3</c:v>
                </c:pt>
                <c:pt idx="465">
                  <c:v>5.8434184031561313E-3</c:v>
                </c:pt>
                <c:pt idx="466">
                  <c:v>5.6687848415081024E-3</c:v>
                </c:pt>
                <c:pt idx="467">
                  <c:v>5.4993702935862516E-3</c:v>
                </c:pt>
                <c:pt idx="468">
                  <c:v>5.3350187864835558E-3</c:v>
                </c:pt>
                <c:pt idx="469">
                  <c:v>5.1755790086234679E-3</c:v>
                </c:pt>
                <c:pt idx="470">
                  <c:v>5.0209041704536534E-3</c:v>
                </c:pt>
                <c:pt idx="471">
                  <c:v>4.870851869302981E-3</c:v>
                </c:pt>
                <c:pt idx="472">
                  <c:v>4.7252839582773206E-3</c:v>
                </c:pt>
                <c:pt idx="473">
                  <c:v>4.5840664190734586E-3</c:v>
                </c:pt>
                <c:pt idx="474">
                  <c:v>4.4470692385940418E-3</c:v>
                </c:pt>
                <c:pt idx="475">
                  <c:v>4.3141662892499377E-3</c:v>
                </c:pt>
                <c:pt idx="476">
                  <c:v>4.1852352128398254E-3</c:v>
                </c:pt>
                <c:pt idx="477">
                  <c:v>4.0601573079001065E-3</c:v>
                </c:pt>
                <c:pt idx="478">
                  <c:v>1.4936484014984389E-3</c:v>
                </c:pt>
                <c:pt idx="479">
                  <c:v>5.4948253924986385E-4</c:v>
                </c:pt>
                <c:pt idx="480">
                  <c:v>2.0214332947270504E-4</c:v>
                </c:pt>
              </c:numCache>
              <c:extLst xmlns:c15="http://schemas.microsoft.com/office/drawing/2012/chart"/>
            </c:numRef>
          </c:yVal>
          <c:smooth val="1"/>
          <c:extLst xmlns:c15="http://schemas.microsoft.com/office/drawing/2012/chart">
            <c:ext xmlns:c16="http://schemas.microsoft.com/office/drawing/2014/chart" uri="{C3380CC4-5D6E-409C-BE32-E72D297353CC}">
              <c16:uniqueId val="{00000000-1E17-4A59-B22C-D4C39BC92F57}"/>
            </c:ext>
          </c:extLst>
        </c:ser>
        <c:ser>
          <c:idx val="1"/>
          <c:order val="1"/>
          <c:tx>
            <c:v>PFS NIVO</c:v>
          </c:tx>
          <c:spPr>
            <a:ln w="19050" cap="rnd">
              <a:solidFill>
                <a:srgbClr val="FF0000"/>
              </a:solidFill>
              <a:prstDash val="dash"/>
              <a:round/>
            </a:ln>
            <a:effectLst/>
          </c:spPr>
          <c:marker>
            <c:symbol val="none"/>
          </c:marker>
          <c:xVal>
            <c:numRef>
              <c:f>'Markov Trace'!$C$28:$C$508</c:f>
              <c:numCache>
                <c:formatCode>0.0</c:formatCode>
                <c:ptCount val="48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pt idx="421">
                  <c:v>35.083333333333336</c:v>
                </c:pt>
                <c:pt idx="422">
                  <c:v>35.166666666666664</c:v>
                </c:pt>
                <c:pt idx="423">
                  <c:v>35.25</c:v>
                </c:pt>
                <c:pt idx="424">
                  <c:v>35.333333333333336</c:v>
                </c:pt>
                <c:pt idx="425">
                  <c:v>35.416666666666664</c:v>
                </c:pt>
                <c:pt idx="426">
                  <c:v>35.5</c:v>
                </c:pt>
                <c:pt idx="427">
                  <c:v>35.583333333333336</c:v>
                </c:pt>
                <c:pt idx="428">
                  <c:v>35.666666666666664</c:v>
                </c:pt>
                <c:pt idx="429">
                  <c:v>35.75</c:v>
                </c:pt>
                <c:pt idx="430">
                  <c:v>35.833333333333336</c:v>
                </c:pt>
                <c:pt idx="431">
                  <c:v>35.916666666666664</c:v>
                </c:pt>
                <c:pt idx="432">
                  <c:v>36</c:v>
                </c:pt>
                <c:pt idx="433">
                  <c:v>36.083333333333336</c:v>
                </c:pt>
                <c:pt idx="434">
                  <c:v>36.166666666666664</c:v>
                </c:pt>
                <c:pt idx="435">
                  <c:v>36.25</c:v>
                </c:pt>
                <c:pt idx="436">
                  <c:v>36.333333333333336</c:v>
                </c:pt>
                <c:pt idx="437">
                  <c:v>36.416666666666664</c:v>
                </c:pt>
                <c:pt idx="438">
                  <c:v>36.5</c:v>
                </c:pt>
                <c:pt idx="439">
                  <c:v>36.583333333333336</c:v>
                </c:pt>
                <c:pt idx="440">
                  <c:v>36.666666666666664</c:v>
                </c:pt>
                <c:pt idx="441">
                  <c:v>36.75</c:v>
                </c:pt>
                <c:pt idx="442">
                  <c:v>36.833333333333336</c:v>
                </c:pt>
                <c:pt idx="443">
                  <c:v>36.916666666666664</c:v>
                </c:pt>
                <c:pt idx="444">
                  <c:v>37</c:v>
                </c:pt>
                <c:pt idx="445">
                  <c:v>37.083333333333336</c:v>
                </c:pt>
                <c:pt idx="446">
                  <c:v>37.166666666666664</c:v>
                </c:pt>
                <c:pt idx="447">
                  <c:v>37.25</c:v>
                </c:pt>
                <c:pt idx="448">
                  <c:v>37.333333333333336</c:v>
                </c:pt>
                <c:pt idx="449">
                  <c:v>37.416666666666664</c:v>
                </c:pt>
                <c:pt idx="450">
                  <c:v>37.5</c:v>
                </c:pt>
                <c:pt idx="451">
                  <c:v>37.583333333333336</c:v>
                </c:pt>
                <c:pt idx="452">
                  <c:v>37.666666666666664</c:v>
                </c:pt>
                <c:pt idx="453">
                  <c:v>37.75</c:v>
                </c:pt>
                <c:pt idx="454">
                  <c:v>37.833333333333336</c:v>
                </c:pt>
                <c:pt idx="455">
                  <c:v>37.916666666666664</c:v>
                </c:pt>
                <c:pt idx="456">
                  <c:v>38</c:v>
                </c:pt>
                <c:pt idx="457">
                  <c:v>38.083333333333336</c:v>
                </c:pt>
                <c:pt idx="458">
                  <c:v>38.166666666666664</c:v>
                </c:pt>
                <c:pt idx="459">
                  <c:v>38.25</c:v>
                </c:pt>
                <c:pt idx="460">
                  <c:v>38.333333333333336</c:v>
                </c:pt>
                <c:pt idx="461">
                  <c:v>38.416666666666664</c:v>
                </c:pt>
                <c:pt idx="462">
                  <c:v>38.5</c:v>
                </c:pt>
                <c:pt idx="463">
                  <c:v>38.583333333333336</c:v>
                </c:pt>
                <c:pt idx="464">
                  <c:v>38.666666666666664</c:v>
                </c:pt>
                <c:pt idx="465">
                  <c:v>38.75</c:v>
                </c:pt>
                <c:pt idx="466">
                  <c:v>38.833333333333336</c:v>
                </c:pt>
                <c:pt idx="467">
                  <c:v>38.916666666666664</c:v>
                </c:pt>
                <c:pt idx="468">
                  <c:v>39</c:v>
                </c:pt>
                <c:pt idx="469">
                  <c:v>39.083333333333336</c:v>
                </c:pt>
                <c:pt idx="470">
                  <c:v>39.166666666666664</c:v>
                </c:pt>
                <c:pt idx="471">
                  <c:v>39.25</c:v>
                </c:pt>
                <c:pt idx="472">
                  <c:v>39.333333333333336</c:v>
                </c:pt>
                <c:pt idx="473">
                  <c:v>39.416666666666664</c:v>
                </c:pt>
                <c:pt idx="474">
                  <c:v>39.5</c:v>
                </c:pt>
                <c:pt idx="475">
                  <c:v>39.583333333333336</c:v>
                </c:pt>
                <c:pt idx="476">
                  <c:v>39.666666666666664</c:v>
                </c:pt>
                <c:pt idx="477">
                  <c:v>39.75</c:v>
                </c:pt>
                <c:pt idx="478">
                  <c:v>39.833333333333336</c:v>
                </c:pt>
                <c:pt idx="479">
                  <c:v>39.916666666666664</c:v>
                </c:pt>
                <c:pt idx="480">
                  <c:v>40</c:v>
                </c:pt>
              </c:numCache>
            </c:numRef>
          </c:xVal>
          <c:yVal>
            <c:numRef>
              <c:f>'Markov Trace'!$S$28:$S$508</c:f>
              <c:numCache>
                <c:formatCode>#,##0.000</c:formatCode>
                <c:ptCount val="481"/>
                <c:pt idx="0">
                  <c:v>1</c:v>
                </c:pt>
                <c:pt idx="1">
                  <c:v>0.95877004179923808</c:v>
                </c:pt>
                <c:pt idx="2">
                  <c:v>0.88379029915109286</c:v>
                </c:pt>
                <c:pt idx="3">
                  <c:v>0.57494479302910639</c:v>
                </c:pt>
                <c:pt idx="4">
                  <c:v>0.54068435663793224</c:v>
                </c:pt>
                <c:pt idx="5">
                  <c:v>0.46659180235822501</c:v>
                </c:pt>
                <c:pt idx="6">
                  <c:v>0.44927165372348521</c:v>
                </c:pt>
                <c:pt idx="7">
                  <c:v>0.43276199834457174</c:v>
                </c:pt>
                <c:pt idx="8">
                  <c:v>0.41523774161502447</c:v>
                </c:pt>
                <c:pt idx="9">
                  <c:v>0.40279212916900692</c:v>
                </c:pt>
                <c:pt idx="10">
                  <c:v>0.39303406823923109</c:v>
                </c:pt>
                <c:pt idx="11">
                  <c:v>0.37849857720810209</c:v>
                </c:pt>
                <c:pt idx="12">
                  <c:v>0.36898598008071826</c:v>
                </c:pt>
                <c:pt idx="13">
                  <c:v>0.36452958000393049</c:v>
                </c:pt>
                <c:pt idx="14">
                  <c:v>0.36080685321225703</c:v>
                </c:pt>
                <c:pt idx="15">
                  <c:v>0.34689123797721644</c:v>
                </c:pt>
                <c:pt idx="16">
                  <c:v>0.34078377815441419</c:v>
                </c:pt>
                <c:pt idx="17">
                  <c:v>0.3365225940508883</c:v>
                </c:pt>
                <c:pt idx="18">
                  <c:v>0.32600913573405776</c:v>
                </c:pt>
                <c:pt idx="19">
                  <c:v>0.31858874726920294</c:v>
                </c:pt>
                <c:pt idx="20">
                  <c:v>0.30994860404566565</c:v>
                </c:pt>
                <c:pt idx="21">
                  <c:v>0.3019156301456139</c:v>
                </c:pt>
                <c:pt idx="22">
                  <c:v>0.29442312112236263</c:v>
                </c:pt>
                <c:pt idx="23">
                  <c:v>0.28741412541938977</c:v>
                </c:pt>
                <c:pt idx="24">
                  <c:v>0.28083969211837045</c:v>
                </c:pt>
                <c:pt idx="25">
                  <c:v>0.27465748760146919</c:v>
                </c:pt>
                <c:pt idx="26">
                  <c:v>0.26883069291959</c:v>
                </c:pt>
                <c:pt idx="27">
                  <c:v>0.26332711708643297</c:v>
                </c:pt>
                <c:pt idx="28">
                  <c:v>0.25811847814659078</c:v>
                </c:pt>
                <c:pt idx="29">
                  <c:v>0.25317981582420973</c:v>
                </c:pt>
                <c:pt idx="30">
                  <c:v>0.24848900826398976</c:v>
                </c:pt>
                <c:pt idx="31">
                  <c:v>0.24402637178556158</c:v>
                </c:pt>
                <c:pt idx="32">
                  <c:v>0.2397743273412114</c:v>
                </c:pt>
                <c:pt idx="33">
                  <c:v>0.23571712095041325</c:v>
                </c:pt>
                <c:pt idx="34">
                  <c:v>0.23184058810233316</c:v>
                </c:pt>
                <c:pt idx="35">
                  <c:v>0.22813195419642723</c:v>
                </c:pt>
                <c:pt idx="36">
                  <c:v>0.22457966469459195</c:v>
                </c:pt>
                <c:pt idx="37">
                  <c:v>0.22117323990431867</c:v>
                </c:pt>
                <c:pt idx="38">
                  <c:v>0.21790315028762497</c:v>
                </c:pt>
                <c:pt idx="39">
                  <c:v>0.21476070895918314</c:v>
                </c:pt>
                <c:pt idx="40">
                  <c:v>0.21173797864677049</c:v>
                </c:pt>
                <c:pt idx="41">
                  <c:v>0.20882769087372691</c:v>
                </c:pt>
                <c:pt idx="42">
                  <c:v>0.20602317551368299</c:v>
                </c:pt>
                <c:pt idx="43">
                  <c:v>0.20331829918304317</c:v>
                </c:pt>
                <c:pt idx="44">
                  <c:v>0.20070741119248803</c:v>
                </c:pt>
                <c:pt idx="45">
                  <c:v>0.19818529598730109</c:v>
                </c:pt>
                <c:pt idx="46">
                  <c:v>0.19574713117719514</c:v>
                </c:pt>
                <c:pt idx="47">
                  <c:v>0.19338845039694039</c:v>
                </c:pt>
                <c:pt idx="48">
                  <c:v>0.19110511035532868</c:v>
                </c:pt>
                <c:pt idx="49">
                  <c:v>0.18889326152649408</c:v>
                </c:pt>
                <c:pt idx="50">
                  <c:v>0.1867493220180059</c:v>
                </c:pt>
                <c:pt idx="51">
                  <c:v>0.18466995421740398</c:v>
                </c:pt>
                <c:pt idx="52">
                  <c:v>0.18265204387530734</c:v>
                </c:pt>
                <c:pt idx="53">
                  <c:v>0.18069268133080318</c:v>
                </c:pt>
                <c:pt idx="54">
                  <c:v>0.17878914462502313</c:v>
                </c:pt>
                <c:pt idx="55">
                  <c:v>0.17693888428293153</c:v>
                </c:pt>
                <c:pt idx="56">
                  <c:v>0.17513950957234847</c:v>
                </c:pt>
                <c:pt idx="57">
                  <c:v>0.17338877607399494</c:v>
                </c:pt>
                <c:pt idx="58">
                  <c:v>0.1716845744175268</c:v>
                </c:pt>
                <c:pt idx="59">
                  <c:v>0.17002492005670095</c:v>
                </c:pt>
                <c:pt idx="60">
                  <c:v>0.16840794397246436</c:v>
                </c:pt>
                <c:pt idx="61">
                  <c:v>0.1668318842062407</c:v>
                </c:pt>
                <c:pt idx="62">
                  <c:v>0.16529507813736688</c:v>
                </c:pt>
                <c:pt idx="63">
                  <c:v>0.16379595542874034</c:v>
                </c:pt>
                <c:pt idx="64">
                  <c:v>0.16233303157353765</c:v>
                </c:pt>
                <c:pt idx="65">
                  <c:v>0.16090490198350957</c:v>
                </c:pt>
                <c:pt idx="66">
                  <c:v>0.15951023656604987</c:v>
                </c:pt>
                <c:pt idx="67">
                  <c:v>0.15814777474307676</c:v>
                </c:pt>
                <c:pt idx="68">
                  <c:v>0.15681632086988617</c:v>
                </c:pt>
                <c:pt idx="69">
                  <c:v>0.15551474001664156</c:v>
                </c:pt>
                <c:pt idx="70">
                  <c:v>0.15424195407911934</c:v>
                </c:pt>
                <c:pt idx="71">
                  <c:v>0.15299693818882251</c:v>
                </c:pt>
                <c:pt idx="72">
                  <c:v>0.15177871739565618</c:v>
                </c:pt>
                <c:pt idx="73">
                  <c:v>0.15058636359909039</c:v>
                </c:pt>
                <c:pt idx="74">
                  <c:v>0.14941899270614734</c:v>
                </c:pt>
                <c:pt idx="75">
                  <c:v>0.14827576199670287</c:v>
                </c:pt>
                <c:pt idx="76">
                  <c:v>0.14715586767849748</c:v>
                </c:pt>
                <c:pt idx="77">
                  <c:v>0.14605854261595211</c:v>
                </c:pt>
                <c:pt idx="78">
                  <c:v>0.14498305421840393</c:v>
                </c:pt>
                <c:pt idx="79">
                  <c:v>0.14392870247472625</c:v>
                </c:pt>
                <c:pt idx="80">
                  <c:v>0.14289481812251781</c:v>
                </c:pt>
                <c:pt idx="81">
                  <c:v>0.14188076094112159</c:v>
                </c:pt>
                <c:pt idx="82">
                  <c:v>0.14088591815872095</c:v>
                </c:pt>
                <c:pt idx="83">
                  <c:v>0.13990970296462149</c:v>
                </c:pt>
                <c:pt idx="84">
                  <c:v>0.13895155311863133</c:v>
                </c:pt>
                <c:pt idx="85">
                  <c:v>0.13801092965014503</c:v>
                </c:pt>
                <c:pt idx="86">
                  <c:v>0.13708731564019225</c:v>
                </c:pt>
                <c:pt idx="87">
                  <c:v>0.13618021508027658</c:v>
                </c:pt>
                <c:pt idx="88">
                  <c:v>0.13528915180236251</c:v>
                </c:pt>
                <c:pt idx="89">
                  <c:v>0.13441366847483521</c:v>
                </c:pt>
                <c:pt idx="90">
                  <c:v>0.13355332565968972</c:v>
                </c:pt>
                <c:pt idx="91">
                  <c:v>0.13270770092659381</c:v>
                </c:pt>
                <c:pt idx="92">
                  <c:v>0.13187638801982077</c:v>
                </c:pt>
                <c:pt idx="93">
                  <c:v>0.13105899607437257</c:v>
                </c:pt>
                <c:pt idx="94">
                  <c:v>0.1302551488779026</c:v>
                </c:pt>
                <c:pt idx="95">
                  <c:v>0.12946448417531553</c:v>
                </c:pt>
                <c:pt idx="96">
                  <c:v>0.12868665301316456</c:v>
                </c:pt>
                <c:pt idx="97">
                  <c:v>0.12792131912118629</c:v>
                </c:pt>
                <c:pt idx="98">
                  <c:v>0.1271681583285193</c:v>
                </c:pt>
                <c:pt idx="99">
                  <c:v>0.12642685801233286</c:v>
                </c:pt>
                <c:pt idx="100">
                  <c:v>0.12569711657676738</c:v>
                </c:pt>
                <c:pt idx="101">
                  <c:v>0.12497864296023933</c:v>
                </c:pt>
                <c:pt idx="102">
                  <c:v>0.12427115616930658</c:v>
                </c:pt>
                <c:pt idx="103">
                  <c:v>0.12357438483742472</c:v>
                </c:pt>
                <c:pt idx="104">
                  <c:v>0.12288806680703838</c:v>
                </c:pt>
                <c:pt idx="105">
                  <c:v>0.12221194873356889</c:v>
                </c:pt>
                <c:pt idx="106">
                  <c:v>0.12154578570995436</c:v>
                </c:pt>
                <c:pt idx="107">
                  <c:v>0.12088934091050206</c:v>
                </c:pt>
                <c:pt idx="108">
                  <c:v>0.120242385252884</c:v>
                </c:pt>
                <c:pt idx="109">
                  <c:v>0.11960469707720414</c:v>
                </c:pt>
                <c:pt idx="110">
                  <c:v>0.11897606184112311</c:v>
                </c:pt>
                <c:pt idx="111">
                  <c:v>0.11835627183010528</c:v>
                </c:pt>
                <c:pt idx="112">
                  <c:v>0.1177451258819089</c:v>
                </c:pt>
                <c:pt idx="113">
                  <c:v>0.11714242912450377</c:v>
                </c:pt>
                <c:pt idx="114">
                  <c:v>0.11654799272664852</c:v>
                </c:pt>
                <c:pt idx="115">
                  <c:v>0.11596163366041391</c:v>
                </c:pt>
                <c:pt idx="116">
                  <c:v>0.11538317447498363</c:v>
                </c:pt>
                <c:pt idx="117">
                  <c:v>0.11481244308110533</c:v>
                </c:pt>
                <c:pt idx="118">
                  <c:v>0.11424927254560668</c:v>
                </c:pt>
                <c:pt idx="119">
                  <c:v>0.11369350089542551</c:v>
                </c:pt>
                <c:pt idx="120">
                  <c:v>0.11314497093064031</c:v>
                </c:pt>
                <c:pt idx="121">
                  <c:v>0.11260353004601567</c:v>
                </c:pt>
                <c:pt idx="122">
                  <c:v>0.11206903006061174</c:v>
                </c:pt>
                <c:pt idx="123">
                  <c:v>0.11154132705502881</c:v>
                </c:pt>
                <c:pt idx="124">
                  <c:v>0.11102028121588882</c:v>
                </c:pt>
                <c:pt idx="125">
                  <c:v>0.11050575668717581</c:v>
                </c:pt>
                <c:pt idx="126">
                  <c:v>0.10999762142808199</c:v>
                </c:pt>
                <c:pt idx="127">
                  <c:v>0.10949574707702775</c:v>
                </c:pt>
                <c:pt idx="128">
                  <c:v>0.10900000882153819</c:v>
                </c:pt>
                <c:pt idx="129">
                  <c:v>0.10851028527368577</c:v>
                </c:pt>
                <c:pt idx="130">
                  <c:v>0.10802645835081628</c:v>
                </c:pt>
                <c:pt idx="131">
                  <c:v>0.10754841316129773</c:v>
                </c:pt>
                <c:pt idx="132">
                  <c:v>0.10707603789504606</c:v>
                </c:pt>
                <c:pt idx="133">
                  <c:v>0.10660922371859022</c:v>
                </c:pt>
                <c:pt idx="134">
                  <c:v>0.10614786467445946</c:v>
                </c:pt>
                <c:pt idx="135">
                  <c:v>0.10569185758468352</c:v>
                </c:pt>
                <c:pt idx="136">
                  <c:v>0.105241101958208</c:v>
                </c:pt>
                <c:pt idx="137">
                  <c:v>0.10479549990204072</c:v>
                </c:pt>
                <c:pt idx="138">
                  <c:v>0.1043549560359506</c:v>
                </c:pt>
                <c:pt idx="139">
                  <c:v>0.1039193774105559</c:v>
                </c:pt>
                <c:pt idx="140">
                  <c:v>0.10348867342864132</c:v>
                </c:pt>
                <c:pt idx="141">
                  <c:v>0.10306275576955583</c:v>
                </c:pt>
                <c:pt idx="142">
                  <c:v>0.10264153831655144</c:v>
                </c:pt>
                <c:pt idx="143">
                  <c:v>0.10222493708692602</c:v>
                </c:pt>
                <c:pt idx="144">
                  <c:v>0.10181287016484683</c:v>
                </c:pt>
                <c:pt idx="145">
                  <c:v>0.10140525763673114</c:v>
                </c:pt>
                <c:pt idx="146">
                  <c:v>0.10100202152907249</c:v>
                </c:pt>
                <c:pt idx="147">
                  <c:v>0.10060308574860211</c:v>
                </c:pt>
                <c:pt idx="148">
                  <c:v>0.10020837602468444</c:v>
                </c:pt>
                <c:pt idx="149">
                  <c:v>9.9817819853848008E-2</c:v>
                </c:pt>
                <c:pt idx="150">
                  <c:v>9.9431346446359481E-2</c:v>
                </c:pt>
                <c:pt idx="151">
                  <c:v>9.904888667475216E-2</c:v>
                </c:pt>
                <c:pt idx="152">
                  <c:v>9.8670373024225738E-2</c:v>
                </c:pt>
                <c:pt idx="153">
                  <c:v>9.8295739544837585E-2</c:v>
                </c:pt>
                <c:pt idx="154">
                  <c:v>9.7924921805409154E-2</c:v>
                </c:pt>
                <c:pt idx="155">
                  <c:v>9.7557856849076058E-2</c:v>
                </c:pt>
                <c:pt idx="156">
                  <c:v>9.7194483150413138E-2</c:v>
                </c:pt>
                <c:pt idx="157">
                  <c:v>9.6834740574068226E-2</c:v>
                </c:pt>
                <c:pt idx="158">
                  <c:v>9.6478570334843639E-2</c:v>
                </c:pt>
                <c:pt idx="159">
                  <c:v>9.6125914959165698E-2</c:v>
                </c:pt>
                <c:pt idx="160">
                  <c:v>9.5776718247884543E-2</c:v>
                </c:pt>
                <c:pt idx="161">
                  <c:v>9.5430925240352127E-2</c:v>
                </c:pt>
                <c:pt idx="162">
                  <c:v>9.5088482179725833E-2</c:v>
                </c:pt>
                <c:pt idx="163">
                  <c:v>9.4749336479449525E-2</c:v>
                </c:pt>
                <c:pt idx="164">
                  <c:v>9.4413436690863578E-2</c:v>
                </c:pt>
                <c:pt idx="165">
                  <c:v>9.4080732471901712E-2</c:v>
                </c:pt>
                <c:pt idx="166">
                  <c:v>9.375117455682988E-2</c:v>
                </c:pt>
                <c:pt idx="167">
                  <c:v>9.3424714726987129E-2</c:v>
                </c:pt>
                <c:pt idx="168">
                  <c:v>9.310130578249054E-2</c:v>
                </c:pt>
                <c:pt idx="169">
                  <c:v>9.2780901514865038E-2</c:v>
                </c:pt>
                <c:pt idx="170">
                  <c:v>9.2463456680564785E-2</c:v>
                </c:pt>
                <c:pt idx="171">
                  <c:v>9.2148926975350556E-2</c:v>
                </c:pt>
                <c:pt idx="172">
                  <c:v>9.1837269009491074E-2</c:v>
                </c:pt>
                <c:pt idx="173">
                  <c:v>9.1528440283757631E-2</c:v>
                </c:pt>
                <c:pt idx="174">
                  <c:v>9.1222399166182092E-2</c:v>
                </c:pt>
                <c:pt idx="175">
                  <c:v>9.0919104869549072E-2</c:v>
                </c:pt>
                <c:pt idx="176">
                  <c:v>9.0618517429596368E-2</c:v>
                </c:pt>
                <c:pt idx="177">
                  <c:v>9.0320597683896428E-2</c:v>
                </c:pt>
                <c:pt idx="178">
                  <c:v>9.0025307251394751E-2</c:v>
                </c:pt>
                <c:pt idx="179">
                  <c:v>8.9732608512580359E-2</c:v>
                </c:pt>
                <c:pt idx="180">
                  <c:v>8.9442464590266155E-2</c:v>
                </c:pt>
                <c:pt idx="181">
                  <c:v>8.9154839330957039E-2</c:v>
                </c:pt>
                <c:pt idx="182">
                  <c:v>8.8869697286784607E-2</c:v>
                </c:pt>
                <c:pt idx="183">
                  <c:v>8.8587003697987721E-2</c:v>
                </c:pt>
                <c:pt idx="184">
                  <c:v>8.8306724475920986E-2</c:v>
                </c:pt>
                <c:pt idx="185">
                  <c:v>8.8028826186570916E-2</c:v>
                </c:pt>
                <c:pt idx="186">
                  <c:v>8.7753276034562802E-2</c:v>
                </c:pt>
                <c:pt idx="187">
                  <c:v>8.7480041847641382E-2</c:v>
                </c:pt>
                <c:pt idx="188">
                  <c:v>8.7209092061608012E-2</c:v>
                </c:pt>
                <c:pt idx="189">
                  <c:v>8.6940395705699391E-2</c:v>
                </c:pt>
                <c:pt idx="190">
                  <c:v>8.6673922388392416E-2</c:v>
                </c:pt>
                <c:pt idx="191">
                  <c:v>8.6409642283620053E-2</c:v>
                </c:pt>
                <c:pt idx="192">
                  <c:v>8.6147526117385215E-2</c:v>
                </c:pt>
                <c:pt idx="193">
                  <c:v>8.5887545154758604E-2</c:v>
                </c:pt>
                <c:pt idx="194">
                  <c:v>8.5629671187247444E-2</c:v>
                </c:pt>
                <c:pt idx="195">
                  <c:v>8.5373876520523057E-2</c:v>
                </c:pt>
                <c:pt idx="196">
                  <c:v>8.512013396249539E-2</c:v>
                </c:pt>
                <c:pt idx="197">
                  <c:v>8.4868416811722205E-2</c:v>
                </c:pt>
                <c:pt idx="198">
                  <c:v>8.4618698846143606E-2</c:v>
                </c:pt>
                <c:pt idx="199">
                  <c:v>8.4370954312128654E-2</c:v>
                </c:pt>
                <c:pt idx="200">
                  <c:v>8.4125157913826284E-2</c:v>
                </c:pt>
                <c:pt idx="201">
                  <c:v>8.3881284802809694E-2</c:v>
                </c:pt>
                <c:pt idx="202">
                  <c:v>8.3639310568004235E-2</c:v>
                </c:pt>
                <c:pt idx="203">
                  <c:v>8.3399211225890515E-2</c:v>
                </c:pt>
                <c:pt idx="204">
                  <c:v>8.3160963210973091E-2</c:v>
                </c:pt>
                <c:pt idx="205">
                  <c:v>8.2924543366507564E-2</c:v>
                </c:pt>
                <c:pt idx="206">
                  <c:v>8.2689928935476137E-2</c:v>
                </c:pt>
                <c:pt idx="207">
                  <c:v>8.2457097551805192E-2</c:v>
                </c:pt>
                <c:pt idx="208">
                  <c:v>8.2226027231816767E-2</c:v>
                </c:pt>
                <c:pt idx="209">
                  <c:v>8.1996696365906688E-2</c:v>
                </c:pt>
                <c:pt idx="210">
                  <c:v>8.1769083710441906E-2</c:v>
                </c:pt>
                <c:pt idx="211">
                  <c:v>8.1543168379871314E-2</c:v>
                </c:pt>
                <c:pt idx="212">
                  <c:v>8.1318929839042098E-2</c:v>
                </c:pt>
                <c:pt idx="213">
                  <c:v>8.1096347895716236E-2</c:v>
                </c:pt>
                <c:pt idx="214">
                  <c:v>8.0859677451381576E-2</c:v>
                </c:pt>
                <c:pt idx="215">
                  <c:v>8.0623697702752378E-2</c:v>
                </c:pt>
                <c:pt idx="216">
                  <c:v>8.0388406634112008E-2</c:v>
                </c:pt>
                <c:pt idx="217">
                  <c:v>8.0153802235626431E-2</c:v>
                </c:pt>
                <c:pt idx="218">
                  <c:v>7.9919882503327114E-2</c:v>
                </c:pt>
                <c:pt idx="219">
                  <c:v>7.9686645439093845E-2</c:v>
                </c:pt>
                <c:pt idx="220">
                  <c:v>7.9454089050637722E-2</c:v>
                </c:pt>
                <c:pt idx="221">
                  <c:v>7.9222211351484093E-2</c:v>
                </c:pt>
                <c:pt idx="222">
                  <c:v>7.8991010360955613E-2</c:v>
                </c:pt>
                <c:pt idx="223">
                  <c:v>7.8760484104155343E-2</c:v>
                </c:pt>
                <c:pt idx="224">
                  <c:v>7.8530630611949828E-2</c:v>
                </c:pt>
                <c:pt idx="225">
                  <c:v>7.8301447920952311E-2</c:v>
                </c:pt>
                <c:pt idx="226">
                  <c:v>7.8042871826074223E-2</c:v>
                </c:pt>
                <c:pt idx="227">
                  <c:v>7.7785149631074316E-2</c:v>
                </c:pt>
                <c:pt idx="228">
                  <c:v>7.7528278516105692E-2</c:v>
                </c:pt>
                <c:pt idx="229">
                  <c:v>7.7272255670633477E-2</c:v>
                </c:pt>
                <c:pt idx="230">
                  <c:v>7.7017078293404054E-2</c:v>
                </c:pt>
                <c:pt idx="231">
                  <c:v>7.6762743592414431E-2</c:v>
                </c:pt>
                <c:pt idx="232">
                  <c:v>7.6509248784881689E-2</c:v>
                </c:pt>
                <c:pt idx="233">
                  <c:v>7.6256591097212556E-2</c:v>
                </c:pt>
                <c:pt idx="234">
                  <c:v>7.600476776497303E-2</c:v>
                </c:pt>
                <c:pt idx="235">
                  <c:v>7.5753776032858142E-2</c:v>
                </c:pt>
                <c:pt idx="236">
                  <c:v>7.5503613154661808E-2</c:v>
                </c:pt>
                <c:pt idx="237">
                  <c:v>7.5254276393246763E-2</c:v>
                </c:pt>
                <c:pt idx="238">
                  <c:v>7.4972577248709205E-2</c:v>
                </c:pt>
                <c:pt idx="239">
                  <c:v>7.4691932587874599E-2</c:v>
                </c:pt>
                <c:pt idx="240">
                  <c:v>7.4412338463496708E-2</c:v>
                </c:pt>
                <c:pt idx="241">
                  <c:v>7.4133790943105071E-2</c:v>
                </c:pt>
                <c:pt idx="242">
                  <c:v>7.3856286108949593E-2</c:v>
                </c:pt>
                <c:pt idx="243">
                  <c:v>7.3579820057945486E-2</c:v>
                </c:pt>
                <c:pt idx="244">
                  <c:v>7.3304388901618403E-2</c:v>
                </c:pt>
                <c:pt idx="245">
                  <c:v>7.3029988766049658E-2</c:v>
                </c:pt>
                <c:pt idx="246">
                  <c:v>7.2756615791821841E-2</c:v>
                </c:pt>
                <c:pt idx="247">
                  <c:v>7.2484266133964484E-2</c:v>
                </c:pt>
                <c:pt idx="248">
                  <c:v>7.2212935961899968E-2</c:v>
                </c:pt>
                <c:pt idx="249">
                  <c:v>7.1942621459389677E-2</c:v>
                </c:pt>
                <c:pt idx="250">
                  <c:v>7.1636858740335069E-2</c:v>
                </c:pt>
                <c:pt idx="251">
                  <c:v>7.1332395540792917E-2</c:v>
                </c:pt>
                <c:pt idx="252">
                  <c:v>7.1029226337686463E-2</c:v>
                </c:pt>
                <c:pt idx="253">
                  <c:v>7.0727345631412572E-2</c:v>
                </c:pt>
                <c:pt idx="254">
                  <c:v>7.0426747945741858E-2</c:v>
                </c:pt>
                <c:pt idx="255">
                  <c:v>7.0127427827719482E-2</c:v>
                </c:pt>
                <c:pt idx="256">
                  <c:v>6.9829379847566111E-2</c:v>
                </c:pt>
                <c:pt idx="257">
                  <c:v>6.9532598598579493E-2</c:v>
                </c:pt>
                <c:pt idx="258">
                  <c:v>6.9237078697036353E-2</c:v>
                </c:pt>
                <c:pt idx="259">
                  <c:v>6.8942814782094727E-2</c:v>
                </c:pt>
                <c:pt idx="260">
                  <c:v>6.8649801515696704E-2</c:v>
                </c:pt>
                <c:pt idx="261">
                  <c:v>6.8358033582471639E-2</c:v>
                </c:pt>
                <c:pt idx="262">
                  <c:v>6.8027572412392975E-2</c:v>
                </c:pt>
                <c:pt idx="263">
                  <c:v>6.7698708780733807E-2</c:v>
                </c:pt>
                <c:pt idx="264">
                  <c:v>6.7371434964562577E-2</c:v>
                </c:pt>
                <c:pt idx="265">
                  <c:v>6.7045743278282458E-2</c:v>
                </c:pt>
                <c:pt idx="266">
                  <c:v>6.6721626073450863E-2</c:v>
                </c:pt>
                <c:pt idx="267">
                  <c:v>6.6399075738599836E-2</c:v>
                </c:pt>
                <c:pt idx="268">
                  <c:v>6.6078084699057321E-2</c:v>
                </c:pt>
                <c:pt idx="269">
                  <c:v>6.5758645416769262E-2</c:v>
                </c:pt>
                <c:pt idx="270">
                  <c:v>6.5440750390122593E-2</c:v>
                </c:pt>
                <c:pt idx="271">
                  <c:v>6.512439215376907E-2</c:v>
                </c:pt>
                <c:pt idx="272">
                  <c:v>6.4809563278449944E-2</c:v>
                </c:pt>
                <c:pt idx="273">
                  <c:v>6.4496256370821528E-2</c:v>
                </c:pt>
                <c:pt idx="274">
                  <c:v>6.4140371612189426E-2</c:v>
                </c:pt>
                <c:pt idx="275">
                  <c:v>6.3786450594843308E-2</c:v>
                </c:pt>
                <c:pt idx="276">
                  <c:v>6.343448248302877E-2</c:v>
                </c:pt>
                <c:pt idx="277">
                  <c:v>6.3084456500782177E-2</c:v>
                </c:pt>
                <c:pt idx="278">
                  <c:v>6.2736361931600718E-2</c:v>
                </c:pt>
                <c:pt idx="279">
                  <c:v>6.2390188118114316E-2</c:v>
                </c:pt>
                <c:pt idx="280">
                  <c:v>6.2045924461759348E-2</c:v>
                </c:pt>
                <c:pt idx="281">
                  <c:v>6.1703560422454139E-2</c:v>
                </c:pt>
                <c:pt idx="282">
                  <c:v>6.1363085518276274E-2</c:v>
                </c:pt>
                <c:pt idx="283">
                  <c:v>6.1024489325141686E-2</c:v>
                </c:pt>
                <c:pt idx="284">
                  <c:v>6.068776147648549E-2</c:v>
                </c:pt>
                <c:pt idx="285">
                  <c:v>6.0352891662944608E-2</c:v>
                </c:pt>
                <c:pt idx="286">
                  <c:v>5.9972332105738303E-2</c:v>
                </c:pt>
                <c:pt idx="287">
                  <c:v>5.9594172194557087E-2</c:v>
                </c:pt>
                <c:pt idx="288">
                  <c:v>5.9218396798258036E-2</c:v>
                </c:pt>
                <c:pt idx="289">
                  <c:v>5.8844990881108769E-2</c:v>
                </c:pt>
                <c:pt idx="290">
                  <c:v>5.8473939502185809E-2</c:v>
                </c:pt>
                <c:pt idx="291">
                  <c:v>5.8105227814776762E-2</c:v>
                </c:pt>
                <c:pt idx="292">
                  <c:v>5.7738841065786257E-2</c:v>
                </c:pt>
                <c:pt idx="293">
                  <c:v>5.7374764595145643E-2</c:v>
                </c:pt>
                <c:pt idx="294">
                  <c:v>5.7012983835226398E-2</c:v>
                </c:pt>
                <c:pt idx="295">
                  <c:v>5.6653484310257241E-2</c:v>
                </c:pt>
                <c:pt idx="296">
                  <c:v>5.6296251635744927E-2</c:v>
                </c:pt>
                <c:pt idx="297">
                  <c:v>5.594127151789869E-2</c:v>
                </c:pt>
                <c:pt idx="298">
                  <c:v>5.5538694966971933E-2</c:v>
                </c:pt>
                <c:pt idx="299">
                  <c:v>5.5139015523582392E-2</c:v>
                </c:pt>
                <c:pt idx="300">
                  <c:v>5.474221233894476E-2</c:v>
                </c:pt>
                <c:pt idx="301">
                  <c:v>5.4348264714310209E-2</c:v>
                </c:pt>
                <c:pt idx="302">
                  <c:v>5.395715209988669E-2</c:v>
                </c:pt>
                <c:pt idx="303">
                  <c:v>5.3568854093766952E-2</c:v>
                </c:pt>
                <c:pt idx="304">
                  <c:v>5.3183350440864328E-2</c:v>
                </c:pt>
                <c:pt idx="305">
                  <c:v>5.2800621031856135E-2</c:v>
                </c:pt>
                <c:pt idx="306">
                  <c:v>5.2420645902134702E-2</c:v>
                </c:pt>
                <c:pt idx="307">
                  <c:v>5.2043405230765942E-2</c:v>
                </c:pt>
                <c:pt idx="308">
                  <c:v>5.1668879339455409E-2</c:v>
                </c:pt>
                <c:pt idx="309">
                  <c:v>5.1297048691521824E-2</c:v>
                </c:pt>
                <c:pt idx="310">
                  <c:v>5.0875718390536666E-2</c:v>
                </c:pt>
                <c:pt idx="311">
                  <c:v>5.0457848702336383E-2</c:v>
                </c:pt>
                <c:pt idx="312">
                  <c:v>5.0043411203043515E-2</c:v>
                </c:pt>
                <c:pt idx="313">
                  <c:v>4.9632377702241222E-2</c:v>
                </c:pt>
                <c:pt idx="314">
                  <c:v>4.9224720241055731E-2</c:v>
                </c:pt>
                <c:pt idx="315">
                  <c:v>4.882041109025459E-2</c:v>
                </c:pt>
                <c:pt idx="316">
                  <c:v>4.8419422748360461E-2</c:v>
                </c:pt>
                <c:pt idx="317">
                  <c:v>4.8021727939780448E-2</c:v>
                </c:pt>
                <c:pt idx="318">
                  <c:v>4.762729961295082E-2</c:v>
                </c:pt>
                <c:pt idx="319">
                  <c:v>4.7236110938496896E-2</c:v>
                </c:pt>
                <c:pt idx="320">
                  <c:v>4.6848135307408112E-2</c:v>
                </c:pt>
                <c:pt idx="321">
                  <c:v>4.646334632922805E-2</c:v>
                </c:pt>
                <c:pt idx="322">
                  <c:v>4.6028166025943798E-2</c:v>
                </c:pt>
                <c:pt idx="323">
                  <c:v>4.559706166447882E-2</c:v>
                </c:pt>
                <c:pt idx="324">
                  <c:v>4.5169995069158364E-2</c:v>
                </c:pt>
                <c:pt idx="325">
                  <c:v>4.474692842186484E-2</c:v>
                </c:pt>
                <c:pt idx="326">
                  <c:v>4.4327824258688885E-2</c:v>
                </c:pt>
                <c:pt idx="327">
                  <c:v>4.3912645466611819E-2</c:v>
                </c:pt>
                <c:pt idx="328">
                  <c:v>4.350135528021918E-2</c:v>
                </c:pt>
                <c:pt idx="329">
                  <c:v>4.3093917278445013E-2</c:v>
                </c:pt>
                <c:pt idx="330">
                  <c:v>4.2690295381346673E-2</c:v>
                </c:pt>
                <c:pt idx="331">
                  <c:v>4.2290453846909833E-2</c:v>
                </c:pt>
                <c:pt idx="332">
                  <c:v>4.1894357267883417E-2</c:v>
                </c:pt>
                <c:pt idx="333">
                  <c:v>4.1501970568644159E-2</c:v>
                </c:pt>
                <c:pt idx="334">
                  <c:v>4.1058786985057966E-2</c:v>
                </c:pt>
                <c:pt idx="335">
                  <c:v>4.062033598852894E-2</c:v>
                </c:pt>
                <c:pt idx="336">
                  <c:v>4.0186567041579878E-2</c:v>
                </c:pt>
                <c:pt idx="337">
                  <c:v>3.9757430146403858E-2</c:v>
                </c:pt>
                <c:pt idx="338">
                  <c:v>3.9332875839101319E-2</c:v>
                </c:pt>
                <c:pt idx="339">
                  <c:v>3.8912855183978648E-2</c:v>
                </c:pt>
                <c:pt idx="340">
                  <c:v>3.8497319767907677E-2</c:v>
                </c:pt>
                <c:pt idx="341">
                  <c:v>3.8086221694745445E-2</c:v>
                </c:pt>
                <c:pt idx="342">
                  <c:v>3.7679513579813466E-2</c:v>
                </c:pt>
                <c:pt idx="343">
                  <c:v>3.7277148544436013E-2</c:v>
                </c:pt>
                <c:pt idx="344">
                  <c:v>3.6879080210536708E-2</c:v>
                </c:pt>
                <c:pt idx="345">
                  <c:v>3.6485262695292814E-2</c:v>
                </c:pt>
                <c:pt idx="346">
                  <c:v>3.6042266056221649E-2</c:v>
                </c:pt>
                <c:pt idx="347">
                  <c:v>3.5604648192242981E-2</c:v>
                </c:pt>
                <c:pt idx="348">
                  <c:v>3.5172343795363589E-2</c:v>
                </c:pt>
                <c:pt idx="349">
                  <c:v>3.4745288350546646E-2</c:v>
                </c:pt>
                <c:pt idx="350">
                  <c:v>3.4323418126083756E-2</c:v>
                </c:pt>
                <c:pt idx="351">
                  <c:v>3.3906670164083996E-2</c:v>
                </c:pt>
                <c:pt idx="352">
                  <c:v>3.3494982271078326E-2</c:v>
                </c:pt>
                <c:pt idx="353">
                  <c:v>3.3088293008738161E-2</c:v>
                </c:pt>
                <c:pt idx="354">
                  <c:v>3.268654168470661E-2</c:v>
                </c:pt>
                <c:pt idx="355">
                  <c:v>3.2289668343541043E-2</c:v>
                </c:pt>
                <c:pt idx="356">
                  <c:v>3.1897613757765605E-2</c:v>
                </c:pt>
                <c:pt idx="357">
                  <c:v>3.1510319419032415E-2</c:v>
                </c:pt>
                <c:pt idx="358">
                  <c:v>3.1077759459090585E-2</c:v>
                </c:pt>
                <c:pt idx="359">
                  <c:v>3.0651137494141972E-2</c:v>
                </c:pt>
                <c:pt idx="360">
                  <c:v>3.0230372009973968E-2</c:v>
                </c:pt>
                <c:pt idx="361">
                  <c:v>2.9815382611365626E-2</c:v>
                </c:pt>
                <c:pt idx="362">
                  <c:v>2.9406090006726626E-2</c:v>
                </c:pt>
                <c:pt idx="363">
                  <c:v>2.9002415992947107E-2</c:v>
                </c:pt>
                <c:pt idx="364">
                  <c:v>2.8604283440455489E-2</c:v>
                </c:pt>
                <c:pt idx="365">
                  <c:v>2.821161627848141E-2</c:v>
                </c:pt>
                <c:pt idx="366">
                  <c:v>2.7824339480520949E-2</c:v>
                </c:pt>
                <c:pt idx="367">
                  <c:v>2.7442379050001402E-2</c:v>
                </c:pt>
                <c:pt idx="368">
                  <c:v>2.7065662006142834E-2</c:v>
                </c:pt>
                <c:pt idx="369">
                  <c:v>2.6694116370013711E-2</c:v>
                </c:pt>
                <c:pt idx="370">
                  <c:v>2.6282757522467559E-2</c:v>
                </c:pt>
                <c:pt idx="371">
                  <c:v>2.5877737753507456E-2</c:v>
                </c:pt>
                <c:pt idx="372">
                  <c:v>2.5478959377335315E-2</c:v>
                </c:pt>
                <c:pt idx="373">
                  <c:v>2.5086326213500407E-2</c:v>
                </c:pt>
                <c:pt idx="374">
                  <c:v>2.46997435637018E-2</c:v>
                </c:pt>
                <c:pt idx="375">
                  <c:v>2.4319118188948309E-2</c:v>
                </c:pt>
                <c:pt idx="376">
                  <c:v>2.394435828707038E-2</c:v>
                </c:pt>
                <c:pt idx="377">
                  <c:v>2.3575373470578542E-2</c:v>
                </c:pt>
                <c:pt idx="378">
                  <c:v>2.3212074744863042E-2</c:v>
                </c:pt>
                <c:pt idx="379">
                  <c:v>2.2854374486729456E-2</c:v>
                </c:pt>
                <c:pt idx="380">
                  <c:v>2.2502186423265031E-2</c:v>
                </c:pt>
                <c:pt idx="381">
                  <c:v>2.2155425611030732E-2</c:v>
                </c:pt>
                <c:pt idx="382">
                  <c:v>2.1775344159523199E-2</c:v>
                </c:pt>
                <c:pt idx="383">
                  <c:v>2.1401783093239417E-2</c:v>
                </c:pt>
                <c:pt idx="384">
                  <c:v>2.1034630553462531E-2</c:v>
                </c:pt>
                <c:pt idx="385">
                  <c:v>2.067377660043785E-2</c:v>
                </c:pt>
                <c:pt idx="386">
                  <c:v>2.0319113180452604E-2</c:v>
                </c:pt>
                <c:pt idx="387">
                  <c:v>1.9970534093480465E-2</c:v>
                </c:pt>
                <c:pt idx="388">
                  <c:v>1.962793496138112E-2</c:v>
                </c:pt>
                <c:pt idx="389">
                  <c:v>1.9291213196645399E-2</c:v>
                </c:pt>
                <c:pt idx="390">
                  <c:v>1.8960267971676593E-2</c:v>
                </c:pt>
                <c:pt idx="391">
                  <c:v>1.8635000188598722E-2</c:v>
                </c:pt>
                <c:pt idx="392">
                  <c:v>1.8315312449582802E-2</c:v>
                </c:pt>
                <c:pt idx="393">
                  <c:v>1.8001109027682139E-2</c:v>
                </c:pt>
                <c:pt idx="394">
                  <c:v>1.7660633306993394E-2</c:v>
                </c:pt>
                <c:pt idx="395">
                  <c:v>1.7326597395996388E-2</c:v>
                </c:pt>
                <c:pt idx="396">
                  <c:v>1.6998879491148765E-2</c:v>
                </c:pt>
                <c:pt idx="397">
                  <c:v>1.6677360092718942E-2</c:v>
                </c:pt>
                <c:pt idx="398">
                  <c:v>1.6361921961211476E-2</c:v>
                </c:pt>
                <c:pt idx="399">
                  <c:v>1.6052450074616618E-2</c:v>
                </c:pt>
                <c:pt idx="400">
                  <c:v>1.5748831586468448E-2</c:v>
                </c:pt>
                <c:pt idx="401">
                  <c:v>1.5450955784696307E-2</c:v>
                </c:pt>
                <c:pt idx="402">
                  <c:v>1.515871405125452E-2</c:v>
                </c:pt>
                <c:pt idx="403">
                  <c:v>1.4871999822515688E-2</c:v>
                </c:pt>
                <c:pt idx="404">
                  <c:v>1.4590708550413108E-2</c:v>
                </c:pt>
                <c:pt idx="405">
                  <c:v>1.4314737664318152E-2</c:v>
                </c:pt>
                <c:pt idx="406">
                  <c:v>1.4030851256252733E-2</c:v>
                </c:pt>
                <c:pt idx="407">
                  <c:v>1.3752594814629883E-2</c:v>
                </c:pt>
                <c:pt idx="408">
                  <c:v>1.3479856687319578E-2</c:v>
                </c:pt>
                <c:pt idx="409">
                  <c:v>1.3212527436449788E-2</c:v>
                </c:pt>
                <c:pt idx="410">
                  <c:v>1.2950499794493822E-2</c:v>
                </c:pt>
                <c:pt idx="411">
                  <c:v>1.2693668621228593E-2</c:v>
                </c:pt>
                <c:pt idx="412">
                  <c:v>1.2441930861546432E-2</c:v>
                </c:pt>
                <c:pt idx="413">
                  <c:v>1.2195185504103589E-2</c:v>
                </c:pt>
                <c:pt idx="414">
                  <c:v>1.1953333540788804E-2</c:v>
                </c:pt>
                <c:pt idx="415">
                  <c:v>1.1716277926995684E-2</c:v>
                </c:pt>
                <c:pt idx="416">
                  <c:v>1.1483923542682949E-2</c:v>
                </c:pt>
                <c:pt idx="417">
                  <c:v>1.1256177154206926E-2</c:v>
                </c:pt>
                <c:pt idx="418">
                  <c:v>1.1007254282274611E-2</c:v>
                </c:pt>
                <c:pt idx="419">
                  <c:v>1.0763836174110862E-2</c:v>
                </c:pt>
                <c:pt idx="420">
                  <c:v>1.0525801095525837E-2</c:v>
                </c:pt>
                <c:pt idx="421">
                  <c:v>1.0293030004400345E-2</c:v>
                </c:pt>
                <c:pt idx="422">
                  <c:v>1.0065406491152489E-2</c:v>
                </c:pt>
                <c:pt idx="423">
                  <c:v>9.8428167205208642E-3</c:v>
                </c:pt>
                <c:pt idx="424">
                  <c:v>9.6251493746351661E-3</c:v>
                </c:pt>
                <c:pt idx="425">
                  <c:v>9.4122955973457555E-3</c:v>
                </c:pt>
                <c:pt idx="426">
                  <c:v>9.204148939784355E-3</c:v>
                </c:pt>
                <c:pt idx="427">
                  <c:v>9.0006053071286091E-3</c:v>
                </c:pt>
                <c:pt idx="428">
                  <c:v>8.8015629065439378E-3</c:v>
                </c:pt>
                <c:pt idx="429">
                  <c:v>8.6069221962765969E-3</c:v>
                </c:pt>
                <c:pt idx="430">
                  <c:v>8.400156114301326E-3</c:v>
                </c:pt>
                <c:pt idx="431">
                  <c:v>8.1983572217208776E-3</c:v>
                </c:pt>
                <c:pt idx="432">
                  <c:v>8.0014061905959288E-3</c:v>
                </c:pt>
                <c:pt idx="433">
                  <c:v>7.8091865596298321E-3</c:v>
                </c:pt>
                <c:pt idx="434">
                  <c:v>7.6215846653025984E-3</c:v>
                </c:pt>
                <c:pt idx="435">
                  <c:v>7.4384895746592598E-3</c:v>
                </c:pt>
                <c:pt idx="436">
                  <c:v>7.2597930197128759E-3</c:v>
                </c:pt>
                <c:pt idx="437">
                  <c:v>7.0853893334233888E-3</c:v>
                </c:pt>
                <c:pt idx="438">
                  <c:v>6.9151753872144757E-3</c:v>
                </c:pt>
                <c:pt idx="439">
                  <c:v>6.7490505299914478E-3</c:v>
                </c:pt>
                <c:pt idx="440">
                  <c:v>6.5869165286241357E-3</c:v>
                </c:pt>
                <c:pt idx="441">
                  <c:v>6.4286775098595711E-3</c:v>
                </c:pt>
                <c:pt idx="442">
                  <c:v>6.2622561890698803E-3</c:v>
                </c:pt>
                <c:pt idx="443">
                  <c:v>6.1001430725680711E-3</c:v>
                </c:pt>
                <c:pt idx="444">
                  <c:v>5.9422266324315309E-3</c:v>
                </c:pt>
                <c:pt idx="445">
                  <c:v>5.7883982278982109E-3</c:v>
                </c:pt>
                <c:pt idx="446">
                  <c:v>5.6385520306257379E-3</c:v>
                </c:pt>
                <c:pt idx="447">
                  <c:v>5.4925849518853657E-3</c:v>
                </c:pt>
                <c:pt idx="448">
                  <c:v>5.3503965716406839E-3</c:v>
                </c:pt>
                <c:pt idx="449">
                  <c:v>5.2118890694622883E-3</c:v>
                </c:pt>
                <c:pt idx="450">
                  <c:v>5.0769671572308854E-3</c:v>
                </c:pt>
                <c:pt idx="451">
                  <c:v>4.9455380135825355E-3</c:v>
                </c:pt>
                <c:pt idx="452">
                  <c:v>4.8175112200509358E-3</c:v>
                </c:pt>
                <c:pt idx="453">
                  <c:v>4.6927986988628042E-3</c:v>
                </c:pt>
                <c:pt idx="454">
                  <c:v>4.5621651472922296E-3</c:v>
                </c:pt>
                <c:pt idx="455">
                  <c:v>4.435168045075444E-3</c:v>
                </c:pt>
                <c:pt idx="456">
                  <c:v>4.3117061642832999E-3</c:v>
                </c:pt>
                <c:pt idx="457">
                  <c:v>4.1916810948709774E-3</c:v>
                </c:pt>
                <c:pt idx="458">
                  <c:v>4.0749971662364676E-3</c:v>
                </c:pt>
                <c:pt idx="459">
                  <c:v>3.9615613709626379E-3</c:v>
                </c:pt>
                <c:pt idx="460">
                  <c:v>3.85128329068209E-3</c:v>
                </c:pt>
                <c:pt idx="461">
                  <c:v>3.7440750240057188E-3</c:v>
                </c:pt>
                <c:pt idx="462">
                  <c:v>3.6398511164575272E-3</c:v>
                </c:pt>
                <c:pt idx="463">
                  <c:v>3.5385284923598452E-3</c:v>
                </c:pt>
                <c:pt idx="464">
                  <c:v>3.4400263886146636E-3</c:v>
                </c:pt>
                <c:pt idx="465">
                  <c:v>3.3442662903282981E-3</c:v>
                </c:pt>
                <c:pt idx="466">
                  <c:v>3.2443211737739142E-3</c:v>
                </c:pt>
                <c:pt idx="467">
                  <c:v>3.1473629683850552E-3</c:v>
                </c:pt>
                <c:pt idx="468">
                  <c:v>3.0533024087866997E-3</c:v>
                </c:pt>
                <c:pt idx="469">
                  <c:v>2.962052897345429E-3</c:v>
                </c:pt>
                <c:pt idx="470">
                  <c:v>2.8735304244425974E-3</c:v>
                </c:pt>
                <c:pt idx="471">
                  <c:v>2.7876534911301814E-3</c:v>
                </c:pt>
                <c:pt idx="472">
                  <c:v>2.7043430340980977E-3</c:v>
                </c:pt>
                <c:pt idx="473">
                  <c:v>2.6235223528839119E-3</c:v>
                </c:pt>
                <c:pt idx="474">
                  <c:v>2.5451170392579228E-3</c:v>
                </c:pt>
                <c:pt idx="475">
                  <c:v>2.4690549087186078E-3</c:v>
                </c:pt>
                <c:pt idx="476">
                  <c:v>2.3952659340353653E-3</c:v>
                </c:pt>
                <c:pt idx="477">
                  <c:v>2.3236821807773645E-3</c:v>
                </c:pt>
                <c:pt idx="478">
                  <c:v>8.5483490212441527E-4</c:v>
                </c:pt>
                <c:pt idx="479">
                  <c:v>3.1447618608737452E-4</c:v>
                </c:pt>
                <c:pt idx="480">
                  <c:v>1.1568932359954985E-4</c:v>
                </c:pt>
              </c:numCache>
            </c:numRef>
          </c:yVal>
          <c:smooth val="1"/>
          <c:extLst>
            <c:ext xmlns:c16="http://schemas.microsoft.com/office/drawing/2014/chart" uri="{C3380CC4-5D6E-409C-BE32-E72D297353CC}">
              <c16:uniqueId val="{00000001-1E17-4A59-B22C-D4C39BC92F57}"/>
            </c:ext>
          </c:extLst>
        </c:ser>
        <c:ser>
          <c:idx val="2"/>
          <c:order val="2"/>
          <c:tx>
            <c:v>OS NIVO+RELA</c:v>
          </c:tx>
          <c:spPr>
            <a:ln w="19050" cap="rnd">
              <a:solidFill>
                <a:schemeClr val="tx1"/>
              </a:solidFill>
              <a:round/>
            </a:ln>
            <a:effectLst/>
          </c:spPr>
          <c:marker>
            <c:symbol val="none"/>
          </c:marker>
          <c:xVal>
            <c:numRef>
              <c:f>'Markov Trace'!$C$28:$C$508</c:f>
              <c:numCache>
                <c:formatCode>0.0</c:formatCode>
                <c:ptCount val="48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pt idx="421">
                  <c:v>35.083333333333336</c:v>
                </c:pt>
                <c:pt idx="422">
                  <c:v>35.166666666666664</c:v>
                </c:pt>
                <c:pt idx="423">
                  <c:v>35.25</c:v>
                </c:pt>
                <c:pt idx="424">
                  <c:v>35.333333333333336</c:v>
                </c:pt>
                <c:pt idx="425">
                  <c:v>35.416666666666664</c:v>
                </c:pt>
                <c:pt idx="426">
                  <c:v>35.5</c:v>
                </c:pt>
                <c:pt idx="427">
                  <c:v>35.583333333333336</c:v>
                </c:pt>
                <c:pt idx="428">
                  <c:v>35.666666666666664</c:v>
                </c:pt>
                <c:pt idx="429">
                  <c:v>35.75</c:v>
                </c:pt>
                <c:pt idx="430">
                  <c:v>35.833333333333336</c:v>
                </c:pt>
                <c:pt idx="431">
                  <c:v>35.916666666666664</c:v>
                </c:pt>
                <c:pt idx="432">
                  <c:v>36</c:v>
                </c:pt>
                <c:pt idx="433">
                  <c:v>36.083333333333336</c:v>
                </c:pt>
                <c:pt idx="434">
                  <c:v>36.166666666666664</c:v>
                </c:pt>
                <c:pt idx="435">
                  <c:v>36.25</c:v>
                </c:pt>
                <c:pt idx="436">
                  <c:v>36.333333333333336</c:v>
                </c:pt>
                <c:pt idx="437">
                  <c:v>36.416666666666664</c:v>
                </c:pt>
                <c:pt idx="438">
                  <c:v>36.5</c:v>
                </c:pt>
                <c:pt idx="439">
                  <c:v>36.583333333333336</c:v>
                </c:pt>
                <c:pt idx="440">
                  <c:v>36.666666666666664</c:v>
                </c:pt>
                <c:pt idx="441">
                  <c:v>36.75</c:v>
                </c:pt>
                <c:pt idx="442">
                  <c:v>36.833333333333336</c:v>
                </c:pt>
                <c:pt idx="443">
                  <c:v>36.916666666666664</c:v>
                </c:pt>
                <c:pt idx="444">
                  <c:v>37</c:v>
                </c:pt>
                <c:pt idx="445">
                  <c:v>37.083333333333336</c:v>
                </c:pt>
                <c:pt idx="446">
                  <c:v>37.166666666666664</c:v>
                </c:pt>
                <c:pt idx="447">
                  <c:v>37.25</c:v>
                </c:pt>
                <c:pt idx="448">
                  <c:v>37.333333333333336</c:v>
                </c:pt>
                <c:pt idx="449">
                  <c:v>37.416666666666664</c:v>
                </c:pt>
                <c:pt idx="450">
                  <c:v>37.5</c:v>
                </c:pt>
                <c:pt idx="451">
                  <c:v>37.583333333333336</c:v>
                </c:pt>
                <c:pt idx="452">
                  <c:v>37.666666666666664</c:v>
                </c:pt>
                <c:pt idx="453">
                  <c:v>37.75</c:v>
                </c:pt>
                <c:pt idx="454">
                  <c:v>37.833333333333336</c:v>
                </c:pt>
                <c:pt idx="455">
                  <c:v>37.916666666666664</c:v>
                </c:pt>
                <c:pt idx="456">
                  <c:v>38</c:v>
                </c:pt>
                <c:pt idx="457">
                  <c:v>38.083333333333336</c:v>
                </c:pt>
                <c:pt idx="458">
                  <c:v>38.166666666666664</c:v>
                </c:pt>
                <c:pt idx="459">
                  <c:v>38.25</c:v>
                </c:pt>
                <c:pt idx="460">
                  <c:v>38.333333333333336</c:v>
                </c:pt>
                <c:pt idx="461">
                  <c:v>38.416666666666664</c:v>
                </c:pt>
                <c:pt idx="462">
                  <c:v>38.5</c:v>
                </c:pt>
                <c:pt idx="463">
                  <c:v>38.583333333333336</c:v>
                </c:pt>
                <c:pt idx="464">
                  <c:v>38.666666666666664</c:v>
                </c:pt>
                <c:pt idx="465">
                  <c:v>38.75</c:v>
                </c:pt>
                <c:pt idx="466">
                  <c:v>38.833333333333336</c:v>
                </c:pt>
                <c:pt idx="467">
                  <c:v>38.916666666666664</c:v>
                </c:pt>
                <c:pt idx="468">
                  <c:v>39</c:v>
                </c:pt>
                <c:pt idx="469">
                  <c:v>39.083333333333336</c:v>
                </c:pt>
                <c:pt idx="470">
                  <c:v>39.166666666666664</c:v>
                </c:pt>
                <c:pt idx="471">
                  <c:v>39.25</c:v>
                </c:pt>
                <c:pt idx="472">
                  <c:v>39.333333333333336</c:v>
                </c:pt>
                <c:pt idx="473">
                  <c:v>39.416666666666664</c:v>
                </c:pt>
                <c:pt idx="474">
                  <c:v>39.5</c:v>
                </c:pt>
                <c:pt idx="475">
                  <c:v>39.583333333333336</c:v>
                </c:pt>
                <c:pt idx="476">
                  <c:v>39.666666666666664</c:v>
                </c:pt>
                <c:pt idx="477">
                  <c:v>39.75</c:v>
                </c:pt>
                <c:pt idx="478">
                  <c:v>39.833333333333336</c:v>
                </c:pt>
                <c:pt idx="479">
                  <c:v>39.916666666666664</c:v>
                </c:pt>
                <c:pt idx="480">
                  <c:v>40</c:v>
                </c:pt>
              </c:numCache>
              <c:extLst xmlns:c15="http://schemas.microsoft.com/office/drawing/2012/chart"/>
            </c:numRef>
          </c:xVal>
          <c:yVal>
            <c:numRef>
              <c:f>'Markov Trace'!$P$28:$P$508</c:f>
              <c:numCache>
                <c:formatCode>#,##0.000</c:formatCode>
                <c:ptCount val="481"/>
                <c:pt idx="0">
                  <c:v>1</c:v>
                </c:pt>
                <c:pt idx="1">
                  <c:v>0.98696222198828176</c:v>
                </c:pt>
                <c:pt idx="2">
                  <c:v>0.97358510710576596</c:v>
                </c:pt>
                <c:pt idx="3">
                  <c:v>0.94092548656961561</c:v>
                </c:pt>
                <c:pt idx="4">
                  <c:v>0.91992156192270469</c:v>
                </c:pt>
                <c:pt idx="5">
                  <c:v>0.89087139928711623</c:v>
                </c:pt>
                <c:pt idx="6">
                  <c:v>0.86326188747155008</c:v>
                </c:pt>
                <c:pt idx="7">
                  <c:v>0.84049763151489254</c:v>
                </c:pt>
                <c:pt idx="8">
                  <c:v>0.82352392693770726</c:v>
                </c:pt>
                <c:pt idx="9">
                  <c:v>0.80963707261326356</c:v>
                </c:pt>
                <c:pt idx="10">
                  <c:v>0.79711831889374651</c:v>
                </c:pt>
                <c:pt idx="11">
                  <c:v>0.77981930219914553</c:v>
                </c:pt>
                <c:pt idx="12">
                  <c:v>0.76817534137498</c:v>
                </c:pt>
                <c:pt idx="13">
                  <c:v>0.75976073130231181</c:v>
                </c:pt>
                <c:pt idx="14">
                  <c:v>0.74705082956166602</c:v>
                </c:pt>
                <c:pt idx="15">
                  <c:v>0.73058365016220461</c:v>
                </c:pt>
                <c:pt idx="16">
                  <c:v>0.71443769195262674</c:v>
                </c:pt>
                <c:pt idx="17">
                  <c:v>0.70027441880003927</c:v>
                </c:pt>
                <c:pt idx="18">
                  <c:v>0.68665934690078989</c:v>
                </c:pt>
                <c:pt idx="19">
                  <c:v>0.67486487676702323</c:v>
                </c:pt>
                <c:pt idx="20">
                  <c:v>0.66429555649573435</c:v>
                </c:pt>
                <c:pt idx="21">
                  <c:v>0.65410391204176244</c:v>
                </c:pt>
                <c:pt idx="22">
                  <c:v>0.64426737134516554</c:v>
                </c:pt>
                <c:pt idx="23">
                  <c:v>0.63476524891102815</c:v>
                </c:pt>
                <c:pt idx="24">
                  <c:v>0.62557854935211898</c:v>
                </c:pt>
                <c:pt idx="25">
                  <c:v>0.61668979412238667</c:v>
                </c:pt>
                <c:pt idx="26">
                  <c:v>0.60808286869388073</c:v>
                </c:pt>
                <c:pt idx="27">
                  <c:v>0.59974288765652073</c:v>
                </c:pt>
                <c:pt idx="28">
                  <c:v>0.59165607548413701</c:v>
                </c:pt>
                <c:pt idx="29">
                  <c:v>0.58380966097612119</c:v>
                </c:pt>
                <c:pt idx="30">
                  <c:v>0.57619178363437029</c:v>
                </c:pt>
                <c:pt idx="31">
                  <c:v>0.56879141046233594</c:v>
                </c:pt>
                <c:pt idx="32">
                  <c:v>0.56159826187454409</c:v>
                </c:pt>
                <c:pt idx="33">
                  <c:v>0.55460274558140044</c:v>
                </c:pt>
                <c:pt idx="34">
                  <c:v>0.54779589746723722</c:v>
                </c:pt>
                <c:pt idx="35">
                  <c:v>0.54116932861176781</c:v>
                </c:pt>
                <c:pt idx="36">
                  <c:v>0.53471517771889465</c:v>
                </c:pt>
                <c:pt idx="37">
                  <c:v>0.52842606831458105</c:v>
                </c:pt>
                <c:pt idx="38">
                  <c:v>0.52229507015942467</c:v>
                </c:pt>
                <c:pt idx="39">
                  <c:v>0.51631566439366683</c:v>
                </c:pt>
                <c:pt idx="40">
                  <c:v>0.51048171199431036</c:v>
                </c:pt>
                <c:pt idx="41">
                  <c:v>0.50478742517731146</c:v>
                </c:pt>
                <c:pt idx="42">
                  <c:v>0.49922734142371183</c:v>
                </c:pt>
                <c:pt idx="43">
                  <c:v>0.4937962998481884</c:v>
                </c:pt>
                <c:pt idx="44">
                  <c:v>0.48848941966271942</c:v>
                </c:pt>
                <c:pt idx="45">
                  <c:v>0.48330208051769963</c:v>
                </c:pt>
                <c:pt idx="46">
                  <c:v>0.47822990452854675</c:v>
                </c:pt>
                <c:pt idx="47">
                  <c:v>0.47326873981817119</c:v>
                </c:pt>
                <c:pt idx="48">
                  <c:v>0.46841464542513456</c:v>
                </c:pt>
                <c:pt idx="49">
                  <c:v>0.46366387744429505</c:v>
                </c:pt>
                <c:pt idx="50">
                  <c:v>0.45901287628155973</c:v>
                </c:pt>
                <c:pt idx="51">
                  <c:v>0.4544582549173648</c:v>
                </c:pt>
                <c:pt idx="52">
                  <c:v>0.44999678808489341</c:v>
                </c:pt>
                <c:pt idx="53">
                  <c:v>0.44562540227906444</c:v>
                </c:pt>
                <c:pt idx="54">
                  <c:v>0.4413411665211483</c:v>
                </c:pt>
                <c:pt idx="55">
                  <c:v>0.43714128381165263</c:v>
                </c:pt>
                <c:pt idx="56">
                  <c:v>0.43302308321100036</c:v>
                </c:pt>
                <c:pt idx="57">
                  <c:v>0.42898401249361739</c:v>
                </c:pt>
                <c:pt idx="58">
                  <c:v>0.4250216313264481</c:v>
                </c:pt>
                <c:pt idx="59">
                  <c:v>0.42113360492772467</c:v>
                </c:pt>
                <c:pt idx="60">
                  <c:v>0.41731769816607911</c:v>
                </c:pt>
                <c:pt idx="61">
                  <c:v>0.41357177006390289</c:v>
                </c:pt>
                <c:pt idx="62">
                  <c:v>0.40989376867225547</c:v>
                </c:pt>
                <c:pt idx="63">
                  <c:v>0.40628172628765968</c:v>
                </c:pt>
                <c:pt idx="64">
                  <c:v>0.40273375498384856</c:v>
                </c:pt>
                <c:pt idx="65">
                  <c:v>0.39924804243396339</c:v>
                </c:pt>
                <c:pt idx="66">
                  <c:v>0.39582284800089851</c:v>
                </c:pt>
                <c:pt idx="67">
                  <c:v>0.39245649907545332</c:v>
                </c:pt>
                <c:pt idx="68">
                  <c:v>0.38914738764373236</c:v>
                </c:pt>
                <c:pt idx="69">
                  <c:v>0.38589396706683055</c:v>
                </c:pt>
                <c:pt idx="70">
                  <c:v>0.38269474905728351</c:v>
                </c:pt>
                <c:pt idx="71">
                  <c:v>0.37954830083807511</c:v>
                </c:pt>
                <c:pt idx="72">
                  <c:v>0.37645324247116752</c:v>
                </c:pt>
                <c:pt idx="73">
                  <c:v>0.37340824434359821</c:v>
                </c:pt>
                <c:pt idx="74">
                  <c:v>0.37041202480015079</c:v>
                </c:pt>
                <c:pt idx="75">
                  <c:v>0.36746334791250135</c:v>
                </c:pt>
                <c:pt idx="76">
                  <c:v>0.36456102137552882</c:v>
                </c:pt>
                <c:pt idx="77">
                  <c:v>0.36170389452222551</c:v>
                </c:pt>
                <c:pt idx="78">
                  <c:v>0.35889085644929408</c:v>
                </c:pt>
                <c:pt idx="79">
                  <c:v>0.35612083424613594</c:v>
                </c:pt>
                <c:pt idx="80">
                  <c:v>0.35339279132048396</c:v>
                </c:pt>
                <c:pt idx="81">
                  <c:v>0.35070572581444404</c:v>
                </c:pt>
                <c:pt idx="82">
                  <c:v>0.34805866910516969</c:v>
                </c:pt>
                <c:pt idx="83">
                  <c:v>0.34545068438482152</c:v>
                </c:pt>
                <c:pt idx="84">
                  <c:v>0.34288086531485484</c:v>
                </c:pt>
                <c:pt idx="85">
                  <c:v>0.3403483347500289</c:v>
                </c:pt>
                <c:pt idx="86">
                  <c:v>0.33785224352787147</c:v>
                </c:pt>
                <c:pt idx="87">
                  <c:v>0.33539176931962023</c:v>
                </c:pt>
                <c:pt idx="88">
                  <c:v>0.33296611553895361</c:v>
                </c:pt>
                <c:pt idx="89">
                  <c:v>0.33057451030507068</c:v>
                </c:pt>
                <c:pt idx="90">
                  <c:v>0.32821620545691688</c:v>
                </c:pt>
                <c:pt idx="91">
                  <c:v>0.32589047561557649</c:v>
                </c:pt>
                <c:pt idx="92">
                  <c:v>0.32359661729204114</c:v>
                </c:pt>
                <c:pt idx="93">
                  <c:v>0.32133394803776372</c:v>
                </c:pt>
                <c:pt idx="94">
                  <c:v>0.31910180563556545</c:v>
                </c:pt>
                <c:pt idx="95">
                  <c:v>0.31689954732863146</c:v>
                </c:pt>
                <c:pt idx="96">
                  <c:v>0.31472654908547359</c:v>
                </c:pt>
                <c:pt idx="97">
                  <c:v>0.31258220489887512</c:v>
                </c:pt>
                <c:pt idx="98">
                  <c:v>0.31046592611695933</c:v>
                </c:pt>
                <c:pt idx="99">
                  <c:v>0.30837714080464296</c:v>
                </c:pt>
                <c:pt idx="100">
                  <c:v>0.30631529313383654</c:v>
                </c:pt>
                <c:pt idx="101">
                  <c:v>0.30427984280086995</c:v>
                </c:pt>
                <c:pt idx="102">
                  <c:v>0.30227026446969507</c:v>
                </c:pt>
                <c:pt idx="103">
                  <c:v>0.30028604723952546</c:v>
                </c:pt>
                <c:pt idx="104">
                  <c:v>0.29832669413564039</c:v>
                </c:pt>
                <c:pt idx="105">
                  <c:v>0.29639172162216021</c:v>
                </c:pt>
                <c:pt idx="106">
                  <c:v>0.29448065913567478</c:v>
                </c:pt>
                <c:pt idx="107">
                  <c:v>0.2925930486386692</c:v>
                </c:pt>
                <c:pt idx="108">
                  <c:v>0.29072844419174904</c:v>
                </c:pt>
                <c:pt idx="109">
                  <c:v>0.28888641154373529</c:v>
                </c:pt>
                <c:pt idx="110">
                  <c:v>0.28706652773874142</c:v>
                </c:pt>
                <c:pt idx="111">
                  <c:v>0.28526838073940231</c:v>
                </c:pt>
                <c:pt idx="112">
                  <c:v>0.28349156906547035</c:v>
                </c:pt>
                <c:pt idx="113">
                  <c:v>0.28173570144703786</c:v>
                </c:pt>
                <c:pt idx="114">
                  <c:v>0.28000039649168385</c:v>
                </c:pt>
                <c:pt idx="115">
                  <c:v>0.27828528236488692</c:v>
                </c:pt>
                <c:pt idx="116">
                  <c:v>0.27658999648307636</c:v>
                </c:pt>
                <c:pt idx="117">
                  <c:v>0.2749141852187329</c:v>
                </c:pt>
                <c:pt idx="118">
                  <c:v>0.27325750361697865</c:v>
                </c:pt>
                <c:pt idx="119">
                  <c:v>0.27161961512312705</c:v>
                </c:pt>
                <c:pt idx="120">
                  <c:v>0.27000019132069197</c:v>
                </c:pt>
                <c:pt idx="121">
                  <c:v>0.26839891167938124</c:v>
                </c:pt>
                <c:pt idx="122">
                  <c:v>0.26681546331262629</c:v>
                </c:pt>
                <c:pt idx="123">
                  <c:v>0.26524954074421725</c:v>
                </c:pt>
                <c:pt idx="124">
                  <c:v>0.26370084568364394</c:v>
                </c:pt>
                <c:pt idx="125">
                  <c:v>0.26216908680975748</c:v>
                </c:pt>
                <c:pt idx="126">
                  <c:v>0.26065397956238523</c:v>
                </c:pt>
                <c:pt idx="127">
                  <c:v>0.2591552459415587</c:v>
                </c:pt>
                <c:pt idx="128">
                  <c:v>0.25767261431402089</c:v>
                </c:pt>
                <c:pt idx="129">
                  <c:v>0.25620581922670449</c:v>
                </c:pt>
                <c:pt idx="130">
                  <c:v>0.25475460122688265</c:v>
                </c:pt>
                <c:pt idx="131">
                  <c:v>0.25331870668871004</c:v>
                </c:pt>
                <c:pt idx="132">
                  <c:v>0.25189788764588616</c:v>
                </c:pt>
                <c:pt idx="133">
                  <c:v>0.2504919016301872</c:v>
                </c:pt>
                <c:pt idx="134">
                  <c:v>0.24910051151561907</c:v>
                </c:pt>
                <c:pt idx="135">
                  <c:v>0.24772348536796596</c:v>
                </c:pt>
                <c:pt idx="136">
                  <c:v>0.24636059629950835</c:v>
                </c:pt>
                <c:pt idx="137">
                  <c:v>0.24501162232870488</c:v>
                </c:pt>
                <c:pt idx="138">
                  <c:v>0.24367634624463452</c:v>
                </c:pt>
                <c:pt idx="139">
                  <c:v>0.24235455547601092</c:v>
                </c:pt>
                <c:pt idx="140">
                  <c:v>0.24104604196458379</c:v>
                </c:pt>
                <c:pt idx="141">
                  <c:v>0.23975060204275633</c:v>
                </c:pt>
                <c:pt idx="142">
                  <c:v>0.23846803631525293</c:v>
                </c:pt>
                <c:pt idx="143">
                  <c:v>0.23719814954467555</c:v>
                </c:pt>
                <c:pt idx="144">
                  <c:v>0.23594075054080088</c:v>
                </c:pt>
                <c:pt idx="145">
                  <c:v>0.23469565205347431</c:v>
                </c:pt>
                <c:pt idx="146">
                  <c:v>0.2334626706689592</c:v>
                </c:pt>
                <c:pt idx="147">
                  <c:v>0.23224162670961412</c:v>
                </c:pt>
                <c:pt idx="148">
                  <c:v>0.23103234413676699</c:v>
                </c:pt>
                <c:pt idx="149">
                  <c:v>0.22983465045667173</c:v>
                </c:pt>
                <c:pt idx="150">
                  <c:v>0.22864837662942616</c:v>
                </c:pt>
                <c:pt idx="151">
                  <c:v>0.22747335698074456</c:v>
                </c:pt>
                <c:pt idx="152">
                  <c:v>0.22630942911647767</c:v>
                </c:pt>
                <c:pt idx="153">
                  <c:v>0.22515643383978134</c:v>
                </c:pt>
                <c:pt idx="154">
                  <c:v>0.22401421507083175</c:v>
                </c:pt>
                <c:pt idx="155">
                  <c:v>0.22288261976900281</c:v>
                </c:pt>
                <c:pt idx="156">
                  <c:v>0.22176149785740729</c:v>
                </c:pt>
                <c:pt idx="157">
                  <c:v>0.22065070214972571</c:v>
                </c:pt>
                <c:pt idx="158">
                  <c:v>0.21955008827923361</c:v>
                </c:pt>
                <c:pt idx="159">
                  <c:v>0.2184595146299555</c:v>
                </c:pt>
                <c:pt idx="160">
                  <c:v>0.21737884226986548</c:v>
                </c:pt>
                <c:pt idx="161">
                  <c:v>0.21630793488606492</c:v>
                </c:pt>
                <c:pt idx="162">
                  <c:v>0.2152466587218691</c:v>
                </c:pt>
                <c:pt idx="163">
                  <c:v>0.21419488251573227</c:v>
                </c:pt>
                <c:pt idx="164">
                  <c:v>0.21315247744195454</c:v>
                </c:pt>
                <c:pt idx="165">
                  <c:v>0.21211931705310216</c:v>
                </c:pt>
                <c:pt idx="166">
                  <c:v>0.21109527722408661</c:v>
                </c:pt>
                <c:pt idx="167">
                  <c:v>0.21008023609784687</c:v>
                </c:pt>
                <c:pt idx="168">
                  <c:v>0.20907407403257705</c:v>
                </c:pt>
                <c:pt idx="169">
                  <c:v>0.20807667355045056</c:v>
                </c:pt>
                <c:pt idx="170">
                  <c:v>0.20708791928779013</c:v>
                </c:pt>
                <c:pt idx="171">
                  <c:v>0.20610769794663519</c:v>
                </c:pt>
                <c:pt idx="172">
                  <c:v>0.20513589824765843</c:v>
                </c:pt>
                <c:pt idx="173">
                  <c:v>0.20417241088439209</c:v>
                </c:pt>
                <c:pt idx="174">
                  <c:v>0.20321712847871631</c:v>
                </c:pt>
                <c:pt idx="175">
                  <c:v>0.20226994553756983</c:v>
                </c:pt>
                <c:pt idx="176">
                  <c:v>0.20133075841084547</c:v>
                </c:pt>
                <c:pt idx="177">
                  <c:v>0.2003994652504284</c:v>
                </c:pt>
                <c:pt idx="178">
                  <c:v>0.19947596597034489</c:v>
                </c:pt>
                <c:pt idx="179">
                  <c:v>0.19856016220798134</c:v>
                </c:pt>
                <c:pt idx="180">
                  <c:v>0.19765195728634466</c:v>
                </c:pt>
                <c:pt idx="181">
                  <c:v>0.19675125617732681</c:v>
                </c:pt>
                <c:pt idx="182">
                  <c:v>0.19585796546594381</c:v>
                </c:pt>
                <c:pt idx="183">
                  <c:v>0.19497199331551962</c:v>
                </c:pt>
                <c:pt idx="184">
                  <c:v>0.19409324943378359</c:v>
                </c:pt>
                <c:pt idx="185">
                  <c:v>0.19322164503985362</c:v>
                </c:pt>
                <c:pt idx="186">
                  <c:v>0.1923570928320788</c:v>
                </c:pt>
                <c:pt idx="187">
                  <c:v>0.1914995069567158</c:v>
                </c:pt>
                <c:pt idx="188">
                  <c:v>0.19064880297740849</c:v>
                </c:pt>
                <c:pt idx="189">
                  <c:v>0.18980489784545418</c:v>
                </c:pt>
                <c:pt idx="190">
                  <c:v>0.18896770987082667</c:v>
                </c:pt>
                <c:pt idx="191">
                  <c:v>0.18813715869393455</c:v>
                </c:pt>
                <c:pt idx="192">
                  <c:v>0.18731316525809616</c:v>
                </c:pt>
                <c:pt idx="193">
                  <c:v>0.18649565178270422</c:v>
                </c:pt>
                <c:pt idx="194">
                  <c:v>0.18568454173706483</c:v>
                </c:pt>
                <c:pt idx="195">
                  <c:v>0.18487975981488725</c:v>
                </c:pt>
                <c:pt idx="196">
                  <c:v>0.18408123190940739</c:v>
                </c:pt>
                <c:pt idx="197">
                  <c:v>0.18328888508912666</c:v>
                </c:pt>
                <c:pt idx="198">
                  <c:v>0.18250264757414592</c:v>
                </c:pt>
                <c:pt idx="199">
                  <c:v>0.18172244871307941</c:v>
                </c:pt>
                <c:pt idx="200">
                  <c:v>0.18094821896053281</c:v>
                </c:pt>
                <c:pt idx="201">
                  <c:v>0.18017988985512468</c:v>
                </c:pt>
                <c:pt idx="202">
                  <c:v>0.17941739399804213</c:v>
                </c:pt>
                <c:pt idx="203">
                  <c:v>0.17866066503211009</c:v>
                </c:pt>
                <c:pt idx="204">
                  <c:v>0.17790963762136169</c:v>
                </c:pt>
                <c:pt idx="205">
                  <c:v>0.17716424743109671</c:v>
                </c:pt>
                <c:pt idx="206">
                  <c:v>0.17642443110841366</c:v>
                </c:pt>
                <c:pt idx="207">
                  <c:v>0.17569012626319969</c:v>
                </c:pt>
                <c:pt idx="208">
                  <c:v>0.17496127144956941</c:v>
                </c:pt>
                <c:pt idx="209">
                  <c:v>0.17423780614773887</c:v>
                </c:pt>
                <c:pt idx="210">
                  <c:v>0.17351967074632157</c:v>
                </c:pt>
                <c:pt idx="211">
                  <c:v>0.17280680652503544</c:v>
                </c:pt>
                <c:pt idx="212">
                  <c:v>0.17209915563781064</c:v>
                </c:pt>
                <c:pt idx="213">
                  <c:v>0.17139666109628593</c:v>
                </c:pt>
                <c:pt idx="214">
                  <c:v>0.17069926675368341</c:v>
                </c:pt>
                <c:pt idx="215">
                  <c:v>0.17000691728905193</c:v>
                </c:pt>
                <c:pt idx="216">
                  <c:v>0.16931955819186828</c:v>
                </c:pt>
                <c:pt idx="217">
                  <c:v>0.16863713574698846</c:v>
                </c:pt>
                <c:pt idx="218">
                  <c:v>0.16795959701993612</c:v>
                </c:pt>
                <c:pt idx="219">
                  <c:v>0.16728688984252338</c:v>
                </c:pt>
                <c:pt idx="220">
                  <c:v>0.16661896279879262</c:v>
                </c:pt>
                <c:pt idx="221">
                  <c:v>0.16595576521127253</c:v>
                </c:pt>
                <c:pt idx="222">
                  <c:v>0.16529724712753568</c:v>
                </c:pt>
                <c:pt idx="223">
                  <c:v>0.16464335930705842</c:v>
                </c:pt>
                <c:pt idx="224">
                  <c:v>0.16399405320836546</c:v>
                </c:pt>
                <c:pt idx="225">
                  <c:v>0.16334928097645829</c:v>
                </c:pt>
                <c:pt idx="226">
                  <c:v>0.16270899543051842</c:v>
                </c:pt>
                <c:pt idx="227">
                  <c:v>0.16207315005187706</c:v>
                </c:pt>
                <c:pt idx="228">
                  <c:v>0.16144169897224514</c:v>
                </c:pt>
                <c:pt idx="229">
                  <c:v>0.16081459696219957</c:v>
                </c:pt>
                <c:pt idx="230">
                  <c:v>0.16019179941991357</c:v>
                </c:pt>
                <c:pt idx="231">
                  <c:v>0.1595732623601307</c:v>
                </c:pt>
                <c:pt idx="232">
                  <c:v>0.15895894240337416</c:v>
                </c:pt>
                <c:pt idx="233">
                  <c:v>0.15834879676538305</c:v>
                </c:pt>
                <c:pt idx="234">
                  <c:v>0.15774278324677438</c:v>
                </c:pt>
                <c:pt idx="235">
                  <c:v>0.15714086022292273</c:v>
                </c:pt>
                <c:pt idx="236">
                  <c:v>0.15654298663405064</c:v>
                </c:pt>
                <c:pt idx="237">
                  <c:v>0.1559491219755289</c:v>
                </c:pt>
                <c:pt idx="238">
                  <c:v>0.15535922628837628</c:v>
                </c:pt>
                <c:pt idx="239">
                  <c:v>0.15477326014995951</c:v>
                </c:pt>
                <c:pt idx="240">
                  <c:v>0.15419118466488257</c:v>
                </c:pt>
                <c:pt idx="241">
                  <c:v>0.15361296145606551</c:v>
                </c:pt>
                <c:pt idx="242">
                  <c:v>0.15303794244178481</c:v>
                </c:pt>
                <c:pt idx="243">
                  <c:v>0.15246507589474156</c:v>
                </c:pt>
                <c:pt idx="244">
                  <c:v>0.15189435375761051</c:v>
                </c:pt>
                <c:pt idx="245">
                  <c:v>0.1513257680032275</c:v>
                </c:pt>
                <c:pt idx="246">
                  <c:v>0.15075931063447623</c:v>
                </c:pt>
                <c:pt idx="247">
                  <c:v>0.15019497368417611</c:v>
                </c:pt>
                <c:pt idx="248">
                  <c:v>0.14963274921497016</c:v>
                </c:pt>
                <c:pt idx="249">
                  <c:v>0.14907262931921306</c:v>
                </c:pt>
                <c:pt idx="250">
                  <c:v>0.14843905701460924</c:v>
                </c:pt>
                <c:pt idx="251">
                  <c:v>0.14780817745022889</c:v>
                </c:pt>
                <c:pt idx="252">
                  <c:v>0.14717997918167947</c:v>
                </c:pt>
                <c:pt idx="253">
                  <c:v>0.14655445081320884</c:v>
                </c:pt>
                <c:pt idx="254">
                  <c:v>0.14593158099749748</c:v>
                </c:pt>
                <c:pt idx="255">
                  <c:v>0.14531135843545306</c:v>
                </c:pt>
                <c:pt idx="256">
                  <c:v>0.14469377187600552</c:v>
                </c:pt>
                <c:pt idx="257">
                  <c:v>0.14407881011590273</c:v>
                </c:pt>
                <c:pt idx="258">
                  <c:v>0.14346646199950752</c:v>
                </c:pt>
                <c:pt idx="259">
                  <c:v>0.14285671641859521</c:v>
                </c:pt>
                <c:pt idx="260">
                  <c:v>0.14224956231215191</c:v>
                </c:pt>
                <c:pt idx="261">
                  <c:v>0.14164498866617425</c:v>
                </c:pt>
                <c:pt idx="262">
                  <c:v>0.14096023859018014</c:v>
                </c:pt>
                <c:pt idx="263">
                  <c:v>0.14027879878072635</c:v>
                </c:pt>
                <c:pt idx="264">
                  <c:v>0.13960065323509152</c:v>
                </c:pt>
                <c:pt idx="265">
                  <c:v>0.13892578602791594</c:v>
                </c:pt>
                <c:pt idx="266">
                  <c:v>0.13825418131082745</c:v>
                </c:pt>
                <c:pt idx="267">
                  <c:v>0.13758582331206903</c:v>
                </c:pt>
                <c:pt idx="268">
                  <c:v>0.13692069633612858</c:v>
                </c:pt>
                <c:pt idx="269">
                  <c:v>0.1362587847633705</c:v>
                </c:pt>
                <c:pt idx="270">
                  <c:v>0.13560007304966859</c:v>
                </c:pt>
                <c:pt idx="271">
                  <c:v>0.1349445457260412</c:v>
                </c:pt>
                <c:pt idx="272">
                  <c:v>0.13429218739828797</c:v>
                </c:pt>
                <c:pt idx="273">
                  <c:v>0.13364298274662811</c:v>
                </c:pt>
                <c:pt idx="274">
                  <c:v>0.13290555233850954</c:v>
                </c:pt>
                <c:pt idx="275">
                  <c:v>0.13217219100753697</c:v>
                </c:pt>
                <c:pt idx="276">
                  <c:v>0.13144287630089491</c:v>
                </c:pt>
                <c:pt idx="277">
                  <c:v>0.13071758588966076</c:v>
                </c:pt>
                <c:pt idx="278">
                  <c:v>0.12999629756812103</c:v>
                </c:pt>
                <c:pt idx="279">
                  <c:v>0.129278989253091</c:v>
                </c:pt>
                <c:pt idx="280">
                  <c:v>0.12856563898323947</c:v>
                </c:pt>
                <c:pt idx="281">
                  <c:v>0.12785622491841586</c:v>
                </c:pt>
                <c:pt idx="282">
                  <c:v>0.12715072533898142</c:v>
                </c:pt>
                <c:pt idx="283">
                  <c:v>0.12644911864514508</c:v>
                </c:pt>
                <c:pt idx="284">
                  <c:v>0.12575138335630076</c:v>
                </c:pt>
                <c:pt idx="285">
                  <c:v>0.12505749811037115</c:v>
                </c:pt>
                <c:pt idx="286">
                  <c:v>0.12426893894120983</c:v>
                </c:pt>
                <c:pt idx="287">
                  <c:v>0.12348535208936395</c:v>
                </c:pt>
                <c:pt idx="288">
                  <c:v>0.12270670620152413</c:v>
                </c:pt>
                <c:pt idx="289">
                  <c:v>0.12193297012208182</c:v>
                </c:pt>
                <c:pt idx="290">
                  <c:v>0.12116411289188223</c:v>
                </c:pt>
                <c:pt idx="291">
                  <c:v>0.12040010374698584</c:v>
                </c:pt>
                <c:pt idx="292">
                  <c:v>0.11964091211743755</c:v>
                </c:pt>
                <c:pt idx="293">
                  <c:v>0.11888650762604303</c:v>
                </c:pt>
                <c:pt idx="294">
                  <c:v>0.11813686008715385</c:v>
                </c:pt>
                <c:pt idx="295">
                  <c:v>0.11739193950545934</c:v>
                </c:pt>
                <c:pt idx="296">
                  <c:v>0.11665171607478619</c:v>
                </c:pt>
                <c:pt idx="297">
                  <c:v>0.11591616017690654</c:v>
                </c:pt>
                <c:pt idx="298">
                  <c:v>0.11508197949608734</c:v>
                </c:pt>
                <c:pt idx="299">
                  <c:v>0.11425380192481893</c:v>
                </c:pt>
                <c:pt idx="300">
                  <c:v>0.11343158426223954</c:v>
                </c:pt>
                <c:pt idx="301">
                  <c:v>0.1126152836183788</c:v>
                </c:pt>
                <c:pt idx="302">
                  <c:v>0.11180485741192014</c:v>
                </c:pt>
                <c:pt idx="303">
                  <c:v>0.11100026336797986</c:v>
                </c:pt>
                <c:pt idx="304">
                  <c:v>0.11020145951590177</c:v>
                </c:pt>
                <c:pt idx="305">
                  <c:v>0.10940840418706799</c:v>
                </c:pt>
                <c:pt idx="306">
                  <c:v>0.1086210560127252</c:v>
                </c:pt>
                <c:pt idx="307">
                  <c:v>0.10783937392182685</c:v>
                </c:pt>
                <c:pt idx="308">
                  <c:v>0.10706331713889039</c:v>
                </c:pt>
                <c:pt idx="309">
                  <c:v>0.10629284518187099</c:v>
                </c:pt>
                <c:pt idx="310">
                  <c:v>0.10541980477125479</c:v>
                </c:pt>
                <c:pt idx="311">
                  <c:v>0.10455393511194611</c:v>
                </c:pt>
                <c:pt idx="312">
                  <c:v>0.10369517730670064</c:v>
                </c:pt>
                <c:pt idx="313">
                  <c:v>0.102843472942029</c:v>
                </c:pt>
                <c:pt idx="314">
                  <c:v>0.10199876408422326</c:v>
                </c:pt>
                <c:pt idx="315">
                  <c:v>0.10116099327541606</c:v>
                </c:pt>
                <c:pt idx="316">
                  <c:v>0.10033010352967253</c:v>
                </c:pt>
                <c:pt idx="317">
                  <c:v>9.9506038329114199E-2</c:v>
                </c:pt>
                <c:pt idx="318">
                  <c:v>9.8688741620074238E-2</c:v>
                </c:pt>
                <c:pt idx="319">
                  <c:v>9.787815780928466E-2</c:v>
                </c:pt>
                <c:pt idx="320">
                  <c:v>9.7074231760095109E-2</c:v>
                </c:pt>
                <c:pt idx="321">
                  <c:v>9.6276908788722193E-2</c:v>
                </c:pt>
                <c:pt idx="322">
                  <c:v>9.5375169726084175E-2</c:v>
                </c:pt>
                <c:pt idx="323">
                  <c:v>9.4481876440811741E-2</c:v>
                </c:pt>
                <c:pt idx="324">
                  <c:v>9.3596949828917864E-2</c:v>
                </c:pt>
                <c:pt idx="325">
                  <c:v>9.2720311527310972E-2</c:v>
                </c:pt>
                <c:pt idx="326">
                  <c:v>9.1851883906855947E-2</c:v>
                </c:pt>
                <c:pt idx="327">
                  <c:v>9.0991590065500172E-2</c:v>
                </c:pt>
                <c:pt idx="328">
                  <c:v>9.0139353821462986E-2</c:v>
                </c:pt>
                <c:pt idx="329">
                  <c:v>8.9295099706489856E-2</c:v>
                </c:pt>
                <c:pt idx="330">
                  <c:v>8.8458752959169606E-2</c:v>
                </c:pt>
                <c:pt idx="331">
                  <c:v>8.7630239518313502E-2</c:v>
                </c:pt>
                <c:pt idx="332">
                  <c:v>8.6809486016397486E-2</c:v>
                </c:pt>
                <c:pt idx="333">
                  <c:v>8.5996419773064825E-2</c:v>
                </c:pt>
                <c:pt idx="334">
                  <c:v>8.5078097077337156E-2</c:v>
                </c:pt>
                <c:pt idx="335">
                  <c:v>8.4169580796524257E-2</c:v>
                </c:pt>
                <c:pt idx="336">
                  <c:v>8.3270766211692604E-2</c:v>
                </c:pt>
                <c:pt idx="337">
                  <c:v>8.2381549722161718E-2</c:v>
                </c:pt>
                <c:pt idx="338">
                  <c:v>8.1501828833562828E-2</c:v>
                </c:pt>
                <c:pt idx="339">
                  <c:v>8.0631502146025325E-2</c:v>
                </c:pt>
                <c:pt idx="340">
                  <c:v>7.9770469342488659E-2</c:v>
                </c:pt>
                <c:pt idx="341">
                  <c:v>7.891863117713982E-2</c:v>
                </c:pt>
                <c:pt idx="342">
                  <c:v>7.8075889463973369E-2</c:v>
                </c:pt>
                <c:pt idx="343">
                  <c:v>7.7242147065474609E-2</c:v>
                </c:pt>
                <c:pt idx="344">
                  <c:v>7.6417307881423202E-2</c:v>
                </c:pt>
                <c:pt idx="345">
                  <c:v>7.560127683781559E-2</c:v>
                </c:pt>
                <c:pt idx="346">
                  <c:v>7.4683341510657919E-2</c:v>
                </c:pt>
                <c:pt idx="347">
                  <c:v>7.3776551567547699E-2</c:v>
                </c:pt>
                <c:pt idx="348">
                  <c:v>7.2880771683498713E-2</c:v>
                </c:pt>
                <c:pt idx="349">
                  <c:v>7.1995868176613298E-2</c:v>
                </c:pt>
                <c:pt idx="350">
                  <c:v>7.112170898813186E-2</c:v>
                </c:pt>
                <c:pt idx="351">
                  <c:v>7.0258163662725526E-2</c:v>
                </c:pt>
                <c:pt idx="352">
                  <c:v>6.9405103329027718E-2</c:v>
                </c:pt>
                <c:pt idx="353">
                  <c:v>6.8562400680401536E-2</c:v>
                </c:pt>
                <c:pt idx="354">
                  <c:v>6.7729929955941404E-2</c:v>
                </c:pt>
                <c:pt idx="355">
                  <c:v>6.6907566921705186E-2</c:v>
                </c:pt>
                <c:pt idx="356">
                  <c:v>6.6095188852173914E-2</c:v>
                </c:pt>
                <c:pt idx="357">
                  <c:v>6.5292674511936877E-2</c:v>
                </c:pt>
                <c:pt idx="358">
                  <c:v>6.4396365074517514E-2</c:v>
                </c:pt>
                <c:pt idx="359">
                  <c:v>6.3512359783215788E-2</c:v>
                </c:pt>
                <c:pt idx="360">
                  <c:v>6.2640489732065263E-2</c:v>
                </c:pt>
                <c:pt idx="361">
                  <c:v>6.1780588333767428E-2</c:v>
                </c:pt>
                <c:pt idx="362">
                  <c:v>6.0932491287861379E-2</c:v>
                </c:pt>
                <c:pt idx="363">
                  <c:v>6.0096036549331711E-2</c:v>
                </c:pt>
                <c:pt idx="364">
                  <c:v>5.9271064297646392E-2</c:v>
                </c:pt>
                <c:pt idx="365">
                  <c:v>5.8457416906220305E-2</c:v>
                </c:pt>
                <c:pt idx="366">
                  <c:v>5.7654938912297338E-2</c:v>
                </c:pt>
                <c:pt idx="367">
                  <c:v>5.6863476987246586E-2</c:v>
                </c:pt>
                <c:pt idx="368">
                  <c:v>5.6082879907265792E-2</c:v>
                </c:pt>
                <c:pt idx="369">
                  <c:v>5.5312998524487567E-2</c:v>
                </c:pt>
                <c:pt idx="370">
                  <c:v>5.4460620007365512E-2</c:v>
                </c:pt>
                <c:pt idx="371">
                  <c:v>5.3621376723476777E-2</c:v>
                </c:pt>
                <c:pt idx="372">
                  <c:v>5.2795066257639967E-2</c:v>
                </c:pt>
                <c:pt idx="373">
                  <c:v>5.1981489313910889E-2</c:v>
                </c:pt>
                <c:pt idx="374">
                  <c:v>5.1180449667514338E-2</c:v>
                </c:pt>
                <c:pt idx="375">
                  <c:v>5.0391754117517729E-2</c:v>
                </c:pt>
                <c:pt idx="376">
                  <c:v>4.9615212440232814E-2</c:v>
                </c:pt>
                <c:pt idx="377">
                  <c:v>4.8850637343336167E-2</c:v>
                </c:pt>
                <c:pt idx="378">
                  <c:v>4.80978444206972E-2</c:v>
                </c:pt>
                <c:pt idx="379">
                  <c:v>4.7356652107900521E-2</c:v>
                </c:pt>
                <c:pt idx="380">
                  <c:v>4.6626881638456075E-2</c:v>
                </c:pt>
                <c:pt idx="381">
                  <c:v>4.5908357000681965E-2</c:v>
                </c:pt>
                <c:pt idx="382">
                  <c:v>4.5120788516488264E-2</c:v>
                </c:pt>
                <c:pt idx="383">
                  <c:v>4.434673095182684E-2</c:v>
                </c:pt>
                <c:pt idx="384">
                  <c:v>4.3585952523747751E-2</c:v>
                </c:pt>
                <c:pt idx="385">
                  <c:v>4.2838225425590903E-2</c:v>
                </c:pt>
                <c:pt idx="386">
                  <c:v>4.2103325758772514E-2</c:v>
                </c:pt>
                <c:pt idx="387">
                  <c:v>4.1381033465740624E-2</c:v>
                </c:pt>
                <c:pt idx="388">
                  <c:v>4.0671132264081478E-2</c:v>
                </c:pt>
                <c:pt idx="389">
                  <c:v>3.9973409581756214E-2</c:v>
                </c:pt>
                <c:pt idx="390">
                  <c:v>3.9287656493448342E-2</c:v>
                </c:pt>
                <c:pt idx="391">
                  <c:v>3.8613667658003781E-2</c:v>
                </c:pt>
                <c:pt idx="392">
                  <c:v>3.7951241256943047E-2</c:v>
                </c:pt>
                <c:pt idx="393">
                  <c:v>3.7300178934029704E-2</c:v>
                </c:pt>
                <c:pt idx="394">
                  <c:v>3.6594677662699526E-2</c:v>
                </c:pt>
                <c:pt idx="395">
                  <c:v>3.5902520349979539E-2</c:v>
                </c:pt>
                <c:pt idx="396">
                  <c:v>3.5223454606202131E-2</c:v>
                </c:pt>
                <c:pt idx="397">
                  <c:v>3.4557232815436212E-2</c:v>
                </c:pt>
                <c:pt idx="398">
                  <c:v>3.390361204519643E-2</c:v>
                </c:pt>
                <c:pt idx="399">
                  <c:v>3.3262353957859148E-2</c:v>
                </c:pt>
                <c:pt idx="400">
                  <c:v>3.2633224723755294E-2</c:v>
                </c:pt>
                <c:pt idx="401">
                  <c:v>3.2015994935905456E-2</c:v>
                </c:pt>
                <c:pt idx="402">
                  <c:v>3.1410439526368905E-2</c:v>
                </c:pt>
                <c:pt idx="403">
                  <c:v>3.0816337684174355E-2</c:v>
                </c:pt>
                <c:pt idx="404">
                  <c:v>3.0233472774802816E-2</c:v>
                </c:pt>
                <c:pt idx="405">
                  <c:v>2.9661632261193671E-2</c:v>
                </c:pt>
                <c:pt idx="406">
                  <c:v>2.9073389958928053E-2</c:v>
                </c:pt>
                <c:pt idx="407">
                  <c:v>2.8496813535435539E-2</c:v>
                </c:pt>
                <c:pt idx="408">
                  <c:v>2.7931671635835764E-2</c:v>
                </c:pt>
                <c:pt idx="409">
                  <c:v>2.7377737493422205E-2</c:v>
                </c:pt>
                <c:pt idx="410">
                  <c:v>2.6834788838670409E-2</c:v>
                </c:pt>
                <c:pt idx="411">
                  <c:v>2.630260781005167E-2</c:v>
                </c:pt>
                <c:pt idx="412">
                  <c:v>2.5780980866614067E-2</c:v>
                </c:pt>
                <c:pt idx="413">
                  <c:v>2.5269698702298227E-2</c:v>
                </c:pt>
                <c:pt idx="414">
                  <c:v>2.4768556161951727E-2</c:v>
                </c:pt>
                <c:pt idx="415">
                  <c:v>2.427735215900928E-2</c:v>
                </c:pt>
                <c:pt idx="416">
                  <c:v>2.3795889594806052E-2</c:v>
                </c:pt>
                <c:pt idx="417">
                  <c:v>2.3323975279489595E-2</c:v>
                </c:pt>
                <c:pt idx="418">
                  <c:v>2.2808181077611844E-2</c:v>
                </c:pt>
                <c:pt idx="419">
                  <c:v>2.2303793321483689E-2</c:v>
                </c:pt>
                <c:pt idx="420">
                  <c:v>2.1810559765143123E-2</c:v>
                </c:pt>
                <c:pt idx="421">
                  <c:v>2.1328233740879998E-2</c:v>
                </c:pt>
                <c:pt idx="422">
                  <c:v>2.0856574035876152E-2</c:v>
                </c:pt>
                <c:pt idx="423">
                  <c:v>2.0395344771574897E-2</c:v>
                </c:pt>
                <c:pt idx="424">
                  <c:v>1.9944315285716829E-2</c:v>
                </c:pt>
                <c:pt idx="425">
                  <c:v>1.9503260016984769E-2</c:v>
                </c:pt>
                <c:pt idx="426">
                  <c:v>1.9071958392200328E-2</c:v>
                </c:pt>
                <c:pt idx="427">
                  <c:v>1.8650194716014257E-2</c:v>
                </c:pt>
                <c:pt idx="428">
                  <c:v>1.8237758063036402E-2</c:v>
                </c:pt>
                <c:pt idx="429">
                  <c:v>1.7834442172351306E-2</c:v>
                </c:pt>
                <c:pt idx="430">
                  <c:v>1.7406001244444913E-2</c:v>
                </c:pt>
                <c:pt idx="431">
                  <c:v>1.6987852852011653E-2</c:v>
                </c:pt>
                <c:pt idx="432">
                  <c:v>1.6579749735092353E-2</c:v>
                </c:pt>
                <c:pt idx="433">
                  <c:v>1.6181450573710454E-2</c:v>
                </c:pt>
                <c:pt idx="434">
                  <c:v>1.5792719845175496E-2</c:v>
                </c:pt>
                <c:pt idx="435">
                  <c:v>1.5413327684812739E-2</c:v>
                </c:pt>
                <c:pt idx="436">
                  <c:v>1.5043049750039672E-2</c:v>
                </c:pt>
                <c:pt idx="437">
                  <c:v>1.4681667087707684E-2</c:v>
                </c:pt>
                <c:pt idx="438">
                  <c:v>1.4328966004630184E-2</c:v>
                </c:pt>
                <c:pt idx="439">
                  <c:v>1.3984737941221348E-2</c:v>
                </c:pt>
                <c:pt idx="440">
                  <c:v>1.364877934817077E-2</c:v>
                </c:pt>
                <c:pt idx="441">
                  <c:v>1.3320891566079851E-2</c:v>
                </c:pt>
                <c:pt idx="442">
                  <c:v>1.2976049199181938E-2</c:v>
                </c:pt>
                <c:pt idx="443">
                  <c:v>1.2640133881755E-2</c:v>
                </c:pt>
                <c:pt idx="444">
                  <c:v>1.2312914516289242E-2</c:v>
                </c:pt>
                <c:pt idx="445">
                  <c:v>1.1994165987773253E-2</c:v>
                </c:pt>
                <c:pt idx="446">
                  <c:v>1.1683669008823117E-2</c:v>
                </c:pt>
                <c:pt idx="447">
                  <c:v>1.1381209968820638E-2</c:v>
                </c:pt>
                <c:pt idx="448">
                  <c:v>1.1086580786956901E-2</c:v>
                </c:pt>
                <c:pt idx="449">
                  <c:v>1.0799578769080331E-2</c:v>
                </c:pt>
                <c:pt idx="450">
                  <c:v>1.0520006468250798E-2</c:v>
                </c:pt>
                <c:pt idx="451">
                  <c:v>1.0247671548902715E-2</c:v>
                </c:pt>
                <c:pt idx="452">
                  <c:v>9.9823866545256656E-3</c:v>
                </c:pt>
                <c:pt idx="453">
                  <c:v>9.7239692787696175E-3</c:v>
                </c:pt>
                <c:pt idx="454">
                  <c:v>9.4532829093422199E-3</c:v>
                </c:pt>
                <c:pt idx="455">
                  <c:v>9.1901316429672253E-3</c:v>
                </c:pt>
                <c:pt idx="456">
                  <c:v>8.9343057247975866E-3</c:v>
                </c:pt>
                <c:pt idx="457">
                  <c:v>8.6856012389370241E-3</c:v>
                </c:pt>
                <c:pt idx="458">
                  <c:v>8.4438199459011543E-3</c:v>
                </c:pt>
                <c:pt idx="459">
                  <c:v>8.2087691246027772E-3</c:v>
                </c:pt>
                <c:pt idx="460">
                  <c:v>7.9802614187364229E-3</c:v>
                </c:pt>
                <c:pt idx="461">
                  <c:v>7.7581146874385887E-3</c:v>
                </c:pt>
                <c:pt idx="462">
                  <c:v>7.5421518601054283E-3</c:v>
                </c:pt>
                <c:pt idx="463">
                  <c:v>7.3322007952517643E-3</c:v>
                </c:pt>
                <c:pt idx="464">
                  <c:v>7.1280941432991796E-3</c:v>
                </c:pt>
                <c:pt idx="465">
                  <c:v>6.929669213183498E-3</c:v>
                </c:pt>
                <c:pt idx="466">
                  <c:v>6.7225724879024229E-3</c:v>
                </c:pt>
                <c:pt idx="467">
                  <c:v>6.5216649546741001E-3</c:v>
                </c:pt>
                <c:pt idx="468">
                  <c:v>6.3267616463135168E-3</c:v>
                </c:pt>
                <c:pt idx="469">
                  <c:v>6.1376831234754015E-3</c:v>
                </c:pt>
                <c:pt idx="470">
                  <c:v>5.9542553094512618E-3</c:v>
                </c:pt>
                <c:pt idx="471">
                  <c:v>5.7763093299044721E-3</c:v>
                </c:pt>
                <c:pt idx="472">
                  <c:v>5.603681357394974E-3</c:v>
                </c:pt>
                <c:pt idx="473">
                  <c:v>5.4362124605495943E-3</c:v>
                </c:pt>
                <c:pt idx="474">
                  <c:v>5.2737484577410898E-3</c:v>
                </c:pt>
                <c:pt idx="475">
                  <c:v>5.1161397751395832E-3</c:v>
                </c:pt>
                <c:pt idx="476">
                  <c:v>4.963241309005606E-3</c:v>
                </c:pt>
                <c:pt idx="477">
                  <c:v>4.8149122920996268E-3</c:v>
                </c:pt>
                <c:pt idx="478">
                  <c:v>1.7713072433070964E-3</c:v>
                </c:pt>
                <c:pt idx="479">
                  <c:v>6.5162751881076009E-4</c:v>
                </c:pt>
                <c:pt idx="480">
                  <c:v>2.397203674719961E-4</c:v>
                </c:pt>
              </c:numCache>
              <c:extLst xmlns:c15="http://schemas.microsoft.com/office/drawing/2012/chart"/>
            </c:numRef>
          </c:yVal>
          <c:smooth val="1"/>
          <c:extLst xmlns:c15="http://schemas.microsoft.com/office/drawing/2012/chart">
            <c:ext xmlns:c16="http://schemas.microsoft.com/office/drawing/2014/chart" uri="{C3380CC4-5D6E-409C-BE32-E72D297353CC}">
              <c16:uniqueId val="{00000002-1E17-4A59-B22C-D4C39BC92F57}"/>
            </c:ext>
          </c:extLst>
        </c:ser>
        <c:ser>
          <c:idx val="3"/>
          <c:order val="3"/>
          <c:tx>
            <c:v>OS NIVO</c:v>
          </c:tx>
          <c:spPr>
            <a:ln w="19050" cap="rnd">
              <a:solidFill>
                <a:srgbClr val="FF0000"/>
              </a:solidFill>
              <a:round/>
            </a:ln>
            <a:effectLst/>
          </c:spPr>
          <c:marker>
            <c:symbol val="none"/>
          </c:marker>
          <c:xVal>
            <c:numRef>
              <c:f>'Markov Trace'!$C$28:$C$508</c:f>
              <c:numCache>
                <c:formatCode>0.0</c:formatCode>
                <c:ptCount val="48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pt idx="421">
                  <c:v>35.083333333333336</c:v>
                </c:pt>
                <c:pt idx="422">
                  <c:v>35.166666666666664</c:v>
                </c:pt>
                <c:pt idx="423">
                  <c:v>35.25</c:v>
                </c:pt>
                <c:pt idx="424">
                  <c:v>35.333333333333336</c:v>
                </c:pt>
                <c:pt idx="425">
                  <c:v>35.416666666666664</c:v>
                </c:pt>
                <c:pt idx="426">
                  <c:v>35.5</c:v>
                </c:pt>
                <c:pt idx="427">
                  <c:v>35.583333333333336</c:v>
                </c:pt>
                <c:pt idx="428">
                  <c:v>35.666666666666664</c:v>
                </c:pt>
                <c:pt idx="429">
                  <c:v>35.75</c:v>
                </c:pt>
                <c:pt idx="430">
                  <c:v>35.833333333333336</c:v>
                </c:pt>
                <c:pt idx="431">
                  <c:v>35.916666666666664</c:v>
                </c:pt>
                <c:pt idx="432">
                  <c:v>36</c:v>
                </c:pt>
                <c:pt idx="433">
                  <c:v>36.083333333333336</c:v>
                </c:pt>
                <c:pt idx="434">
                  <c:v>36.166666666666664</c:v>
                </c:pt>
                <c:pt idx="435">
                  <c:v>36.25</c:v>
                </c:pt>
                <c:pt idx="436">
                  <c:v>36.333333333333336</c:v>
                </c:pt>
                <c:pt idx="437">
                  <c:v>36.416666666666664</c:v>
                </c:pt>
                <c:pt idx="438">
                  <c:v>36.5</c:v>
                </c:pt>
                <c:pt idx="439">
                  <c:v>36.583333333333336</c:v>
                </c:pt>
                <c:pt idx="440">
                  <c:v>36.666666666666664</c:v>
                </c:pt>
                <c:pt idx="441">
                  <c:v>36.75</c:v>
                </c:pt>
                <c:pt idx="442">
                  <c:v>36.833333333333336</c:v>
                </c:pt>
                <c:pt idx="443">
                  <c:v>36.916666666666664</c:v>
                </c:pt>
                <c:pt idx="444">
                  <c:v>37</c:v>
                </c:pt>
                <c:pt idx="445">
                  <c:v>37.083333333333336</c:v>
                </c:pt>
                <c:pt idx="446">
                  <c:v>37.166666666666664</c:v>
                </c:pt>
                <c:pt idx="447">
                  <c:v>37.25</c:v>
                </c:pt>
                <c:pt idx="448">
                  <c:v>37.333333333333336</c:v>
                </c:pt>
                <c:pt idx="449">
                  <c:v>37.416666666666664</c:v>
                </c:pt>
                <c:pt idx="450">
                  <c:v>37.5</c:v>
                </c:pt>
                <c:pt idx="451">
                  <c:v>37.583333333333336</c:v>
                </c:pt>
                <c:pt idx="452">
                  <c:v>37.666666666666664</c:v>
                </c:pt>
                <c:pt idx="453">
                  <c:v>37.75</c:v>
                </c:pt>
                <c:pt idx="454">
                  <c:v>37.833333333333336</c:v>
                </c:pt>
                <c:pt idx="455">
                  <c:v>37.916666666666664</c:v>
                </c:pt>
                <c:pt idx="456">
                  <c:v>38</c:v>
                </c:pt>
                <c:pt idx="457">
                  <c:v>38.083333333333336</c:v>
                </c:pt>
                <c:pt idx="458">
                  <c:v>38.166666666666664</c:v>
                </c:pt>
                <c:pt idx="459">
                  <c:v>38.25</c:v>
                </c:pt>
                <c:pt idx="460">
                  <c:v>38.333333333333336</c:v>
                </c:pt>
                <c:pt idx="461">
                  <c:v>38.416666666666664</c:v>
                </c:pt>
                <c:pt idx="462">
                  <c:v>38.5</c:v>
                </c:pt>
                <c:pt idx="463">
                  <c:v>38.583333333333336</c:v>
                </c:pt>
                <c:pt idx="464">
                  <c:v>38.666666666666664</c:v>
                </c:pt>
                <c:pt idx="465">
                  <c:v>38.75</c:v>
                </c:pt>
                <c:pt idx="466">
                  <c:v>38.833333333333336</c:v>
                </c:pt>
                <c:pt idx="467">
                  <c:v>38.916666666666664</c:v>
                </c:pt>
                <c:pt idx="468">
                  <c:v>39</c:v>
                </c:pt>
                <c:pt idx="469">
                  <c:v>39.083333333333336</c:v>
                </c:pt>
                <c:pt idx="470">
                  <c:v>39.166666666666664</c:v>
                </c:pt>
                <c:pt idx="471">
                  <c:v>39.25</c:v>
                </c:pt>
                <c:pt idx="472">
                  <c:v>39.333333333333336</c:v>
                </c:pt>
                <c:pt idx="473">
                  <c:v>39.416666666666664</c:v>
                </c:pt>
                <c:pt idx="474">
                  <c:v>39.5</c:v>
                </c:pt>
                <c:pt idx="475">
                  <c:v>39.583333333333336</c:v>
                </c:pt>
                <c:pt idx="476">
                  <c:v>39.666666666666664</c:v>
                </c:pt>
                <c:pt idx="477">
                  <c:v>39.75</c:v>
                </c:pt>
                <c:pt idx="478">
                  <c:v>39.833333333333336</c:v>
                </c:pt>
                <c:pt idx="479">
                  <c:v>39.916666666666664</c:v>
                </c:pt>
                <c:pt idx="480">
                  <c:v>40</c:v>
                </c:pt>
              </c:numCache>
            </c:numRef>
          </c:xVal>
          <c:yVal>
            <c:numRef>
              <c:f>'Markov Trace'!$V$28:$V$508</c:f>
              <c:numCache>
                <c:formatCode>#,##0.000</c:formatCode>
                <c:ptCount val="481"/>
                <c:pt idx="0">
                  <c:v>1</c:v>
                </c:pt>
                <c:pt idx="1">
                  <c:v>0.98523894277246926</c:v>
                </c:pt>
                <c:pt idx="2">
                  <c:v>0.95549764270688642</c:v>
                </c:pt>
                <c:pt idx="3">
                  <c:v>0.91683105896870343</c:v>
                </c:pt>
                <c:pt idx="4">
                  <c:v>0.89098875074008177</c:v>
                </c:pt>
                <c:pt idx="5">
                  <c:v>0.87033747779751258</c:v>
                </c:pt>
                <c:pt idx="6">
                  <c:v>0.84156305506216578</c:v>
                </c:pt>
                <c:pt idx="7">
                  <c:v>0.81940661798565795</c:v>
                </c:pt>
                <c:pt idx="8">
                  <c:v>0.79983695809486133</c:v>
                </c:pt>
                <c:pt idx="9">
                  <c:v>0.7751051115058214</c:v>
                </c:pt>
                <c:pt idx="10">
                  <c:v>0.75020807574376902</c:v>
                </c:pt>
                <c:pt idx="11">
                  <c:v>0.73118963724441244</c:v>
                </c:pt>
                <c:pt idx="12">
                  <c:v>0.71899594283988455</c:v>
                </c:pt>
                <c:pt idx="13">
                  <c:v>0.6989348849188135</c:v>
                </c:pt>
                <c:pt idx="14">
                  <c:v>0.68402361821701296</c:v>
                </c:pt>
                <c:pt idx="15">
                  <c:v>0.66900422919260338</c:v>
                </c:pt>
                <c:pt idx="16">
                  <c:v>0.65779010529766679</c:v>
                </c:pt>
                <c:pt idx="17">
                  <c:v>0.6424155031442611</c:v>
                </c:pt>
                <c:pt idx="18">
                  <c:v>0.6282147540220181</c:v>
                </c:pt>
                <c:pt idx="19">
                  <c:v>0.61678724345112212</c:v>
                </c:pt>
                <c:pt idx="20">
                  <c:v>0.60520665453542966</c:v>
                </c:pt>
                <c:pt idx="21">
                  <c:v>0.59409327836623171</c:v>
                </c:pt>
                <c:pt idx="22">
                  <c:v>0.58341635720874141</c:v>
                </c:pt>
                <c:pt idx="23">
                  <c:v>0.57314795304908239</c:v>
                </c:pt>
                <c:pt idx="24">
                  <c:v>0.56326262135405192</c:v>
                </c:pt>
                <c:pt idx="25">
                  <c:v>0.55373712928893082</c:v>
                </c:pt>
                <c:pt idx="26">
                  <c:v>0.54455021166146356</c:v>
                </c:pt>
                <c:pt idx="27">
                  <c:v>0.53568235891984406</c:v>
                </c:pt>
                <c:pt idx="28">
                  <c:v>0.5271156324390468</c:v>
                </c:pt>
                <c:pt idx="29">
                  <c:v>0.51883350309467868</c:v>
                </c:pt>
                <c:pt idx="30">
                  <c:v>0.51082070976377614</c:v>
                </c:pt>
                <c:pt idx="31">
                  <c:v>0.50306313492576038</c:v>
                </c:pt>
                <c:pt idx="32">
                  <c:v>0.49554769498099249</c:v>
                </c:pt>
                <c:pt idx="33">
                  <c:v>0.48826224327400314</c:v>
                </c:pt>
                <c:pt idx="34">
                  <c:v>0.48119548411628132</c:v>
                </c:pt>
                <c:pt idx="35">
                  <c:v>0.47433689636024945</c:v>
                </c:pt>
                <c:pt idx="36">
                  <c:v>0.46767666529060181</c:v>
                </c:pt>
                <c:pt idx="37">
                  <c:v>0.46120562177893587</c:v>
                </c:pt>
                <c:pt idx="38">
                  <c:v>0.45491518779854212</c:v>
                </c:pt>
                <c:pt idx="39">
                  <c:v>0.44879732752334611</c:v>
                </c:pt>
                <c:pt idx="40">
                  <c:v>0.44284450334232872</c:v>
                </c:pt>
                <c:pt idx="41">
                  <c:v>0.43704963621164594</c:v>
                </c:pt>
                <c:pt idx="42">
                  <c:v>0.43140606984385954</c:v>
                </c:pt>
                <c:pt idx="43">
                  <c:v>0.42590753829940442</c:v>
                </c:pt>
                <c:pt idx="44">
                  <c:v>0.42054813660155221</c:v>
                </c:pt>
                <c:pt idx="45">
                  <c:v>0.4153222940441752</c:v>
                </c:pt>
                <c:pt idx="46">
                  <c:v>0.41022474990286939</c:v>
                </c:pt>
                <c:pt idx="47">
                  <c:v>0.40525053129550082</c:v>
                </c:pt>
                <c:pt idx="48">
                  <c:v>0.40039493296888051</c:v>
                </c:pt>
                <c:pt idx="49">
                  <c:v>0.39565349881477907</c:v>
                </c:pt>
                <c:pt idx="50">
                  <c:v>0.39102200494147066</c:v>
                </c:pt>
                <c:pt idx="51">
                  <c:v>0.38649644414698614</c:v>
                </c:pt>
                <c:pt idx="52">
                  <c:v>0.38207301165764618</c:v>
                </c:pt>
                <c:pt idx="53">
                  <c:v>0.3777480920106544</c:v>
                </c:pt>
                <c:pt idx="54">
                  <c:v>0.37351824697282265</c:v>
                </c:pt>
                <c:pt idx="55">
                  <c:v>0.36938020439916475</c:v>
                </c:pt>
                <c:pt idx="56">
                  <c:v>0.36533084794534221</c:v>
                </c:pt>
                <c:pt idx="57">
                  <c:v>0.36136720755696605</c:v>
                </c:pt>
                <c:pt idx="58">
                  <c:v>0.35748645066671925</c:v>
                </c:pt>
                <c:pt idx="59">
                  <c:v>0.35368587403729901</c:v>
                </c:pt>
                <c:pt idx="60">
                  <c:v>0.34996289619440657</c:v>
                </c:pt>
                <c:pt idx="61">
                  <c:v>0.34631505039953492</c:v>
                </c:pt>
                <c:pt idx="62">
                  <c:v>0.34273997811722023</c:v>
                </c:pt>
                <c:pt idx="63">
                  <c:v>0.33923542293578601</c:v>
                </c:pt>
                <c:pt idx="64">
                  <c:v>0.33579922490450853</c:v>
                </c:pt>
                <c:pt idx="65">
                  <c:v>0.33242931525361097</c:v>
                </c:pt>
                <c:pt idx="66">
                  <c:v>0.32912371146660435</c:v>
                </c:pt>
                <c:pt idx="67">
                  <c:v>0.32588051267727924</c:v>
                </c:pt>
                <c:pt idx="68">
                  <c:v>0.32269789536615312</c:v>
                </c:pt>
                <c:pt idx="69">
                  <c:v>0.31957410933342689</c:v>
                </c:pt>
                <c:pt idx="70">
                  <c:v>0.31650747392751644</c:v>
                </c:pt>
                <c:pt idx="71">
                  <c:v>0.31349637451005452</c:v>
                </c:pt>
                <c:pt idx="72">
                  <c:v>0.31053925913989366</c:v>
                </c:pt>
                <c:pt idx="73">
                  <c:v>0.30763463546012293</c:v>
                </c:pt>
                <c:pt idx="74">
                  <c:v>0.30478106777345881</c:v>
                </c:pt>
                <c:pt idx="75">
                  <c:v>0.30197717429257409</c:v>
                </c:pt>
                <c:pt idx="76">
                  <c:v>0.29922162455303913</c:v>
                </c:pt>
                <c:pt idx="77">
                  <c:v>0.29651313697754356</c:v>
                </c:pt>
                <c:pt idx="78">
                  <c:v>0.2938504765809733</c:v>
                </c:pt>
                <c:pt idx="79">
                  <c:v>0.29123245280674515</c:v>
                </c:pt>
                <c:pt idx="80">
                  <c:v>0.28865791748555614</c:v>
                </c:pt>
                <c:pt idx="81">
                  <c:v>0.28612576290838154</c:v>
                </c:pt>
                <c:pt idx="82">
                  <c:v>0.28363492000619139</c:v>
                </c:pt>
                <c:pt idx="83">
                  <c:v>0.28118435662941765</c:v>
                </c:pt>
                <c:pt idx="84">
                  <c:v>0.2787730759207343</c:v>
                </c:pt>
                <c:pt idx="85">
                  <c:v>0.276400114775182</c:v>
                </c:pt>
                <c:pt idx="86">
                  <c:v>0.27406454238212097</c:v>
                </c:pt>
                <c:pt idx="87">
                  <c:v>0.27176545884387826</c:v>
                </c:pt>
                <c:pt idx="88">
                  <c:v>0.26950199386634544</c:v>
                </c:pt>
                <c:pt idx="89">
                  <c:v>0.26727330551710371</c:v>
                </c:pt>
                <c:pt idx="90">
                  <c:v>0.2650785790469774</c:v>
                </c:pt>
                <c:pt idx="91">
                  <c:v>0.26291702577119702</c:v>
                </c:pt>
                <c:pt idx="92">
                  <c:v>0.26078788200661984</c:v>
                </c:pt>
                <c:pt idx="93">
                  <c:v>0.25869040806169696</c:v>
                </c:pt>
                <c:pt idx="94">
                  <c:v>0.2566238872761073</c:v>
                </c:pt>
                <c:pt idx="95">
                  <c:v>0.25458762510717348</c:v>
                </c:pt>
                <c:pt idx="96">
                  <c:v>0.25258094826038269</c:v>
                </c:pt>
                <c:pt idx="97">
                  <c:v>0.25060320386149881</c:v>
                </c:pt>
                <c:pt idx="98">
                  <c:v>0.24865375866792327</c:v>
                </c:pt>
                <c:pt idx="99">
                  <c:v>0.24673199831711345</c:v>
                </c:pt>
                <c:pt idx="100">
                  <c:v>0.24483732661000646</c:v>
                </c:pt>
                <c:pt idx="101">
                  <c:v>0.24296916482752828</c:v>
                </c:pt>
                <c:pt idx="102">
                  <c:v>0.24112695107838711</c:v>
                </c:pt>
                <c:pt idx="103">
                  <c:v>0.2393101396764673</c:v>
                </c:pt>
                <c:pt idx="104">
                  <c:v>0.23751820054623862</c:v>
                </c:pt>
                <c:pt idx="105">
                  <c:v>0.23575061865469649</c:v>
                </c:pt>
                <c:pt idx="106">
                  <c:v>0.23400689346844017</c:v>
                </c:pt>
                <c:pt idx="107">
                  <c:v>0.23228653843457814</c:v>
                </c:pt>
                <c:pt idx="108">
                  <c:v>0.2305890804842271</c:v>
                </c:pt>
                <c:pt idx="109">
                  <c:v>0.22891405955745014</c:v>
                </c:pt>
                <c:pt idx="110">
                  <c:v>0.22726102814853966</c:v>
                </c:pt>
                <c:pt idx="111">
                  <c:v>0.22562955087062331</c:v>
                </c:pt>
                <c:pt idx="112">
                  <c:v>0.22401920403862097</c:v>
                </c:pt>
                <c:pt idx="113">
                  <c:v>0.22242957526964735</c:v>
                </c:pt>
                <c:pt idx="114">
                  <c:v>0.22086026309999673</c:v>
                </c:pt>
                <c:pt idx="115">
                  <c:v>0.21931087661790083</c:v>
                </c:pt>
                <c:pt idx="116">
                  <c:v>0.21778103511129565</c:v>
                </c:pt>
                <c:pt idx="117">
                  <c:v>0.21627036772987462</c:v>
                </c:pt>
                <c:pt idx="118">
                  <c:v>0.21477851316074537</c:v>
                </c:pt>
                <c:pt idx="119">
                  <c:v>0.21330511931704599</c:v>
                </c:pt>
                <c:pt idx="120">
                  <c:v>0.21184984303891075</c:v>
                </c:pt>
                <c:pt idx="121">
                  <c:v>0.21041234980620871</c:v>
                </c:pt>
                <c:pt idx="122">
                  <c:v>0.20899231346251068</c:v>
                </c:pt>
                <c:pt idx="123">
                  <c:v>0.20758941594976466</c:v>
                </c:pt>
                <c:pt idx="124">
                  <c:v>0.20620334705319587</c:v>
                </c:pt>
                <c:pt idx="125">
                  <c:v>0.20483380415596308</c:v>
                </c:pt>
                <c:pt idx="126">
                  <c:v>0.20348049200313256</c:v>
                </c:pt>
                <c:pt idx="127">
                  <c:v>0.20214312247455635</c:v>
                </c:pt>
                <c:pt idx="128">
                  <c:v>0.20082141436625689</c:v>
                </c:pt>
                <c:pt idx="129">
                  <c:v>0.19951509317994187</c:v>
                </c:pt>
                <c:pt idx="130">
                  <c:v>0.19822389092029657</c:v>
                </c:pt>
                <c:pt idx="131">
                  <c:v>0.1969475458997143</c:v>
                </c:pt>
                <c:pt idx="132">
                  <c:v>0.19568580255014179</c:v>
                </c:pt>
                <c:pt idx="133">
                  <c:v>0.19443841124173744</c:v>
                </c:pt>
                <c:pt idx="134">
                  <c:v>0.19320512810805102</c:v>
                </c:pt>
                <c:pt idx="135">
                  <c:v>0.19198571487744676</c:v>
                </c:pt>
                <c:pt idx="136">
                  <c:v>0.19077993871051191</c:v>
                </c:pt>
                <c:pt idx="137">
                  <c:v>0.1895875720431961</c:v>
                </c:pt>
                <c:pt idx="138">
                  <c:v>0.18840839243544705</c:v>
                </c:pt>
                <c:pt idx="139">
                  <c:v>0.18724218242511437</c:v>
                </c:pt>
                <c:pt idx="140">
                  <c:v>0.18608872938690679</c:v>
                </c:pt>
                <c:pt idx="141">
                  <c:v>0.18494782539619581</c:v>
                </c:pt>
                <c:pt idx="142">
                  <c:v>0.18381926709747209</c:v>
                </c:pt>
                <c:pt idx="143">
                  <c:v>0.18270285557726462</c:v>
                </c:pt>
                <c:pt idx="144">
                  <c:v>0.18159839624134688</c:v>
                </c:pt>
                <c:pt idx="145">
                  <c:v>0.18050569869606048</c:v>
                </c:pt>
                <c:pt idx="146">
                  <c:v>0.17942457663359024</c:v>
                </c:pt>
                <c:pt idx="147">
                  <c:v>0.17835484772103971</c:v>
                </c:pt>
                <c:pt idx="148">
                  <c:v>0.17729633349315832</c:v>
                </c:pt>
                <c:pt idx="149">
                  <c:v>0.17624885924857592</c:v>
                </c:pt>
                <c:pt idx="150">
                  <c:v>0.17521225394941475</c:v>
                </c:pt>
                <c:pt idx="151">
                  <c:v>0.17418635012414463</c:v>
                </c:pt>
                <c:pt idx="152">
                  <c:v>0.17317098377356177</c:v>
                </c:pt>
                <c:pt idx="153">
                  <c:v>0.17216599427977131</c:v>
                </c:pt>
                <c:pt idx="154">
                  <c:v>0.17117122431806087</c:v>
                </c:pt>
                <c:pt idx="155">
                  <c:v>0.17018651977155796</c:v>
                </c:pt>
                <c:pt idx="156">
                  <c:v>0.16921172964856712</c:v>
                </c:pt>
                <c:pt idx="157">
                  <c:v>0.16824670600248748</c:v>
                </c:pt>
                <c:pt idx="158">
                  <c:v>0.16729130385421787</c:v>
                </c:pt>
                <c:pt idx="159">
                  <c:v>0.16634538111695663</c:v>
                </c:pt>
                <c:pt idx="160">
                  <c:v>0.16540879852330947</c:v>
                </c:pt>
                <c:pt idx="161">
                  <c:v>0.16448141955462359</c:v>
                </c:pt>
                <c:pt idx="162">
                  <c:v>0.16356311037246707</c:v>
                </c:pt>
                <c:pt idx="163">
                  <c:v>0.16265373975217623</c:v>
                </c:pt>
                <c:pt idx="164">
                  <c:v>0.16175317901839992</c:v>
                </c:pt>
                <c:pt idx="165">
                  <c:v>0.16086130198256732</c:v>
                </c:pt>
                <c:pt idx="166">
                  <c:v>0.15997798488221271</c:v>
                </c:pt>
                <c:pt idx="167">
                  <c:v>0.15910310632209645</c:v>
                </c:pt>
                <c:pt idx="168">
                  <c:v>0.15823654721705172</c:v>
                </c:pt>
                <c:pt idx="169">
                  <c:v>0.15737819073650372</c:v>
                </c:pt>
                <c:pt idx="170">
                  <c:v>0.15652792225060319</c:v>
                </c:pt>
                <c:pt idx="171">
                  <c:v>0.15568562927791696</c:v>
                </c:pt>
                <c:pt idx="172">
                  <c:v>0.15485120143462239</c:v>
                </c:pt>
                <c:pt idx="173">
                  <c:v>0.1540245303851584</c:v>
                </c:pt>
                <c:pt idx="174">
                  <c:v>0.1532055097942806</c:v>
                </c:pt>
                <c:pt idx="175">
                  <c:v>0.15239403528047424</c:v>
                </c:pt>
                <c:pt idx="176">
                  <c:v>0.15159000437068115</c:v>
                </c:pt>
                <c:pt idx="177">
                  <c:v>0.15079331645629579</c:v>
                </c:pt>
                <c:pt idx="178">
                  <c:v>0.15000387275038951</c:v>
                </c:pt>
                <c:pt idx="179">
                  <c:v>0.14922157624612153</c:v>
                </c:pt>
                <c:pt idx="180">
                  <c:v>0.14844633167629961</c:v>
                </c:pt>
                <c:pt idx="181">
                  <c:v>0.14767804547405172</c:v>
                </c:pt>
                <c:pt idx="182">
                  <c:v>0.14691662573457376</c:v>
                </c:pt>
                <c:pt idx="183">
                  <c:v>0.14616198217791709</c:v>
                </c:pt>
                <c:pt idx="184">
                  <c:v>0.14541402611278631</c:v>
                </c:pt>
                <c:pt idx="185">
                  <c:v>0.14467267040131027</c:v>
                </c:pt>
                <c:pt idx="186">
                  <c:v>0.14393782942475875</c:v>
                </c:pt>
                <c:pt idx="187">
                  <c:v>0.1432094190501757</c:v>
                </c:pt>
                <c:pt idx="188">
                  <c:v>0.14248735659789613</c:v>
                </c:pt>
                <c:pt idx="189">
                  <c:v>0.14177156080992448</c:v>
                </c:pt>
                <c:pt idx="190">
                  <c:v>0.14106195181914305</c:v>
                </c:pt>
                <c:pt idx="191">
                  <c:v>0.14035845111932765</c:v>
                </c:pt>
                <c:pt idx="192">
                  <c:v>0.13966098153594519</c:v>
                </c:pt>
                <c:pt idx="193">
                  <c:v>0.13896946719770864</c:v>
                </c:pt>
                <c:pt idx="194">
                  <c:v>0.13828383350886542</c:v>
                </c:pt>
                <c:pt idx="195">
                  <c:v>0.13760400712219989</c:v>
                </c:pt>
                <c:pt idx="196">
                  <c:v>0.13692991591272619</c:v>
                </c:pt>
                <c:pt idx="197">
                  <c:v>0.13626148895204959</c:v>
                </c:pt>
                <c:pt idx="198">
                  <c:v>0.13559865648338065</c:v>
                </c:pt>
                <c:pt idx="199">
                  <c:v>0.13494134989717699</c:v>
                </c:pt>
                <c:pt idx="200">
                  <c:v>0.13428950170739928</c:v>
                </c:pt>
                <c:pt idx="201">
                  <c:v>0.13364304552836026</c:v>
                </c:pt>
                <c:pt idx="202">
                  <c:v>0.1330019160521505</c:v>
                </c:pt>
                <c:pt idx="203">
                  <c:v>0.13236604902662341</c:v>
                </c:pt>
                <c:pt idx="204">
                  <c:v>0.13173538123392414</c:v>
                </c:pt>
                <c:pt idx="205">
                  <c:v>0.13110985046954526</c:v>
                </c:pt>
                <c:pt idx="206">
                  <c:v>0.13048939552189665</c:v>
                </c:pt>
                <c:pt idx="207">
                  <c:v>0.12987395615237063</c:v>
                </c:pt>
                <c:pt idx="208">
                  <c:v>0.12926347307589192</c:v>
                </c:pt>
                <c:pt idx="209">
                  <c:v>0.12865788794193767</c:v>
                </c:pt>
                <c:pt idx="210">
                  <c:v>0.12805714331601314</c:v>
                </c:pt>
                <c:pt idx="211">
                  <c:v>0.12746118266157069</c:v>
                </c:pt>
                <c:pt idx="212">
                  <c:v>0.1268699503223607</c:v>
                </c:pt>
                <c:pt idx="213">
                  <c:v>0.12628339150520063</c:v>
                </c:pt>
                <c:pt idx="214">
                  <c:v>0.12570145226315199</c:v>
                </c:pt>
                <c:pt idx="215">
                  <c:v>0.12512407947909288</c:v>
                </c:pt>
                <c:pt idx="216">
                  <c:v>0.12455122084967585</c:v>
                </c:pt>
                <c:pt idx="217">
                  <c:v>0.1239828248696605</c:v>
                </c:pt>
                <c:pt idx="218">
                  <c:v>0.1234188408166097</c:v>
                </c:pt>
                <c:pt idx="219">
                  <c:v>0.1228592187359403</c:v>
                </c:pt>
                <c:pt idx="220">
                  <c:v>0.12230390942631897</c:v>
                </c:pt>
                <c:pt idx="221">
                  <c:v>0.12175286442539346</c:v>
                </c:pt>
                <c:pt idx="222">
                  <c:v>0.12120603599584845</c:v>
                </c:pt>
                <c:pt idx="223">
                  <c:v>0.1206633771117821</c:v>
                </c:pt>
                <c:pt idx="224">
                  <c:v>0.12012484144538815</c:v>
                </c:pt>
                <c:pt idx="225">
                  <c:v>0.11959038335394179</c:v>
                </c:pt>
                <c:pt idx="226">
                  <c:v>0.11905995786707679</c:v>
                </c:pt>
                <c:pt idx="227">
                  <c:v>0.11853352067434841</c:v>
                </c:pt>
                <c:pt idx="228">
                  <c:v>0.11801102811307351</c:v>
                </c:pt>
                <c:pt idx="229">
                  <c:v>0.11749243715644153</c:v>
                </c:pt>
                <c:pt idx="230">
                  <c:v>0.11697770540188857</c:v>
                </c:pt>
                <c:pt idx="231">
                  <c:v>0.1164667910597279</c:v>
                </c:pt>
                <c:pt idx="232">
                  <c:v>0.11595965294203059</c:v>
                </c:pt>
                <c:pt idx="233">
                  <c:v>0.11545625045174901</c:v>
                </c:pt>
                <c:pt idx="234">
                  <c:v>0.11495654357207852</c:v>
                </c:pt>
                <c:pt idx="235">
                  <c:v>0.1144604928560492</c:v>
                </c:pt>
                <c:pt idx="236">
                  <c:v>0.11396805941634303</c:v>
                </c:pt>
                <c:pt idx="237">
                  <c:v>0.11347920491533126</c:v>
                </c:pt>
                <c:pt idx="238">
                  <c:v>0.1129938915553248</c:v>
                </c:pt>
                <c:pt idx="239">
                  <c:v>0.11251208206903407</c:v>
                </c:pt>
                <c:pt idx="240">
                  <c:v>0.11203373971023134</c:v>
                </c:pt>
                <c:pt idx="241">
                  <c:v>0.11155882824461194</c:v>
                </c:pt>
                <c:pt idx="242">
                  <c:v>0.11108731194084842</c:v>
                </c:pt>
                <c:pt idx="243">
                  <c:v>0.11061915556183377</c:v>
                </c:pt>
                <c:pt idx="244">
                  <c:v>0.1101543243561075</c:v>
                </c:pt>
                <c:pt idx="245">
                  <c:v>0.10969278404946248</c:v>
                </c:pt>
                <c:pt idx="246">
                  <c:v>0.10923450083672548</c:v>
                </c:pt>
                <c:pt idx="247">
                  <c:v>0.10877944137370821</c:v>
                </c:pt>
                <c:pt idx="248">
                  <c:v>0.10832757276932747</c:v>
                </c:pt>
                <c:pt idx="249">
                  <c:v>0.10787886257788359</c:v>
                </c:pt>
                <c:pt idx="250">
                  <c:v>0.10742036754835582</c:v>
                </c:pt>
                <c:pt idx="251">
                  <c:v>0.10696382116462455</c:v>
                </c:pt>
                <c:pt idx="252">
                  <c:v>0.10650921514476708</c:v>
                </c:pt>
                <c:pt idx="253">
                  <c:v>0.10605654124205943</c:v>
                </c:pt>
                <c:pt idx="254">
                  <c:v>0.10560579124482716</c:v>
                </c:pt>
                <c:pt idx="255">
                  <c:v>0.10515695697629612</c:v>
                </c:pt>
                <c:pt idx="256">
                  <c:v>0.10471003029444415</c:v>
                </c:pt>
                <c:pt idx="257">
                  <c:v>0.10426500309185338</c:v>
                </c:pt>
                <c:pt idx="258">
                  <c:v>0.10382186729556331</c:v>
                </c:pt>
                <c:pt idx="259">
                  <c:v>0.10338061486692418</c:v>
                </c:pt>
                <c:pt idx="260">
                  <c:v>0.10294123780145137</c:v>
                </c:pt>
                <c:pt idx="261">
                  <c:v>0.10250372812867992</c:v>
                </c:pt>
                <c:pt idx="262">
                  <c:v>0.10200819746228118</c:v>
                </c:pt>
                <c:pt idx="263">
                  <c:v>0.10151506232476537</c:v>
                </c:pt>
                <c:pt idx="264">
                  <c:v>0.10102431113549981</c:v>
                </c:pt>
                <c:pt idx="265">
                  <c:v>0.10053593236983582</c:v>
                </c:pt>
                <c:pt idx="266">
                  <c:v>0.10004991455883772</c:v>
                </c:pt>
                <c:pt idx="267">
                  <c:v>9.9566246289014004E-2</c:v>
                </c:pt>
                <c:pt idx="268">
                  <c:v>9.9084916202049067E-2</c:v>
                </c:pt>
                <c:pt idx="269">
                  <c:v>9.8605912994536138E-2</c:v>
                </c:pt>
                <c:pt idx="270">
                  <c:v>9.8129225417712629E-2</c:v>
                </c:pt>
                <c:pt idx="271">
                  <c:v>9.7654842277195231E-2</c:v>
                </c:pt>
                <c:pt idx="272">
                  <c:v>9.7182752432717234E-2</c:v>
                </c:pt>
                <c:pt idx="273">
                  <c:v>9.6712944797867184E-2</c:v>
                </c:pt>
                <c:pt idx="274">
                  <c:v>9.6179291141783696E-2</c:v>
                </c:pt>
                <c:pt idx="275">
                  <c:v>9.5648582140371197E-2</c:v>
                </c:pt>
                <c:pt idx="276">
                  <c:v>9.5120801545280242E-2</c:v>
                </c:pt>
                <c:pt idx="277">
                  <c:v>9.4595933197818338E-2</c:v>
                </c:pt>
                <c:pt idx="278">
                  <c:v>9.4073961028455111E-2</c:v>
                </c:pt>
                <c:pt idx="279">
                  <c:v>9.3554869056330592E-2</c:v>
                </c:pt>
                <c:pt idx="280">
                  <c:v>9.303864138876583E-2</c:v>
                </c:pt>
                <c:pt idx="281">
                  <c:v>9.2525262220776172E-2</c:v>
                </c:pt>
                <c:pt idx="282">
                  <c:v>9.2014715834587646E-2</c:v>
                </c:pt>
                <c:pt idx="283">
                  <c:v>9.150698659915546E-2</c:v>
                </c:pt>
                <c:pt idx="284">
                  <c:v>9.1002058969685717E-2</c:v>
                </c:pt>
                <c:pt idx="285">
                  <c:v>9.0499917487159243E-2</c:v>
                </c:pt>
                <c:pt idx="286">
                  <c:v>8.9929263661349901E-2</c:v>
                </c:pt>
                <c:pt idx="287">
                  <c:v>8.9362208134831311E-2</c:v>
                </c:pt>
                <c:pt idx="288">
                  <c:v>8.8798728218264955E-2</c:v>
                </c:pt>
                <c:pt idx="289">
                  <c:v>8.8238801365381869E-2</c:v>
                </c:pt>
                <c:pt idx="290">
                  <c:v>8.7682405172080036E-2</c:v>
                </c:pt>
                <c:pt idx="291">
                  <c:v>8.7129517375527987E-2</c:v>
                </c:pt>
                <c:pt idx="292">
                  <c:v>8.6580115853274409E-2</c:v>
                </c:pt>
                <c:pt idx="293">
                  <c:v>8.6034178622362512E-2</c:v>
                </c:pt>
                <c:pt idx="294">
                  <c:v>8.5491683838450849E-2</c:v>
                </c:pt>
                <c:pt idx="295">
                  <c:v>8.4952609794938905E-2</c:v>
                </c:pt>
                <c:pt idx="296">
                  <c:v>8.4416934922098785E-2</c:v>
                </c:pt>
                <c:pt idx="297">
                  <c:v>8.3884637786212024E-2</c:v>
                </c:pt>
                <c:pt idx="298">
                  <c:v>8.3280969202366717E-2</c:v>
                </c:pt>
                <c:pt idx="299">
                  <c:v>8.2681644867584669E-2</c:v>
                </c:pt>
                <c:pt idx="300">
                  <c:v>8.2086633518851038E-2</c:v>
                </c:pt>
                <c:pt idx="301">
                  <c:v>8.1495904118132345E-2</c:v>
                </c:pt>
                <c:pt idx="302">
                  <c:v>8.0909425850757999E-2</c:v>
                </c:pt>
                <c:pt idx="303">
                  <c:v>8.0327168123812243E-2</c:v>
                </c:pt>
                <c:pt idx="304">
                  <c:v>7.9749100564538988E-2</c:v>
                </c:pt>
                <c:pt idx="305">
                  <c:v>7.9175193018756529E-2</c:v>
                </c:pt>
                <c:pt idx="306">
                  <c:v>7.8605415549285684E-2</c:v>
                </c:pt>
                <c:pt idx="307">
                  <c:v>7.8039738434387274E-2</c:v>
                </c:pt>
                <c:pt idx="308">
                  <c:v>7.7478132166212021E-2</c:v>
                </c:pt>
                <c:pt idx="309">
                  <c:v>7.6920567449261679E-2</c:v>
                </c:pt>
                <c:pt idx="310">
                  <c:v>7.6288777382152007E-2</c:v>
                </c:pt>
                <c:pt idx="311">
                  <c:v>7.566217654728713E-2</c:v>
                </c:pt>
                <c:pt idx="312">
                  <c:v>7.5040722322706532E-2</c:v>
                </c:pt>
                <c:pt idx="313">
                  <c:v>7.4424372436526887E-2</c:v>
                </c:pt>
                <c:pt idx="314">
                  <c:v>7.3813084964066578E-2</c:v>
                </c:pt>
                <c:pt idx="315">
                  <c:v>7.3206818324993983E-2</c:v>
                </c:pt>
                <c:pt idx="316">
                  <c:v>7.260553128049918E-2</c:v>
                </c:pt>
                <c:pt idx="317">
                  <c:v>7.2009182930488635E-2</c:v>
                </c:pt>
                <c:pt idx="318">
                  <c:v>7.1417732710803428E-2</c:v>
                </c:pt>
                <c:pt idx="319">
                  <c:v>7.0831140390460234E-2</c:v>
                </c:pt>
                <c:pt idx="320">
                  <c:v>7.0249366068913965E-2</c:v>
                </c:pt>
                <c:pt idx="321">
                  <c:v>6.96723701733446E-2</c:v>
                </c:pt>
                <c:pt idx="322">
                  <c:v>6.9019811854197144E-2</c:v>
                </c:pt>
                <c:pt idx="323">
                  <c:v>6.8373365460893787E-2</c:v>
                </c:pt>
                <c:pt idx="324">
                  <c:v>6.7732973748531933E-2</c:v>
                </c:pt>
                <c:pt idx="325">
                  <c:v>6.7098580008370212E-2</c:v>
                </c:pt>
                <c:pt idx="326">
                  <c:v>6.6470128062806833E-2</c:v>
                </c:pt>
                <c:pt idx="327">
                  <c:v>6.5847562260405335E-2</c:v>
                </c:pt>
                <c:pt idx="328">
                  <c:v>6.5230827470965869E-2</c:v>
                </c:pt>
                <c:pt idx="329">
                  <c:v>6.4619869080643433E-2</c:v>
                </c:pt>
                <c:pt idx="330">
                  <c:v>6.4014632987111963E-2</c:v>
                </c:pt>
                <c:pt idx="331">
                  <c:v>6.3415065594772946E-2</c:v>
                </c:pt>
                <c:pt idx="332">
                  <c:v>6.2821113810009543E-2</c:v>
                </c:pt>
                <c:pt idx="333">
                  <c:v>6.2232725036485137E-2</c:v>
                </c:pt>
                <c:pt idx="334">
                  <c:v>6.1568165698214994E-2</c:v>
                </c:pt>
                <c:pt idx="335">
                  <c:v>6.0910702933553384E-2</c:v>
                </c:pt>
                <c:pt idx="336">
                  <c:v>6.0260260960919854E-2</c:v>
                </c:pt>
                <c:pt idx="337">
                  <c:v>5.9616764807976286E-2</c:v>
                </c:pt>
                <c:pt idx="338">
                  <c:v>5.8980140302985262E-2</c:v>
                </c:pt>
                <c:pt idx="339">
                  <c:v>5.8350314066261011E-2</c:v>
                </c:pt>
                <c:pt idx="340">
                  <c:v>5.7727213501710839E-2</c:v>
                </c:pt>
                <c:pt idx="341">
                  <c:v>5.7110766788468159E-2</c:v>
                </c:pt>
                <c:pt idx="342">
                  <c:v>5.6500902872613779E-2</c:v>
                </c:pt>
                <c:pt idx="343">
                  <c:v>5.5897551458985673E-2</c:v>
                </c:pt>
                <c:pt idx="344">
                  <c:v>5.5300643003077243E-2</c:v>
                </c:pt>
                <c:pt idx="345">
                  <c:v>5.4710108703020621E-2</c:v>
                </c:pt>
                <c:pt idx="346">
                  <c:v>5.4045829690393843E-2</c:v>
                </c:pt>
                <c:pt idx="347">
                  <c:v>5.3389616218433744E-2</c:v>
                </c:pt>
                <c:pt idx="348">
                  <c:v>5.2741370356985784E-2</c:v>
                </c:pt>
                <c:pt idx="349">
                  <c:v>5.2100995364943614E-2</c:v>
                </c:pt>
                <c:pt idx="350">
                  <c:v>5.1468395675811851E-2</c:v>
                </c:pt>
                <c:pt idx="351">
                  <c:v>5.0843476883443928E-2</c:v>
                </c:pt>
                <c:pt idx="352">
                  <c:v>5.0226145727953475E-2</c:v>
                </c:pt>
                <c:pt idx="353">
                  <c:v>4.9616310081796788E-2</c:v>
                </c:pt>
                <c:pt idx="354">
                  <c:v>4.9013878936023936E-2</c:v>
                </c:pt>
                <c:pt idx="355">
                  <c:v>4.8418762386697289E-2</c:v>
                </c:pt>
                <c:pt idx="356">
                  <c:v>4.783087162147448E-2</c:v>
                </c:pt>
                <c:pt idx="357">
                  <c:v>4.7250118906354444E-2</c:v>
                </c:pt>
                <c:pt idx="358">
                  <c:v>4.6601489824891207E-2</c:v>
                </c:pt>
                <c:pt idx="359">
                  <c:v>4.5961764841344732E-2</c:v>
                </c:pt>
                <c:pt idx="360">
                  <c:v>4.5330821724131609E-2</c:v>
                </c:pt>
                <c:pt idx="361">
                  <c:v>4.4708539919610213E-2</c:v>
                </c:pt>
                <c:pt idx="362">
                  <c:v>4.4094800529047129E-2</c:v>
                </c:pt>
                <c:pt idx="363">
                  <c:v>4.3489486285898993E-2</c:v>
                </c:pt>
                <c:pt idx="364">
                  <c:v>4.2892481533406523E-2</c:v>
                </c:pt>
                <c:pt idx="365">
                  <c:v>4.2303672202495979E-2</c:v>
                </c:pt>
                <c:pt idx="366">
                  <c:v>4.1722945789984589E-2</c:v>
                </c:pt>
                <c:pt idx="367">
                  <c:v>4.1150191337083974E-2</c:v>
                </c:pt>
                <c:pt idx="368">
                  <c:v>4.0585299408199993E-2</c:v>
                </c:pt>
                <c:pt idx="369">
                  <c:v>4.0028162070022688E-2</c:v>
                </c:pt>
                <c:pt idx="370">
                  <c:v>3.941132432232286E-2</c:v>
                </c:pt>
                <c:pt idx="371">
                  <c:v>3.8803992102414253E-2</c:v>
                </c:pt>
                <c:pt idx="372">
                  <c:v>3.8206018929218377E-2</c:v>
                </c:pt>
                <c:pt idx="373">
                  <c:v>3.7617260578943656E-2</c:v>
                </c:pt>
                <c:pt idx="374">
                  <c:v>3.7037575050301141E-2</c:v>
                </c:pt>
                <c:pt idx="375">
                  <c:v>3.6466822530254794E-2</c:v>
                </c:pt>
                <c:pt idx="376">
                  <c:v>3.5904865360300797E-2</c:v>
                </c:pt>
                <c:pt idx="377">
                  <c:v>3.5351568003265776E-2</c:v>
                </c:pt>
                <c:pt idx="378">
                  <c:v>3.4806797010617063E-2</c:v>
                </c:pt>
                <c:pt idx="379">
                  <c:v>3.4270420990276329E-2</c:v>
                </c:pt>
                <c:pt idx="380">
                  <c:v>3.3742310574929602E-2</c:v>
                </c:pt>
                <c:pt idx="381">
                  <c:v>3.3222338390825445E-2</c:v>
                </c:pt>
                <c:pt idx="382">
                  <c:v>3.2652401490503746E-2</c:v>
                </c:pt>
                <c:pt idx="383">
                  <c:v>3.2092241989548853E-2</c:v>
                </c:pt>
                <c:pt idx="384">
                  <c:v>3.1541692154412937E-2</c:v>
                </c:pt>
                <c:pt idx="385">
                  <c:v>3.1000587129055956E-2</c:v>
                </c:pt>
                <c:pt idx="386">
                  <c:v>3.0468764885581145E-2</c:v>
                </c:pt>
                <c:pt idx="387">
                  <c:v>2.9946066175718045E-2</c:v>
                </c:pt>
                <c:pt idx="388">
                  <c:v>2.9432334483136979E-2</c:v>
                </c:pt>
                <c:pt idx="389">
                  <c:v>2.8927415976582327E-2</c:v>
                </c:pt>
                <c:pt idx="390">
                  <c:v>2.8431159463808808E-2</c:v>
                </c:pt>
                <c:pt idx="391">
                  <c:v>2.7943416346309591E-2</c:v>
                </c:pt>
                <c:pt idx="392">
                  <c:v>2.7464040574819215E-2</c:v>
                </c:pt>
                <c:pt idx="393">
                  <c:v>2.6992888605581467E-2</c:v>
                </c:pt>
                <c:pt idx="394">
                  <c:v>2.6482340995024556E-2</c:v>
                </c:pt>
                <c:pt idx="395">
                  <c:v>2.598144995981444E-2</c:v>
                </c:pt>
                <c:pt idx="396">
                  <c:v>2.5490032854012634E-2</c:v>
                </c:pt>
                <c:pt idx="397">
                  <c:v>2.5007910486273932E-2</c:v>
                </c:pt>
                <c:pt idx="398">
                  <c:v>2.4534907054505339E-2</c:v>
                </c:pt>
                <c:pt idx="399">
                  <c:v>2.4070850081761686E-2</c:v>
                </c:pt>
                <c:pt idx="400">
                  <c:v>2.3615570353353044E-2</c:v>
                </c:pt>
                <c:pt idx="401">
                  <c:v>2.3168901855141644E-2</c:v>
                </c:pt>
                <c:pt idx="402">
                  <c:v>2.273068171300674E-2</c:v>
                </c:pt>
                <c:pt idx="403">
                  <c:v>2.2300750133453451E-2</c:v>
                </c:pt>
                <c:pt idx="404">
                  <c:v>2.1878950345345372E-2</c:v>
                </c:pt>
                <c:pt idx="405">
                  <c:v>2.1465128542739187E-2</c:v>
                </c:pt>
                <c:pt idx="406">
                  <c:v>2.1039437315728438E-2</c:v>
                </c:pt>
                <c:pt idx="407">
                  <c:v>2.0622188293962007E-2</c:v>
                </c:pt>
                <c:pt idx="408">
                  <c:v>2.0213214053671602E-2</c:v>
                </c:pt>
                <c:pt idx="409">
                  <c:v>1.9812350491396402E-2</c:v>
                </c:pt>
                <c:pt idx="410">
                  <c:v>1.9419436758135622E-2</c:v>
                </c:pt>
                <c:pt idx="411">
                  <c:v>1.9034315194807028E-2</c:v>
                </c:pt>
                <c:pt idx="412">
                  <c:v>1.8656831268984986E-2</c:v>
                </c:pt>
                <c:pt idx="413">
                  <c:v>1.8286833512893619E-2</c:v>
                </c:pt>
                <c:pt idx="414">
                  <c:v>1.7924173462629089E-2</c:v>
                </c:pt>
                <c:pt idx="415">
                  <c:v>1.7568705598587697E-2</c:v>
                </c:pt>
                <c:pt idx="416">
                  <c:v>1.7220287287075475E-2</c:v>
                </c:pt>
                <c:pt idx="417">
                  <c:v>1.6878778723075194E-2</c:v>
                </c:pt>
                <c:pt idx="418">
                  <c:v>1.6505515756714773E-2</c:v>
                </c:pt>
                <c:pt idx="419">
                  <c:v>1.6140507252619729E-2</c:v>
                </c:pt>
                <c:pt idx="420">
                  <c:v>1.5783570668846725E-2</c:v>
                </c:pt>
                <c:pt idx="421">
                  <c:v>1.5434527500245987E-2</c:v>
                </c:pt>
                <c:pt idx="422">
                  <c:v>1.5093203189190385E-2</c:v>
                </c:pt>
                <c:pt idx="423">
                  <c:v>1.4759427038278705E-2</c:v>
                </c:pt>
                <c:pt idx="424">
                  <c:v>1.4433032124969158E-2</c:v>
                </c:pt>
                <c:pt idx="425">
                  <c:v>1.4113855218101157E-2</c:v>
                </c:pt>
                <c:pt idx="426">
                  <c:v>1.3801736696262279E-2</c:v>
                </c:pt>
                <c:pt idx="427">
                  <c:v>1.3496520467962014E-2</c:v>
                </c:pt>
                <c:pt idx="428">
                  <c:v>1.3198053893568873E-2</c:v>
                </c:pt>
                <c:pt idx="429">
                  <c:v>1.2906187708975558E-2</c:v>
                </c:pt>
                <c:pt idx="430">
                  <c:v>1.259613937753179E-2</c:v>
                </c:pt>
                <c:pt idx="431">
                  <c:v>1.2293539408842258E-2</c:v>
                </c:pt>
                <c:pt idx="432">
                  <c:v>1.199820886916636E-2</c:v>
                </c:pt>
                <c:pt idx="433">
                  <c:v>1.1709973123329998E-2</c:v>
                </c:pt>
                <c:pt idx="434">
                  <c:v>1.1428661731460621E-2</c:v>
                </c:pt>
                <c:pt idx="435">
                  <c:v>1.115410834820163E-2</c:v>
                </c:pt>
                <c:pt idx="436">
                  <c:v>1.0886150624349611E-2</c:v>
                </c:pt>
                <c:pt idx="437">
                  <c:v>1.0624630110853683E-2</c:v>
                </c:pt>
                <c:pt idx="438">
                  <c:v>1.0369392165121116E-2</c:v>
                </c:pt>
                <c:pt idx="439">
                  <c:v>1.0120285859573919E-2</c:v>
                </c:pt>
                <c:pt idx="440">
                  <c:v>9.8771638924020078E-3</c:v>
                </c:pt>
                <c:pt idx="441">
                  <c:v>9.6398825004611055E-3</c:v>
                </c:pt>
                <c:pt idx="442">
                  <c:v>9.3903316440798745E-3</c:v>
                </c:pt>
                <c:pt idx="443">
                  <c:v>9.1472409940256405E-3</c:v>
                </c:pt>
                <c:pt idx="444">
                  <c:v>8.9104433127805693E-3</c:v>
                </c:pt>
                <c:pt idx="445">
                  <c:v>8.6797756921602742E-3</c:v>
                </c:pt>
                <c:pt idx="446">
                  <c:v>8.4550794412389108E-3</c:v>
                </c:pt>
                <c:pt idx="447">
                  <c:v>8.2361999771758398E-3</c:v>
                </c:pt>
                <c:pt idx="448">
                  <c:v>8.0229867188675863E-3</c:v>
                </c:pt>
                <c:pt idx="449">
                  <c:v>7.8152929833544826E-3</c:v>
                </c:pt>
                <c:pt idx="450">
                  <c:v>7.6129758849071694E-3</c:v>
                </c:pt>
                <c:pt idx="451">
                  <c:v>7.4158962367271153E-3</c:v>
                </c:pt>
                <c:pt idx="452">
                  <c:v>7.2239184551907698E-3</c:v>
                </c:pt>
                <c:pt idx="453">
                  <c:v>7.0369104665731763E-3</c:v>
                </c:pt>
                <c:pt idx="454">
                  <c:v>6.8410238186853434E-3</c:v>
                </c:pt>
                <c:pt idx="455">
                  <c:v>6.6505900721812727E-3</c:v>
                </c:pt>
                <c:pt idx="456">
                  <c:v>6.4654574345125448E-3</c:v>
                </c:pt>
                <c:pt idx="457">
                  <c:v>6.2854783385833946E-3</c:v>
                </c:pt>
                <c:pt idx="458">
                  <c:v>6.1105093251270226E-3</c:v>
                </c:pt>
                <c:pt idx="459">
                  <c:v>5.9404109283558437E-3</c:v>
                </c:pt>
                <c:pt idx="460">
                  <c:v>5.7750475647946331E-3</c:v>
                </c:pt>
                <c:pt idx="461">
                  <c:v>5.6142874252086417E-3</c:v>
                </c:pt>
                <c:pt idx="462">
                  <c:v>5.4580023695400826E-3</c:v>
                </c:pt>
                <c:pt idx="463">
                  <c:v>5.3060678247691673E-3</c:v>
                </c:pt>
                <c:pt idx="464">
                  <c:v>5.1583626856179787E-3</c:v>
                </c:pt>
                <c:pt idx="465">
                  <c:v>5.0147692180194658E-3</c:v>
                </c:pt>
                <c:pt idx="466">
                  <c:v>4.864900263074734E-3</c:v>
                </c:pt>
                <c:pt idx="467">
                  <c:v>4.7195102188595239E-3</c:v>
                </c:pt>
                <c:pt idx="468">
                  <c:v>4.5784652308250573E-3</c:v>
                </c:pt>
                <c:pt idx="469">
                  <c:v>4.4416354447346373E-3</c:v>
                </c:pt>
                <c:pt idx="470">
                  <c:v>4.3088948871121691E-3</c:v>
                </c:pt>
                <c:pt idx="471">
                  <c:v>4.1801213492637102E-3</c:v>
                </c:pt>
                <c:pt idx="472">
                  <c:v>4.0551962747646941E-3</c:v>
                </c:pt>
                <c:pt idx="473">
                  <c:v>3.9340046503105741E-3</c:v>
                </c:pt>
                <c:pt idx="474">
                  <c:v>3.8164348998280806E-3</c:v>
                </c:pt>
                <c:pt idx="475">
                  <c:v>3.7023787817526133E-3</c:v>
                </c:pt>
                <c:pt idx="476">
                  <c:v>3.5917312893740672E-3</c:v>
                </c:pt>
                <c:pt idx="477">
                  <c:v>3.4843905541621645E-3</c:v>
                </c:pt>
                <c:pt idx="478">
                  <c:v>1.2818356498882633E-3</c:v>
                </c:pt>
                <c:pt idx="479">
                  <c:v>4.7156098255451973E-4</c:v>
                </c:pt>
                <c:pt idx="480">
                  <c:v>1.734775907403785E-4</c:v>
                </c:pt>
              </c:numCache>
            </c:numRef>
          </c:yVal>
          <c:smooth val="1"/>
          <c:extLst>
            <c:ext xmlns:c16="http://schemas.microsoft.com/office/drawing/2014/chart" uri="{C3380CC4-5D6E-409C-BE32-E72D297353CC}">
              <c16:uniqueId val="{00000003-1E17-4A59-B22C-D4C39BC92F57}"/>
            </c:ext>
          </c:extLst>
        </c:ser>
        <c:dLbls>
          <c:showLegendKey val="0"/>
          <c:showVal val="0"/>
          <c:showCatName val="0"/>
          <c:showSerName val="0"/>
          <c:showPercent val="0"/>
          <c:showBubbleSize val="0"/>
        </c:dLbls>
        <c:axId val="466531128"/>
        <c:axId val="466526208"/>
        <c:extLst>
          <c:ext xmlns:c15="http://schemas.microsoft.com/office/drawing/2012/chart" uri="{02D57815-91ED-43cb-92C2-25804820EDAC}">
            <c15:filteredScatterSeries>
              <c15:ser>
                <c:idx val="4"/>
                <c:order val="4"/>
                <c:tx>
                  <c:v>ON TxT Comparator</c:v>
                </c:tx>
                <c:spPr>
                  <a:ln w="28575" cap="rnd">
                    <a:solidFill>
                      <a:srgbClr val="FF0000"/>
                    </a:solidFill>
                    <a:prstDash val="sysDot"/>
                    <a:round/>
                  </a:ln>
                  <a:effectLst/>
                </c:spPr>
                <c:marker>
                  <c:symbol val="none"/>
                </c:marker>
                <c:xVal>
                  <c:numRef>
                    <c:extLst>
                      <c:ext uri="{02D57815-91ED-43cb-92C2-25804820EDAC}">
                        <c15:formulaRef>
                          <c15:sqref>'Markov Trace'!$C$28:$C$508</c15:sqref>
                        </c15:formulaRef>
                      </c:ext>
                    </c:extLst>
                    <c:numCache>
                      <c:formatCode>0.0</c:formatCode>
                      <c:ptCount val="48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pt idx="421">
                        <c:v>35.083333333333336</c:v>
                      </c:pt>
                      <c:pt idx="422">
                        <c:v>35.166666666666664</c:v>
                      </c:pt>
                      <c:pt idx="423">
                        <c:v>35.25</c:v>
                      </c:pt>
                      <c:pt idx="424">
                        <c:v>35.333333333333336</c:v>
                      </c:pt>
                      <c:pt idx="425">
                        <c:v>35.416666666666664</c:v>
                      </c:pt>
                      <c:pt idx="426">
                        <c:v>35.5</c:v>
                      </c:pt>
                      <c:pt idx="427">
                        <c:v>35.583333333333336</c:v>
                      </c:pt>
                      <c:pt idx="428">
                        <c:v>35.666666666666664</c:v>
                      </c:pt>
                      <c:pt idx="429">
                        <c:v>35.75</c:v>
                      </c:pt>
                      <c:pt idx="430">
                        <c:v>35.833333333333336</c:v>
                      </c:pt>
                      <c:pt idx="431">
                        <c:v>35.916666666666664</c:v>
                      </c:pt>
                      <c:pt idx="432">
                        <c:v>36</c:v>
                      </c:pt>
                      <c:pt idx="433">
                        <c:v>36.083333333333336</c:v>
                      </c:pt>
                      <c:pt idx="434">
                        <c:v>36.166666666666664</c:v>
                      </c:pt>
                      <c:pt idx="435">
                        <c:v>36.25</c:v>
                      </c:pt>
                      <c:pt idx="436">
                        <c:v>36.333333333333336</c:v>
                      </c:pt>
                      <c:pt idx="437">
                        <c:v>36.416666666666664</c:v>
                      </c:pt>
                      <c:pt idx="438">
                        <c:v>36.5</c:v>
                      </c:pt>
                      <c:pt idx="439">
                        <c:v>36.583333333333336</c:v>
                      </c:pt>
                      <c:pt idx="440">
                        <c:v>36.666666666666664</c:v>
                      </c:pt>
                      <c:pt idx="441">
                        <c:v>36.75</c:v>
                      </c:pt>
                      <c:pt idx="442">
                        <c:v>36.833333333333336</c:v>
                      </c:pt>
                      <c:pt idx="443">
                        <c:v>36.916666666666664</c:v>
                      </c:pt>
                      <c:pt idx="444">
                        <c:v>37</c:v>
                      </c:pt>
                      <c:pt idx="445">
                        <c:v>37.083333333333336</c:v>
                      </c:pt>
                      <c:pt idx="446">
                        <c:v>37.166666666666664</c:v>
                      </c:pt>
                      <c:pt idx="447">
                        <c:v>37.25</c:v>
                      </c:pt>
                      <c:pt idx="448">
                        <c:v>37.333333333333336</c:v>
                      </c:pt>
                      <c:pt idx="449">
                        <c:v>37.416666666666664</c:v>
                      </c:pt>
                      <c:pt idx="450">
                        <c:v>37.5</c:v>
                      </c:pt>
                      <c:pt idx="451">
                        <c:v>37.583333333333336</c:v>
                      </c:pt>
                      <c:pt idx="452">
                        <c:v>37.666666666666664</c:v>
                      </c:pt>
                      <c:pt idx="453">
                        <c:v>37.75</c:v>
                      </c:pt>
                      <c:pt idx="454">
                        <c:v>37.833333333333336</c:v>
                      </c:pt>
                      <c:pt idx="455">
                        <c:v>37.916666666666664</c:v>
                      </c:pt>
                      <c:pt idx="456">
                        <c:v>38</c:v>
                      </c:pt>
                      <c:pt idx="457">
                        <c:v>38.083333333333336</c:v>
                      </c:pt>
                      <c:pt idx="458">
                        <c:v>38.166666666666664</c:v>
                      </c:pt>
                      <c:pt idx="459">
                        <c:v>38.25</c:v>
                      </c:pt>
                      <c:pt idx="460">
                        <c:v>38.333333333333336</c:v>
                      </c:pt>
                      <c:pt idx="461">
                        <c:v>38.416666666666664</c:v>
                      </c:pt>
                      <c:pt idx="462">
                        <c:v>38.5</c:v>
                      </c:pt>
                      <c:pt idx="463">
                        <c:v>38.583333333333336</c:v>
                      </c:pt>
                      <c:pt idx="464">
                        <c:v>38.666666666666664</c:v>
                      </c:pt>
                      <c:pt idx="465">
                        <c:v>38.75</c:v>
                      </c:pt>
                      <c:pt idx="466">
                        <c:v>38.833333333333336</c:v>
                      </c:pt>
                      <c:pt idx="467">
                        <c:v>38.916666666666664</c:v>
                      </c:pt>
                      <c:pt idx="468">
                        <c:v>39</c:v>
                      </c:pt>
                      <c:pt idx="469">
                        <c:v>39.083333333333336</c:v>
                      </c:pt>
                      <c:pt idx="470">
                        <c:v>39.166666666666664</c:v>
                      </c:pt>
                      <c:pt idx="471">
                        <c:v>39.25</c:v>
                      </c:pt>
                      <c:pt idx="472">
                        <c:v>39.333333333333336</c:v>
                      </c:pt>
                      <c:pt idx="473">
                        <c:v>39.416666666666664</c:v>
                      </c:pt>
                      <c:pt idx="474">
                        <c:v>39.5</c:v>
                      </c:pt>
                      <c:pt idx="475">
                        <c:v>39.583333333333336</c:v>
                      </c:pt>
                      <c:pt idx="476">
                        <c:v>39.666666666666664</c:v>
                      </c:pt>
                      <c:pt idx="477">
                        <c:v>39.75</c:v>
                      </c:pt>
                      <c:pt idx="478">
                        <c:v>39.833333333333336</c:v>
                      </c:pt>
                      <c:pt idx="479">
                        <c:v>39.916666666666664</c:v>
                      </c:pt>
                      <c:pt idx="480">
                        <c:v>40</c:v>
                      </c:pt>
                    </c:numCache>
                  </c:numRef>
                </c:xVal>
                <c:yVal>
                  <c:numRef>
                    <c:extLst>
                      <c:ext uri="{02D57815-91ED-43cb-92C2-25804820EDAC}">
                        <c15:formulaRef>
                          <c15:sqref>'Markov Trace'!$W$28:$W$508</c15:sqref>
                        </c15:formulaRef>
                      </c:ext>
                    </c:extLst>
                    <c:numCache>
                      <c:formatCode>#,##0.000</c:formatCode>
                      <c:ptCount val="481"/>
                      <c:pt idx="0">
                        <c:v>1</c:v>
                      </c:pt>
                      <c:pt idx="1">
                        <c:v>0.86475155865541453</c:v>
                      </c:pt>
                      <c:pt idx="2">
                        <c:v>0.7783739531874142</c:v>
                      </c:pt>
                      <c:pt idx="3">
                        <c:v>0.70146519000542118</c:v>
                      </c:pt>
                      <c:pt idx="4">
                        <c:v>0.6269899354366244</c:v>
                      </c:pt>
                      <c:pt idx="5">
                        <c:v>0.57480483355215639</c:v>
                      </c:pt>
                      <c:pt idx="6">
                        <c:v>0.51229508196721285</c:v>
                      </c:pt>
                      <c:pt idx="7">
                        <c:v>0.47379058655995132</c:v>
                      </c:pt>
                      <c:pt idx="8">
                        <c:v>0.45041023702040023</c:v>
                      </c:pt>
                      <c:pt idx="9">
                        <c:v>0.42855198272298767</c:v>
                      </c:pt>
                      <c:pt idx="10">
                        <c:v>0.41088052773595862</c:v>
                      </c:pt>
                      <c:pt idx="11">
                        <c:v>0.39635988175708958</c:v>
                      </c:pt>
                      <c:pt idx="12">
                        <c:v>0.38615956058512124</c:v>
                      </c:pt>
                      <c:pt idx="13">
                        <c:v>0.37780605572467263</c:v>
                      </c:pt>
                      <c:pt idx="14">
                        <c:v>0.36397147449755057</c:v>
                      </c:pt>
                      <c:pt idx="15">
                        <c:v>0.34809033276914603</c:v>
                      </c:pt>
                      <c:pt idx="16">
                        <c:v>0.34358811807222461</c:v>
                      </c:pt>
                      <c:pt idx="17">
                        <c:v>0.34024112353670527</c:v>
                      </c:pt>
                      <c:pt idx="18">
                        <c:v>0.33826003199184679</c:v>
                      </c:pt>
                      <c:pt idx="19">
                        <c:v>0.32595634187074912</c:v>
                      </c:pt>
                      <c:pt idx="20">
                        <c:v>0.31381319119545203</c:v>
                      </c:pt>
                      <c:pt idx="21">
                        <c:v>0.30233729804265624</c:v>
                      </c:pt>
                      <c:pt idx="22">
                        <c:v>0.29147474952843161</c:v>
                      </c:pt>
                      <c:pt idx="23">
                        <c:v>0.28117770865276059</c:v>
                      </c:pt>
                      <c:pt idx="24">
                        <c:v>0.27140352204654589</c:v>
                      </c:pt>
                      <c:pt idx="25">
                        <c:v>0.26211398876569131</c:v>
                      </c:pt>
                      <c:pt idx="26">
                        <c:v>0.25327475592251508</c:v>
                      </c:pt>
                      <c:pt idx="27">
                        <c:v>0.24485481523380953</c:v>
                      </c:pt>
                      <c:pt idx="28">
                        <c:v>0.23682608061459184</c:v>
                      </c:pt>
                      <c:pt idx="29">
                        <c:v>0.22916303142009037</c:v>
                      </c:pt>
                      <c:pt idx="30">
                        <c:v>0.22184240928645957</c:v>
                      </c:pt>
                      <c:pt idx="31">
                        <c:v>0.21484295905422812</c:v>
                      </c:pt>
                      <c:pt idx="32">
                        <c:v>0.20814520619545476</c:v>
                      </c:pt>
                      <c:pt idx="33">
                        <c:v>0.20173126466061247</c:v>
                      </c:pt>
                      <c:pt idx="34">
                        <c:v>0.19558467022543141</c:v>
                      </c:pt>
                      <c:pt idx="35">
                        <c:v>0.18969023533204149</c:v>
                      </c:pt>
                      <c:pt idx="36">
                        <c:v>0.1840339221420465</c:v>
                      </c:pt>
                      <c:pt idx="37">
                        <c:v>0.17860273109564245</c:v>
                      </c:pt>
                      <c:pt idx="38">
                        <c:v>0.17338460273346998</c:v>
                      </c:pt>
                      <c:pt idx="39">
                        <c:v>0.16836833091147746</c:v>
                      </c:pt>
                      <c:pt idx="40">
                        <c:v>0.16354348584259074</c:v>
                      </c:pt>
                      <c:pt idx="41">
                        <c:v>0.1589003456470002</c:v>
                      </c:pt>
                      <c:pt idx="42">
                        <c:v>0.15442983529661405</c:v>
                      </c:pt>
                      <c:pt idx="43">
                        <c:v>0.15012347200747095</c:v>
                      </c:pt>
                      <c:pt idx="44">
                        <c:v>0.14597331627348262</c:v>
                      </c:pt>
                      <c:pt idx="45">
                        <c:v>0.14197192785123411</c:v>
                      </c:pt>
                      <c:pt idx="46">
                        <c:v>0.13811232610297108</c:v>
                      </c:pt>
                      <c:pt idx="47">
                        <c:v>0.13438795418678809</c:v>
                      </c:pt>
                      <c:pt idx="48">
                        <c:v>0.13079264665214813</c:v>
                      </c:pt>
                      <c:pt idx="49">
                        <c:v>0.12732060005740828</c:v>
                      </c:pt>
                      <c:pt idx="50">
                        <c:v>0.12396634627581529</c:v>
                      </c:pt>
                      <c:pt idx="51">
                        <c:v>0.12072472819890809</c:v>
                      </c:pt>
                      <c:pt idx="52">
                        <c:v>0.1175908775826264</c:v>
                      </c:pt>
                      <c:pt idx="53">
                        <c:v>0.1145601948126483</c:v>
                      </c:pt>
                      <c:pt idx="54">
                        <c:v>0.11162833039237567</c:v>
                      </c:pt>
                      <c:pt idx="55">
                        <c:v>0.10879116798022334</c:v>
                      </c:pt>
                      <c:pt idx="56">
                        <c:v>0.10604480882299072</c:v>
                      </c:pt>
                      <c:pt idx="57">
                        <c:v>0.10338555744958457</c:v>
                      </c:pt>
                      <c:pt idx="58">
                        <c:v>0.10080990850458446</c:v>
                      </c:pt>
                      <c:pt idx="59">
                        <c:v>9.8314534614437246E-2</c:v>
                      </c:pt>
                      <c:pt idx="60">
                        <c:v>9.5896275190702013E-2</c:v>
                      </c:pt>
                      <c:pt idx="61">
                        <c:v>9.3552126084969156E-2</c:v>
                      </c:pt>
                      <c:pt idx="62">
                        <c:v>9.1279230019055496E-2</c:v>
                      </c:pt>
                      <c:pt idx="63">
                        <c:v>8.9074867721974926E-2</c:v>
                      </c:pt>
                      <c:pt idx="64">
                        <c:v>8.6936449712169073E-2</c:v>
                      </c:pt>
                      <c:pt idx="65">
                        <c:v>8.4861508669652919E-2</c:v>
                      </c:pt>
                      <c:pt idx="66">
                        <c:v>8.2847692348205923E-2</c:v>
                      </c:pt>
                      <c:pt idx="67">
                        <c:v>8.0892756982596861E-2</c:v>
                      </c:pt>
                      <c:pt idx="68">
                        <c:v>7.89945611501571E-2</c:v>
                      </c:pt>
                      <c:pt idx="69">
                        <c:v>7.7151060049867867E-2</c:v>
                      </c:pt>
                      <c:pt idx="70">
                        <c:v>7.5360300165571104E-2</c:v>
                      </c:pt>
                      <c:pt idx="71">
                        <c:v>7.362041428298742E-2</c:v>
                      </c:pt>
                      <c:pt idx="72">
                        <c:v>7.1929616832981991E-2</c:v>
                      </c:pt>
                      <c:pt idx="73">
                        <c:v>7.0286199535991828E-2</c:v>
                      </c:pt>
                      <c:pt idx="74">
                        <c:v>6.8688527324748158E-2</c:v>
                      </c:pt>
                      <c:pt idx="75">
                        <c:v>6.7135034524426984E-2</c:v>
                      </c:pt>
                      <c:pt idx="76">
                        <c:v>6.5624221271161159E-2</c:v>
                      </c:pt>
                      <c:pt idx="77">
                        <c:v>6.4154650151475312E-2</c:v>
                      </c:pt>
                      <c:pt idx="78">
                        <c:v>6.2724943046668008E-2</c:v>
                      </c:pt>
                      <c:pt idx="79">
                        <c:v>6.1333778167498569E-2</c:v>
                      </c:pt>
                      <c:pt idx="80">
                        <c:v>5.9979887265738364E-2</c:v>
                      </c:pt>
                      <c:pt idx="81">
                        <c:v>5.8662053010236311E-2</c:v>
                      </c:pt>
                      <c:pt idx="82">
                        <c:v>5.7379106516141934E-2</c:v>
                      </c:pt>
                      <c:pt idx="83">
                        <c:v>5.6129925016827516E-2</c:v>
                      </c:pt>
                      <c:pt idx="84">
                        <c:v>5.4913429668876163E-2</c:v>
                      </c:pt>
                      <c:pt idx="85">
                        <c:v>5.372858348124393E-2</c:v>
                      </c:pt>
                      <c:pt idx="86">
                        <c:v>5.257438936039234E-2</c:v>
                      </c:pt>
                      <c:pt idx="87">
                        <c:v>5.1449888263804887E-2</c:v>
                      </c:pt>
                      <c:pt idx="88">
                        <c:v>5.0354157454876279E-2</c:v>
                      </c:pt>
                      <c:pt idx="89">
                        <c:v>4.9286308852677325E-2</c:v>
                      </c:pt>
                      <c:pt idx="90">
                        <c:v>4.8245487470582986E-2</c:v>
                      </c:pt>
                      <c:pt idx="91">
                        <c:v>4.7230869938183401E-2</c:v>
                      </c:pt>
                      <c:pt idx="92">
                        <c:v>4.6241663101301164E-2</c:v>
                      </c:pt>
                      <c:pt idx="93">
                        <c:v>4.5277102695308297E-2</c:v>
                      </c:pt>
                      <c:pt idx="94">
                        <c:v>4.4336452087273104E-2</c:v>
                      </c:pt>
                      <c:pt idx="95">
                        <c:v>4.341900108278187E-2</c:v>
                      </c:pt>
                      <c:pt idx="96">
                        <c:v>4.2524064793566463E-2</c:v>
                      </c:pt>
                      <c:pt idx="97">
                        <c:v>4.1650982562333558E-2</c:v>
                      </c:pt>
                      <c:pt idx="98">
                        <c:v>4.0799116941438125E-2</c:v>
                      </c:pt>
                      <c:pt idx="99">
                        <c:v>3.9967852722266592E-2</c:v>
                      </c:pt>
                      <c:pt idx="100">
                        <c:v>3.9156596012406023E-2</c:v>
                      </c:pt>
                      <c:pt idx="101">
                        <c:v>3.8364773357868372E-2</c:v>
                      </c:pt>
                      <c:pt idx="102">
                        <c:v>3.7591830907816044E-2</c:v>
                      </c:pt>
                      <c:pt idx="103">
                        <c:v>3.6837233619402103E-2</c:v>
                      </c:pt>
                      <c:pt idx="104">
                        <c:v>3.6100464500492042E-2</c:v>
                      </c:pt>
                      <c:pt idx="105">
                        <c:v>3.5381023888172977E-2</c:v>
                      </c:pt>
                      <c:pt idx="106">
                        <c:v>3.4678428761093352E-2</c:v>
                      </c:pt>
                      <c:pt idx="107">
                        <c:v>3.3992212083794618E-2</c:v>
                      </c:pt>
                      <c:pt idx="108">
                        <c:v>3.3321922181311775E-2</c:v>
                      </c:pt>
                      <c:pt idx="109">
                        <c:v>3.2667122142426251E-2</c:v>
                      </c:pt>
                      <c:pt idx="110">
                        <c:v>3.2027389250052149E-2</c:v>
                      </c:pt>
                      <c:pt idx="111">
                        <c:v>3.1402314437329971E-2</c:v>
                      </c:pt>
                      <c:pt idx="112">
                        <c:v>3.0791501768085858E-2</c:v>
                      </c:pt>
                      <c:pt idx="113">
                        <c:v>3.0194567940396072E-2</c:v>
                      </c:pt>
                      <c:pt idx="114">
                        <c:v>2.9611141812069811E-2</c:v>
                      </c:pt>
                      <c:pt idx="115">
                        <c:v>2.9040863946932356E-2</c:v>
                      </c:pt>
                      <c:pt idx="116">
                        <c:v>2.8483386180857651E-2</c:v>
                      </c:pt>
                      <c:pt idx="117">
                        <c:v>2.7938371206557282E-2</c:v>
                      </c:pt>
                      <c:pt idx="118">
                        <c:v>2.7405492176192495E-2</c:v>
                      </c:pt>
                      <c:pt idx="119">
                        <c:v>2.6884432320925907E-2</c:v>
                      </c:pt>
                      <c:pt idx="120">
                        <c:v>2.6374884586581843E-2</c:v>
                      </c:pt>
                      <c:pt idx="121">
                        <c:v>2.5876551284629328E-2</c:v>
                      </c:pt>
                      <c:pt idx="122">
                        <c:v>2.538914375774631E-2</c:v>
                      </c:pt>
                      <c:pt idx="123">
                        <c:v>2.4912382059262949E-2</c:v>
                      </c:pt>
                      <c:pt idx="124">
                        <c:v>2.4445994645822214E-2</c:v>
                      </c:pt>
                      <c:pt idx="125">
                        <c:v>2.398971808263119E-2</c:v>
                      </c:pt>
                      <c:pt idx="126">
                        <c:v>2.354329676070897E-2</c:v>
                      </c:pt>
                      <c:pt idx="127">
                        <c:v>2.3106482625571127E-2</c:v>
                      </c:pt>
                      <c:pt idx="128">
                        <c:v>2.2679034916819159E-2</c:v>
                      </c:pt>
                      <c:pt idx="129">
                        <c:v>2.2260719918130896E-2</c:v>
                      </c:pt>
                      <c:pt idx="130">
                        <c:v>2.1851310717176199E-2</c:v>
                      </c:pt>
                      <c:pt idx="131">
                        <c:v>2.1450586975004314E-2</c:v>
                      </c:pt>
                      <c:pt idx="132">
                        <c:v>2.1058334704475781E-2</c:v>
                      </c:pt>
                      <c:pt idx="133">
                        <c:v>2.0674346057331112E-2</c:v>
                      </c:pt>
                      <c:pt idx="134">
                        <c:v>2.029841911951067E-2</c:v>
                      </c:pt>
                      <c:pt idx="135">
                        <c:v>1.9930357714359196E-2</c:v>
                      </c:pt>
                      <c:pt idx="136">
                        <c:v>1.9569971213367846E-2</c:v>
                      </c:pt>
                      <c:pt idx="137">
                        <c:v>1.9217074354121903E-2</c:v>
                      </c:pt>
                      <c:pt idx="138">
                        <c:v>1.887148706514127E-2</c:v>
                      </c:pt>
                      <c:pt idx="139">
                        <c:v>1.8533034297314708E-2</c:v>
                      </c:pt>
                      <c:pt idx="140">
                        <c:v>1.8201545861643513E-2</c:v>
                      </c:pt>
                      <c:pt idx="141">
                        <c:v>1.787685627302563E-2</c:v>
                      </c:pt>
                      <c:pt idx="142">
                        <c:v>1.7558804599822168E-2</c:v>
                      </c:pt>
                      <c:pt idx="143">
                        <c:v>1.724723431896209E-2</c:v>
                      </c:pt>
                      <c:pt idx="144">
                        <c:v>1.6941993176352432E-2</c:v>
                      </c:pt>
                      <c:pt idx="145">
                        <c:v>1.6642933052372196E-2</c:v>
                      </c:pt>
                      <c:pt idx="146">
                        <c:v>1.6349909832237948E-2</c:v>
                      </c:pt>
                      <c:pt idx="147">
                        <c:v>1.606278328104092E-2</c:v>
                      </c:pt>
                      <c:pt idx="148">
                        <c:v>1.5781416923262445E-2</c:v>
                      </c:pt>
                      <c:pt idx="149">
                        <c:v>1.550567792658558E-2</c:v>
                      </c:pt>
                      <c:pt idx="150">
                        <c:v>1.5235436989827926E-2</c:v>
                      </c:pt>
                      <c:pt idx="151">
                        <c:v>1.4970568234828818E-2</c:v>
                      </c:pt>
                      <c:pt idx="152">
                        <c:v>1.4710949102132749E-2</c:v>
                      </c:pt>
                      <c:pt idx="153">
                        <c:v>1.4456460250316251E-2</c:v>
                      </c:pt>
                      <c:pt idx="154">
                        <c:v>1.4206985458814105E-2</c:v>
                      </c:pt>
                      <c:pt idx="155">
                        <c:v>1.3962411534106238E-2</c:v>
                      </c:pt>
                      <c:pt idx="156">
                        <c:v>1.372262821913281E-2</c:v>
                      </c:pt>
                      <c:pt idx="157">
                        <c:v>1.3487528105811584E-2</c:v>
                      </c:pt>
                      <c:pt idx="158">
                        <c:v>1.3257006550536564E-2</c:v>
                      </c:pt>
                      <c:pt idx="159">
                        <c:v>1.3030961592542566E-2</c:v>
                      </c:pt>
                      <c:pt idx="160">
                        <c:v>1.2809293875024943E-2</c:v>
                      </c:pt>
                      <c:pt idx="161">
                        <c:v>1.2591906568909359E-2</c:v>
                      </c:pt>
                      <c:pt idx="162">
                        <c:v>1.2378705299170244E-2</c:v>
                      </c:pt>
                      <c:pt idx="163">
                        <c:v>1.2169598073600976E-2</c:v>
                      </c:pt>
                      <c:pt idx="164">
                        <c:v>1.1964495213943851E-2</c:v>
                      </c:pt>
                      <c:pt idx="165">
                        <c:v>1.1763309289290565E-2</c:v>
                      </c:pt>
                      <c:pt idx="166">
                        <c:v>1.1565955051668452E-2</c:v>
                      </c:pt>
                      <c:pt idx="167">
                        <c:v>1.1372349373731534E-2</c:v>
                      </c:pt>
                      <c:pt idx="168">
                        <c:v>1.1182411188477881E-2</c:v>
                      </c:pt>
                      <c:pt idx="169">
                        <c:v>1.099606143091897E-2</c:v>
                      </c:pt>
                      <c:pt idx="170">
                        <c:v>1.0813222981629499E-2</c:v>
                      </c:pt>
                      <c:pt idx="171">
                        <c:v>1.063382061210858E-2</c:v>
                      </c:pt>
                      <c:pt idx="172">
                        <c:v>1.0457780931887192E-2</c:v>
                      </c:pt>
                      <c:pt idx="173">
                        <c:v>1.0285032337318008E-2</c:v>
                      </c:pt>
                      <c:pt idx="174">
                        <c:v>1.0115504961987806E-2</c:v>
                      </c:pt>
                      <c:pt idx="175">
                        <c:v>9.9491306286934936E-3</c:v>
                      </c:pt>
                      <c:pt idx="176">
                        <c:v>9.7858428029268911E-3</c:v>
                      </c:pt>
                      <c:pt idx="177">
                        <c:v>9.6255765478138709E-3</c:v>
                      </c:pt>
                      <c:pt idx="178">
                        <c:v>9.4682684804570805E-3</c:v>
                      </c:pt>
                      <c:pt idx="179">
                        <c:v>9.31385672963265E-3</c:v>
                      </c:pt>
                      <c:pt idx="180">
                        <c:v>9.1622808947932552E-3</c:v>
                      </c:pt>
                      <c:pt idx="181">
                        <c:v>9.0134820063323719E-3</c:v>
                      </c:pt>
                      <c:pt idx="182">
                        <c:v>8.8674024870656551E-3</c:v>
                      </c:pt>
                      <c:pt idx="183">
                        <c:v>8.7239861148874619E-3</c:v>
                      </c:pt>
                      <c:pt idx="184">
                        <c:v>8.5831779865622251E-3</c:v>
                      </c:pt>
                      <c:pt idx="185">
                        <c:v>8.4449244826114295E-3</c:v>
                      </c:pt>
                      <c:pt idx="186">
                        <c:v>8.3091732332591425E-3</c:v>
                      </c:pt>
                      <c:pt idx="187">
                        <c:v>8.1758730854001784E-3</c:v>
                      </c:pt>
                      <c:pt idx="188">
                        <c:v>8.0449740705557608E-3</c:v>
                      </c:pt>
                      <c:pt idx="189">
                        <c:v>7.9164273737842468E-3</c:v>
                      </c:pt>
                      <c:pt idx="190">
                        <c:v>7.7901853035141225E-3</c:v>
                      </c:pt>
                      <c:pt idx="191">
                        <c:v>7.66620126226885E-3</c:v>
                      </c:pt>
                      <c:pt idx="192">
                        <c:v>7.5444297182538905E-3</c:v>
                      </c:pt>
                      <c:pt idx="193">
                        <c:v>7.4248261777771756E-3</c:v>
                      </c:pt>
                      <c:pt idx="194">
                        <c:v>7.3073471584755821E-3</c:v>
                      </c:pt>
                      <c:pt idx="195">
                        <c:v>7.1919501633209617E-3</c:v>
                      </c:pt>
                      <c:pt idx="196">
                        <c:v>7.0785936553802772E-3</c:v>
                      </c:pt>
                      <c:pt idx="197">
                        <c:v>6.9672370333049814E-3</c:v>
                      </c:pt>
                      <c:pt idx="198">
                        <c:v>6.8578406075263925E-3</c:v>
                      </c:pt>
                      <c:pt idx="199">
                        <c:v>6.7503655771336511E-3</c:v>
                      </c:pt>
                      <c:pt idx="200">
                        <c:v>6.6447740074129539E-3</c:v>
                      </c:pt>
                      <c:pt idx="201">
                        <c:v>6.541028808026185E-3</c:v>
                      </c:pt>
                      <c:pt idx="202">
                        <c:v>6.4390937118090005E-3</c:v>
                      </c:pt>
                      <c:pt idx="203">
                        <c:v>6.338933254168358E-3</c:v>
                      </c:pt>
                      <c:pt idx="204">
                        <c:v>6.2405127530604614E-3</c:v>
                      </c:pt>
                      <c:pt idx="205">
                        <c:v>6.1437982895310977E-3</c:v>
                      </c:pt>
                      <c:pt idx="206">
                        <c:v>6.0487566888002796E-3</c:v>
                      </c:pt>
                      <c:pt idx="207">
                        <c:v>5.9553555018742191E-3</c:v>
                      </c:pt>
                      <c:pt idx="208">
                        <c:v>5.8635629876683457E-3</c:v>
                      </c:pt>
                      <c:pt idx="209">
                        <c:v>5.7733480956252727E-3</c:v>
                      </c:pt>
                      <c:pt idx="210">
                        <c:v>5.6846804488123806E-3</c:v>
                      </c:pt>
                      <c:pt idx="211">
                        <c:v>5.5975303274842115E-3</c:v>
                      </c:pt>
                      <c:pt idx="212">
                        <c:v>5.5118686530954697E-3</c:v>
                      </c:pt>
                      <c:pt idx="213">
                        <c:v>5.4276669727505548E-3</c:v>
                      </c:pt>
                      <c:pt idx="214">
                        <c:v>5.3448974440765927E-3</c:v>
                      </c:pt>
                      <c:pt idx="215">
                        <c:v>5.2635328205067706E-3</c:v>
                      </c:pt>
                      <c:pt idx="216">
                        <c:v>5.1835464369617704E-3</c:v>
                      </c:pt>
                      <c:pt idx="217">
                        <c:v>5.1049121959171424E-3</c:v>
                      </c:pt>
                      <c:pt idx="218">
                        <c:v>5.0276045538448569E-3</c:v>
                      </c:pt>
                      <c:pt idx="219">
                        <c:v>4.9515985080180727E-3</c:v>
                      </c:pt>
                      <c:pt idx="220">
                        <c:v>4.8768695836681683E-3</c:v>
                      </c:pt>
                      <c:pt idx="221">
                        <c:v>4.8033938214833505E-3</c:v>
                      </c:pt>
                      <c:pt idx="222">
                        <c:v>4.7311477654387504E-3</c:v>
                      </c:pt>
                      <c:pt idx="223">
                        <c:v>4.6601084509485732E-3</c:v>
                      </c:pt>
                      <c:pt idx="224">
                        <c:v>4.59025339333014E-3</c:v>
                      </c:pt>
                      <c:pt idx="225">
                        <c:v>4.5215605765711554E-3</c:v>
                      </c:pt>
                      <c:pt idx="226">
                        <c:v>4.4540084423911174E-3</c:v>
                      </c:pt>
                      <c:pt idx="227">
                        <c:v>4.3875758795883174E-3</c:v>
                      </c:pt>
                      <c:pt idx="228">
                        <c:v>4.3222422136640634E-3</c:v>
                      </c:pt>
                      <c:pt idx="229">
                        <c:v>4.2579871967160952E-3</c:v>
                      </c:pt>
                      <c:pt idx="230">
                        <c:v>4.1947909975934986E-3</c:v>
                      </c:pt>
                      <c:pt idx="231">
                        <c:v>4.1326341923054394E-3</c:v>
                      </c:pt>
                      <c:pt idx="232">
                        <c:v>4.0714977546765195E-3</c:v>
                      </c:pt>
                      <c:pt idx="233">
                        <c:v>4.0113630472416416E-3</c:v>
                      </c:pt>
                      <c:pt idx="234">
                        <c:v>3.9522118123735449E-3</c:v>
                      </c:pt>
                      <c:pt idx="235">
                        <c:v>3.8940261636365024E-3</c:v>
                      </c:pt>
                      <c:pt idx="236">
                        <c:v>3.836788577359473E-3</c:v>
                      </c:pt>
                      <c:pt idx="237">
                        <c:v>3.780481884422926E-3</c:v>
                      </c:pt>
                      <c:pt idx="238">
                        <c:v>3.7250892622529255E-3</c:v>
                      </c:pt>
                      <c:pt idx="239">
                        <c:v>3.6705942270168429E-3</c:v>
                      </c:pt>
                      <c:pt idx="240">
                        <c:v>3.616980626015058E-3</c:v>
                      </c:pt>
                      <c:pt idx="241">
                        <c:v>3.5642326302631256E-3</c:v>
                      </c:pt>
                      <c:pt idx="242">
                        <c:v>3.5123347272590349E-3</c:v>
                      </c:pt>
                      <c:pt idx="243">
                        <c:v>3.4612717139306578E-3</c:v>
                      </c:pt>
                      <c:pt idx="244">
                        <c:v>3.4110286897580558E-3</c:v>
                      </c:pt>
                      <c:pt idx="245">
                        <c:v>3.3615910500662052E-3</c:v>
                      </c:pt>
                      <c:pt idx="246">
                        <c:v>3.3129444794831302E-3</c:v>
                      </c:pt>
                      <c:pt idx="247">
                        <c:v>3.2650749455590319E-3</c:v>
                      </c:pt>
                      <c:pt idx="248">
                        <c:v>3.217968692542194E-3</c:v>
                      </c:pt>
                      <c:pt idx="249">
                        <c:v>3.1716122353069986E-3</c:v>
                      </c:pt>
                      <c:pt idx="250">
                        <c:v>3.1259923534303047E-3</c:v>
                      </c:pt>
                      <c:pt idx="251">
                        <c:v>3.0810960854118913E-3</c:v>
                      </c:pt>
                      <c:pt idx="252">
                        <c:v>3.0369107230353181E-3</c:v>
                      </c:pt>
                      <c:pt idx="253">
                        <c:v>2.9934238058651965E-3</c:v>
                      </c:pt>
                      <c:pt idx="254">
                        <c:v>2.9506231158773137E-3</c:v>
                      </c:pt>
                      <c:pt idx="255">
                        <c:v>2.9084966722180876E-3</c:v>
                      </c:pt>
                      <c:pt idx="256">
                        <c:v>2.867032726089853E-3</c:v>
                      </c:pt>
                      <c:pt idx="257">
                        <c:v>2.8262197557585977E-3</c:v>
                      </c:pt>
                      <c:pt idx="258">
                        <c:v>2.7860464616809989E-3</c:v>
                      </c:pt>
                      <c:pt idx="259">
                        <c:v>2.7465017617474326E-3</c:v>
                      </c:pt>
                      <c:pt idx="260">
                        <c:v>2.707574786638143E-3</c:v>
                      </c:pt>
                      <c:pt idx="261">
                        <c:v>2.6692548752893473E-3</c:v>
                      </c:pt>
                      <c:pt idx="262">
                        <c:v>2.6315315704665485E-3</c:v>
                      </c:pt>
                      <c:pt idx="263">
                        <c:v>2.5943946144421372E-3</c:v>
                      </c:pt>
                      <c:pt idx="264">
                        <c:v>2.5578339447747513E-3</c:v>
                      </c:pt>
                      <c:pt idx="265">
                        <c:v>2.5218396901874407E-3</c:v>
                      </c:pt>
                      <c:pt idx="266">
                        <c:v>2.4864021665424157E-3</c:v>
                      </c:pt>
                      <c:pt idx="267">
                        <c:v>2.4515118729096061E-3</c:v>
                      </c:pt>
                      <c:pt idx="268">
                        <c:v>2.4171594877267712E-3</c:v>
                      </c:pt>
                      <c:pt idx="269">
                        <c:v>2.3833358650487118E-3</c:v>
                      </c:pt>
                      <c:pt idx="270">
                        <c:v>2.3500320308833737E-3</c:v>
                      </c:pt>
                      <c:pt idx="271">
                        <c:v>2.3172391796125445E-3</c:v>
                      </c:pt>
                      <c:pt idx="272">
                        <c:v>2.2849486704950555E-3</c:v>
                      </c:pt>
                      <c:pt idx="273">
                        <c:v>2.2531520242503301E-3</c:v>
                      </c:pt>
                      <c:pt idx="274">
                        <c:v>2.221840919720241E-3</c:v>
                      </c:pt>
                      <c:pt idx="275">
                        <c:v>2.1910071906073745E-3</c:v>
                      </c:pt>
                      <c:pt idx="276">
                        <c:v>2.1606428222876424E-3</c:v>
                      </c:pt>
                      <c:pt idx="277">
                        <c:v>2.1307399486954724E-3</c:v>
                      </c:pt>
                      <c:pt idx="278">
                        <c:v>2.101290849279713E-3</c:v>
                      </c:pt>
                      <c:pt idx="279">
                        <c:v>2.072287946028469E-3</c:v>
                      </c:pt>
                      <c:pt idx="280">
                        <c:v>2.0437238005611854E-3</c:v>
                      </c:pt>
                      <c:pt idx="281">
                        <c:v>2.0155911112862517E-3</c:v>
                      </c:pt>
                      <c:pt idx="282">
                        <c:v>1.9878827106225251E-3</c:v>
                      </c:pt>
                      <c:pt idx="283">
                        <c:v>1.9605915622832172E-3</c:v>
                      </c:pt>
                      <c:pt idx="284">
                        <c:v>1.9337107586205303E-3</c:v>
                      </c:pt>
                      <c:pt idx="285">
                        <c:v>1.9072335180295905E-3</c:v>
                      </c:pt>
                      <c:pt idx="286">
                        <c:v>1.8811531824102343E-3</c:v>
                      </c:pt>
                      <c:pt idx="287">
                        <c:v>1.8554632146851647E-3</c:v>
                      </c:pt>
                      <c:pt idx="288">
                        <c:v>1.8301571963731905E-3</c:v>
                      </c:pt>
                      <c:pt idx="289">
                        <c:v>1.8052288252160711E-3</c:v>
                      </c:pt>
                      <c:pt idx="290">
                        <c:v>1.7806719128578223E-3</c:v>
                      </c:pt>
                      <c:pt idx="291">
                        <c:v>1.7564803825750473E-3</c:v>
                      </c:pt>
                      <c:pt idx="292">
                        <c:v>1.7326482670571987E-3</c:v>
                      </c:pt>
                      <c:pt idx="293">
                        <c:v>1.7091697062354202E-3</c:v>
                      </c:pt>
                      <c:pt idx="294">
                        <c:v>1.686038945158958E-3</c:v>
                      </c:pt>
                      <c:pt idx="295">
                        <c:v>1.6632503319178231E-3</c:v>
                      </c:pt>
                      <c:pt idx="296">
                        <c:v>1.6407983156107567E-3</c:v>
                      </c:pt>
                      <c:pt idx="297">
                        <c:v>1.6186774443572606E-3</c:v>
                      </c:pt>
                      <c:pt idx="298">
                        <c:v>1.5968823633528181E-3</c:v>
                      </c:pt>
                      <c:pt idx="299">
                        <c:v>1.5754078129660517E-3</c:v>
                      </c:pt>
                      <c:pt idx="300">
                        <c:v>1.5542486268770486E-3</c:v>
                      </c:pt>
                      <c:pt idx="301">
                        <c:v>1.5333997302556916E-3</c:v>
                      </c:pt>
                      <c:pt idx="302">
                        <c:v>1.512856137979182E-3</c:v>
                      </c:pt>
                      <c:pt idx="303">
                        <c:v>1.4926129528877604E-3</c:v>
                      </c:pt>
                      <c:pt idx="304">
                        <c:v>1.4726653640777031E-3</c:v>
                      </c:pt>
                      <c:pt idx="305">
                        <c:v>1.4530086452308143E-3</c:v>
                      </c:pt>
                      <c:pt idx="306">
                        <c:v>1.433638152979445E-3</c:v>
                      </c:pt>
                      <c:pt idx="307">
                        <c:v>1.4145493253062888E-3</c:v>
                      </c:pt>
                      <c:pt idx="308">
                        <c:v>1.3957376799781096E-3</c:v>
                      </c:pt>
                      <c:pt idx="309">
                        <c:v>1.3771988130125892E-3</c:v>
                      </c:pt>
                      <c:pt idx="310">
                        <c:v>1.3589283971776338E-3</c:v>
                      </c:pt>
                      <c:pt idx="311">
                        <c:v>1.3409221805221693E-3</c:v>
                      </c:pt>
                      <c:pt idx="312">
                        <c:v>1.3231759849379539E-3</c:v>
                      </c:pt>
                      <c:pt idx="313">
                        <c:v>1.305685704751526E-3</c:v>
                      </c:pt>
                      <c:pt idx="314">
                        <c:v>1.2884473053456104E-3</c:v>
                      </c:pt>
                      <c:pt idx="315">
                        <c:v>1.271456821809373E-3</c:v>
                      </c:pt>
                      <c:pt idx="316">
                        <c:v>1.2547103576168166E-3</c:v>
                      </c:pt>
                      <c:pt idx="317">
                        <c:v>1.2382040833326632E-3</c:v>
                      </c:pt>
                      <c:pt idx="318">
                        <c:v>1.2219342353451221E-3</c:v>
                      </c:pt>
                      <c:pt idx="319">
                        <c:v>1.2058971146249318E-3</c:v>
                      </c:pt>
                      <c:pt idx="320">
                        <c:v>1.190089085510042E-3</c:v>
                      </c:pt>
                      <c:pt idx="321">
                        <c:v>1.1745065745154197E-3</c:v>
                      </c:pt>
                      <c:pt idx="322">
                        <c:v>1.1591460691673515E-3</c:v>
                      </c:pt>
                      <c:pt idx="323">
                        <c:v>1.1440041168616988E-3</c:v>
                      </c:pt>
                      <c:pt idx="324">
                        <c:v>1.1290773237455959E-3</c:v>
                      </c:pt>
                      <c:pt idx="325">
                        <c:v>1.1143623536220466E-3</c:v>
                      </c:pt>
                      <c:pt idx="326">
                        <c:v>1.0998559268769032E-3</c:v>
                      </c:pt>
                      <c:pt idx="327">
                        <c:v>1.0855548194277137E-3</c:v>
                      </c:pt>
                      <c:pt idx="328">
                        <c:v>1.0714558616939914E-3</c:v>
                      </c:pt>
                      <c:pt idx="329">
                        <c:v>1.0575559375883845E-3</c:v>
                      </c:pt>
                      <c:pt idx="330">
                        <c:v>1.0438519835282904E-3</c:v>
                      </c:pt>
                      <c:pt idx="331">
                        <c:v>1.0303409874674995E-3</c:v>
                      </c:pt>
                      <c:pt idx="332">
                        <c:v>1.0170199879473739E-3</c:v>
                      </c:pt>
                      <c:pt idx="333">
                        <c:v>1.003886073167135E-3</c:v>
                      </c:pt>
                      <c:pt idx="334">
                        <c:v>9.9093638007290478E-4</c:v>
                      </c:pt>
                      <c:pt idx="335">
                        <c:v>9.7816809346498701E-4</c:v>
                      </c:pt>
                      <c:pt idx="336">
                        <c:v>9.6557844512305065E-4</c:v>
                      </c:pt>
                      <c:pt idx="337">
                        <c:v>9.5316471294882514E-4</c:v>
                      </c:pt>
                      <c:pt idx="338">
                        <c:v>9.4092422012591022E-4</c:v>
                      </c:pt>
                      <c:pt idx="339">
                        <c:v>9.288543342963095E-4</c:v>
                      </c:pt>
                      <c:pt idx="340">
                        <c:v>9.169524667533395E-4</c:v>
                      </c:pt>
                      <c:pt idx="341">
                        <c:v>9.0521607165059813E-4</c:v>
                      </c:pt>
                      <c:pt idx="342">
                        <c:v>8.9364264522654466E-4</c:v>
                      </c:pt>
                      <c:pt idx="343">
                        <c:v>8.8222972504446793E-4</c:v>
                      </c:pt>
                      <c:pt idx="344">
                        <c:v>8.7097488924742531E-4</c:v>
                      </c:pt>
                      <c:pt idx="345">
                        <c:v>8.5987575582787703E-4</c:v>
                      </c:pt>
                      <c:pt idx="346">
                        <c:v>8.4892998191168163E-4</c:v>
                      </c:pt>
                      <c:pt idx="347">
                        <c:v>8.3813526305612175E-4</c:v>
                      </c:pt>
                      <c:pt idx="348">
                        <c:v>8.2748933256172213E-4</c:v>
                      </c:pt>
                      <c:pt idx="349">
                        <c:v>8.1698996079750997E-4</c:v>
                      </c:pt>
                      <c:pt idx="350">
                        <c:v>8.066349545394312E-4</c:v>
                      </c:pt>
                      <c:pt idx="351">
                        <c:v>7.9642215632167725E-4</c:v>
                      </c:pt>
                      <c:pt idx="352">
                        <c:v>7.8634944380063328E-4</c:v>
                      </c:pt>
                      <c:pt idx="353">
                        <c:v>7.7641472913116301E-4</c:v>
                      </c:pt>
                      <c:pt idx="354">
                        <c:v>7.6661595835497383E-4</c:v>
                      </c:pt>
                      <c:pt idx="355">
                        <c:v>7.5695111080084285E-4</c:v>
                      </c:pt>
                      <c:pt idx="356">
                        <c:v>7.4741819849640249E-4</c:v>
                      </c:pt>
                      <c:pt idx="357">
                        <c:v>7.3801526559125826E-4</c:v>
                      </c:pt>
                      <c:pt idx="358">
                        <c:v>7.2788411301627693E-4</c:v>
                      </c:pt>
                      <c:pt idx="359">
                        <c:v>7.1789203649741938E-4</c:v>
                      </c:pt>
                      <c:pt idx="360">
                        <c:v>7.0803712685907664E-4</c:v>
                      </c:pt>
                      <c:pt idx="361">
                        <c:v>6.9831750113397205E-4</c:v>
                      </c:pt>
                      <c:pt idx="362">
                        <c:v>6.8873130220338486E-4</c:v>
                      </c:pt>
                      <c:pt idx="363">
                        <c:v>6.7927669844231237E-4</c:v>
                      </c:pt>
                      <c:pt idx="364">
                        <c:v>6.6995188336950321E-4</c:v>
                      </c:pt>
                      <c:pt idx="365">
                        <c:v>6.6075507530229485E-4</c:v>
                      </c:pt>
                      <c:pt idx="366">
                        <c:v>6.5168451701618966E-4</c:v>
                      </c:pt>
                      <c:pt idx="367">
                        <c:v>6.427384754091037E-4</c:v>
                      </c:pt>
                      <c:pt idx="368">
                        <c:v>6.3391524117022429E-4</c:v>
                      </c:pt>
                      <c:pt idx="369">
                        <c:v>6.2521312845341436E-4</c:v>
                      </c:pt>
                      <c:pt idx="370">
                        <c:v>6.1557853525593266E-4</c:v>
                      </c:pt>
                      <c:pt idx="371">
                        <c:v>6.0609241204709406E-4</c:v>
                      </c:pt>
                      <c:pt idx="372">
                        <c:v>5.9675247089038927E-4</c:v>
                      </c:pt>
                      <c:pt idx="373">
                        <c:v>5.8755645910662623E-4</c:v>
                      </c:pt>
                      <c:pt idx="374">
                        <c:v>5.785021587306115E-4</c:v>
                      </c:pt>
                      <c:pt idx="375">
                        <c:v>5.6958738597620389E-4</c:v>
                      </c:pt>
                      <c:pt idx="376">
                        <c:v>5.6080999070961255E-4</c:v>
                      </c:pt>
                      <c:pt idx="377">
                        <c:v>5.5216785593081093E-4</c:v>
                      </c:pt>
                      <c:pt idx="378">
                        <c:v>5.4365889726294215E-4</c:v>
                      </c:pt>
                      <c:pt idx="379">
                        <c:v>5.352810624495931E-4</c:v>
                      </c:pt>
                      <c:pt idx="380">
                        <c:v>5.2703233085981511E-4</c:v>
                      </c:pt>
                      <c:pt idx="381">
                        <c:v>5.1891071300077282E-4</c:v>
                      </c:pt>
                      <c:pt idx="382">
                        <c:v>5.1000867968113543E-4</c:v>
                      </c:pt>
                      <c:pt idx="383">
                        <c:v>5.0125936280237798E-4</c:v>
                      </c:pt>
                      <c:pt idx="384">
                        <c:v>4.9266014247862971E-4</c:v>
                      </c:pt>
                      <c:pt idx="385">
                        <c:v>4.8420844376876801E-4</c:v>
                      </c:pt>
                      <c:pt idx="386">
                        <c:v>4.7590173590538089E-4</c:v>
                      </c:pt>
                      <c:pt idx="387">
                        <c:v>4.6773753153695684E-4</c:v>
                      </c:pt>
                      <c:pt idx="388">
                        <c:v>4.5971338598307476E-4</c:v>
                      </c:pt>
                      <c:pt idx="389">
                        <c:v>4.5182689650237186E-4</c:v>
                      </c:pt>
                      <c:pt idx="390">
                        <c:v>4.4407570157306911E-4</c:v>
                      </c:pt>
                      <c:pt idx="391">
                        <c:v>4.3645748018584E-4</c:v>
                      </c:pt>
                      <c:pt idx="392">
                        <c:v>4.2896995114880985E-4</c:v>
                      </c:pt>
                      <c:pt idx="393">
                        <c:v>4.216108724044783E-4</c:v>
                      </c:pt>
                      <c:pt idx="394">
                        <c:v>4.1363646008291642E-4</c:v>
                      </c:pt>
                      <c:pt idx="395">
                        <c:v>4.0581287701182343E-4</c:v>
                      </c:pt>
                      <c:pt idx="396">
                        <c:v>3.9813727038375977E-4</c:v>
                      </c:pt>
                      <c:pt idx="397">
                        <c:v>3.9060684134972068E-4</c:v>
                      </c:pt>
                      <c:pt idx="398">
                        <c:v>3.8321884399855827E-4</c:v>
                      </c:pt>
                      <c:pt idx="399">
                        <c:v>3.7597058435570683E-4</c:v>
                      </c:pt>
                      <c:pt idx="400">
                        <c:v>3.6885941940084616E-4</c:v>
                      </c:pt>
                      <c:pt idx="401">
                        <c:v>3.618827561041456E-4</c:v>
                      </c:pt>
                      <c:pt idx="402">
                        <c:v>3.5503805048073581E-4</c:v>
                      </c:pt>
                      <c:pt idx="403">
                        <c:v>3.4832280666306526E-4</c:v>
                      </c:pt>
                      <c:pt idx="404">
                        <c:v>3.4173457599080177E-4</c:v>
                      </c:pt>
                      <c:pt idx="405">
                        <c:v>3.3527095611794814E-4</c:v>
                      </c:pt>
                      <c:pt idx="406">
                        <c:v>3.2862194377186569E-4</c:v>
                      </c:pt>
                      <c:pt idx="407">
                        <c:v>3.2210479302718838E-4</c:v>
                      </c:pt>
                      <c:pt idx="408">
                        <c:v>3.1571688883659489E-4</c:v>
                      </c:pt>
                      <c:pt idx="409">
                        <c:v>3.0945566801374863E-4</c:v>
                      </c:pt>
                      <c:pt idx="410">
                        <c:v>3.0331861820480317E-4</c:v>
                      </c:pt>
                      <c:pt idx="411">
                        <c:v>2.9730327688030472E-4</c:v>
                      </c:pt>
                      <c:pt idx="412">
                        <c:v>2.9140723034708666E-4</c:v>
                      </c:pt>
                      <c:pt idx="413">
                        <c:v>2.8562811277976048E-4</c:v>
                      </c:pt>
                      <c:pt idx="414">
                        <c:v>2.7996360527141322E-4</c:v>
                      </c:pt>
                      <c:pt idx="415">
                        <c:v>2.7441143490313202E-4</c:v>
                      </c:pt>
                      <c:pt idx="416">
                        <c:v>2.6896937383198087E-4</c:v>
                      </c:pt>
                      <c:pt idx="417">
                        <c:v>2.6363523839706486E-4</c:v>
                      </c:pt>
                      <c:pt idx="418">
                        <c:v>2.5780512042847633E-4</c:v>
                      </c:pt>
                      <c:pt idx="419">
                        <c:v>2.5210393164148856E-4</c:v>
                      </c:pt>
                      <c:pt idx="420">
                        <c:v>2.4652882085299379E-4</c:v>
                      </c:pt>
                      <c:pt idx="421">
                        <c:v>2.4107699993190259E-4</c:v>
                      </c:pt>
                      <c:pt idx="422">
                        <c:v>2.3574574240479025E-4</c:v>
                      </c:pt>
                      <c:pt idx="423">
                        <c:v>2.3053238209237869E-4</c:v>
                      </c:pt>
                      <c:pt idx="424">
                        <c:v>2.2543431177617142E-4</c:v>
                      </c:pt>
                      <c:pt idx="425">
                        <c:v>2.2044898189457513E-4</c:v>
                      </c:pt>
                      <c:pt idx="426">
                        <c:v>2.1557389926785551E-4</c:v>
                      </c:pt>
                      <c:pt idx="427">
                        <c:v>2.1080662585129005E-4</c:v>
                      </c:pt>
                      <c:pt idx="428">
                        <c:v>2.0614477751589388E-4</c:v>
                      </c:pt>
                      <c:pt idx="429">
                        <c:v>2.0158602285610906E-4</c:v>
                      </c:pt>
                      <c:pt idx="430">
                        <c:v>1.9674327521921668E-4</c:v>
                      </c:pt>
                      <c:pt idx="431">
                        <c:v>1.9201686602852384E-4</c:v>
                      </c:pt>
                      <c:pt idx="432">
                        <c:v>1.8740400045863826E-4</c:v>
                      </c:pt>
                      <c:pt idx="433">
                        <c:v>1.8290195082490423E-4</c:v>
                      </c:pt>
                      <c:pt idx="434">
                        <c:v>1.7850805497046521E-4</c:v>
                      </c:pt>
                      <c:pt idx="435">
                        <c:v>1.7421971469207433E-4</c:v>
                      </c:pt>
                      <c:pt idx="436">
                        <c:v>1.7003439420372213E-4</c:v>
                      </c:pt>
                      <c:pt idx="437">
                        <c:v>1.6594961863717275E-4</c:v>
                      </c:pt>
                      <c:pt idx="438">
                        <c:v>1.6196297257852215E-4</c:v>
                      </c:pt>
                      <c:pt idx="439">
                        <c:v>1.5807209863991298E-4</c:v>
                      </c:pt>
                      <c:pt idx="440">
                        <c:v>1.5427469606556153E-4</c:v>
                      </c:pt>
                      <c:pt idx="441">
                        <c:v>1.5056851937127218E-4</c:v>
                      </c:pt>
                      <c:pt idx="442">
                        <c:v>1.4667070184586599E-4</c:v>
                      </c:pt>
                      <c:pt idx="443">
                        <c:v>1.4287378842395239E-4</c:v>
                      </c:pt>
                      <c:pt idx="444">
                        <c:v>1.3917516696731932E-4</c:v>
                      </c:pt>
                      <c:pt idx="445">
                        <c:v>1.3557229295904868E-4</c:v>
                      </c:pt>
                      <c:pt idx="446">
                        <c:v>1.3206268775298126E-4</c:v>
                      </c:pt>
                      <c:pt idx="447">
                        <c:v>1.2864393686849837E-4</c:v>
                      </c:pt>
                      <c:pt idx="448">
                        <c:v>1.2531368832944718E-4</c:v>
                      </c:pt>
                      <c:pt idx="449">
                        <c:v>1.2206965104606665E-4</c:v>
                      </c:pt>
                      <c:pt idx="450">
                        <c:v>1.1890959323880127E-4</c:v>
                      </c:pt>
                      <c:pt idx="451">
                        <c:v>1.1583134090291788E-4</c:v>
                      </c:pt>
                      <c:pt idx="452">
                        <c:v>1.1283277631286963E-4</c:v>
                      </c:pt>
                      <c:pt idx="453">
                        <c:v>1.0991183656537781E-4</c:v>
                      </c:pt>
                      <c:pt idx="454">
                        <c:v>1.068522180964119E-4</c:v>
                      </c:pt>
                      <c:pt idx="455">
                        <c:v>1.0387777030121659E-4</c:v>
                      </c:pt>
                      <c:pt idx="456">
                        <c:v>1.0098612228167366E-4</c:v>
                      </c:pt>
                      <c:pt idx="457">
                        <c:v>9.8174969138413508E-5</c:v>
                      </c:pt>
                      <c:pt idx="458">
                        <c:v>9.5442070133606332E-5</c:v>
                      </c:pt>
                      <c:pt idx="459">
                        <c:v>9.2785246904895889E-5</c:v>
                      </c:pt>
                      <c:pt idx="460">
                        <c:v>9.0202381729051785E-5</c:v>
                      </c:pt>
                      <c:pt idx="461">
                        <c:v>8.7691415833956784E-5</c:v>
                      </c:pt>
                      <c:pt idx="462">
                        <c:v>8.5250347757583105E-5</c:v>
                      </c:pt>
                      <c:pt idx="463">
                        <c:v>8.2877231752650205E-5</c:v>
                      </c:pt>
                      <c:pt idx="464">
                        <c:v>8.0570176235691875E-5</c:v>
                      </c:pt>
                      <c:pt idx="465">
                        <c:v>7.8327342279296917E-5</c:v>
                      </c:pt>
                      <c:pt idx="466">
                        <c:v>7.5986489406384411E-5</c:v>
                      </c:pt>
                      <c:pt idx="467">
                        <c:v>7.371559412443782E-5</c:v>
                      </c:pt>
                      <c:pt idx="468">
                        <c:v>7.1512565714903066E-5</c:v>
                      </c:pt>
                      <c:pt idx="469">
                        <c:v>6.9375375941424427E-5</c:v>
                      </c:pt>
                      <c:pt idx="470">
                        <c:v>6.7302057182531822E-5</c:v>
                      </c:pt>
                      <c:pt idx="471">
                        <c:v>6.529070062013391E-5</c:v>
                      </c:pt>
                      <c:pt idx="472">
                        <c:v>6.3339454482148867E-5</c:v>
                      </c:pt>
                      <c:pt idx="473">
                        <c:v>6.144652233765507E-5</c:v>
                      </c:pt>
                      <c:pt idx="474">
                        <c:v>5.9610161442992099E-5</c:v>
                      </c:pt>
                      <c:pt idx="475">
                        <c:v>5.7828681137289342E-5</c:v>
                      </c:pt>
                      <c:pt idx="476">
                        <c:v>5.6100441285945056E-5</c:v>
                      </c:pt>
                      <c:pt idx="477">
                        <c:v>5.4423850770622866E-5</c:v>
                      </c:pt>
                      <c:pt idx="478">
                        <c:v>2.0021415807894711E-5</c:v>
                      </c:pt>
                      <c:pt idx="479">
                        <c:v>7.3654672588693883E-6</c:v>
                      </c:pt>
                      <c:pt idx="480">
                        <c:v>2.7096039791594256E-6</c:v>
                      </c:pt>
                    </c:numCache>
                  </c:numRef>
                </c:yVal>
                <c:smooth val="1"/>
                <c:extLst>
                  <c:ext xmlns:c16="http://schemas.microsoft.com/office/drawing/2014/chart" uri="{C3380CC4-5D6E-409C-BE32-E72D297353CC}">
                    <c16:uniqueId val="{00000004-1E17-4A59-B22C-D4C39BC92F57}"/>
                  </c:ext>
                </c:extLst>
              </c15:ser>
            </c15:filteredScatterSeries>
            <c15:filteredScatterSeries>
              <c15:ser>
                <c:idx val="5"/>
                <c:order val="5"/>
                <c:tx>
                  <c:v>ON TxT Treatment</c:v>
                </c:tx>
                <c:spPr>
                  <a:ln w="28575" cap="rnd">
                    <a:solidFill>
                      <a:schemeClr val="tx1"/>
                    </a:solidFill>
                    <a:prstDash val="sysDot"/>
                    <a:round/>
                  </a:ln>
                  <a:effectLst/>
                </c:spPr>
                <c:marker>
                  <c:symbol val="none"/>
                </c:marker>
                <c:xVal>
                  <c:numRef>
                    <c:extLst xmlns:c15="http://schemas.microsoft.com/office/drawing/2012/chart">
                      <c:ext xmlns:c15="http://schemas.microsoft.com/office/drawing/2012/chart" uri="{02D57815-91ED-43cb-92C2-25804820EDAC}">
                        <c15:formulaRef>
                          <c15:sqref>'Markov Trace'!$C$28:$C$508</c15:sqref>
                        </c15:formulaRef>
                      </c:ext>
                    </c:extLst>
                    <c:numCache>
                      <c:formatCode>0.0</c:formatCode>
                      <c:ptCount val="481"/>
                      <c:pt idx="0">
                        <c:v>0</c:v>
                      </c:pt>
                      <c:pt idx="1">
                        <c:v>8.3333333333333329E-2</c:v>
                      </c:pt>
                      <c:pt idx="2">
                        <c:v>0.16666666666666666</c:v>
                      </c:pt>
                      <c:pt idx="3">
                        <c:v>0.25</c:v>
                      </c:pt>
                      <c:pt idx="4">
                        <c:v>0.33333333333333331</c:v>
                      </c:pt>
                      <c:pt idx="5">
                        <c:v>0.41666666666666669</c:v>
                      </c:pt>
                      <c:pt idx="6">
                        <c:v>0.5</c:v>
                      </c:pt>
                      <c:pt idx="7">
                        <c:v>0.58333333333333337</c:v>
                      </c:pt>
                      <c:pt idx="8">
                        <c:v>0.66666666666666663</c:v>
                      </c:pt>
                      <c:pt idx="9">
                        <c:v>0.75</c:v>
                      </c:pt>
                      <c:pt idx="10">
                        <c:v>0.83333333333333337</c:v>
                      </c:pt>
                      <c:pt idx="11">
                        <c:v>0.91666666666666663</c:v>
                      </c:pt>
                      <c:pt idx="12">
                        <c:v>1</c:v>
                      </c:pt>
                      <c:pt idx="13">
                        <c:v>1.0833333333333333</c:v>
                      </c:pt>
                      <c:pt idx="14">
                        <c:v>1.1666666666666667</c:v>
                      </c:pt>
                      <c:pt idx="15">
                        <c:v>1.25</c:v>
                      </c:pt>
                      <c:pt idx="16">
                        <c:v>1.3333333333333333</c:v>
                      </c:pt>
                      <c:pt idx="17">
                        <c:v>1.4166666666666667</c:v>
                      </c:pt>
                      <c:pt idx="18">
                        <c:v>1.5</c:v>
                      </c:pt>
                      <c:pt idx="19">
                        <c:v>1.5833333333333333</c:v>
                      </c:pt>
                      <c:pt idx="20">
                        <c:v>1.6666666666666667</c:v>
                      </c:pt>
                      <c:pt idx="21">
                        <c:v>1.75</c:v>
                      </c:pt>
                      <c:pt idx="22">
                        <c:v>1.8333333333333333</c:v>
                      </c:pt>
                      <c:pt idx="23">
                        <c:v>1.9166666666666667</c:v>
                      </c:pt>
                      <c:pt idx="24">
                        <c:v>2</c:v>
                      </c:pt>
                      <c:pt idx="25">
                        <c:v>2.0833333333333335</c:v>
                      </c:pt>
                      <c:pt idx="26">
                        <c:v>2.1666666666666665</c:v>
                      </c:pt>
                      <c:pt idx="27">
                        <c:v>2.25</c:v>
                      </c:pt>
                      <c:pt idx="28">
                        <c:v>2.3333333333333335</c:v>
                      </c:pt>
                      <c:pt idx="29">
                        <c:v>2.4166666666666665</c:v>
                      </c:pt>
                      <c:pt idx="30">
                        <c:v>2.5</c:v>
                      </c:pt>
                      <c:pt idx="31">
                        <c:v>2.5833333333333335</c:v>
                      </c:pt>
                      <c:pt idx="32">
                        <c:v>2.6666666666666665</c:v>
                      </c:pt>
                      <c:pt idx="33">
                        <c:v>2.75</c:v>
                      </c:pt>
                      <c:pt idx="34">
                        <c:v>2.8333333333333335</c:v>
                      </c:pt>
                      <c:pt idx="35">
                        <c:v>2.9166666666666665</c:v>
                      </c:pt>
                      <c:pt idx="36">
                        <c:v>3</c:v>
                      </c:pt>
                      <c:pt idx="37">
                        <c:v>3.0833333333333335</c:v>
                      </c:pt>
                      <c:pt idx="38">
                        <c:v>3.1666666666666665</c:v>
                      </c:pt>
                      <c:pt idx="39">
                        <c:v>3.25</c:v>
                      </c:pt>
                      <c:pt idx="40">
                        <c:v>3.3333333333333335</c:v>
                      </c:pt>
                      <c:pt idx="41">
                        <c:v>3.4166666666666665</c:v>
                      </c:pt>
                      <c:pt idx="42">
                        <c:v>3.5</c:v>
                      </c:pt>
                      <c:pt idx="43">
                        <c:v>3.5833333333333335</c:v>
                      </c:pt>
                      <c:pt idx="44">
                        <c:v>3.6666666666666665</c:v>
                      </c:pt>
                      <c:pt idx="45">
                        <c:v>3.75</c:v>
                      </c:pt>
                      <c:pt idx="46">
                        <c:v>3.8333333333333335</c:v>
                      </c:pt>
                      <c:pt idx="47">
                        <c:v>3.9166666666666665</c:v>
                      </c:pt>
                      <c:pt idx="48">
                        <c:v>4</c:v>
                      </c:pt>
                      <c:pt idx="49">
                        <c:v>4.083333333333333</c:v>
                      </c:pt>
                      <c:pt idx="50">
                        <c:v>4.166666666666667</c:v>
                      </c:pt>
                      <c:pt idx="51">
                        <c:v>4.25</c:v>
                      </c:pt>
                      <c:pt idx="52">
                        <c:v>4.333333333333333</c:v>
                      </c:pt>
                      <c:pt idx="53">
                        <c:v>4.416666666666667</c:v>
                      </c:pt>
                      <c:pt idx="54">
                        <c:v>4.5</c:v>
                      </c:pt>
                      <c:pt idx="55">
                        <c:v>4.583333333333333</c:v>
                      </c:pt>
                      <c:pt idx="56">
                        <c:v>4.666666666666667</c:v>
                      </c:pt>
                      <c:pt idx="57">
                        <c:v>4.75</c:v>
                      </c:pt>
                      <c:pt idx="58">
                        <c:v>4.833333333333333</c:v>
                      </c:pt>
                      <c:pt idx="59">
                        <c:v>4.916666666666667</c:v>
                      </c:pt>
                      <c:pt idx="60">
                        <c:v>5</c:v>
                      </c:pt>
                      <c:pt idx="61">
                        <c:v>5.083333333333333</c:v>
                      </c:pt>
                      <c:pt idx="62">
                        <c:v>5.166666666666667</c:v>
                      </c:pt>
                      <c:pt idx="63">
                        <c:v>5.25</c:v>
                      </c:pt>
                      <c:pt idx="64">
                        <c:v>5.333333333333333</c:v>
                      </c:pt>
                      <c:pt idx="65">
                        <c:v>5.416666666666667</c:v>
                      </c:pt>
                      <c:pt idx="66">
                        <c:v>5.5</c:v>
                      </c:pt>
                      <c:pt idx="67">
                        <c:v>5.583333333333333</c:v>
                      </c:pt>
                      <c:pt idx="68">
                        <c:v>5.666666666666667</c:v>
                      </c:pt>
                      <c:pt idx="69">
                        <c:v>5.75</c:v>
                      </c:pt>
                      <c:pt idx="70">
                        <c:v>5.833333333333333</c:v>
                      </c:pt>
                      <c:pt idx="71">
                        <c:v>5.916666666666667</c:v>
                      </c:pt>
                      <c:pt idx="72">
                        <c:v>6</c:v>
                      </c:pt>
                      <c:pt idx="73">
                        <c:v>6.083333333333333</c:v>
                      </c:pt>
                      <c:pt idx="74">
                        <c:v>6.166666666666667</c:v>
                      </c:pt>
                      <c:pt idx="75">
                        <c:v>6.25</c:v>
                      </c:pt>
                      <c:pt idx="76">
                        <c:v>6.333333333333333</c:v>
                      </c:pt>
                      <c:pt idx="77">
                        <c:v>6.416666666666667</c:v>
                      </c:pt>
                      <c:pt idx="78">
                        <c:v>6.5</c:v>
                      </c:pt>
                      <c:pt idx="79">
                        <c:v>6.583333333333333</c:v>
                      </c:pt>
                      <c:pt idx="80">
                        <c:v>6.666666666666667</c:v>
                      </c:pt>
                      <c:pt idx="81">
                        <c:v>6.75</c:v>
                      </c:pt>
                      <c:pt idx="82">
                        <c:v>6.833333333333333</c:v>
                      </c:pt>
                      <c:pt idx="83">
                        <c:v>6.916666666666667</c:v>
                      </c:pt>
                      <c:pt idx="84">
                        <c:v>7</c:v>
                      </c:pt>
                      <c:pt idx="85">
                        <c:v>7.083333333333333</c:v>
                      </c:pt>
                      <c:pt idx="86">
                        <c:v>7.166666666666667</c:v>
                      </c:pt>
                      <c:pt idx="87">
                        <c:v>7.25</c:v>
                      </c:pt>
                      <c:pt idx="88">
                        <c:v>7.333333333333333</c:v>
                      </c:pt>
                      <c:pt idx="89">
                        <c:v>7.416666666666667</c:v>
                      </c:pt>
                      <c:pt idx="90">
                        <c:v>7.5</c:v>
                      </c:pt>
                      <c:pt idx="91">
                        <c:v>7.583333333333333</c:v>
                      </c:pt>
                      <c:pt idx="92">
                        <c:v>7.666666666666667</c:v>
                      </c:pt>
                      <c:pt idx="93">
                        <c:v>7.75</c:v>
                      </c:pt>
                      <c:pt idx="94">
                        <c:v>7.833333333333333</c:v>
                      </c:pt>
                      <c:pt idx="95">
                        <c:v>7.916666666666667</c:v>
                      </c:pt>
                      <c:pt idx="96">
                        <c:v>8</c:v>
                      </c:pt>
                      <c:pt idx="97">
                        <c:v>8.0833333333333339</c:v>
                      </c:pt>
                      <c:pt idx="98">
                        <c:v>8.1666666666666661</c:v>
                      </c:pt>
                      <c:pt idx="99">
                        <c:v>8.25</c:v>
                      </c:pt>
                      <c:pt idx="100">
                        <c:v>8.3333333333333339</c:v>
                      </c:pt>
                      <c:pt idx="101">
                        <c:v>8.4166666666666661</c:v>
                      </c:pt>
                      <c:pt idx="102">
                        <c:v>8.5</c:v>
                      </c:pt>
                      <c:pt idx="103">
                        <c:v>8.5833333333333339</c:v>
                      </c:pt>
                      <c:pt idx="104">
                        <c:v>8.6666666666666661</c:v>
                      </c:pt>
                      <c:pt idx="105">
                        <c:v>8.75</c:v>
                      </c:pt>
                      <c:pt idx="106">
                        <c:v>8.8333333333333339</c:v>
                      </c:pt>
                      <c:pt idx="107">
                        <c:v>8.9166666666666661</c:v>
                      </c:pt>
                      <c:pt idx="108">
                        <c:v>9</c:v>
                      </c:pt>
                      <c:pt idx="109">
                        <c:v>9.0833333333333339</c:v>
                      </c:pt>
                      <c:pt idx="110">
                        <c:v>9.1666666666666661</c:v>
                      </c:pt>
                      <c:pt idx="111">
                        <c:v>9.25</c:v>
                      </c:pt>
                      <c:pt idx="112">
                        <c:v>9.3333333333333339</c:v>
                      </c:pt>
                      <c:pt idx="113">
                        <c:v>9.4166666666666661</c:v>
                      </c:pt>
                      <c:pt idx="114">
                        <c:v>9.5</c:v>
                      </c:pt>
                      <c:pt idx="115">
                        <c:v>9.5833333333333339</c:v>
                      </c:pt>
                      <c:pt idx="116">
                        <c:v>9.6666666666666661</c:v>
                      </c:pt>
                      <c:pt idx="117">
                        <c:v>9.75</c:v>
                      </c:pt>
                      <c:pt idx="118">
                        <c:v>9.8333333333333339</c:v>
                      </c:pt>
                      <c:pt idx="119">
                        <c:v>9.9166666666666661</c:v>
                      </c:pt>
                      <c:pt idx="120">
                        <c:v>10</c:v>
                      </c:pt>
                      <c:pt idx="121">
                        <c:v>10.083333333333334</c:v>
                      </c:pt>
                      <c:pt idx="122">
                        <c:v>10.166666666666666</c:v>
                      </c:pt>
                      <c:pt idx="123">
                        <c:v>10.25</c:v>
                      </c:pt>
                      <c:pt idx="124">
                        <c:v>10.333333333333334</c:v>
                      </c:pt>
                      <c:pt idx="125">
                        <c:v>10.416666666666666</c:v>
                      </c:pt>
                      <c:pt idx="126">
                        <c:v>10.5</c:v>
                      </c:pt>
                      <c:pt idx="127">
                        <c:v>10.583333333333334</c:v>
                      </c:pt>
                      <c:pt idx="128">
                        <c:v>10.666666666666666</c:v>
                      </c:pt>
                      <c:pt idx="129">
                        <c:v>10.75</c:v>
                      </c:pt>
                      <c:pt idx="130">
                        <c:v>10.833333333333334</c:v>
                      </c:pt>
                      <c:pt idx="131">
                        <c:v>10.916666666666666</c:v>
                      </c:pt>
                      <c:pt idx="132">
                        <c:v>11</c:v>
                      </c:pt>
                      <c:pt idx="133">
                        <c:v>11.083333333333334</c:v>
                      </c:pt>
                      <c:pt idx="134">
                        <c:v>11.166666666666666</c:v>
                      </c:pt>
                      <c:pt idx="135">
                        <c:v>11.25</c:v>
                      </c:pt>
                      <c:pt idx="136">
                        <c:v>11.333333333333334</c:v>
                      </c:pt>
                      <c:pt idx="137">
                        <c:v>11.416666666666666</c:v>
                      </c:pt>
                      <c:pt idx="138">
                        <c:v>11.5</c:v>
                      </c:pt>
                      <c:pt idx="139">
                        <c:v>11.583333333333334</c:v>
                      </c:pt>
                      <c:pt idx="140">
                        <c:v>11.666666666666666</c:v>
                      </c:pt>
                      <c:pt idx="141">
                        <c:v>11.75</c:v>
                      </c:pt>
                      <c:pt idx="142">
                        <c:v>11.833333333333334</c:v>
                      </c:pt>
                      <c:pt idx="143">
                        <c:v>11.916666666666666</c:v>
                      </c:pt>
                      <c:pt idx="144">
                        <c:v>12</c:v>
                      </c:pt>
                      <c:pt idx="145">
                        <c:v>12.083333333333334</c:v>
                      </c:pt>
                      <c:pt idx="146">
                        <c:v>12.166666666666666</c:v>
                      </c:pt>
                      <c:pt idx="147">
                        <c:v>12.25</c:v>
                      </c:pt>
                      <c:pt idx="148">
                        <c:v>12.333333333333334</c:v>
                      </c:pt>
                      <c:pt idx="149">
                        <c:v>12.416666666666666</c:v>
                      </c:pt>
                      <c:pt idx="150">
                        <c:v>12.5</c:v>
                      </c:pt>
                      <c:pt idx="151">
                        <c:v>12.583333333333334</c:v>
                      </c:pt>
                      <c:pt idx="152">
                        <c:v>12.666666666666666</c:v>
                      </c:pt>
                      <c:pt idx="153">
                        <c:v>12.75</c:v>
                      </c:pt>
                      <c:pt idx="154">
                        <c:v>12.833333333333334</c:v>
                      </c:pt>
                      <c:pt idx="155">
                        <c:v>12.916666666666666</c:v>
                      </c:pt>
                      <c:pt idx="156">
                        <c:v>13</c:v>
                      </c:pt>
                      <c:pt idx="157">
                        <c:v>13.083333333333334</c:v>
                      </c:pt>
                      <c:pt idx="158">
                        <c:v>13.166666666666666</c:v>
                      </c:pt>
                      <c:pt idx="159">
                        <c:v>13.25</c:v>
                      </c:pt>
                      <c:pt idx="160">
                        <c:v>13.333333333333334</c:v>
                      </c:pt>
                      <c:pt idx="161">
                        <c:v>13.416666666666666</c:v>
                      </c:pt>
                      <c:pt idx="162">
                        <c:v>13.5</c:v>
                      </c:pt>
                      <c:pt idx="163">
                        <c:v>13.583333333333334</c:v>
                      </c:pt>
                      <c:pt idx="164">
                        <c:v>13.666666666666666</c:v>
                      </c:pt>
                      <c:pt idx="165">
                        <c:v>13.75</c:v>
                      </c:pt>
                      <c:pt idx="166">
                        <c:v>13.833333333333334</c:v>
                      </c:pt>
                      <c:pt idx="167">
                        <c:v>13.916666666666666</c:v>
                      </c:pt>
                      <c:pt idx="168">
                        <c:v>14</c:v>
                      </c:pt>
                      <c:pt idx="169">
                        <c:v>14.083333333333334</c:v>
                      </c:pt>
                      <c:pt idx="170">
                        <c:v>14.166666666666666</c:v>
                      </c:pt>
                      <c:pt idx="171">
                        <c:v>14.25</c:v>
                      </c:pt>
                      <c:pt idx="172">
                        <c:v>14.333333333333334</c:v>
                      </c:pt>
                      <c:pt idx="173">
                        <c:v>14.416666666666666</c:v>
                      </c:pt>
                      <c:pt idx="174">
                        <c:v>14.5</c:v>
                      </c:pt>
                      <c:pt idx="175">
                        <c:v>14.583333333333334</c:v>
                      </c:pt>
                      <c:pt idx="176">
                        <c:v>14.666666666666666</c:v>
                      </c:pt>
                      <c:pt idx="177">
                        <c:v>14.75</c:v>
                      </c:pt>
                      <c:pt idx="178">
                        <c:v>14.833333333333334</c:v>
                      </c:pt>
                      <c:pt idx="179">
                        <c:v>14.916666666666666</c:v>
                      </c:pt>
                      <c:pt idx="180">
                        <c:v>15</c:v>
                      </c:pt>
                      <c:pt idx="181">
                        <c:v>15.083333333333334</c:v>
                      </c:pt>
                      <c:pt idx="182">
                        <c:v>15.166666666666666</c:v>
                      </c:pt>
                      <c:pt idx="183">
                        <c:v>15.25</c:v>
                      </c:pt>
                      <c:pt idx="184">
                        <c:v>15.333333333333334</c:v>
                      </c:pt>
                      <c:pt idx="185">
                        <c:v>15.416666666666666</c:v>
                      </c:pt>
                      <c:pt idx="186">
                        <c:v>15.5</c:v>
                      </c:pt>
                      <c:pt idx="187">
                        <c:v>15.583333333333334</c:v>
                      </c:pt>
                      <c:pt idx="188">
                        <c:v>15.666666666666666</c:v>
                      </c:pt>
                      <c:pt idx="189">
                        <c:v>15.75</c:v>
                      </c:pt>
                      <c:pt idx="190">
                        <c:v>15.833333333333334</c:v>
                      </c:pt>
                      <c:pt idx="191">
                        <c:v>15.916666666666666</c:v>
                      </c:pt>
                      <c:pt idx="192">
                        <c:v>16</c:v>
                      </c:pt>
                      <c:pt idx="193">
                        <c:v>16.083333333333332</c:v>
                      </c:pt>
                      <c:pt idx="194">
                        <c:v>16.166666666666668</c:v>
                      </c:pt>
                      <c:pt idx="195">
                        <c:v>16.25</c:v>
                      </c:pt>
                      <c:pt idx="196">
                        <c:v>16.333333333333332</c:v>
                      </c:pt>
                      <c:pt idx="197">
                        <c:v>16.416666666666668</c:v>
                      </c:pt>
                      <c:pt idx="198">
                        <c:v>16.5</c:v>
                      </c:pt>
                      <c:pt idx="199">
                        <c:v>16.583333333333332</c:v>
                      </c:pt>
                      <c:pt idx="200">
                        <c:v>16.666666666666668</c:v>
                      </c:pt>
                      <c:pt idx="201">
                        <c:v>16.75</c:v>
                      </c:pt>
                      <c:pt idx="202">
                        <c:v>16.833333333333332</c:v>
                      </c:pt>
                      <c:pt idx="203">
                        <c:v>16.916666666666668</c:v>
                      </c:pt>
                      <c:pt idx="204">
                        <c:v>17</c:v>
                      </c:pt>
                      <c:pt idx="205">
                        <c:v>17.083333333333332</c:v>
                      </c:pt>
                      <c:pt idx="206">
                        <c:v>17.166666666666668</c:v>
                      </c:pt>
                      <c:pt idx="207">
                        <c:v>17.25</c:v>
                      </c:pt>
                      <c:pt idx="208">
                        <c:v>17.333333333333332</c:v>
                      </c:pt>
                      <c:pt idx="209">
                        <c:v>17.416666666666668</c:v>
                      </c:pt>
                      <c:pt idx="210">
                        <c:v>17.5</c:v>
                      </c:pt>
                      <c:pt idx="211">
                        <c:v>17.583333333333332</c:v>
                      </c:pt>
                      <c:pt idx="212">
                        <c:v>17.666666666666668</c:v>
                      </c:pt>
                      <c:pt idx="213">
                        <c:v>17.75</c:v>
                      </c:pt>
                      <c:pt idx="214">
                        <c:v>17.833333333333332</c:v>
                      </c:pt>
                      <c:pt idx="215">
                        <c:v>17.916666666666668</c:v>
                      </c:pt>
                      <c:pt idx="216">
                        <c:v>18</c:v>
                      </c:pt>
                      <c:pt idx="217">
                        <c:v>18.083333333333332</c:v>
                      </c:pt>
                      <c:pt idx="218">
                        <c:v>18.166666666666668</c:v>
                      </c:pt>
                      <c:pt idx="219">
                        <c:v>18.25</c:v>
                      </c:pt>
                      <c:pt idx="220">
                        <c:v>18.333333333333332</c:v>
                      </c:pt>
                      <c:pt idx="221">
                        <c:v>18.416666666666668</c:v>
                      </c:pt>
                      <c:pt idx="222">
                        <c:v>18.5</c:v>
                      </c:pt>
                      <c:pt idx="223">
                        <c:v>18.583333333333332</c:v>
                      </c:pt>
                      <c:pt idx="224">
                        <c:v>18.666666666666668</c:v>
                      </c:pt>
                      <c:pt idx="225">
                        <c:v>18.75</c:v>
                      </c:pt>
                      <c:pt idx="226">
                        <c:v>18.833333333333332</c:v>
                      </c:pt>
                      <c:pt idx="227">
                        <c:v>18.916666666666668</c:v>
                      </c:pt>
                      <c:pt idx="228">
                        <c:v>19</c:v>
                      </c:pt>
                      <c:pt idx="229">
                        <c:v>19.083333333333332</c:v>
                      </c:pt>
                      <c:pt idx="230">
                        <c:v>19.166666666666668</c:v>
                      </c:pt>
                      <c:pt idx="231">
                        <c:v>19.25</c:v>
                      </c:pt>
                      <c:pt idx="232">
                        <c:v>19.333333333333332</c:v>
                      </c:pt>
                      <c:pt idx="233">
                        <c:v>19.416666666666668</c:v>
                      </c:pt>
                      <c:pt idx="234">
                        <c:v>19.5</c:v>
                      </c:pt>
                      <c:pt idx="235">
                        <c:v>19.583333333333332</c:v>
                      </c:pt>
                      <c:pt idx="236">
                        <c:v>19.666666666666668</c:v>
                      </c:pt>
                      <c:pt idx="237">
                        <c:v>19.75</c:v>
                      </c:pt>
                      <c:pt idx="238">
                        <c:v>19.833333333333332</c:v>
                      </c:pt>
                      <c:pt idx="239">
                        <c:v>19.916666666666668</c:v>
                      </c:pt>
                      <c:pt idx="240">
                        <c:v>20</c:v>
                      </c:pt>
                      <c:pt idx="241">
                        <c:v>20.083333333333332</c:v>
                      </c:pt>
                      <c:pt idx="242">
                        <c:v>20.166666666666668</c:v>
                      </c:pt>
                      <c:pt idx="243">
                        <c:v>20.25</c:v>
                      </c:pt>
                      <c:pt idx="244">
                        <c:v>20.333333333333332</c:v>
                      </c:pt>
                      <c:pt idx="245">
                        <c:v>20.416666666666668</c:v>
                      </c:pt>
                      <c:pt idx="246">
                        <c:v>20.5</c:v>
                      </c:pt>
                      <c:pt idx="247">
                        <c:v>20.583333333333332</c:v>
                      </c:pt>
                      <c:pt idx="248">
                        <c:v>20.666666666666668</c:v>
                      </c:pt>
                      <c:pt idx="249">
                        <c:v>20.75</c:v>
                      </c:pt>
                      <c:pt idx="250">
                        <c:v>20.833333333333332</c:v>
                      </c:pt>
                      <c:pt idx="251">
                        <c:v>20.916666666666668</c:v>
                      </c:pt>
                      <c:pt idx="252">
                        <c:v>21</c:v>
                      </c:pt>
                      <c:pt idx="253">
                        <c:v>21.083333333333332</c:v>
                      </c:pt>
                      <c:pt idx="254">
                        <c:v>21.166666666666668</c:v>
                      </c:pt>
                      <c:pt idx="255">
                        <c:v>21.25</c:v>
                      </c:pt>
                      <c:pt idx="256">
                        <c:v>21.333333333333332</c:v>
                      </c:pt>
                      <c:pt idx="257">
                        <c:v>21.416666666666668</c:v>
                      </c:pt>
                      <c:pt idx="258">
                        <c:v>21.5</c:v>
                      </c:pt>
                      <c:pt idx="259">
                        <c:v>21.583333333333332</c:v>
                      </c:pt>
                      <c:pt idx="260">
                        <c:v>21.666666666666668</c:v>
                      </c:pt>
                      <c:pt idx="261">
                        <c:v>21.75</c:v>
                      </c:pt>
                      <c:pt idx="262">
                        <c:v>21.833333333333332</c:v>
                      </c:pt>
                      <c:pt idx="263">
                        <c:v>21.916666666666668</c:v>
                      </c:pt>
                      <c:pt idx="264">
                        <c:v>22</c:v>
                      </c:pt>
                      <c:pt idx="265">
                        <c:v>22.083333333333332</c:v>
                      </c:pt>
                      <c:pt idx="266">
                        <c:v>22.166666666666668</c:v>
                      </c:pt>
                      <c:pt idx="267">
                        <c:v>22.25</c:v>
                      </c:pt>
                      <c:pt idx="268">
                        <c:v>22.333333333333332</c:v>
                      </c:pt>
                      <c:pt idx="269">
                        <c:v>22.416666666666668</c:v>
                      </c:pt>
                      <c:pt idx="270">
                        <c:v>22.5</c:v>
                      </c:pt>
                      <c:pt idx="271">
                        <c:v>22.583333333333332</c:v>
                      </c:pt>
                      <c:pt idx="272">
                        <c:v>22.666666666666668</c:v>
                      </c:pt>
                      <c:pt idx="273">
                        <c:v>22.75</c:v>
                      </c:pt>
                      <c:pt idx="274">
                        <c:v>22.833333333333332</c:v>
                      </c:pt>
                      <c:pt idx="275">
                        <c:v>22.916666666666668</c:v>
                      </c:pt>
                      <c:pt idx="276">
                        <c:v>23</c:v>
                      </c:pt>
                      <c:pt idx="277">
                        <c:v>23.083333333333332</c:v>
                      </c:pt>
                      <c:pt idx="278">
                        <c:v>23.166666666666668</c:v>
                      </c:pt>
                      <c:pt idx="279">
                        <c:v>23.25</c:v>
                      </c:pt>
                      <c:pt idx="280">
                        <c:v>23.333333333333332</c:v>
                      </c:pt>
                      <c:pt idx="281">
                        <c:v>23.416666666666668</c:v>
                      </c:pt>
                      <c:pt idx="282">
                        <c:v>23.5</c:v>
                      </c:pt>
                      <c:pt idx="283">
                        <c:v>23.583333333333332</c:v>
                      </c:pt>
                      <c:pt idx="284">
                        <c:v>23.666666666666668</c:v>
                      </c:pt>
                      <c:pt idx="285">
                        <c:v>23.75</c:v>
                      </c:pt>
                      <c:pt idx="286">
                        <c:v>23.833333333333332</c:v>
                      </c:pt>
                      <c:pt idx="287">
                        <c:v>23.916666666666668</c:v>
                      </c:pt>
                      <c:pt idx="288">
                        <c:v>24</c:v>
                      </c:pt>
                      <c:pt idx="289">
                        <c:v>24.083333333333332</c:v>
                      </c:pt>
                      <c:pt idx="290">
                        <c:v>24.166666666666668</c:v>
                      </c:pt>
                      <c:pt idx="291">
                        <c:v>24.25</c:v>
                      </c:pt>
                      <c:pt idx="292">
                        <c:v>24.333333333333332</c:v>
                      </c:pt>
                      <c:pt idx="293">
                        <c:v>24.416666666666668</c:v>
                      </c:pt>
                      <c:pt idx="294">
                        <c:v>24.5</c:v>
                      </c:pt>
                      <c:pt idx="295">
                        <c:v>24.583333333333332</c:v>
                      </c:pt>
                      <c:pt idx="296">
                        <c:v>24.666666666666668</c:v>
                      </c:pt>
                      <c:pt idx="297">
                        <c:v>24.75</c:v>
                      </c:pt>
                      <c:pt idx="298">
                        <c:v>24.833333333333332</c:v>
                      </c:pt>
                      <c:pt idx="299">
                        <c:v>24.916666666666668</c:v>
                      </c:pt>
                      <c:pt idx="300">
                        <c:v>25</c:v>
                      </c:pt>
                      <c:pt idx="301">
                        <c:v>25.083333333333332</c:v>
                      </c:pt>
                      <c:pt idx="302">
                        <c:v>25.166666666666668</c:v>
                      </c:pt>
                      <c:pt idx="303">
                        <c:v>25.25</c:v>
                      </c:pt>
                      <c:pt idx="304">
                        <c:v>25.333333333333332</c:v>
                      </c:pt>
                      <c:pt idx="305">
                        <c:v>25.416666666666668</c:v>
                      </c:pt>
                      <c:pt idx="306">
                        <c:v>25.5</c:v>
                      </c:pt>
                      <c:pt idx="307">
                        <c:v>25.583333333333332</c:v>
                      </c:pt>
                      <c:pt idx="308">
                        <c:v>25.666666666666668</c:v>
                      </c:pt>
                      <c:pt idx="309">
                        <c:v>25.75</c:v>
                      </c:pt>
                      <c:pt idx="310">
                        <c:v>25.833333333333332</c:v>
                      </c:pt>
                      <c:pt idx="311">
                        <c:v>25.916666666666668</c:v>
                      </c:pt>
                      <c:pt idx="312">
                        <c:v>26</c:v>
                      </c:pt>
                      <c:pt idx="313">
                        <c:v>26.083333333333332</c:v>
                      </c:pt>
                      <c:pt idx="314">
                        <c:v>26.166666666666668</c:v>
                      </c:pt>
                      <c:pt idx="315">
                        <c:v>26.25</c:v>
                      </c:pt>
                      <c:pt idx="316">
                        <c:v>26.333333333333332</c:v>
                      </c:pt>
                      <c:pt idx="317">
                        <c:v>26.416666666666668</c:v>
                      </c:pt>
                      <c:pt idx="318">
                        <c:v>26.5</c:v>
                      </c:pt>
                      <c:pt idx="319">
                        <c:v>26.583333333333332</c:v>
                      </c:pt>
                      <c:pt idx="320">
                        <c:v>26.666666666666668</c:v>
                      </c:pt>
                      <c:pt idx="321">
                        <c:v>26.75</c:v>
                      </c:pt>
                      <c:pt idx="322">
                        <c:v>26.833333333333332</c:v>
                      </c:pt>
                      <c:pt idx="323">
                        <c:v>26.916666666666668</c:v>
                      </c:pt>
                      <c:pt idx="324">
                        <c:v>27</c:v>
                      </c:pt>
                      <c:pt idx="325">
                        <c:v>27.083333333333332</c:v>
                      </c:pt>
                      <c:pt idx="326">
                        <c:v>27.166666666666668</c:v>
                      </c:pt>
                      <c:pt idx="327">
                        <c:v>27.25</c:v>
                      </c:pt>
                      <c:pt idx="328">
                        <c:v>27.333333333333332</c:v>
                      </c:pt>
                      <c:pt idx="329">
                        <c:v>27.416666666666668</c:v>
                      </c:pt>
                      <c:pt idx="330">
                        <c:v>27.5</c:v>
                      </c:pt>
                      <c:pt idx="331">
                        <c:v>27.583333333333332</c:v>
                      </c:pt>
                      <c:pt idx="332">
                        <c:v>27.666666666666668</c:v>
                      </c:pt>
                      <c:pt idx="333">
                        <c:v>27.75</c:v>
                      </c:pt>
                      <c:pt idx="334">
                        <c:v>27.833333333333332</c:v>
                      </c:pt>
                      <c:pt idx="335">
                        <c:v>27.916666666666668</c:v>
                      </c:pt>
                      <c:pt idx="336">
                        <c:v>28</c:v>
                      </c:pt>
                      <c:pt idx="337">
                        <c:v>28.083333333333332</c:v>
                      </c:pt>
                      <c:pt idx="338">
                        <c:v>28.166666666666668</c:v>
                      </c:pt>
                      <c:pt idx="339">
                        <c:v>28.25</c:v>
                      </c:pt>
                      <c:pt idx="340">
                        <c:v>28.333333333333332</c:v>
                      </c:pt>
                      <c:pt idx="341">
                        <c:v>28.416666666666668</c:v>
                      </c:pt>
                      <c:pt idx="342">
                        <c:v>28.5</c:v>
                      </c:pt>
                      <c:pt idx="343">
                        <c:v>28.583333333333332</c:v>
                      </c:pt>
                      <c:pt idx="344">
                        <c:v>28.666666666666668</c:v>
                      </c:pt>
                      <c:pt idx="345">
                        <c:v>28.75</c:v>
                      </c:pt>
                      <c:pt idx="346">
                        <c:v>28.833333333333332</c:v>
                      </c:pt>
                      <c:pt idx="347">
                        <c:v>28.916666666666668</c:v>
                      </c:pt>
                      <c:pt idx="348">
                        <c:v>29</c:v>
                      </c:pt>
                      <c:pt idx="349">
                        <c:v>29.083333333333332</c:v>
                      </c:pt>
                      <c:pt idx="350">
                        <c:v>29.166666666666668</c:v>
                      </c:pt>
                      <c:pt idx="351">
                        <c:v>29.25</c:v>
                      </c:pt>
                      <c:pt idx="352">
                        <c:v>29.333333333333332</c:v>
                      </c:pt>
                      <c:pt idx="353">
                        <c:v>29.416666666666668</c:v>
                      </c:pt>
                      <c:pt idx="354">
                        <c:v>29.5</c:v>
                      </c:pt>
                      <c:pt idx="355">
                        <c:v>29.583333333333332</c:v>
                      </c:pt>
                      <c:pt idx="356">
                        <c:v>29.666666666666668</c:v>
                      </c:pt>
                      <c:pt idx="357">
                        <c:v>29.75</c:v>
                      </c:pt>
                      <c:pt idx="358">
                        <c:v>29.833333333333332</c:v>
                      </c:pt>
                      <c:pt idx="359">
                        <c:v>29.916666666666668</c:v>
                      </c:pt>
                      <c:pt idx="360">
                        <c:v>30</c:v>
                      </c:pt>
                      <c:pt idx="361">
                        <c:v>30.083333333333332</c:v>
                      </c:pt>
                      <c:pt idx="362">
                        <c:v>30.166666666666668</c:v>
                      </c:pt>
                      <c:pt idx="363">
                        <c:v>30.25</c:v>
                      </c:pt>
                      <c:pt idx="364">
                        <c:v>30.333333333333332</c:v>
                      </c:pt>
                      <c:pt idx="365">
                        <c:v>30.416666666666668</c:v>
                      </c:pt>
                      <c:pt idx="366">
                        <c:v>30.5</c:v>
                      </c:pt>
                      <c:pt idx="367">
                        <c:v>30.583333333333332</c:v>
                      </c:pt>
                      <c:pt idx="368">
                        <c:v>30.666666666666668</c:v>
                      </c:pt>
                      <c:pt idx="369">
                        <c:v>30.75</c:v>
                      </c:pt>
                      <c:pt idx="370">
                        <c:v>30.833333333333332</c:v>
                      </c:pt>
                      <c:pt idx="371">
                        <c:v>30.916666666666668</c:v>
                      </c:pt>
                      <c:pt idx="372">
                        <c:v>31</c:v>
                      </c:pt>
                      <c:pt idx="373">
                        <c:v>31.083333333333332</c:v>
                      </c:pt>
                      <c:pt idx="374">
                        <c:v>31.166666666666668</c:v>
                      </c:pt>
                      <c:pt idx="375">
                        <c:v>31.25</c:v>
                      </c:pt>
                      <c:pt idx="376">
                        <c:v>31.333333333333332</c:v>
                      </c:pt>
                      <c:pt idx="377">
                        <c:v>31.416666666666668</c:v>
                      </c:pt>
                      <c:pt idx="378">
                        <c:v>31.5</c:v>
                      </c:pt>
                      <c:pt idx="379">
                        <c:v>31.583333333333332</c:v>
                      </c:pt>
                      <c:pt idx="380">
                        <c:v>31.666666666666668</c:v>
                      </c:pt>
                      <c:pt idx="381">
                        <c:v>31.75</c:v>
                      </c:pt>
                      <c:pt idx="382">
                        <c:v>31.833333333333332</c:v>
                      </c:pt>
                      <c:pt idx="383">
                        <c:v>31.916666666666668</c:v>
                      </c:pt>
                      <c:pt idx="384">
                        <c:v>32</c:v>
                      </c:pt>
                      <c:pt idx="385">
                        <c:v>32.083333333333336</c:v>
                      </c:pt>
                      <c:pt idx="386">
                        <c:v>32.166666666666664</c:v>
                      </c:pt>
                      <c:pt idx="387">
                        <c:v>32.25</c:v>
                      </c:pt>
                      <c:pt idx="388">
                        <c:v>32.333333333333336</c:v>
                      </c:pt>
                      <c:pt idx="389">
                        <c:v>32.416666666666664</c:v>
                      </c:pt>
                      <c:pt idx="390">
                        <c:v>32.5</c:v>
                      </c:pt>
                      <c:pt idx="391">
                        <c:v>32.583333333333336</c:v>
                      </c:pt>
                      <c:pt idx="392">
                        <c:v>32.666666666666664</c:v>
                      </c:pt>
                      <c:pt idx="393">
                        <c:v>32.75</c:v>
                      </c:pt>
                      <c:pt idx="394">
                        <c:v>32.833333333333336</c:v>
                      </c:pt>
                      <c:pt idx="395">
                        <c:v>32.916666666666664</c:v>
                      </c:pt>
                      <c:pt idx="396">
                        <c:v>33</c:v>
                      </c:pt>
                      <c:pt idx="397">
                        <c:v>33.083333333333336</c:v>
                      </c:pt>
                      <c:pt idx="398">
                        <c:v>33.166666666666664</c:v>
                      </c:pt>
                      <c:pt idx="399">
                        <c:v>33.25</c:v>
                      </c:pt>
                      <c:pt idx="400">
                        <c:v>33.333333333333336</c:v>
                      </c:pt>
                      <c:pt idx="401">
                        <c:v>33.416666666666664</c:v>
                      </c:pt>
                      <c:pt idx="402">
                        <c:v>33.5</c:v>
                      </c:pt>
                      <c:pt idx="403">
                        <c:v>33.583333333333336</c:v>
                      </c:pt>
                      <c:pt idx="404">
                        <c:v>33.666666666666664</c:v>
                      </c:pt>
                      <c:pt idx="405">
                        <c:v>33.75</c:v>
                      </c:pt>
                      <c:pt idx="406">
                        <c:v>33.833333333333336</c:v>
                      </c:pt>
                      <c:pt idx="407">
                        <c:v>33.916666666666664</c:v>
                      </c:pt>
                      <c:pt idx="408">
                        <c:v>34</c:v>
                      </c:pt>
                      <c:pt idx="409">
                        <c:v>34.083333333333336</c:v>
                      </c:pt>
                      <c:pt idx="410">
                        <c:v>34.166666666666664</c:v>
                      </c:pt>
                      <c:pt idx="411">
                        <c:v>34.25</c:v>
                      </c:pt>
                      <c:pt idx="412">
                        <c:v>34.333333333333336</c:v>
                      </c:pt>
                      <c:pt idx="413">
                        <c:v>34.416666666666664</c:v>
                      </c:pt>
                      <c:pt idx="414">
                        <c:v>34.5</c:v>
                      </c:pt>
                      <c:pt idx="415">
                        <c:v>34.583333333333336</c:v>
                      </c:pt>
                      <c:pt idx="416">
                        <c:v>34.666666666666664</c:v>
                      </c:pt>
                      <c:pt idx="417">
                        <c:v>34.75</c:v>
                      </c:pt>
                      <c:pt idx="418">
                        <c:v>34.833333333333336</c:v>
                      </c:pt>
                      <c:pt idx="419">
                        <c:v>34.916666666666664</c:v>
                      </c:pt>
                      <c:pt idx="420">
                        <c:v>35</c:v>
                      </c:pt>
                      <c:pt idx="421">
                        <c:v>35.083333333333336</c:v>
                      </c:pt>
                      <c:pt idx="422">
                        <c:v>35.166666666666664</c:v>
                      </c:pt>
                      <c:pt idx="423">
                        <c:v>35.25</c:v>
                      </c:pt>
                      <c:pt idx="424">
                        <c:v>35.333333333333336</c:v>
                      </c:pt>
                      <c:pt idx="425">
                        <c:v>35.416666666666664</c:v>
                      </c:pt>
                      <c:pt idx="426">
                        <c:v>35.5</c:v>
                      </c:pt>
                      <c:pt idx="427">
                        <c:v>35.583333333333336</c:v>
                      </c:pt>
                      <c:pt idx="428">
                        <c:v>35.666666666666664</c:v>
                      </c:pt>
                      <c:pt idx="429">
                        <c:v>35.75</c:v>
                      </c:pt>
                      <c:pt idx="430">
                        <c:v>35.833333333333336</c:v>
                      </c:pt>
                      <c:pt idx="431">
                        <c:v>35.916666666666664</c:v>
                      </c:pt>
                      <c:pt idx="432">
                        <c:v>36</c:v>
                      </c:pt>
                      <c:pt idx="433">
                        <c:v>36.083333333333336</c:v>
                      </c:pt>
                      <c:pt idx="434">
                        <c:v>36.166666666666664</c:v>
                      </c:pt>
                      <c:pt idx="435">
                        <c:v>36.25</c:v>
                      </c:pt>
                      <c:pt idx="436">
                        <c:v>36.333333333333336</c:v>
                      </c:pt>
                      <c:pt idx="437">
                        <c:v>36.416666666666664</c:v>
                      </c:pt>
                      <c:pt idx="438">
                        <c:v>36.5</c:v>
                      </c:pt>
                      <c:pt idx="439">
                        <c:v>36.583333333333336</c:v>
                      </c:pt>
                      <c:pt idx="440">
                        <c:v>36.666666666666664</c:v>
                      </c:pt>
                      <c:pt idx="441">
                        <c:v>36.75</c:v>
                      </c:pt>
                      <c:pt idx="442">
                        <c:v>36.833333333333336</c:v>
                      </c:pt>
                      <c:pt idx="443">
                        <c:v>36.916666666666664</c:v>
                      </c:pt>
                      <c:pt idx="444">
                        <c:v>37</c:v>
                      </c:pt>
                      <c:pt idx="445">
                        <c:v>37.083333333333336</c:v>
                      </c:pt>
                      <c:pt idx="446">
                        <c:v>37.166666666666664</c:v>
                      </c:pt>
                      <c:pt idx="447">
                        <c:v>37.25</c:v>
                      </c:pt>
                      <c:pt idx="448">
                        <c:v>37.333333333333336</c:v>
                      </c:pt>
                      <c:pt idx="449">
                        <c:v>37.416666666666664</c:v>
                      </c:pt>
                      <c:pt idx="450">
                        <c:v>37.5</c:v>
                      </c:pt>
                      <c:pt idx="451">
                        <c:v>37.583333333333336</c:v>
                      </c:pt>
                      <c:pt idx="452">
                        <c:v>37.666666666666664</c:v>
                      </c:pt>
                      <c:pt idx="453">
                        <c:v>37.75</c:v>
                      </c:pt>
                      <c:pt idx="454">
                        <c:v>37.833333333333336</c:v>
                      </c:pt>
                      <c:pt idx="455">
                        <c:v>37.916666666666664</c:v>
                      </c:pt>
                      <c:pt idx="456">
                        <c:v>38</c:v>
                      </c:pt>
                      <c:pt idx="457">
                        <c:v>38.083333333333336</c:v>
                      </c:pt>
                      <c:pt idx="458">
                        <c:v>38.166666666666664</c:v>
                      </c:pt>
                      <c:pt idx="459">
                        <c:v>38.25</c:v>
                      </c:pt>
                      <c:pt idx="460">
                        <c:v>38.333333333333336</c:v>
                      </c:pt>
                      <c:pt idx="461">
                        <c:v>38.416666666666664</c:v>
                      </c:pt>
                      <c:pt idx="462">
                        <c:v>38.5</c:v>
                      </c:pt>
                      <c:pt idx="463">
                        <c:v>38.583333333333336</c:v>
                      </c:pt>
                      <c:pt idx="464">
                        <c:v>38.666666666666664</c:v>
                      </c:pt>
                      <c:pt idx="465">
                        <c:v>38.75</c:v>
                      </c:pt>
                      <c:pt idx="466">
                        <c:v>38.833333333333336</c:v>
                      </c:pt>
                      <c:pt idx="467">
                        <c:v>38.916666666666664</c:v>
                      </c:pt>
                      <c:pt idx="468">
                        <c:v>39</c:v>
                      </c:pt>
                      <c:pt idx="469">
                        <c:v>39.083333333333336</c:v>
                      </c:pt>
                      <c:pt idx="470">
                        <c:v>39.166666666666664</c:v>
                      </c:pt>
                      <c:pt idx="471">
                        <c:v>39.25</c:v>
                      </c:pt>
                      <c:pt idx="472">
                        <c:v>39.333333333333336</c:v>
                      </c:pt>
                      <c:pt idx="473">
                        <c:v>39.416666666666664</c:v>
                      </c:pt>
                      <c:pt idx="474">
                        <c:v>39.5</c:v>
                      </c:pt>
                      <c:pt idx="475">
                        <c:v>39.583333333333336</c:v>
                      </c:pt>
                      <c:pt idx="476">
                        <c:v>39.666666666666664</c:v>
                      </c:pt>
                      <c:pt idx="477">
                        <c:v>39.75</c:v>
                      </c:pt>
                      <c:pt idx="478">
                        <c:v>39.833333333333336</c:v>
                      </c:pt>
                      <c:pt idx="479">
                        <c:v>39.916666666666664</c:v>
                      </c:pt>
                      <c:pt idx="480">
                        <c:v>40</c:v>
                      </c:pt>
                    </c:numCache>
                  </c:numRef>
                </c:xVal>
                <c:yVal>
                  <c:numRef>
                    <c:extLst xmlns:c15="http://schemas.microsoft.com/office/drawing/2012/chart">
                      <c:ext xmlns:c15="http://schemas.microsoft.com/office/drawing/2012/chart" uri="{02D57815-91ED-43cb-92C2-25804820EDAC}">
                        <c15:formulaRef>
                          <c15:sqref>'Markov Trace'!$Q$28:$Q$508</c15:sqref>
                        </c15:formulaRef>
                      </c:ext>
                    </c:extLst>
                    <c:numCache>
                      <c:formatCode>#,##0.000</c:formatCode>
                      <c:ptCount val="481"/>
                      <c:pt idx="0">
                        <c:v>1</c:v>
                      </c:pt>
                      <c:pt idx="1">
                        <c:v>0.86475155865541453</c:v>
                      </c:pt>
                      <c:pt idx="2">
                        <c:v>0.7783739531874142</c:v>
                      </c:pt>
                      <c:pt idx="3">
                        <c:v>0.70146519000542118</c:v>
                      </c:pt>
                      <c:pt idx="4">
                        <c:v>0.6269899354366244</c:v>
                      </c:pt>
                      <c:pt idx="5">
                        <c:v>0.57480483355215639</c:v>
                      </c:pt>
                      <c:pt idx="6">
                        <c:v>0.54077371636445715</c:v>
                      </c:pt>
                      <c:pt idx="7">
                        <c:v>0.52387754798984854</c:v>
                      </c:pt>
                      <c:pt idx="8">
                        <c:v>0.50663367727439779</c:v>
                      </c:pt>
                      <c:pt idx="9">
                        <c:v>0.48163025665778714</c:v>
                      </c:pt>
                      <c:pt idx="10">
                        <c:v>0.45627058708435719</c:v>
                      </c:pt>
                      <c:pt idx="11">
                        <c:v>0.43300291406460961</c:v>
                      </c:pt>
                      <c:pt idx="12">
                        <c:v>0.40026748767774295</c:v>
                      </c:pt>
                      <c:pt idx="13">
                        <c:v>0.37601991873610119</c:v>
                      </c:pt>
                      <c:pt idx="14">
                        <c:v>0.36112203153272748</c:v>
                      </c:pt>
                      <c:pt idx="15">
                        <c:v>0.34005673295490002</c:v>
                      </c:pt>
                      <c:pt idx="16">
                        <c:v>0.32444928996299105</c:v>
                      </c:pt>
                      <c:pt idx="17">
                        <c:v>0.30977620801581762</c:v>
                      </c:pt>
                      <c:pt idx="18">
                        <c:v>0.30118633511894027</c:v>
                      </c:pt>
                      <c:pt idx="19">
                        <c:v>0.29356733518442851</c:v>
                      </c:pt>
                      <c:pt idx="20">
                        <c:v>0.28135718523595649</c:v>
                      </c:pt>
                      <c:pt idx="21">
                        <c:v>0.26984402217204306</c:v>
                      </c:pt>
                      <c:pt idx="22">
                        <c:v>0.25897206312057214</c:v>
                      </c:pt>
                      <c:pt idx="23">
                        <c:v>0.2486916418772982</c:v>
                      </c:pt>
                      <c:pt idx="24">
                        <c:v>0.23895833552561357</c:v>
                      </c:pt>
                      <c:pt idx="25">
                        <c:v>0.22973224503867593</c:v>
                      </c:pt>
                      <c:pt idx="26">
                        <c:v>0.2209773977620221</c:v>
                      </c:pt>
                      <c:pt idx="27">
                        <c:v>0.21266124733729824</c:v>
                      </c:pt>
                      <c:pt idx="28">
                        <c:v>0.20475425224534227</c:v>
                      </c:pt>
                      <c:pt idx="29">
                        <c:v>0.19722951831894331</c:v>
                      </c:pt>
                      <c:pt idx="30">
                        <c:v>0.19006249371122649</c:v>
                      </c:pt>
                      <c:pt idx="31">
                        <c:v>0.18323070718823917</c:v>
                      </c:pt>
                      <c:pt idx="32">
                        <c:v>0.17671354244324058</c:v>
                      </c:pt>
                      <c:pt idx="33">
                        <c:v>0.17049204254737321</c:v>
                      </c:pt>
                      <c:pt idx="34">
                        <c:v>0.16454873975918013</c:v>
                      </c:pt>
                      <c:pt idx="35">
                        <c:v>0.15886750678845826</c:v>
                      </c:pt>
                      <c:pt idx="36">
                        <c:v>0.15343342630325268</c:v>
                      </c:pt>
                      <c:pt idx="37">
                        <c:v>0.14823267602331636</c:v>
                      </c:pt>
                      <c:pt idx="38">
                        <c:v>0.14325242718988032</c:v>
                      </c:pt>
                      <c:pt idx="39">
                        <c:v>0.13848075456339518</c:v>
                      </c:pt>
                      <c:pt idx="40">
                        <c:v>0.13390655639585322</c:v>
                      </c:pt>
                      <c:pt idx="41">
                        <c:v>0.12951948306606928</c:v>
                      </c:pt>
                      <c:pt idx="42">
                        <c:v>0.1253098732655574</c:v>
                      </c:pt>
                      <c:pt idx="43">
                        <c:v>0.121268696787667</c:v>
                      </c:pt>
                      <c:pt idx="44">
                        <c:v>0.1173875031099938</c:v>
                      </c:pt>
                      <c:pt idx="45">
                        <c:v>0.11365837507489351</c:v>
                      </c:pt>
                      <c:pt idx="46">
                        <c:v>0.11007388706933489</c:v>
                      </c:pt>
                      <c:pt idx="47">
                        <c:v>0.10662706718659833</c:v>
                      </c:pt>
                      <c:pt idx="48">
                        <c:v>0.10331136292111241</c:v>
                      </c:pt>
                      <c:pt idx="49">
                        <c:v>0.10012061000615209</c:v>
                      </c:pt>
                      <c:pt idx="50">
                        <c:v>9.7049004053939736E-2</c:v>
                      </c:pt>
                      <c:pt idx="51">
                        <c:v>9.4091074700303021E-2</c:v>
                      </c:pt>
                      <c:pt idx="52">
                        <c:v>9.1241661992616768E-2</c:v>
                      </c:pt>
                      <c:pt idx="53">
                        <c:v>8.8495894791238552E-2</c:v>
                      </c:pt>
                      <c:pt idx="54">
                        <c:v>8.5849170981837378E-2</c:v>
                      </c:pt>
                      <c:pt idx="55">
                        <c:v>8.3297139319555055E-2</c:v>
                      </c:pt>
                      <c:pt idx="56">
                        <c:v>8.0835682746381213E-2</c:v>
                      </c:pt>
                      <c:pt idx="57">
                        <c:v>7.8460903040924554E-2</c:v>
                      </c:pt>
                      <c:pt idx="58">
                        <c:v>7.6169106675293155E-2</c:v>
                      </c:pt>
                      <c:pt idx="59">
                        <c:v>7.395679176739324E-2</c:v>
                      </c:pt>
                      <c:pt idx="60">
                        <c:v>7.1820636028878254E-2</c:v>
                      </c:pt>
                      <c:pt idx="61">
                        <c:v>6.9757485619454523E-2</c:v>
                      </c:pt>
                      <c:pt idx="62">
                        <c:v>6.7764344827490886E-2</c:v>
                      </c:pt>
                      <c:pt idx="63">
                        <c:v>6.5838366505022464E-2</c:v>
                      </c:pt>
                      <c:pt idx="64">
                        <c:v>6.3976843192455835E-2</c:v>
                      </c:pt>
                      <c:pt idx="65">
                        <c:v>6.2177198874670242E-2</c:v>
                      </c:pt>
                      <c:pt idx="66">
                        <c:v>6.0436981315888844E-2</c:v>
                      </c:pt>
                      <c:pt idx="67">
                        <c:v>5.8753854925741818E-2</c:v>
                      </c:pt>
                      <c:pt idx="68">
                        <c:v>5.7125594113446115E-2</c:v>
                      </c:pt>
                      <c:pt idx="69">
                        <c:v>5.5550077091046521E-2</c:v>
                      </c:pt>
                      <c:pt idx="70">
                        <c:v>5.4025280090254396E-2</c:v>
                      </c:pt>
                      <c:pt idx="71">
                        <c:v>5.2549271960643906E-2</c:v>
                      </c:pt>
                      <c:pt idx="72">
                        <c:v>5.1120209119852142E-2</c:v>
                      </c:pt>
                      <c:pt idx="73">
                        <c:v>4.9736330829026475E-2</c:v>
                      </c:pt>
                      <c:pt idx="74">
                        <c:v>4.8395954769098533E-2</c:v>
                      </c:pt>
                      <c:pt idx="75">
                        <c:v>4.7097472895570348E-2</c:v>
                      </c:pt>
                      <c:pt idx="76">
                        <c:v>4.5839347551395633E-2</c:v>
                      </c:pt>
                      <c:pt idx="77">
                        <c:v>4.4620107819261269E-2</c:v>
                      </c:pt>
                      <c:pt idx="78">
                        <c:v>4.3438346096120857E-2</c:v>
                      </c:pt>
                      <c:pt idx="79">
                        <c:v>4.2292714874247177E-2</c:v>
                      </c:pt>
                      <c:pt idx="80">
                        <c:v>4.1181923714341422E-2</c:v>
                      </c:pt>
                      <c:pt idx="81">
                        <c:v>4.0104736397401218E-2</c:v>
                      </c:pt>
                      <c:pt idx="82">
                        <c:v>3.9059968243102018E-2</c:v>
                      </c:pt>
                      <c:pt idx="83">
                        <c:v>3.80464835834066E-2</c:v>
                      </c:pt>
                      <c:pt idx="84">
                        <c:v>3.7063193380994591E-2</c:v>
                      </c:pt>
                      <c:pt idx="85">
                        <c:v>3.6109052982899695E-2</c:v>
                      </c:pt>
                      <c:pt idx="86">
                        <c:v>3.5183060000474969E-2</c:v>
                      </c:pt>
                      <c:pt idx="87">
                        <c:v>3.4284252307468281E-2</c:v>
                      </c:pt>
                      <c:pt idx="88">
                        <c:v>3.3411706148608208E-2</c:v>
                      </c:pt>
                      <c:pt idx="89">
                        <c:v>3.2564534351650722E-2</c:v>
                      </c:pt>
                      <c:pt idx="90">
                        <c:v>3.1741884636357062E-2</c:v>
                      </c:pt>
                      <c:pt idx="91">
                        <c:v>3.0942938014340993E-2</c:v>
                      </c:pt>
                      <c:pt idx="92">
                        <c:v>3.016690727415457E-2</c:v>
                      </c:pt>
                      <c:pt idx="93">
                        <c:v>2.9413035546383401E-2</c:v>
                      </c:pt>
                      <c:pt idx="94">
                        <c:v>2.8680594943883433E-2</c:v>
                      </c:pt>
                      <c:pt idx="95">
                        <c:v>2.7968885272632343E-2</c:v>
                      </c:pt>
                      <c:pt idx="96">
                        <c:v>2.7277232808978324E-2</c:v>
                      </c:pt>
                      <c:pt idx="97">
                        <c:v>2.6604989139353948E-2</c:v>
                      </c:pt>
                      <c:pt idx="98">
                        <c:v>2.5951530058790691E-2</c:v>
                      </c:pt>
                      <c:pt idx="99">
                        <c:v>2.5316254524812475E-2</c:v>
                      </c:pt>
                      <c:pt idx="100">
                        <c:v>2.4698583663512835E-2</c:v>
                      </c:pt>
                      <c:pt idx="101">
                        <c:v>2.4097959824832003E-2</c:v>
                      </c:pt>
                      <c:pt idx="102">
                        <c:v>2.3513845684240527E-2</c:v>
                      </c:pt>
                      <c:pt idx="103">
                        <c:v>2.294572338821994E-2</c:v>
                      </c:pt>
                      <c:pt idx="104">
                        <c:v>2.2393093741095271E-2</c:v>
                      </c:pt>
                      <c:pt idx="105">
                        <c:v>2.1855475430929111E-2</c:v>
                      </c:pt>
                      <c:pt idx="106">
                        <c:v>2.1332404292332442E-2</c:v>
                      </c:pt>
                      <c:pt idx="107">
                        <c:v>2.0823432604179577E-2</c:v>
                      </c:pt>
                      <c:pt idx="108">
                        <c:v>2.0328128420338983E-2</c:v>
                      </c:pt>
                      <c:pt idx="109">
                        <c:v>1.9846074931648732E-2</c:v>
                      </c:pt>
                      <c:pt idx="110">
                        <c:v>1.9376869857471189E-2</c:v>
                      </c:pt>
                      <c:pt idx="111">
                        <c:v>1.8920124865264201E-2</c:v>
                      </c:pt>
                      <c:pt idx="112">
                        <c:v>1.8475465016696575E-2</c:v>
                      </c:pt>
                      <c:pt idx="113">
                        <c:v>1.8042528238926683E-2</c:v>
                      </c:pt>
                      <c:pt idx="114">
                        <c:v>1.7620964819741455E-2</c:v>
                      </c:pt>
                      <c:pt idx="115">
                        <c:v>1.7210436925330096E-2</c:v>
                      </c:pt>
                      <c:pt idx="116">
                        <c:v>1.6810618139539175E-2</c:v>
                      </c:pt>
                      <c:pt idx="117">
                        <c:v>1.6421193023520204E-2</c:v>
                      </c:pt>
                      <c:pt idx="118">
                        <c:v>1.6041856694744828E-2</c:v>
                      </c:pt>
                      <c:pt idx="119">
                        <c:v>1.5672314424419603E-2</c:v>
                      </c:pt>
                      <c:pt idx="120">
                        <c:v>1.5312281252387873E-2</c:v>
                      </c:pt>
                      <c:pt idx="121">
                        <c:v>1.4961481618656659E-2</c:v>
                      </c:pt>
                      <c:pt idx="122">
                        <c:v>1.4619649010734984E-2</c:v>
                      </c:pt>
                      <c:pt idx="123">
                        <c:v>1.4286525626014146E-2</c:v>
                      </c:pt>
                      <c:pt idx="124">
                        <c:v>1.3961862048463336E-2</c:v>
                      </c:pt>
                      <c:pt idx="125">
                        <c:v>1.3645416938953497E-2</c:v>
                      </c:pt>
                      <c:pt idx="126">
                        <c:v>1.3336956738558614E-2</c:v>
                      </c:pt>
                      <c:pt idx="127">
                        <c:v>1.3036255384219776E-2</c:v>
                      </c:pt>
                      <c:pt idx="128">
                        <c:v>1.2743094036189286E-2</c:v>
                      </c:pt>
                      <c:pt idx="129">
                        <c:v>1.2457260816703333E-2</c:v>
                      </c:pt>
                      <c:pt idx="130">
                        <c:v>1.2178550559360412E-2</c:v>
                      </c:pt>
                      <c:pt idx="131">
                        <c:v>1.1906764568710572E-2</c:v>
                      </c:pt>
                      <c:pt idx="132">
                        <c:v>1.1641710389585853E-2</c:v>
                      </c:pt>
                      <c:pt idx="133">
                        <c:v>1.1383201585726546E-2</c:v>
                      </c:pt>
                      <c:pt idx="134">
                        <c:v>1.1131057527281205E-2</c:v>
                      </c:pt>
                      <c:pt idx="135">
                        <c:v>1.0885103186778796E-2</c:v>
                      </c:pt>
                      <c:pt idx="136">
                        <c:v>1.0645168943193549E-2</c:v>
                      </c:pt>
                      <c:pt idx="137">
                        <c:v>1.0411090393739946E-2</c:v>
                      </c:pt>
                      <c:pt idx="138">
                        <c:v>1.0182708173055251E-2</c:v>
                      </c:pt>
                      <c:pt idx="139">
                        <c:v>9.9598677794431774E-3</c:v>
                      </c:pt>
                      <c:pt idx="140">
                        <c:v>9.7424194078685796E-3</c:v>
                      </c:pt>
                      <c:pt idx="141">
                        <c:v>9.530217789408154E-3</c:v>
                      </c:pt>
                      <c:pt idx="142">
                        <c:v>9.3231220368772509E-3</c:v>
                      </c:pt>
                      <c:pt idx="143">
                        <c:v>9.1209954963651935E-3</c:v>
                      </c:pt>
                      <c:pt idx="144">
                        <c:v>8.9237056044258467E-3</c:v>
                      </c:pt>
                      <c:pt idx="145">
                        <c:v>8.7311237506815936E-3</c:v>
                      </c:pt>
                      <c:pt idx="146">
                        <c:v>8.5431251456102603E-3</c:v>
                      </c:pt>
                      <c:pt idx="147">
                        <c:v>8.3595886932960727E-3</c:v>
                      </c:pt>
                      <c:pt idx="148">
                        <c:v>8.1803968689356243E-3</c:v>
                      </c:pt>
                      <c:pt idx="149">
                        <c:v>8.0054356008998125E-3</c:v>
                      </c:pt>
                      <c:pt idx="150">
                        <c:v>7.83459415716211E-3</c:v>
                      </c:pt>
                      <c:pt idx="151">
                        <c:v>7.6677650359118932E-3</c:v>
                      </c:pt>
                      <c:pt idx="152">
                        <c:v>7.5048438601807285E-3</c:v>
                      </c:pt>
                      <c:pt idx="153">
                        <c:v>7.345729276316537E-3</c:v>
                      </c:pt>
                      <c:pt idx="154">
                        <c:v>7.1903228561488045E-3</c:v>
                      </c:pt>
                      <c:pt idx="155">
                        <c:v>7.0385290026948339E-3</c:v>
                      </c:pt>
                      <c:pt idx="156">
                        <c:v>6.8902548592636378E-3</c:v>
                      </c:pt>
                      <c:pt idx="157">
                        <c:v>6.7454102218210245E-3</c:v>
                      </c:pt>
                      <c:pt idx="158">
                        <c:v>6.6039074544852151E-3</c:v>
                      </c:pt>
                      <c:pt idx="159">
                        <c:v>6.4656614080281522E-3</c:v>
                      </c:pt>
                      <c:pt idx="160">
                        <c:v>6.3305893412629955E-3</c:v>
                      </c:pt>
                      <c:pt idx="161">
                        <c:v>6.1986108452045108E-3</c:v>
                      </c:pt>
                      <c:pt idx="162">
                        <c:v>6.0696477698926115E-3</c:v>
                      </c:pt>
                      <c:pt idx="163">
                        <c:v>5.9436241537752059E-3</c:v>
                      </c:pt>
                      <c:pt idx="164">
                        <c:v>5.8204661555507674E-3</c:v>
                      </c:pt>
                      <c:pt idx="165">
                        <c:v>5.7001019883749357E-3</c:v>
                      </c:pt>
                      <c:pt idx="166">
                        <c:v>5.5824618563399949E-3</c:v>
                      </c:pt>
                      <c:pt idx="167">
                        <c:v>5.4674778931401869E-3</c:v>
                      </c:pt>
                      <c:pt idx="168">
                        <c:v>5.3550841028386009E-3</c:v>
                      </c:pt>
                      <c:pt idx="169">
                        <c:v>5.2452163026561159E-3</c:v>
                      </c:pt>
                      <c:pt idx="170">
                        <c:v>5.1378120677054899E-3</c:v>
                      </c:pt>
                      <c:pt idx="171">
                        <c:v>5.0328106775970431E-3</c:v>
                      </c:pt>
                      <c:pt idx="172">
                        <c:v>4.9301530648456935E-3</c:v>
                      </c:pt>
                      <c:pt idx="173">
                        <c:v>4.8297817650116495E-3</c:v>
                      </c:pt>
                      <c:pt idx="174">
                        <c:v>4.7316408685105548E-3</c:v>
                      </c:pt>
                      <c:pt idx="175">
                        <c:v>4.6356759740304714E-3</c:v>
                      </c:pt>
                      <c:pt idx="176">
                        <c:v>4.5418341434967898E-3</c:v>
                      </c:pt>
                      <c:pt idx="177">
                        <c:v>4.4500638585276741E-3</c:v>
                      </c:pt>
                      <c:pt idx="178">
                        <c:v>4.3603149783257369E-3</c:v>
                      </c:pt>
                      <c:pt idx="179">
                        <c:v>4.2725386989530927E-3</c:v>
                      </c:pt>
                      <c:pt idx="180">
                        <c:v>4.1866875139396267E-3</c:v>
                      </c:pt>
                      <c:pt idx="181">
                        <c:v>4.1027151761761915E-3</c:v>
                      </c:pt>
                      <c:pt idx="182">
                        <c:v>4.0205766610463276E-3</c:v>
                      </c:pt>
                      <c:pt idx="183">
                        <c:v>3.9402281307517736E-3</c:v>
                      </c:pt>
                      <c:pt idx="184">
                        <c:v>3.8616268997893922E-3</c:v>
                      </c:pt>
                      <c:pt idx="185">
                        <c:v>3.784731401538005E-3</c:v>
                      </c:pt>
                      <c:pt idx="186">
                        <c:v>3.7095011559159243E-3</c:v>
                      </c:pt>
                      <c:pt idx="187">
                        <c:v>3.6358967380713701E-3</c:v>
                      </c:pt>
                      <c:pt idx="188">
                        <c:v>3.563879748068976E-3</c:v>
                      </c:pt>
                      <c:pt idx="189">
                        <c:v>3.4934127815377169E-3</c:v>
                      </c:pt>
                      <c:pt idx="190">
                        <c:v>3.42445940124647E-3</c:v>
                      </c:pt>
                      <c:pt idx="191">
                        <c:v>3.3569841095748365E-3</c:v>
                      </c:pt>
                      <c:pt idx="192">
                        <c:v>3.2909523218481464E-3</c:v>
                      </c:pt>
                      <c:pt idx="193">
                        <c:v>3.2263303405067221E-3</c:v>
                      </c:pt>
                      <c:pt idx="194">
                        <c:v>3.1630853300805674E-3</c:v>
                      </c:pt>
                      <c:pt idx="195">
                        <c:v>3.1011852929419127E-3</c:v>
                      </c:pt>
                      <c:pt idx="196">
                        <c:v>3.0405990458088495E-3</c:v>
                      </c:pt>
                      <c:pt idx="197">
                        <c:v>2.981296196974465E-3</c:v>
                      </c:pt>
                      <c:pt idx="198">
                        <c:v>2.9232471242368902E-3</c:v>
                      </c:pt>
                      <c:pt idx="199">
                        <c:v>2.8664229535063476E-3</c:v>
                      </c:pt>
                      <c:pt idx="200">
                        <c:v>2.8107955380664408E-3</c:v>
                      </c:pt>
                      <c:pt idx="201">
                        <c:v>2.7563374384676881E-3</c:v>
                      </c:pt>
                      <c:pt idx="202">
                        <c:v>2.7030219030320466E-3</c:v>
                      </c:pt>
                      <c:pt idx="203">
                        <c:v>2.6508228489480015E-3</c:v>
                      </c:pt>
                      <c:pt idx="204">
                        <c:v>2.5997148439365729E-3</c:v>
                      </c:pt>
                      <c:pt idx="205">
                        <c:v>2.5496730884693127E-3</c:v>
                      </c:pt>
                      <c:pt idx="206">
                        <c:v>2.5006733985200201E-3</c:v>
                      </c:pt>
                      <c:pt idx="207">
                        <c:v>2.4526921888324837E-3</c:v>
                      </c:pt>
                      <c:pt idx="208">
                        <c:v>2.4057064566874687E-3</c:v>
                      </c:pt>
                      <c:pt idx="209">
                        <c:v>2.3596937661524322E-3</c:v>
                      </c:pt>
                      <c:pt idx="210">
                        <c:v>2.3146322327983631E-3</c:v>
                      </c:pt>
                      <c:pt idx="211">
                        <c:v>2.2705005088683216E-3</c:v>
                      </c:pt>
                      <c:pt idx="212">
                        <c:v>2.2272777688833439E-3</c:v>
                      </c:pt>
                      <c:pt idx="213">
                        <c:v>2.1849436956712471E-3</c:v>
                      </c:pt>
                      <c:pt idx="214">
                        <c:v>2.1434784668049596E-3</c:v>
                      </c:pt>
                      <c:pt idx="215">
                        <c:v>2.1028627414370247E-3</c:v>
                      </c:pt>
                      <c:pt idx="216">
                        <c:v>2.0630776475178041E-3</c:v>
                      </c:pt>
                      <c:pt idx="217">
                        <c:v>2.02410476938493E-3</c:v>
                      </c:pt>
                      <c:pt idx="218">
                        <c:v>1.9859261357122789E-3</c:v>
                      </c:pt>
                      <c:pt idx="219">
                        <c:v>1.9485242078070932E-3</c:v>
                      </c:pt>
                      <c:pt idx="220">
                        <c:v>1.9118818682442248E-3</c:v>
                      </c:pt>
                      <c:pt idx="221">
                        <c:v>1.8759824098268233E-3</c:v>
                      </c:pt>
                      <c:pt idx="222">
                        <c:v>1.8408095248632114E-3</c:v>
                      </c:pt>
                      <c:pt idx="223">
                        <c:v>1.8063472947501941E-3</c:v>
                      </c:pt>
                      <c:pt idx="224">
                        <c:v>1.7725801798529638E-3</c:v>
                      </c:pt>
                      <c:pt idx="225">
                        <c:v>1.739493009672593E-3</c:v>
                      </c:pt>
                      <c:pt idx="226">
                        <c:v>1.7070709732920724E-3</c:v>
                      </c:pt>
                      <c:pt idx="227">
                        <c:v>1.6752996100923084E-3</c:v>
                      </c:pt>
                      <c:pt idx="228">
                        <c:v>1.6441648007296944E-3</c:v>
                      </c:pt>
                      <c:pt idx="229">
                        <c:v>1.6136527583672986E-3</c:v>
                      </c:pt>
                      <c:pt idx="230">
                        <c:v>1.5837500201517894E-3</c:v>
                      </c:pt>
                      <c:pt idx="231">
                        <c:v>1.5544434389286499E-3</c:v>
                      </c:pt>
                      <c:pt idx="232">
                        <c:v>1.525720175188331E-3</c:v>
                      </c:pt>
                      <c:pt idx="233">
                        <c:v>1.4975676892364546E-3</c:v>
                      </c:pt>
                      <c:pt idx="234">
                        <c:v>1.469973733581066E-3</c:v>
                      </c:pt>
                      <c:pt idx="235">
                        <c:v>1.4429263455306106E-3</c:v>
                      </c:pt>
                      <c:pt idx="236">
                        <c:v>1.4164138399960279E-3</c:v>
                      </c:pt>
                      <c:pt idx="237">
                        <c:v>1.3904248024910666E-3</c:v>
                      </c:pt>
                      <c:pt idx="238">
                        <c:v>1.3649480823246408E-3</c:v>
                      </c:pt>
                      <c:pt idx="239">
                        <c:v>1.3399727859796978E-3</c:v>
                      </c:pt>
                      <c:pt idx="240">
                        <c:v>1.3154882706728785E-3</c:v>
                      </c:pt>
                      <c:pt idx="241">
                        <c:v>1.2914841380896262E-3</c:v>
                      </c:pt>
                      <c:pt idx="242">
                        <c:v>1.2679502282896445E-3</c:v>
                      </c:pt>
                      <c:pt idx="243">
                        <c:v>1.2448766137774718E-3</c:v>
                      </c:pt>
                      <c:pt idx="244">
                        <c:v>1.2222535937334708E-3</c:v>
                      </c:pt>
                      <c:pt idx="245">
                        <c:v>1.2000716884004448E-3</c:v>
                      </c:pt>
                      <c:pt idx="246">
                        <c:v>1.1783216336212995E-3</c:v>
                      </c:pt>
                      <c:pt idx="247">
                        <c:v>1.1569943755233133E-3</c:v>
                      </c:pt>
                      <c:pt idx="248">
                        <c:v>1.1360810653448694E-3</c:v>
                      </c:pt>
                      <c:pt idx="249">
                        <c:v>1.1155730544002691E-3</c:v>
                      </c:pt>
                      <c:pt idx="250">
                        <c:v>1.0954618891788393E-3</c:v>
                      </c:pt>
                      <c:pt idx="251">
                        <c:v>1.075739306574325E-3</c:v>
                      </c:pt>
                      <c:pt idx="252">
                        <c:v>1.0563972292408086E-3</c:v>
                      </c:pt>
                      <c:pt idx="253">
                        <c:v>1.0374277610715658E-3</c:v>
                      </c:pt>
                      <c:pt idx="254">
                        <c:v>1.0188231827972631E-3</c:v>
                      </c:pt>
                      <c:pt idx="255">
                        <c:v>1.0005759477001012E-3</c:v>
                      </c:pt>
                      <c:pt idx="256">
                        <c:v>9.8267867744059761E-4</c:v>
                      </c:pt>
                      <c:pt idx="257">
                        <c:v>9.6512415799380319E-4</c:v>
                      </c:pt>
                      <c:pt idx="258">
                        <c:v>9.4790533569178565E-4</c:v>
                      </c:pt>
                      <c:pt idx="259">
                        <c:v>9.3101531336942361E-4</c:v>
                      </c:pt>
                      <c:pt idx="260">
                        <c:v>9.1444734661054548E-4</c:v>
                      </c:pt>
                      <c:pt idx="261">
                        <c:v>8.9819484009163542E-4</c:v>
                      </c:pt>
                      <c:pt idx="262">
                        <c:v>8.822513440202806E-4</c:v>
                      </c:pt>
                      <c:pt idx="263">
                        <c:v>8.6661055066572827E-4</c:v>
                      </c:pt>
                      <c:pt idx="264">
                        <c:v>8.5126629097903648E-4</c:v>
                      </c:pt>
                      <c:pt idx="265">
                        <c:v>8.3621253130017532E-4</c:v>
                      </c:pt>
                      <c:pt idx="266">
                        <c:v>8.2144337014980202E-4</c:v>
                      </c:pt>
                      <c:pt idx="267">
                        <c:v>8.0695303510323261E-4</c:v>
                      </c:pt>
                      <c:pt idx="268">
                        <c:v>7.9273587974441168E-4</c:v>
                      </c:pt>
                      <c:pt idx="269">
                        <c:v>7.7878638069760458E-4</c:v>
                      </c:pt>
                      <c:pt idx="270">
                        <c:v>7.6509913473471513E-4</c:v>
                      </c:pt>
                      <c:pt idx="271">
                        <c:v>7.516688559561028E-4</c:v>
                      </c:pt>
                      <c:pt idx="272">
                        <c:v>7.3849037304288842E-4</c:v>
                      </c:pt>
                      <c:pt idx="273">
                        <c:v>7.2555862657882697E-4</c:v>
                      </c:pt>
                      <c:pt idx="274">
                        <c:v>7.1286866643975231E-4</c:v>
                      </c:pt>
                      <c:pt idx="275">
                        <c:v>7.004156492488704E-4</c:v>
                      </c:pt>
                      <c:pt idx="276">
                        <c:v>6.8819483589598897E-4</c:v>
                      </c:pt>
                      <c:pt idx="277">
                        <c:v>6.7620158911901006E-4</c:v>
                      </c:pt>
                      <c:pt idx="278">
                        <c:v>6.6443137114601209E-4</c:v>
                      </c:pt>
                      <c:pt idx="279">
                        <c:v>6.5287974139620504E-4</c:v>
                      </c:pt>
                      <c:pt idx="280">
                        <c:v>6.4154235423826073E-4</c:v>
                      </c:pt>
                      <c:pt idx="281">
                        <c:v>6.3041495680440669E-4</c:v>
                      </c:pt>
                      <c:pt idx="282">
                        <c:v>6.1949338685880133E-4</c:v>
                      </c:pt>
                      <c:pt idx="283">
                        <c:v>6.0877357071876387E-4</c:v>
                      </c:pt>
                      <c:pt idx="284">
                        <c:v>5.9825152122739767E-4</c:v>
                      </c:pt>
                      <c:pt idx="285">
                        <c:v>5.8792333577625984E-4</c:v>
                      </c:pt>
                      <c:pt idx="286">
                        <c:v>5.7778519437676147E-4</c:v>
                      </c:pt>
                      <c:pt idx="287">
                        <c:v>5.6783335777895155E-4</c:v>
                      </c:pt>
                      <c:pt idx="288">
                        <c:v>5.5806416563648623E-4</c:v>
                      </c:pt>
                      <c:pt idx="289">
                        <c:v>5.4847403471651674E-4</c:v>
                      </c:pt>
                      <c:pt idx="290">
                        <c:v>5.3905945715333259E-4</c:v>
                      </c:pt>
                      <c:pt idx="291">
                        <c:v>5.2981699874459192E-4</c:v>
                      </c:pt>
                      <c:pt idx="292">
                        <c:v>5.2074329728904413E-4</c:v>
                      </c:pt>
                      <c:pt idx="293">
                        <c:v>5.1183506096461246E-4</c:v>
                      </c:pt>
                      <c:pt idx="294">
                        <c:v>5.0308906674584027E-4</c:v>
                      </c:pt>
                      <c:pt idx="295">
                        <c:v>4.9450215885959298E-4</c:v>
                      </c:pt>
                      <c:pt idx="296">
                        <c:v>4.8607124727811723E-4</c:v>
                      </c:pt>
                      <c:pt idx="297">
                        <c:v>4.777933062483708E-4</c:v>
                      </c:pt>
                      <c:pt idx="298">
                        <c:v>4.6966537285679418E-4</c:v>
                      </c:pt>
                      <c:pt idx="299">
                        <c:v>4.6168454562852171E-4</c:v>
                      </c:pt>
                      <c:pt idx="300">
                        <c:v>4.5384798316017681E-4</c:v>
                      </c:pt>
                      <c:pt idx="301">
                        <c:v>4.4615290278537934E-4</c:v>
                      </c:pt>
                      <c:pt idx="302">
                        <c:v>4.3859657927213387E-4</c:v>
                      </c:pt>
                      <c:pt idx="303">
                        <c:v>4.3117634355126119E-4</c:v>
                      </c:pt>
                      <c:pt idx="304">
                        <c:v>4.238895814750659E-4</c:v>
                      </c:pt>
                      <c:pt idx="305">
                        <c:v>4.1673373260552249E-4</c:v>
                      </c:pt>
                      <c:pt idx="306">
                        <c:v>4.0970628903115038E-4</c:v>
                      </c:pt>
                      <c:pt idx="307">
                        <c:v>4.0280479421190088E-4</c:v>
                      </c:pt>
                      <c:pt idx="308">
                        <c:v>3.960268418513239E-4</c:v>
                      </c:pt>
                      <c:pt idx="309">
                        <c:v>3.8937007479532027E-4</c:v>
                      </c:pt>
                      <c:pt idx="310">
                        <c:v>3.828321839568201E-4</c:v>
                      </c:pt>
                      <c:pt idx="311">
                        <c:v>3.7641090726569073E-4</c:v>
                      </c:pt>
                      <c:pt idx="312">
                        <c:v>3.7010402864329846E-4</c:v>
                      </c:pt>
                      <c:pt idx="313">
                        <c:v>3.6390937700106431E-4</c:v>
                      </c:pt>
                      <c:pt idx="314">
                        <c:v>3.5782482526239252E-4</c:v>
                      </c:pt>
                      <c:pt idx="315">
                        <c:v>3.5184828940744851E-4</c:v>
                      </c:pt>
                      <c:pt idx="316">
                        <c:v>3.459777275401377E-4</c:v>
                      </c:pt>
                      <c:pt idx="317">
                        <c:v>3.4021113897679815E-4</c:v>
                      </c:pt>
                      <c:pt idx="318">
                        <c:v>3.3454656335600797E-4</c:v>
                      </c:pt>
                      <c:pt idx="319">
                        <c:v>3.2898207976903303E-4</c:v>
                      </c:pt>
                      <c:pt idx="320">
                        <c:v>3.2351580591035366E-4</c:v>
                      </c:pt>
                      <c:pt idx="321">
                        <c:v>3.1814589724781314E-4</c:v>
                      </c:pt>
                      <c:pt idx="322">
                        <c:v>3.1287054621187432E-4</c:v>
                      </c:pt>
                      <c:pt idx="323">
                        <c:v>3.0768798140352513E-4</c:v>
                      </c:pt>
                      <c:pt idx="324">
                        <c:v>3.0259646682036776E-4</c:v>
                      </c:pt>
                      <c:pt idx="325">
                        <c:v>2.9759430110044583E-4</c:v>
                      </c:pt>
                      <c:pt idx="326">
                        <c:v>2.9267981678337841E-4</c:v>
                      </c:pt>
                      <c:pt idx="327">
                        <c:v>2.8785137958836263E-4</c:v>
                      </c:pt>
                      <c:pt idx="328">
                        <c:v>2.8310738770864264E-4</c:v>
                      </c:pt>
                      <c:pt idx="329">
                        <c:v>2.7844627112204849E-4</c:v>
                      </c:pt>
                      <c:pt idx="330">
                        <c:v>2.7386649091718385E-4</c:v>
                      </c:pt>
                      <c:pt idx="331">
                        <c:v>2.6936653863492621E-4</c:v>
                      </c:pt>
                      <c:pt idx="332">
                        <c:v>2.6494493562482472E-4</c:v>
                      </c:pt>
                      <c:pt idx="333">
                        <c:v>2.6060023241605823E-4</c:v>
                      </c:pt>
                      <c:pt idx="334">
                        <c:v>2.563310081025978E-4</c:v>
                      </c:pt>
                      <c:pt idx="335">
                        <c:v>2.5213586974222194E-4</c:v>
                      </c:pt>
                      <c:pt idx="336">
                        <c:v>2.4801345176905147E-4</c:v>
                      </c:pt>
                      <c:pt idx="337">
                        <c:v>2.4396241541929791E-4</c:v>
                      </c:pt>
                      <c:pt idx="338">
                        <c:v>2.3998144816987085E-4</c:v>
                      </c:pt>
                      <c:pt idx="339">
                        <c:v>2.3606926318957326E-4</c:v>
                      </c:pt>
                      <c:pt idx="340">
                        <c:v>2.3222459880255288E-4</c:v>
                      </c:pt>
                      <c:pt idx="341">
                        <c:v>2.2844621796374491E-4</c:v>
                      </c:pt>
                      <c:pt idx="342">
                        <c:v>2.2473290774598575E-4</c:v>
                      </c:pt>
                      <c:pt idx="343">
                        <c:v>2.210834788385499E-4</c:v>
                      </c:pt>
                      <c:pt idx="344">
                        <c:v>2.1749676505682724E-4</c:v>
                      </c:pt>
                      <c:pt idx="345">
                        <c:v>2.1397162286286778E-4</c:v>
                      </c:pt>
                      <c:pt idx="346">
                        <c:v>2.1050693089654809E-4</c:v>
                      </c:pt>
                      <c:pt idx="347">
                        <c:v>2.0710158951710091E-4</c:v>
                      </c:pt>
                      <c:pt idx="348">
                        <c:v>2.0375452035476367E-4</c:v>
                      </c:pt>
                      <c:pt idx="349">
                        <c:v>2.0046466587231391E-4</c:v>
                      </c:pt>
                      <c:pt idx="350">
                        <c:v>1.9723098893624752E-4</c:v>
                      </c:pt>
                      <c:pt idx="351">
                        <c:v>1.9405247239738055E-4</c:v>
                      </c:pt>
                      <c:pt idx="352">
                        <c:v>1.9092811868065342E-4</c:v>
                      </c:pt>
                      <c:pt idx="353">
                        <c:v>1.8785694938391623E-4</c:v>
                      </c:pt>
                      <c:pt idx="354">
                        <c:v>1.8483800488549153E-4</c:v>
                      </c:pt>
                      <c:pt idx="355">
                        <c:v>1.8187034396030392E-4</c:v>
                      </c:pt>
                      <c:pt idx="356">
                        <c:v>1.7895304340438179E-4</c:v>
                      </c:pt>
                      <c:pt idx="357">
                        <c:v>1.7608519766753361E-4</c:v>
                      </c:pt>
                      <c:pt idx="358">
                        <c:v>1.7326591849400311E-4</c:v>
                      </c:pt>
                      <c:pt idx="359">
                        <c:v>1.7049433457093491E-4</c:v>
                      </c:pt>
                      <c:pt idx="360">
                        <c:v>1.67769591184445E-4</c:v>
                      </c:pt>
                      <c:pt idx="361">
                        <c:v>1.6509084988314837E-4</c:v>
                      </c:pt>
                      <c:pt idx="362">
                        <c:v>1.6245728814894049E-4</c:v>
                      </c:pt>
                      <c:pt idx="363">
                        <c:v>1.5986809907489924E-4</c:v>
                      </c:pt>
                      <c:pt idx="364">
                        <c:v>1.5732249105010739E-4</c:v>
                      </c:pt>
                      <c:pt idx="365">
                        <c:v>1.5481968745127244E-4</c:v>
                      </c:pt>
                      <c:pt idx="366">
                        <c:v>1.5235892634095919E-4</c:v>
                      </c:pt>
                      <c:pt idx="367">
                        <c:v>1.4993946017229478E-4</c:v>
                      </c:pt>
                      <c:pt idx="368">
                        <c:v>1.4756055550000892E-4</c:v>
                      </c:pt>
                      <c:pt idx="369">
                        <c:v>1.4522149269763606E-4</c:v>
                      </c:pt>
                      <c:pt idx="370">
                        <c:v>1.429215656807741E-4</c:v>
                      </c:pt>
                      <c:pt idx="371">
                        <c:v>1.4066008163623098E-4</c:v>
                      </c:pt>
                      <c:pt idx="372">
                        <c:v>1.3843636075694965E-4</c:v>
                      </c:pt>
                      <c:pt idx="373">
                        <c:v>1.3624973598255785E-4</c:v>
                      </c:pt>
                      <c:pt idx="374">
                        <c:v>1.3409955274543869E-4</c:v>
                      </c:pt>
                      <c:pt idx="375">
                        <c:v>1.319851687221717E-4</c:v>
                      </c:pt>
                      <c:pt idx="376">
                        <c:v>1.2990595359024779E-4</c:v>
                      </c:pt>
                      <c:pt idx="377">
                        <c:v>1.2786128878992321E-4</c:v>
                      </c:pt>
                      <c:pt idx="378">
                        <c:v>1.2585056729109826E-4</c:v>
                      </c:pt>
                      <c:pt idx="379">
                        <c:v>1.238731933651166E-4</c:v>
                      </c:pt>
                      <c:pt idx="380">
                        <c:v>1.2192858236136279E-4</c:v>
                      </c:pt>
                      <c:pt idx="381">
                        <c:v>1.2001616048856181E-4</c:v>
                      </c:pt>
                      <c:pt idx="382">
                        <c:v>1.1795725549239048E-4</c:v>
                      </c:pt>
                      <c:pt idx="383">
                        <c:v>1.1593367148770897E-4</c:v>
                      </c:pt>
                      <c:pt idx="384">
                        <c:v>1.1394480253473759E-4</c:v>
                      </c:pt>
                      <c:pt idx="385">
                        <c:v>1.1199005308873372E-4</c:v>
                      </c:pt>
                      <c:pt idx="386">
                        <c:v>1.1006883782166256E-4</c:v>
                      </c:pt>
                      <c:pt idx="387">
                        <c:v>1.0818058144692717E-4</c:v>
                      </c:pt>
                      <c:pt idx="388">
                        <c:v>1.0632471854710522E-4</c:v>
                      </c:pt>
                      <c:pt idx="389">
                        <c:v>1.045006934046411E-4</c:v>
                      </c:pt>
                      <c:pt idx="390">
                        <c:v>1.0270795983544239E-4</c:v>
                      </c:pt>
                      <c:pt idx="391">
                        <c:v>1.0094598102533114E-4</c:v>
                      </c:pt>
                      <c:pt idx="392">
                        <c:v>9.921422936930079E-5</c:v>
                      </c:pt>
                      <c:pt idx="393">
                        <c:v>9.7512186313530722E-5</c:v>
                      </c:pt>
                      <c:pt idx="394">
                        <c:v>9.566782595440069E-5</c:v>
                      </c:pt>
                      <c:pt idx="395">
                        <c:v>9.3858350108303658E-5</c:v>
                      </c:pt>
                      <c:pt idx="396">
                        <c:v>9.208309896424143E-5</c:v>
                      </c:pt>
                      <c:pt idx="397">
                        <c:v>9.0341425190981674E-5</c:v>
                      </c:pt>
                      <c:pt idx="398">
                        <c:v>8.8632693701013653E-5</c:v>
                      </c:pt>
                      <c:pt idx="399">
                        <c:v>8.6956281418968653E-5</c:v>
                      </c:pt>
                      <c:pt idx="400">
                        <c:v>8.5311577054420466E-5</c:v>
                      </c:pt>
                      <c:pt idx="401">
                        <c:v>8.3697980878983202E-5</c:v>
                      </c:pt>
                      <c:pt idx="402">
                        <c:v>8.2114904507625097E-5</c:v>
                      </c:pt>
                      <c:pt idx="403">
                        <c:v>8.0561770684118591E-5</c:v>
                      </c:pt>
                      <c:pt idx="404">
                        <c:v>7.9038013070548453E-5</c:v>
                      </c:pt>
                      <c:pt idx="405">
                        <c:v>7.7543076040801083E-5</c:v>
                      </c:pt>
                      <c:pt idx="406">
                        <c:v>7.6005260549956368E-5</c:v>
                      </c:pt>
                      <c:pt idx="407">
                        <c:v>7.4497942643223978E-5</c:v>
                      </c:pt>
                      <c:pt idx="408">
                        <c:v>7.3020517499907105E-5</c:v>
                      </c:pt>
                      <c:pt idx="409">
                        <c:v>7.1572392293966488E-5</c:v>
                      </c:pt>
                      <c:pt idx="410">
                        <c:v>7.0152985956145139E-5</c:v>
                      </c:pt>
                      <c:pt idx="411">
                        <c:v>6.8761728940810776E-5</c:v>
                      </c:pt>
                      <c:pt idx="412">
                        <c:v>6.7398062997422038E-5</c:v>
                      </c:pt>
                      <c:pt idx="413">
                        <c:v>6.6061440946527016E-5</c:v>
                      </c:pt>
                      <c:pt idx="414">
                        <c:v>6.4751326460204102E-5</c:v>
                      </c:pt>
                      <c:pt idx="415">
                        <c:v>6.3467193846857031E-5</c:v>
                      </c:pt>
                      <c:pt idx="416">
                        <c:v>6.2208527840277846E-5</c:v>
                      </c:pt>
                      <c:pt idx="417">
                        <c:v>6.097482339289317E-5</c:v>
                      </c:pt>
                      <c:pt idx="418">
                        <c:v>5.9626405724390866E-5</c:v>
                      </c:pt>
                      <c:pt idx="419">
                        <c:v>5.8307807415872818E-5</c:v>
                      </c:pt>
                      <c:pt idx="420">
                        <c:v>5.7018369032024105E-5</c:v>
                      </c:pt>
                      <c:pt idx="421">
                        <c:v>5.5757445720503253E-5</c:v>
                      </c:pt>
                      <c:pt idx="422">
                        <c:v>5.4524406889449456E-5</c:v>
                      </c:pt>
                      <c:pt idx="423">
                        <c:v>5.3318635892121538E-5</c:v>
                      </c:pt>
                      <c:pt idx="424">
                        <c:v>5.2139529718510914E-5</c:v>
                      </c:pt>
                      <c:pt idx="425">
                        <c:v>5.0986498693774307E-5</c:v>
                      </c:pt>
                      <c:pt idx="426">
                        <c:v>4.9858966183335448E-5</c:v>
                      </c:pt>
                      <c:pt idx="427">
                        <c:v>4.8756368304508228E-5</c:v>
                      </c:pt>
                      <c:pt idx="428">
                        <c:v>4.7678153644497136E-5</c:v>
                      </c:pt>
                      <c:pt idx="429">
                        <c:v>4.662378298463392E-5</c:v>
                      </c:pt>
                      <c:pt idx="430">
                        <c:v>4.5503729065851149E-5</c:v>
                      </c:pt>
                      <c:pt idx="431">
                        <c:v>4.4410582461333163E-5</c:v>
                      </c:pt>
                      <c:pt idx="432">
                        <c:v>4.3343696770447988E-5</c:v>
                      </c:pt>
                      <c:pt idx="433">
                        <c:v>4.2302441121195496E-5</c:v>
                      </c:pt>
                      <c:pt idx="434">
                        <c:v>4.1286199797159473E-5</c:v>
                      </c:pt>
                      <c:pt idx="435">
                        <c:v>4.0294371873421546E-5</c:v>
                      </c:pt>
                      <c:pt idx="436">
                        <c:v>3.9326370861221604E-5</c:v>
                      </c:pt>
                      <c:pt idx="437">
                        <c:v>3.8381624361154612E-5</c:v>
                      </c:pt>
                      <c:pt idx="438">
                        <c:v>3.7459573724698793E-5</c:v>
                      </c:pt>
                      <c:pt idx="439">
                        <c:v>3.6559673723874981E-5</c:v>
                      </c:pt>
                      <c:pt idx="440">
                        <c:v>3.5681392228841826E-5</c:v>
                      </c:pt>
                      <c:pt idx="441">
                        <c:v>3.4824209893236171E-5</c:v>
                      </c:pt>
                      <c:pt idx="442">
                        <c:v>3.3922703946328534E-5</c:v>
                      </c:pt>
                      <c:pt idx="443">
                        <c:v>3.3044535584819141E-5</c:v>
                      </c:pt>
                      <c:pt idx="444">
                        <c:v>3.2189100660843979E-5</c:v>
                      </c:pt>
                      <c:pt idx="445">
                        <c:v>3.1355810666316472E-5</c:v>
                      </c:pt>
                      <c:pt idx="446">
                        <c:v>3.0544092328055341E-5</c:v>
                      </c:pt>
                      <c:pt idx="447">
                        <c:v>2.9753387213393542E-5</c:v>
                      </c:pt>
                      <c:pt idx="448">
                        <c:v>2.8983151345996886E-5</c:v>
                      </c:pt>
                      <c:pt idx="449">
                        <c:v>2.8232854831628152E-5</c:v>
                      </c:pt>
                      <c:pt idx="450">
                        <c:v>2.7501981493599126E-5</c:v>
                      </c:pt>
                      <c:pt idx="451">
                        <c:v>2.6790028517659852E-5</c:v>
                      </c:pt>
                      <c:pt idx="452">
                        <c:v>2.6096506106080702E-5</c:v>
                      </c:pt>
                      <c:pt idx="453">
                        <c:v>2.5420937140689395E-5</c:v>
                      </c:pt>
                      <c:pt idx="454">
                        <c:v>2.471329389493387E-5</c:v>
                      </c:pt>
                      <c:pt idx="455">
                        <c:v>2.4025349331429592E-5</c:v>
                      </c:pt>
                      <c:pt idx="456">
                        <c:v>2.3356555097479411E-5</c:v>
                      </c:pt>
                      <c:pt idx="457">
                        <c:v>2.2706378104893534E-5</c:v>
                      </c:pt>
                      <c:pt idx="458">
                        <c:v>2.2074300105071089E-5</c:v>
                      </c:pt>
                      <c:pt idx="459">
                        <c:v>2.1459817275910117E-5</c:v>
                      </c:pt>
                      <c:pt idx="460">
                        <c:v>2.0862439820216771E-5</c:v>
                      </c:pt>
                      <c:pt idx="461">
                        <c:v>2.0281691575293605E-5</c:v>
                      </c:pt>
                      <c:pt idx="462">
                        <c:v>1.9717109633395767E-5</c:v>
                      </c:pt>
                      <c:pt idx="463">
                        <c:v>1.9168243972752567E-5</c:v>
                      </c:pt>
                      <c:pt idx="464">
                        <c:v>1.8634657098860294E-5</c:v>
                      </c:pt>
                      <c:pt idx="465">
                        <c:v>1.8115923695760381E-5</c:v>
                      </c:pt>
                      <c:pt idx="466">
                        <c:v>1.7574520007154783E-5</c:v>
                      </c:pt>
                      <c:pt idx="467">
                        <c:v>1.7049296445986152E-5</c:v>
                      </c:pt>
                      <c:pt idx="468">
                        <c:v>1.6539769460831794E-5</c:v>
                      </c:pt>
                      <c:pt idx="469">
                        <c:v>1.6045469951451756E-5</c:v>
                      </c:pt>
                      <c:pt idx="470">
                        <c:v>1.5565942836907808E-5</c:v>
                      </c:pt>
                      <c:pt idx="471">
                        <c:v>1.5100746636589409E-5</c:v>
                      </c:pt>
                      <c:pt idx="472">
                        <c:v>1.4649453063760916E-5</c:v>
                      </c:pt>
                      <c:pt idx="473">
                        <c:v>1.4211646631255856E-5</c:v>
                      </c:pt>
                      <c:pt idx="474">
                        <c:v>1.378692426895523E-5</c:v>
                      </c:pt>
                      <c:pt idx="475">
                        <c:v>1.3374894952697665E-5</c:v>
                      </c:pt>
                      <c:pt idx="476">
                        <c:v>1.2975179344279775E-5</c:v>
                      </c:pt>
                      <c:pt idx="477">
                        <c:v>1.2587409442215316E-5</c:v>
                      </c:pt>
                      <c:pt idx="478">
                        <c:v>4.6306491513983074E-6</c:v>
                      </c:pt>
                      <c:pt idx="479">
                        <c:v>1.703520622077423E-6</c:v>
                      </c:pt>
                      <c:pt idx="480">
                        <c:v>6.2669021447387019E-7</c:v>
                      </c:pt>
                    </c:numCache>
                  </c:numRef>
                </c:yVal>
                <c:smooth val="1"/>
                <c:extLst xmlns:c15="http://schemas.microsoft.com/office/drawing/2012/chart">
                  <c:ext xmlns:c16="http://schemas.microsoft.com/office/drawing/2014/chart" uri="{C3380CC4-5D6E-409C-BE32-E72D297353CC}">
                    <c16:uniqueId val="{00000005-1E17-4A59-B22C-D4C39BC92F57}"/>
                  </c:ext>
                </c:extLst>
              </c15:ser>
            </c15:filteredScatterSeries>
          </c:ext>
        </c:extLst>
      </c:scatterChart>
      <c:valAx>
        <c:axId val="466531128"/>
        <c:scaling>
          <c:orientation val="minMax"/>
          <c:max val="2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Time Horizon (years)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6526208"/>
        <c:crosses val="autoZero"/>
        <c:crossBetween val="midCat"/>
      </c:valAx>
      <c:valAx>
        <c:axId val="466526208"/>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Survival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65311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5C09-EDBE-4C33-A272-461B7255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13237</Words>
  <Characters>75457</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2022-10-24T01:12:00Z</dcterms:created>
  <dcterms:modified xsi:type="dcterms:W3CDTF">2022-10-24T01:12:00Z</dcterms:modified>
</cp:coreProperties>
</file>