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6518" w14:textId="18D36236" w:rsidR="00E00F4A" w:rsidRDefault="00E00F4A" w:rsidP="00AF0E02">
      <w:r w:rsidRPr="00A573A6">
        <w:rPr>
          <w:color w:val="FF0000"/>
        </w:rPr>
        <w:t xml:space="preserve">An addendum to </w:t>
      </w:r>
      <w:r w:rsidR="006E7317">
        <w:rPr>
          <w:color w:val="FF0000"/>
        </w:rPr>
        <w:t>this Public Summary Document</w:t>
      </w:r>
      <w:r w:rsidRPr="00A573A6">
        <w:rPr>
          <w:color w:val="FF0000"/>
        </w:rPr>
        <w:t xml:space="preserve"> has been included at the end of the document.</w:t>
      </w:r>
    </w:p>
    <w:p w14:paraId="026CD32A" w14:textId="24153FE8" w:rsidR="000666E0" w:rsidRPr="004A6040" w:rsidRDefault="00A361A7" w:rsidP="009301EB">
      <w:pPr>
        <w:pStyle w:val="1-MainHeading"/>
      </w:pPr>
      <w:r>
        <w:t>6.08</w:t>
      </w:r>
      <w:r w:rsidR="00163F66">
        <w:tab/>
      </w:r>
      <w:r w:rsidR="009C5774">
        <w:t>RUXOLITINIB</w:t>
      </w:r>
      <w:r w:rsidR="00163F66">
        <w:t>,</w:t>
      </w:r>
      <w:r w:rsidR="00163F66">
        <w:br/>
      </w:r>
      <w:r w:rsidR="000666E0">
        <w:t xml:space="preserve">Tablet </w:t>
      </w:r>
      <w:r w:rsidR="009C5774">
        <w:t xml:space="preserve">5 </w:t>
      </w:r>
      <w:r w:rsidR="00607B1F">
        <w:t xml:space="preserve">mg, </w:t>
      </w:r>
      <w:r w:rsidR="009301EB">
        <w:t>Tablet 10 mg,</w:t>
      </w:r>
      <w:r w:rsidR="00163F66">
        <w:br/>
      </w:r>
      <w:r w:rsidR="009C5774">
        <w:t>Jakavi</w:t>
      </w:r>
      <w:r w:rsidR="00B60939" w:rsidRPr="004A6040">
        <w:rPr>
          <w:vertAlign w:val="superscript"/>
        </w:rPr>
        <w:t>®</w:t>
      </w:r>
      <w:r w:rsidR="004A6040" w:rsidRPr="004A6040">
        <w:t>,</w:t>
      </w:r>
      <w:r w:rsidR="004A6040" w:rsidRPr="004A6040">
        <w:br/>
      </w:r>
      <w:r w:rsidR="009C5774">
        <w:t>Novartis</w:t>
      </w:r>
      <w:r w:rsidR="00D3597B">
        <w:t xml:space="preserve"> Pharmaceuticals Australia Pty Limited.</w:t>
      </w:r>
    </w:p>
    <w:p w14:paraId="5554C10C" w14:textId="77777777" w:rsidR="00F67915" w:rsidRPr="00407F2D" w:rsidRDefault="00F67915" w:rsidP="00F67915">
      <w:pPr>
        <w:pStyle w:val="2-SectionHeading"/>
        <w:numPr>
          <w:ilvl w:val="0"/>
          <w:numId w:val="1"/>
        </w:numPr>
      </w:pPr>
      <w:bookmarkStart w:id="0" w:name="_Toc22898844"/>
      <w:bookmarkStart w:id="1" w:name="_Toc103614206"/>
      <w:r w:rsidRPr="00973CB5">
        <w:t>Purpose</w:t>
      </w:r>
      <w:r w:rsidRPr="00407F2D">
        <w:t xml:space="preserve"> of </w:t>
      </w:r>
      <w:r>
        <w:t>submission</w:t>
      </w:r>
      <w:bookmarkEnd w:id="0"/>
      <w:bookmarkEnd w:id="1"/>
    </w:p>
    <w:p w14:paraId="2F7ED435" w14:textId="4604C880" w:rsidR="00F67915" w:rsidRDefault="00F67915" w:rsidP="00F67915">
      <w:pPr>
        <w:pStyle w:val="ExecSumBodyText"/>
        <w:numPr>
          <w:ilvl w:val="1"/>
          <w:numId w:val="1"/>
        </w:numPr>
        <w:contextualSpacing/>
      </w:pPr>
      <w:r>
        <w:t xml:space="preserve">The </w:t>
      </w:r>
      <w:r w:rsidR="00A73C4B">
        <w:t>C</w:t>
      </w:r>
      <w:r>
        <w:t xml:space="preserve">ategory 2 submission </w:t>
      </w:r>
      <w:r w:rsidRPr="004E18E9">
        <w:t xml:space="preserve">requested </w:t>
      </w:r>
      <w:r>
        <w:t>the following PBS listings:</w:t>
      </w:r>
    </w:p>
    <w:p w14:paraId="2F9FCFD8" w14:textId="624C67EC" w:rsidR="00F67915" w:rsidRDefault="00F67915" w:rsidP="00A2582A">
      <w:pPr>
        <w:pStyle w:val="ExecSumBodyText"/>
        <w:numPr>
          <w:ilvl w:val="1"/>
          <w:numId w:val="15"/>
        </w:numPr>
        <w:ind w:left="1077" w:hanging="357"/>
        <w:contextualSpacing/>
      </w:pPr>
      <w:r>
        <w:t xml:space="preserve">A General Schedule listing of ruxolitinib for the treatment of patients with moderate to severe chronic </w:t>
      </w:r>
      <w:r w:rsidR="005553CE">
        <w:t>graft-versus-host</w:t>
      </w:r>
      <w:r>
        <w:t xml:space="preserve"> disease (cGVHD) who are steroid refractory, dependent or intolerant.</w:t>
      </w:r>
    </w:p>
    <w:p w14:paraId="20F55C19" w14:textId="12B074E3" w:rsidR="00F67915" w:rsidRDefault="00F67915" w:rsidP="00A2582A">
      <w:pPr>
        <w:pStyle w:val="ExecSumBodyText"/>
        <w:numPr>
          <w:ilvl w:val="1"/>
          <w:numId w:val="15"/>
        </w:numPr>
        <w:ind w:left="1077" w:hanging="357"/>
      </w:pPr>
      <w:r>
        <w:t xml:space="preserve">A Section 100 (Highly Specialised Drugs Program) listing of ruxolitinib for the treatment of patients with Grade II to IV acute </w:t>
      </w:r>
      <w:r w:rsidR="005553CE">
        <w:t>graft-versus-host</w:t>
      </w:r>
      <w:r>
        <w:t xml:space="preserve"> disease (aGVHD) who are steroid refractory, dependent or intolerant.</w:t>
      </w:r>
    </w:p>
    <w:p w14:paraId="7FDB019F" w14:textId="25B7C726" w:rsidR="00F67915" w:rsidRDefault="00F67915" w:rsidP="00F67915">
      <w:pPr>
        <w:pStyle w:val="ExecSumBodyText"/>
        <w:numPr>
          <w:ilvl w:val="1"/>
          <w:numId w:val="1"/>
        </w:numPr>
      </w:pPr>
      <w:r w:rsidRPr="005750C5">
        <w:t xml:space="preserve">Listing was requested on the basis of a </w:t>
      </w:r>
      <w:r>
        <w:t>cost-effectiveness</w:t>
      </w:r>
      <w:r w:rsidRPr="005750C5">
        <w:t xml:space="preserve"> analysis versus</w:t>
      </w:r>
      <w:r>
        <w:t xml:space="preserve"> best available therapy (BAT).</w:t>
      </w:r>
    </w:p>
    <w:p w14:paraId="0FDA291A" w14:textId="2F10D22B" w:rsidR="00F67915" w:rsidRDefault="00F67915" w:rsidP="00643898">
      <w:pPr>
        <w:pStyle w:val="TableHeading"/>
      </w:pPr>
      <w:r w:rsidRPr="00B958A9">
        <w:t>Table</w:t>
      </w:r>
      <w:r>
        <w:t xml:space="preserve"> </w:t>
      </w:r>
      <w:fldSimple w:instr=" SEQ Table \* ARABIC " w:fldLock="1">
        <w:r w:rsidR="005A7A1C">
          <w:rPr>
            <w:noProof/>
          </w:rPr>
          <w:t>1</w:t>
        </w:r>
      </w:fldSimple>
      <w:r w:rsidRPr="00B958A9">
        <w:t xml:space="preserve">: Key components of the clinical issue addressed </w:t>
      </w:r>
      <w:r>
        <w:t>in</w:t>
      </w:r>
      <w:r w:rsidRPr="00B958A9">
        <w:t xml:space="preserve">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1"/>
        <w:tblDescription w:val="Key components of the clinical issue addressed in the submission "/>
      </w:tblPr>
      <w:tblGrid>
        <w:gridCol w:w="1271"/>
        <w:gridCol w:w="7746"/>
      </w:tblGrid>
      <w:tr w:rsidR="00F67915" w:rsidRPr="005B5D7F" w14:paraId="0D8616EB" w14:textId="77777777" w:rsidTr="001E2DD6">
        <w:tc>
          <w:tcPr>
            <w:tcW w:w="705" w:type="pct"/>
            <w:vAlign w:val="center"/>
          </w:tcPr>
          <w:p w14:paraId="3F677322" w14:textId="77777777" w:rsidR="00F67915" w:rsidRPr="00190809" w:rsidRDefault="00F67915" w:rsidP="00A361A7">
            <w:pPr>
              <w:pStyle w:val="TableText"/>
              <w:jc w:val="both"/>
              <w:rPr>
                <w:b/>
                <w:bCs w:val="0"/>
              </w:rPr>
            </w:pPr>
            <w:r w:rsidRPr="00190809">
              <w:rPr>
                <w:b/>
                <w:bCs w:val="0"/>
              </w:rPr>
              <w:t>Component</w:t>
            </w:r>
          </w:p>
        </w:tc>
        <w:tc>
          <w:tcPr>
            <w:tcW w:w="4295" w:type="pct"/>
            <w:vAlign w:val="center"/>
          </w:tcPr>
          <w:p w14:paraId="7EB8AB07" w14:textId="77777777" w:rsidR="00F67915" w:rsidRPr="00190809" w:rsidRDefault="00F67915" w:rsidP="00A361A7">
            <w:pPr>
              <w:pStyle w:val="TableText"/>
              <w:jc w:val="both"/>
              <w:rPr>
                <w:b/>
                <w:bCs w:val="0"/>
              </w:rPr>
            </w:pPr>
            <w:r w:rsidRPr="00190809">
              <w:rPr>
                <w:b/>
                <w:bCs w:val="0"/>
              </w:rPr>
              <w:t>Description</w:t>
            </w:r>
          </w:p>
        </w:tc>
      </w:tr>
      <w:tr w:rsidR="00F67915" w:rsidRPr="005B5D7F" w14:paraId="2085CB1B" w14:textId="77777777" w:rsidTr="00A361A7">
        <w:tc>
          <w:tcPr>
            <w:tcW w:w="5000" w:type="pct"/>
            <w:gridSpan w:val="2"/>
            <w:vAlign w:val="center"/>
          </w:tcPr>
          <w:p w14:paraId="6C29F415" w14:textId="77777777" w:rsidR="00F67915" w:rsidRDefault="00F67915" w:rsidP="00A361A7">
            <w:pPr>
              <w:pStyle w:val="TableText"/>
              <w:jc w:val="both"/>
              <w:rPr>
                <w:b/>
                <w:bCs w:val="0"/>
              </w:rPr>
            </w:pPr>
            <w:r>
              <w:rPr>
                <w:b/>
                <w:bCs w:val="0"/>
              </w:rPr>
              <w:t>cGVHD</w:t>
            </w:r>
          </w:p>
        </w:tc>
      </w:tr>
      <w:tr w:rsidR="00F67915" w14:paraId="0D18E836" w14:textId="77777777" w:rsidTr="001E2DD6">
        <w:tc>
          <w:tcPr>
            <w:tcW w:w="705" w:type="pct"/>
            <w:vAlign w:val="center"/>
          </w:tcPr>
          <w:p w14:paraId="47CD9FDA" w14:textId="77777777" w:rsidR="00F67915" w:rsidRDefault="00F67915" w:rsidP="00A361A7">
            <w:pPr>
              <w:pStyle w:val="TableText"/>
            </w:pPr>
            <w:r>
              <w:t>Population</w:t>
            </w:r>
          </w:p>
        </w:tc>
        <w:tc>
          <w:tcPr>
            <w:tcW w:w="4295" w:type="pct"/>
            <w:vAlign w:val="center"/>
          </w:tcPr>
          <w:p w14:paraId="367A4E41" w14:textId="77777777" w:rsidR="00F67915" w:rsidRDefault="00F67915" w:rsidP="00A361A7">
            <w:pPr>
              <w:pStyle w:val="TableText"/>
            </w:pPr>
            <w:r w:rsidRPr="005B5D7F">
              <w:t xml:space="preserve">Adult and paediatric patients aged ≥12 years with moderate to severe </w:t>
            </w:r>
            <w:r>
              <w:t>c</w:t>
            </w:r>
            <w:r w:rsidRPr="005B5D7F">
              <w:t xml:space="preserve">GVHD following </w:t>
            </w:r>
            <w:r>
              <w:t>allogeneic stem cell transplant</w:t>
            </w:r>
            <w:r w:rsidRPr="005B5D7F">
              <w:t xml:space="preserve"> who are refractory to, dependent on</w:t>
            </w:r>
            <w:r>
              <w:t>,</w:t>
            </w:r>
            <w:r w:rsidRPr="005B5D7F">
              <w:t xml:space="preserve"> or intolerant </w:t>
            </w:r>
            <w:r>
              <w:t>of</w:t>
            </w:r>
            <w:r w:rsidRPr="005B5D7F">
              <w:t xml:space="preserve"> </w:t>
            </w:r>
            <w:r>
              <w:t>cortico</w:t>
            </w:r>
            <w:r w:rsidRPr="005B5D7F">
              <w:t>steroids.</w:t>
            </w:r>
          </w:p>
        </w:tc>
      </w:tr>
      <w:tr w:rsidR="00F67915" w:rsidRPr="004A2A37" w14:paraId="50EA90AC" w14:textId="77777777" w:rsidTr="001E2DD6">
        <w:tc>
          <w:tcPr>
            <w:tcW w:w="705" w:type="pct"/>
            <w:vAlign w:val="center"/>
          </w:tcPr>
          <w:p w14:paraId="0F9115DE" w14:textId="77777777" w:rsidR="00F67915" w:rsidRDefault="00F67915" w:rsidP="00A361A7">
            <w:pPr>
              <w:pStyle w:val="TableText"/>
            </w:pPr>
            <w:r>
              <w:t>Intervention</w:t>
            </w:r>
          </w:p>
        </w:tc>
        <w:tc>
          <w:tcPr>
            <w:tcW w:w="4295" w:type="pct"/>
            <w:vAlign w:val="center"/>
          </w:tcPr>
          <w:p w14:paraId="4C00AC9B" w14:textId="77777777" w:rsidR="00F67915" w:rsidRPr="004A2A37" w:rsidRDefault="00F67915" w:rsidP="00A361A7">
            <w:pPr>
              <w:pStyle w:val="TableText"/>
              <w:rPr>
                <w:vertAlign w:val="superscript"/>
              </w:rPr>
            </w:pPr>
            <w:r w:rsidRPr="005B5D7F">
              <w:t>Ruxolitinib 10 mg orally twice a day</w:t>
            </w:r>
            <w:r>
              <w:rPr>
                <w:vertAlign w:val="superscript"/>
              </w:rPr>
              <w:t>1</w:t>
            </w:r>
          </w:p>
        </w:tc>
      </w:tr>
      <w:tr w:rsidR="00F67915" w14:paraId="59C7EDC3" w14:textId="77777777" w:rsidTr="001E2DD6">
        <w:tc>
          <w:tcPr>
            <w:tcW w:w="705" w:type="pct"/>
            <w:vAlign w:val="center"/>
          </w:tcPr>
          <w:p w14:paraId="51BCF292" w14:textId="77777777" w:rsidR="00F67915" w:rsidRDefault="00F67915" w:rsidP="00A361A7">
            <w:pPr>
              <w:pStyle w:val="TableText"/>
            </w:pPr>
            <w:r>
              <w:t>Comparator</w:t>
            </w:r>
          </w:p>
        </w:tc>
        <w:tc>
          <w:tcPr>
            <w:tcW w:w="4295" w:type="pct"/>
            <w:vAlign w:val="center"/>
          </w:tcPr>
          <w:p w14:paraId="58B2ADF1" w14:textId="77777777" w:rsidR="00F67915" w:rsidRPr="00B36AED" w:rsidRDefault="00F67915" w:rsidP="00A361A7">
            <w:pPr>
              <w:pStyle w:val="TableText"/>
              <w:rPr>
                <w:vertAlign w:val="superscript"/>
              </w:rPr>
            </w:pPr>
            <w:r>
              <w:t>Best available therapy (BAT)</w:t>
            </w:r>
            <w:r>
              <w:rPr>
                <w:vertAlign w:val="superscript"/>
              </w:rPr>
              <w:t>2</w:t>
            </w:r>
          </w:p>
        </w:tc>
      </w:tr>
      <w:tr w:rsidR="00F67915" w14:paraId="31293D0A" w14:textId="77777777" w:rsidTr="001E2DD6">
        <w:trPr>
          <w:trHeight w:val="53"/>
        </w:trPr>
        <w:tc>
          <w:tcPr>
            <w:tcW w:w="705" w:type="pct"/>
          </w:tcPr>
          <w:p w14:paraId="65F92B4D" w14:textId="77777777" w:rsidR="00F67915" w:rsidRDefault="00F67915" w:rsidP="00A361A7">
            <w:pPr>
              <w:pStyle w:val="TableText"/>
            </w:pPr>
            <w:r>
              <w:t>Outcomes</w:t>
            </w:r>
          </w:p>
        </w:tc>
        <w:tc>
          <w:tcPr>
            <w:tcW w:w="4295" w:type="pct"/>
          </w:tcPr>
          <w:p w14:paraId="22FF2488" w14:textId="77777777" w:rsidR="00F67915" w:rsidRDefault="00F67915" w:rsidP="00A361A7">
            <w:pPr>
              <w:pStyle w:val="TableText"/>
            </w:pPr>
            <w:r>
              <w:t>Overall response rate; failure-free survival; responders (as per the modified Lee Symptom Scale); best overall response; overall survival; duration of response; non-relapse mortality; incidence of malignancy relapse/recurrence; reduction in daily corticosteroid dose.</w:t>
            </w:r>
          </w:p>
        </w:tc>
      </w:tr>
      <w:tr w:rsidR="00F67915" w14:paraId="3561DE8F" w14:textId="77777777" w:rsidTr="001E2DD6">
        <w:tc>
          <w:tcPr>
            <w:tcW w:w="705" w:type="pct"/>
            <w:vAlign w:val="center"/>
          </w:tcPr>
          <w:p w14:paraId="161774FD" w14:textId="77777777" w:rsidR="00F67915" w:rsidRDefault="00F67915" w:rsidP="00A361A7">
            <w:pPr>
              <w:pStyle w:val="TableText"/>
            </w:pPr>
            <w:r>
              <w:t>Clinical claim</w:t>
            </w:r>
          </w:p>
        </w:tc>
        <w:tc>
          <w:tcPr>
            <w:tcW w:w="4295" w:type="pct"/>
          </w:tcPr>
          <w:p w14:paraId="1CEFC4E9" w14:textId="77777777" w:rsidR="00F67915" w:rsidRDefault="00F67915" w:rsidP="00A361A7">
            <w:pPr>
              <w:pStyle w:val="TableText"/>
            </w:pPr>
            <w:r>
              <w:t>Treatment with ruxolitinib is associated with superior efficacy (based on the overall response rate and duration of response) and non-inferior safety, compared with best available therapy.</w:t>
            </w:r>
          </w:p>
        </w:tc>
      </w:tr>
      <w:tr w:rsidR="00F67915" w14:paraId="598D1410" w14:textId="77777777" w:rsidTr="00A361A7">
        <w:tc>
          <w:tcPr>
            <w:tcW w:w="5000" w:type="pct"/>
            <w:gridSpan w:val="2"/>
            <w:vAlign w:val="center"/>
          </w:tcPr>
          <w:p w14:paraId="06A3EB78" w14:textId="77777777" w:rsidR="00F67915" w:rsidRPr="005B5D7F" w:rsidRDefault="00F67915" w:rsidP="00A361A7">
            <w:pPr>
              <w:pStyle w:val="TableText"/>
              <w:jc w:val="both"/>
              <w:rPr>
                <w:b/>
                <w:bCs w:val="0"/>
              </w:rPr>
            </w:pPr>
            <w:r>
              <w:rPr>
                <w:b/>
                <w:bCs w:val="0"/>
              </w:rPr>
              <w:t>aGVHD</w:t>
            </w:r>
          </w:p>
        </w:tc>
      </w:tr>
      <w:tr w:rsidR="00F67915" w14:paraId="419BA22C" w14:textId="77777777" w:rsidTr="001E2DD6">
        <w:tc>
          <w:tcPr>
            <w:tcW w:w="705" w:type="pct"/>
            <w:vAlign w:val="center"/>
          </w:tcPr>
          <w:p w14:paraId="14478FDE" w14:textId="77777777" w:rsidR="00F67915" w:rsidRDefault="00F67915" w:rsidP="00A361A7">
            <w:pPr>
              <w:pStyle w:val="TableText"/>
            </w:pPr>
            <w:r>
              <w:t>Population</w:t>
            </w:r>
          </w:p>
        </w:tc>
        <w:tc>
          <w:tcPr>
            <w:tcW w:w="4295" w:type="pct"/>
          </w:tcPr>
          <w:p w14:paraId="1866FA43" w14:textId="77777777" w:rsidR="00F67915" w:rsidRDefault="00F67915" w:rsidP="00A361A7">
            <w:pPr>
              <w:pStyle w:val="TableText"/>
            </w:pPr>
            <w:r w:rsidRPr="001216AB">
              <w:t xml:space="preserve">Adult and paediatric patients aged ≥12 years with Grade II to IV </w:t>
            </w:r>
            <w:r>
              <w:t>a</w:t>
            </w:r>
            <w:r w:rsidRPr="001216AB">
              <w:t xml:space="preserve">GVHD following </w:t>
            </w:r>
            <w:r>
              <w:t>allogeneic stem cell transplant</w:t>
            </w:r>
            <w:r w:rsidRPr="001216AB">
              <w:t xml:space="preserve"> who are refractory to, dependent on</w:t>
            </w:r>
            <w:r>
              <w:t>,</w:t>
            </w:r>
            <w:r w:rsidRPr="001216AB">
              <w:t xml:space="preserve"> or intolerant </w:t>
            </w:r>
            <w:r>
              <w:t>of</w:t>
            </w:r>
            <w:r w:rsidRPr="001216AB">
              <w:t xml:space="preserve"> </w:t>
            </w:r>
            <w:r>
              <w:t>cortico</w:t>
            </w:r>
            <w:r w:rsidRPr="001216AB">
              <w:t>steroids.</w:t>
            </w:r>
          </w:p>
        </w:tc>
      </w:tr>
      <w:tr w:rsidR="00F67915" w14:paraId="23DE145D" w14:textId="77777777" w:rsidTr="001E2DD6">
        <w:tc>
          <w:tcPr>
            <w:tcW w:w="705" w:type="pct"/>
            <w:vAlign w:val="center"/>
          </w:tcPr>
          <w:p w14:paraId="0AA956EB" w14:textId="77777777" w:rsidR="00F67915" w:rsidRDefault="00F67915" w:rsidP="00A361A7">
            <w:pPr>
              <w:pStyle w:val="TableText"/>
            </w:pPr>
            <w:r>
              <w:t>Intervention</w:t>
            </w:r>
          </w:p>
        </w:tc>
        <w:tc>
          <w:tcPr>
            <w:tcW w:w="4295" w:type="pct"/>
          </w:tcPr>
          <w:p w14:paraId="1D781C30" w14:textId="77777777" w:rsidR="00F67915" w:rsidRPr="004A2A37" w:rsidRDefault="00F67915" w:rsidP="00A361A7">
            <w:pPr>
              <w:pStyle w:val="TableText"/>
              <w:rPr>
                <w:vertAlign w:val="superscript"/>
              </w:rPr>
            </w:pPr>
            <w:r w:rsidRPr="001216AB">
              <w:t>Ruxolitinib 10 mg orally twice a day</w:t>
            </w:r>
            <w:r>
              <w:rPr>
                <w:vertAlign w:val="superscript"/>
              </w:rPr>
              <w:t>1</w:t>
            </w:r>
          </w:p>
        </w:tc>
      </w:tr>
      <w:tr w:rsidR="00F67915" w14:paraId="074EC980" w14:textId="77777777" w:rsidTr="001E2DD6">
        <w:tc>
          <w:tcPr>
            <w:tcW w:w="705" w:type="pct"/>
            <w:vAlign w:val="center"/>
          </w:tcPr>
          <w:p w14:paraId="19BFECBC" w14:textId="77777777" w:rsidR="00F67915" w:rsidRDefault="00F67915" w:rsidP="00A361A7">
            <w:pPr>
              <w:pStyle w:val="TableText"/>
            </w:pPr>
            <w:r>
              <w:t>Comparator</w:t>
            </w:r>
          </w:p>
        </w:tc>
        <w:tc>
          <w:tcPr>
            <w:tcW w:w="4295" w:type="pct"/>
          </w:tcPr>
          <w:p w14:paraId="72E99D91" w14:textId="77777777" w:rsidR="00F67915" w:rsidRPr="00B36AED" w:rsidRDefault="00F67915" w:rsidP="00A361A7">
            <w:pPr>
              <w:pStyle w:val="TableText"/>
              <w:rPr>
                <w:vertAlign w:val="superscript"/>
              </w:rPr>
            </w:pPr>
            <w:r>
              <w:t>Best available therapy (BAT)</w:t>
            </w:r>
            <w:r>
              <w:rPr>
                <w:vertAlign w:val="superscript"/>
              </w:rPr>
              <w:t>3</w:t>
            </w:r>
          </w:p>
        </w:tc>
      </w:tr>
      <w:tr w:rsidR="00F67915" w14:paraId="561A2A22" w14:textId="77777777" w:rsidTr="001E2DD6">
        <w:trPr>
          <w:trHeight w:val="53"/>
        </w:trPr>
        <w:tc>
          <w:tcPr>
            <w:tcW w:w="705" w:type="pct"/>
            <w:vAlign w:val="center"/>
          </w:tcPr>
          <w:p w14:paraId="7494F6DC" w14:textId="77777777" w:rsidR="00F67915" w:rsidRDefault="00F67915" w:rsidP="00A361A7">
            <w:pPr>
              <w:pStyle w:val="TableText"/>
            </w:pPr>
            <w:r>
              <w:t>Outcomes</w:t>
            </w:r>
          </w:p>
        </w:tc>
        <w:tc>
          <w:tcPr>
            <w:tcW w:w="4295" w:type="pct"/>
          </w:tcPr>
          <w:p w14:paraId="11CF3B14" w14:textId="77777777" w:rsidR="00F67915" w:rsidRDefault="00F67915" w:rsidP="00A361A7">
            <w:pPr>
              <w:pStyle w:val="TableText"/>
            </w:pPr>
            <w:r>
              <w:t>Overall response rate; duration of response; cumulative steroid dose; overall survival; event-free survival; failure-free survival; non-relapse mortality; incidence of malignancy relapse/progression; incidence of cGVHD.</w:t>
            </w:r>
          </w:p>
        </w:tc>
      </w:tr>
      <w:tr w:rsidR="00F67915" w14:paraId="18096B06" w14:textId="77777777" w:rsidTr="001E2DD6">
        <w:tc>
          <w:tcPr>
            <w:tcW w:w="705" w:type="pct"/>
            <w:vAlign w:val="center"/>
          </w:tcPr>
          <w:p w14:paraId="44CF3936" w14:textId="77777777" w:rsidR="00F67915" w:rsidRDefault="00F67915" w:rsidP="00A361A7">
            <w:pPr>
              <w:pStyle w:val="TableText"/>
            </w:pPr>
            <w:r>
              <w:t>Clinical claim</w:t>
            </w:r>
          </w:p>
        </w:tc>
        <w:tc>
          <w:tcPr>
            <w:tcW w:w="4295" w:type="pct"/>
          </w:tcPr>
          <w:p w14:paraId="5CD2A4CE" w14:textId="77777777" w:rsidR="00F67915" w:rsidRDefault="00F67915" w:rsidP="00A361A7">
            <w:pPr>
              <w:pStyle w:val="TableText"/>
            </w:pPr>
            <w:r>
              <w:t>Treatment with ruxolitinib is associated with superior efficacy (based on overall response rate and duration of response) and non-inferior safety compared with best available therapy.</w:t>
            </w:r>
          </w:p>
        </w:tc>
      </w:tr>
    </w:tbl>
    <w:p w14:paraId="3C5B8625" w14:textId="77777777" w:rsidR="00F67915" w:rsidRDefault="00F67915" w:rsidP="00F67915">
      <w:pPr>
        <w:pStyle w:val="TableFigureFooter"/>
      </w:pPr>
      <w:r>
        <w:t>Source: Table 1.1-1, p7 of the submission.</w:t>
      </w:r>
    </w:p>
    <w:p w14:paraId="1E35FF6D" w14:textId="4547C27B" w:rsidR="00F67915" w:rsidRDefault="00F67915" w:rsidP="00F67915">
      <w:pPr>
        <w:pStyle w:val="TableFigureFooter"/>
      </w:pPr>
      <w:r>
        <w:t xml:space="preserve">Abbreviations: aGVHD, acute </w:t>
      </w:r>
      <w:r w:rsidR="005553CE">
        <w:t>graft-versus-host</w:t>
      </w:r>
      <w:r>
        <w:t xml:space="preserve"> disease; cGVHD, chronic </w:t>
      </w:r>
      <w:r w:rsidR="005553CE">
        <w:t>graft-versus-host</w:t>
      </w:r>
      <w:r>
        <w:t xml:space="preserve"> disease.</w:t>
      </w:r>
    </w:p>
    <w:p w14:paraId="1894C51A" w14:textId="77777777" w:rsidR="00F67915" w:rsidRDefault="00F67915" w:rsidP="00F67915">
      <w:pPr>
        <w:pStyle w:val="TableFigureFooter"/>
      </w:pPr>
      <w:r>
        <w:rPr>
          <w:vertAlign w:val="superscript"/>
        </w:rPr>
        <w:t>1</w:t>
      </w:r>
      <w:r>
        <w:t xml:space="preserve"> </w:t>
      </w:r>
      <w:r w:rsidRPr="00F30878">
        <w:t xml:space="preserve">Starting dose in REACH2 (aGVHD) and REACH3 (cGVHD). Dose adjustments to 5 mg twice daily </w:t>
      </w:r>
      <w:r>
        <w:t xml:space="preserve">and </w:t>
      </w:r>
      <w:r w:rsidRPr="00F30878">
        <w:t>5 mg once daily were permitted to manage haematological toxicity</w:t>
      </w:r>
      <w:r>
        <w:t>.</w:t>
      </w:r>
    </w:p>
    <w:p w14:paraId="1E5A3B62" w14:textId="77777777" w:rsidR="00F67915" w:rsidRDefault="00F67915" w:rsidP="00F67915">
      <w:pPr>
        <w:pStyle w:val="TableFigureFooter"/>
      </w:pPr>
      <w:r>
        <w:rPr>
          <w:vertAlign w:val="superscript"/>
        </w:rPr>
        <w:lastRenderedPageBreak/>
        <w:t>2</w:t>
      </w:r>
      <w:r>
        <w:t xml:space="preserve"> T</w:t>
      </w:r>
      <w:r w:rsidRPr="0089736A">
        <w:t>reatments in the REACH3 trial included extracorporeal photopheresis, low-dose methotrexate, mycophenolate mofetil, mTOR inhibitors (everolimus and sirolimus), infliximab, rituximab, pentostatin, imatinib and ibrutinib.</w:t>
      </w:r>
    </w:p>
    <w:p w14:paraId="06A4D647" w14:textId="77777777" w:rsidR="00F67915" w:rsidRPr="00E83AF3" w:rsidRDefault="00F67915" w:rsidP="00F67915">
      <w:pPr>
        <w:pStyle w:val="TableFigureFooter"/>
      </w:pPr>
      <w:r>
        <w:rPr>
          <w:vertAlign w:val="superscript"/>
        </w:rPr>
        <w:t>3</w:t>
      </w:r>
      <w:r>
        <w:t xml:space="preserve"> T</w:t>
      </w:r>
      <w:r w:rsidRPr="0089736A">
        <w:t>reatments in the REACH2 trial included low-dose methotrexate, mycophenolate mofetil, mTOR inhibitors (everolimus or sirolimus), anti-thymocyte globulin, extracorporeal photopheresis, mesenchymal stromal cells, etanercept and infliximab.</w:t>
      </w:r>
    </w:p>
    <w:p w14:paraId="7CBD13B1" w14:textId="77777777" w:rsidR="00F67915" w:rsidRPr="00407F2D" w:rsidRDefault="00F67915" w:rsidP="00F67915">
      <w:pPr>
        <w:pStyle w:val="2-SectionHeading"/>
        <w:numPr>
          <w:ilvl w:val="0"/>
          <w:numId w:val="1"/>
        </w:numPr>
      </w:pPr>
      <w:bookmarkStart w:id="2" w:name="_Toc22898845"/>
      <w:bookmarkStart w:id="3" w:name="_Toc103614207"/>
      <w:r w:rsidRPr="00407F2D">
        <w:t>Background</w:t>
      </w:r>
      <w:bookmarkEnd w:id="2"/>
      <w:bookmarkEnd w:id="3"/>
    </w:p>
    <w:p w14:paraId="7CA96C73" w14:textId="77777777" w:rsidR="00F67915" w:rsidRPr="004151CF" w:rsidRDefault="00F67915" w:rsidP="00F67915">
      <w:pPr>
        <w:pStyle w:val="3-SubsectionHeading"/>
      </w:pPr>
      <w:bookmarkStart w:id="4" w:name="_Toc22897638"/>
      <w:bookmarkStart w:id="5" w:name="_Toc22898846"/>
      <w:bookmarkStart w:id="6" w:name="_Toc103614208"/>
      <w:r w:rsidRPr="004151CF">
        <w:t>Registration status</w:t>
      </w:r>
      <w:bookmarkEnd w:id="4"/>
      <w:bookmarkEnd w:id="5"/>
      <w:bookmarkEnd w:id="6"/>
    </w:p>
    <w:p w14:paraId="0AB2816D" w14:textId="77777777" w:rsidR="00F67915" w:rsidRPr="002E0AC5" w:rsidRDefault="00F67915" w:rsidP="00F67915">
      <w:pPr>
        <w:pStyle w:val="ExecSumBodyText"/>
        <w:numPr>
          <w:ilvl w:val="1"/>
          <w:numId w:val="1"/>
        </w:numPr>
        <w:contextualSpacing/>
      </w:pPr>
      <w:r w:rsidRPr="002E0AC5">
        <w:t>Ruxolitinib was registered on the ARTG on 28 January 2022 for the following GVHD indications:</w:t>
      </w:r>
    </w:p>
    <w:p w14:paraId="7D1BD9A2" w14:textId="77777777" w:rsidR="00F67915" w:rsidRPr="002E0AC5" w:rsidRDefault="00F67915" w:rsidP="00A2582A">
      <w:pPr>
        <w:pStyle w:val="ExecSumBodyText"/>
        <w:numPr>
          <w:ilvl w:val="1"/>
          <w:numId w:val="11"/>
        </w:numPr>
        <w:ind w:left="1077" w:hanging="357"/>
        <w:contextualSpacing/>
      </w:pPr>
      <w:r w:rsidRPr="002E0AC5">
        <w:t>Treatment of patients aged 12 years and older with cGVHD who have inadequate response to corticosteroids.</w:t>
      </w:r>
    </w:p>
    <w:p w14:paraId="30790E0B" w14:textId="77777777" w:rsidR="00F67915" w:rsidRPr="002E0AC5" w:rsidRDefault="00F67915" w:rsidP="00A2582A">
      <w:pPr>
        <w:pStyle w:val="ExecSumBodyText"/>
        <w:numPr>
          <w:ilvl w:val="1"/>
          <w:numId w:val="11"/>
        </w:numPr>
        <w:ind w:left="1077" w:hanging="357"/>
      </w:pPr>
      <w:r w:rsidRPr="002E0AC5">
        <w:t>Treatment of patients aged 12 years and older with aGVHD who have inadequate response to corticosteroids.</w:t>
      </w:r>
    </w:p>
    <w:p w14:paraId="2F1C8EF1" w14:textId="77777777" w:rsidR="00F67915" w:rsidRDefault="00F67915" w:rsidP="00F67915">
      <w:pPr>
        <w:pStyle w:val="ExecSumBodyText"/>
        <w:numPr>
          <w:ilvl w:val="1"/>
          <w:numId w:val="1"/>
        </w:numPr>
      </w:pPr>
      <w:r w:rsidRPr="002E0AC5">
        <w:t>Ruxolitinib is also registered for the treatment of disease-related splenomegaly or symptoms in patients with primary myelofibrosis, post-polycythaemia vera myelofibrosis or post-essential thrombocythaemia myelofibrosis; and the treatment of adult patients with polycythaemia vera who are resistant to or intolerant of hydroxyurea.</w:t>
      </w:r>
    </w:p>
    <w:p w14:paraId="75A4904F" w14:textId="77777777" w:rsidR="00F67915" w:rsidRPr="00621ADA" w:rsidRDefault="00F67915" w:rsidP="00F67915">
      <w:pPr>
        <w:pStyle w:val="3-SubsectionHeading"/>
      </w:pPr>
      <w:bookmarkStart w:id="7" w:name="_Toc103614209"/>
      <w:r>
        <w:t>Current PBS listing</w:t>
      </w:r>
      <w:bookmarkEnd w:id="7"/>
    </w:p>
    <w:p w14:paraId="454121F5" w14:textId="4B76D263" w:rsidR="00F67915" w:rsidRPr="00A6154D" w:rsidRDefault="00F67915" w:rsidP="00F67915">
      <w:pPr>
        <w:pStyle w:val="ExecSumBodyText"/>
        <w:numPr>
          <w:ilvl w:val="1"/>
          <w:numId w:val="1"/>
        </w:numPr>
      </w:pPr>
      <w:r>
        <w:rPr>
          <w:snapToGrid/>
          <w:lang w:val="en-US"/>
        </w:rPr>
        <w:t>Ruxolitinib is currently PBS listed for the treatment of high risk, intermediate-1 and intermediate-2 risk myelofibrosis.</w:t>
      </w:r>
    </w:p>
    <w:p w14:paraId="28720C9D" w14:textId="15396D38" w:rsidR="00A6154D" w:rsidRPr="00A6154D" w:rsidRDefault="00A6154D" w:rsidP="00A6154D">
      <w:pPr>
        <w:pStyle w:val="ExecSumBodyText"/>
        <w:numPr>
          <w:ilvl w:val="0"/>
          <w:numId w:val="0"/>
        </w:numPr>
        <w:ind w:left="720"/>
        <w:rPr>
          <w:i/>
          <w:iCs/>
        </w:rPr>
      </w:pPr>
      <w:r w:rsidRPr="00A6154D">
        <w:rPr>
          <w:i/>
          <w:iCs/>
          <w:snapToGrid/>
          <w:lang w:val="en-US"/>
        </w:rPr>
        <w:t>For more detail on PBAC’s view, see section 7 PBAC outcome.</w:t>
      </w:r>
    </w:p>
    <w:p w14:paraId="6EC08633" w14:textId="6ABEE88C" w:rsidR="00F67915" w:rsidRDefault="00F67915" w:rsidP="00F67915">
      <w:pPr>
        <w:pStyle w:val="2-SectionHeading"/>
        <w:numPr>
          <w:ilvl w:val="0"/>
          <w:numId w:val="1"/>
        </w:numPr>
      </w:pPr>
      <w:bookmarkStart w:id="8" w:name="_Toc22898848"/>
      <w:bookmarkStart w:id="9" w:name="_Toc103614210"/>
      <w:r w:rsidRPr="00407F2D">
        <w:t>Requested listing</w:t>
      </w:r>
      <w:bookmarkEnd w:id="8"/>
      <w:bookmarkEnd w:id="9"/>
    </w:p>
    <w:p w14:paraId="6AE93654" w14:textId="262AEE06" w:rsidR="00F67915" w:rsidRDefault="00F67915" w:rsidP="00F67915">
      <w:pPr>
        <w:pStyle w:val="4-SubsectSubhead"/>
      </w:pPr>
      <w:r>
        <w:t>Chronic GVHD</w:t>
      </w:r>
    </w:p>
    <w:p w14:paraId="57FA120D" w14:textId="0D3F4E02" w:rsidR="000611DC" w:rsidRPr="000611DC" w:rsidRDefault="000611DC" w:rsidP="00532004">
      <w:pPr>
        <w:pStyle w:val="ExecSumBodyText"/>
      </w:pPr>
      <w:r w:rsidRPr="00285DCC">
        <w:t xml:space="preserve">The restrictions proposed in the </w:t>
      </w:r>
      <w:r>
        <w:t xml:space="preserve">submission </w:t>
      </w:r>
      <w:r w:rsidRPr="00285DCC">
        <w:t xml:space="preserve">are outlined below. </w:t>
      </w:r>
      <w:r>
        <w:t xml:space="preserve">Secretariat </w:t>
      </w:r>
      <w:r w:rsidR="0055010E">
        <w:t xml:space="preserve">and PBAC </w:t>
      </w:r>
      <w:r>
        <w:t>proposed additions are in italics and deletions in strikethrough.</w:t>
      </w:r>
    </w:p>
    <w:tbl>
      <w:tblPr>
        <w:tblW w:w="9015" w:type="dxa"/>
        <w:tblBorders>
          <w:top w:val="single" w:sz="4" w:space="0" w:color="auto"/>
          <w:bottom w:val="single" w:sz="4" w:space="0" w:color="auto"/>
          <w:insideH w:val="single" w:sz="4" w:space="0" w:color="auto"/>
        </w:tblBorders>
        <w:tblLook w:val="04A0" w:firstRow="1" w:lastRow="0" w:firstColumn="1" w:lastColumn="0" w:noHBand="0" w:noVBand="1"/>
      </w:tblPr>
      <w:tblGrid>
        <w:gridCol w:w="1837"/>
        <w:gridCol w:w="1283"/>
        <w:gridCol w:w="1276"/>
        <w:gridCol w:w="850"/>
        <w:gridCol w:w="2125"/>
        <w:gridCol w:w="1644"/>
      </w:tblGrid>
      <w:tr w:rsidR="00F67915" w:rsidRPr="002C71CE" w14:paraId="184CECCC" w14:textId="77777777" w:rsidTr="00F5367A">
        <w:tc>
          <w:tcPr>
            <w:tcW w:w="1837" w:type="dxa"/>
          </w:tcPr>
          <w:p w14:paraId="0FD632A0" w14:textId="77777777" w:rsidR="00F67915" w:rsidRPr="002C71CE" w:rsidRDefault="00F67915" w:rsidP="00A361A7">
            <w:pPr>
              <w:pStyle w:val="TableFigureCaption"/>
            </w:pPr>
            <w:r w:rsidRPr="002C71CE">
              <w:t>Name, restriction, manner of administration, form</w:t>
            </w:r>
          </w:p>
        </w:tc>
        <w:tc>
          <w:tcPr>
            <w:tcW w:w="1283" w:type="dxa"/>
            <w:vAlign w:val="center"/>
          </w:tcPr>
          <w:p w14:paraId="2760CC37" w14:textId="758D18F8" w:rsidR="00F67915" w:rsidRPr="002C71CE" w:rsidRDefault="00F67915" w:rsidP="00A361A7">
            <w:pPr>
              <w:pStyle w:val="TableFigureCaption"/>
              <w:jc w:val="center"/>
            </w:pPr>
            <w:r w:rsidRPr="002C71CE">
              <w:t xml:space="preserve">Maximum quantity </w:t>
            </w:r>
            <w:r w:rsidR="00F96E54" w:rsidRPr="00F96E54">
              <w:rPr>
                <w:color w:val="000000"/>
                <w:spacing w:val="175"/>
                <w:shd w:val="solid" w:color="000000" w:fill="000000"/>
                <w:fitText w:val="276" w:id="-1435343616"/>
                <w14:textFill>
                  <w14:solidFill>
                    <w14:srgbClr w14:val="000000">
                      <w14:alpha w14:val="100000"/>
                    </w14:srgbClr>
                  </w14:solidFill>
                </w14:textFill>
              </w:rPr>
              <w:t>|</w:t>
            </w:r>
            <w:r w:rsidR="00F96E54" w:rsidRPr="00F96E54">
              <w:rPr>
                <w:color w:val="000000"/>
                <w:shd w:val="solid" w:color="000000" w:fill="000000"/>
                <w:fitText w:val="276" w:id="-1435343616"/>
                <w14:textFill>
                  <w14:solidFill>
                    <w14:srgbClr w14:val="000000">
                      <w14:alpha w14:val="100000"/>
                    </w14:srgbClr>
                  </w14:solidFill>
                </w14:textFill>
              </w:rPr>
              <w:t>|</w:t>
            </w:r>
            <w:r w:rsidRPr="002C71CE">
              <w:t>acks)</w:t>
            </w:r>
          </w:p>
        </w:tc>
        <w:tc>
          <w:tcPr>
            <w:tcW w:w="1276" w:type="dxa"/>
            <w:vAlign w:val="center"/>
          </w:tcPr>
          <w:p w14:paraId="47871446" w14:textId="77777777" w:rsidR="00F67915" w:rsidRPr="002C71CE" w:rsidRDefault="00F67915" w:rsidP="00A361A7">
            <w:pPr>
              <w:pStyle w:val="TableFigureCaption"/>
              <w:jc w:val="center"/>
            </w:pPr>
            <w:r w:rsidRPr="002C71CE">
              <w:t>Maximum quantity (units)</w:t>
            </w:r>
          </w:p>
        </w:tc>
        <w:tc>
          <w:tcPr>
            <w:tcW w:w="850" w:type="dxa"/>
            <w:vAlign w:val="center"/>
          </w:tcPr>
          <w:p w14:paraId="2421A769" w14:textId="77777777" w:rsidR="00F67915" w:rsidRPr="002C71CE" w:rsidRDefault="00F67915" w:rsidP="00A361A7">
            <w:pPr>
              <w:pStyle w:val="TableFigureCaption"/>
              <w:jc w:val="center"/>
            </w:pPr>
            <w:r w:rsidRPr="002C71CE">
              <w:t>No. of repeats</w:t>
            </w:r>
          </w:p>
        </w:tc>
        <w:tc>
          <w:tcPr>
            <w:tcW w:w="2125" w:type="dxa"/>
            <w:vAlign w:val="center"/>
          </w:tcPr>
          <w:p w14:paraId="3A2022CA" w14:textId="77777777" w:rsidR="00F67915" w:rsidRPr="002C71CE" w:rsidRDefault="00F67915" w:rsidP="00A361A7">
            <w:pPr>
              <w:pStyle w:val="TableFigureCaption"/>
              <w:jc w:val="center"/>
            </w:pPr>
            <w:r>
              <w:t>Published (effective) d</w:t>
            </w:r>
            <w:r w:rsidRPr="002C71CE">
              <w:t>ispensed price for maximum quantity</w:t>
            </w:r>
          </w:p>
        </w:tc>
        <w:tc>
          <w:tcPr>
            <w:tcW w:w="1644" w:type="dxa"/>
            <w:vAlign w:val="center"/>
          </w:tcPr>
          <w:p w14:paraId="7DE36955" w14:textId="77777777" w:rsidR="00F67915" w:rsidRPr="002C71CE" w:rsidRDefault="00F67915" w:rsidP="00A361A7">
            <w:pPr>
              <w:pStyle w:val="TableFigureCaption"/>
              <w:jc w:val="center"/>
            </w:pPr>
            <w:r w:rsidRPr="002C71CE">
              <w:t>Proprietary name and manufacturer</w:t>
            </w:r>
          </w:p>
        </w:tc>
      </w:tr>
      <w:tr w:rsidR="00F67915" w:rsidRPr="002D04BB" w14:paraId="5D217678" w14:textId="77777777" w:rsidTr="00F5367A">
        <w:tc>
          <w:tcPr>
            <w:tcW w:w="9015" w:type="dxa"/>
            <w:gridSpan w:val="6"/>
            <w:vAlign w:val="center"/>
          </w:tcPr>
          <w:p w14:paraId="5A251EF5" w14:textId="77777777" w:rsidR="00F67915" w:rsidRPr="002D04BB" w:rsidRDefault="00F67915" w:rsidP="00A361A7">
            <w:pPr>
              <w:pStyle w:val="TableText"/>
              <w:rPr>
                <w:b/>
                <w:bCs w:val="0"/>
              </w:rPr>
            </w:pPr>
            <w:r>
              <w:rPr>
                <w:b/>
                <w:bCs w:val="0"/>
              </w:rPr>
              <w:t>Initial/continuing treatment</w:t>
            </w:r>
          </w:p>
        </w:tc>
      </w:tr>
      <w:tr w:rsidR="00F67915" w:rsidRPr="0050174E" w14:paraId="3BA4455B" w14:textId="77777777" w:rsidTr="00F5367A">
        <w:tc>
          <w:tcPr>
            <w:tcW w:w="1837" w:type="dxa"/>
            <w:vAlign w:val="center"/>
          </w:tcPr>
          <w:p w14:paraId="67CAAEC9" w14:textId="77777777" w:rsidR="00F67915" w:rsidRPr="0050174E" w:rsidRDefault="00F67915" w:rsidP="00A361A7">
            <w:pPr>
              <w:pStyle w:val="TableText"/>
            </w:pPr>
            <w:r>
              <w:rPr>
                <w:smallCaps/>
              </w:rPr>
              <w:t>RUXOLITINIB</w:t>
            </w:r>
          </w:p>
          <w:p w14:paraId="65A04303" w14:textId="77777777" w:rsidR="00F67915" w:rsidRPr="0050174E" w:rsidRDefault="00F67915" w:rsidP="00A361A7">
            <w:pPr>
              <w:pStyle w:val="TableText"/>
              <w:rPr>
                <w:b/>
              </w:rPr>
            </w:pPr>
            <w:r>
              <w:t>Tablet 5 mg, 56</w:t>
            </w:r>
          </w:p>
        </w:tc>
        <w:tc>
          <w:tcPr>
            <w:tcW w:w="1283" w:type="dxa"/>
            <w:vAlign w:val="center"/>
          </w:tcPr>
          <w:p w14:paraId="5037BCCE" w14:textId="77777777" w:rsidR="00F67915" w:rsidRPr="0050174E" w:rsidRDefault="00F67915" w:rsidP="00A361A7">
            <w:pPr>
              <w:pStyle w:val="TableText"/>
              <w:jc w:val="center"/>
              <w:rPr>
                <w:rFonts w:ascii="Times" w:hAnsi="Times"/>
              </w:rPr>
            </w:pPr>
            <w:r>
              <w:t>1</w:t>
            </w:r>
          </w:p>
        </w:tc>
        <w:tc>
          <w:tcPr>
            <w:tcW w:w="1276" w:type="dxa"/>
            <w:vAlign w:val="center"/>
          </w:tcPr>
          <w:p w14:paraId="05530833" w14:textId="77777777" w:rsidR="00F67915" w:rsidRPr="0050174E" w:rsidRDefault="00F67915" w:rsidP="00A361A7">
            <w:pPr>
              <w:pStyle w:val="TableText"/>
              <w:jc w:val="center"/>
              <w:rPr>
                <w:rFonts w:ascii="Times" w:hAnsi="Times"/>
              </w:rPr>
            </w:pPr>
            <w:r>
              <w:t>56</w:t>
            </w:r>
          </w:p>
        </w:tc>
        <w:tc>
          <w:tcPr>
            <w:tcW w:w="850" w:type="dxa"/>
            <w:vAlign w:val="center"/>
          </w:tcPr>
          <w:p w14:paraId="5D6E4C71" w14:textId="77777777" w:rsidR="00F67915" w:rsidRPr="0050174E" w:rsidRDefault="00F67915" w:rsidP="00A361A7">
            <w:pPr>
              <w:pStyle w:val="TableText"/>
              <w:jc w:val="center"/>
              <w:rPr>
                <w:rFonts w:ascii="Times" w:hAnsi="Times"/>
              </w:rPr>
            </w:pPr>
            <w:r>
              <w:t>5</w:t>
            </w:r>
          </w:p>
        </w:tc>
        <w:tc>
          <w:tcPr>
            <w:tcW w:w="2125" w:type="dxa"/>
            <w:vAlign w:val="center"/>
          </w:tcPr>
          <w:p w14:paraId="6B776291" w14:textId="158648B7" w:rsidR="00F67915" w:rsidRPr="005F7722" w:rsidRDefault="005F7722" w:rsidP="00A361A7">
            <w:pPr>
              <w:pStyle w:val="TableText"/>
              <w:jc w:val="center"/>
              <w:rPr>
                <w:rFonts w:ascii="Times" w:hAnsi="Times"/>
                <w:vertAlign w:val="superscript"/>
              </w:rPr>
            </w:pPr>
            <w:r w:rsidRPr="005F7722">
              <w:t>$</w:t>
            </w:r>
            <w:r w:rsidR="00F96E54" w:rsidRPr="00F96E54">
              <w:rPr>
                <w:color w:val="000000"/>
                <w:shd w:val="solid" w:color="000000" w:fill="000000"/>
                <w14:textFill>
                  <w14:solidFill>
                    <w14:srgbClr w14:val="000000">
                      <w14:alpha w14:val="100000"/>
                    </w14:srgbClr>
                  </w14:solidFill>
                </w14:textFill>
              </w:rPr>
              <w:t>|</w:t>
            </w:r>
            <w:r>
              <w:rPr>
                <w:vertAlign w:val="superscript"/>
              </w:rPr>
              <w:t>1</w:t>
            </w:r>
          </w:p>
        </w:tc>
        <w:tc>
          <w:tcPr>
            <w:tcW w:w="1644" w:type="dxa"/>
            <w:vAlign w:val="center"/>
          </w:tcPr>
          <w:p w14:paraId="5E0D3482" w14:textId="77777777" w:rsidR="00F67915" w:rsidRPr="0050174E" w:rsidRDefault="00F67915" w:rsidP="00A361A7">
            <w:pPr>
              <w:pStyle w:val="TableText"/>
              <w:jc w:val="center"/>
              <w:rPr>
                <w:rFonts w:ascii="Times" w:hAnsi="Times"/>
              </w:rPr>
            </w:pPr>
            <w:r>
              <w:t>JAKAVI</w:t>
            </w:r>
            <w:r>
              <w:rPr>
                <w:vertAlign w:val="superscript"/>
              </w:rPr>
              <w:t>®</w:t>
            </w:r>
            <w:r w:rsidRPr="0050174E">
              <w:t xml:space="preserve">, </w:t>
            </w:r>
            <w:r>
              <w:t>Novartis</w:t>
            </w:r>
          </w:p>
        </w:tc>
      </w:tr>
      <w:tr w:rsidR="00F67915" w14:paraId="01E536F7" w14:textId="77777777" w:rsidTr="00F5367A">
        <w:tc>
          <w:tcPr>
            <w:tcW w:w="1837" w:type="dxa"/>
            <w:vAlign w:val="center"/>
          </w:tcPr>
          <w:p w14:paraId="28057DA4" w14:textId="77777777" w:rsidR="00F67915" w:rsidRPr="0050174E" w:rsidRDefault="00F67915" w:rsidP="00A361A7">
            <w:pPr>
              <w:pStyle w:val="TableText"/>
            </w:pPr>
            <w:r>
              <w:rPr>
                <w:smallCaps/>
              </w:rPr>
              <w:t>RUXOLITINIB</w:t>
            </w:r>
          </w:p>
          <w:p w14:paraId="75B1BE4A" w14:textId="77777777" w:rsidR="00F67915" w:rsidRDefault="00F67915" w:rsidP="00A361A7">
            <w:pPr>
              <w:pStyle w:val="TableText"/>
              <w:rPr>
                <w:smallCaps/>
              </w:rPr>
            </w:pPr>
            <w:r>
              <w:t>Tablet 10 mg, 56</w:t>
            </w:r>
          </w:p>
        </w:tc>
        <w:tc>
          <w:tcPr>
            <w:tcW w:w="1283" w:type="dxa"/>
            <w:vAlign w:val="center"/>
          </w:tcPr>
          <w:p w14:paraId="3EDE0230" w14:textId="77777777" w:rsidR="00F67915" w:rsidRDefault="00F67915" w:rsidP="00A361A7">
            <w:pPr>
              <w:pStyle w:val="TableText"/>
              <w:jc w:val="center"/>
            </w:pPr>
            <w:r>
              <w:t>1</w:t>
            </w:r>
          </w:p>
        </w:tc>
        <w:tc>
          <w:tcPr>
            <w:tcW w:w="1276" w:type="dxa"/>
            <w:vAlign w:val="center"/>
          </w:tcPr>
          <w:p w14:paraId="6606B517" w14:textId="77777777" w:rsidR="00F67915" w:rsidRDefault="00F67915" w:rsidP="00A361A7">
            <w:pPr>
              <w:pStyle w:val="TableText"/>
              <w:jc w:val="center"/>
            </w:pPr>
            <w:r>
              <w:t>56</w:t>
            </w:r>
          </w:p>
        </w:tc>
        <w:tc>
          <w:tcPr>
            <w:tcW w:w="850" w:type="dxa"/>
            <w:vAlign w:val="center"/>
          </w:tcPr>
          <w:p w14:paraId="2A5E2267" w14:textId="77777777" w:rsidR="00F67915" w:rsidRDefault="00F67915" w:rsidP="00A361A7">
            <w:pPr>
              <w:pStyle w:val="TableText"/>
              <w:jc w:val="center"/>
            </w:pPr>
            <w:r>
              <w:t>5</w:t>
            </w:r>
          </w:p>
        </w:tc>
        <w:tc>
          <w:tcPr>
            <w:tcW w:w="2125" w:type="dxa"/>
            <w:vAlign w:val="center"/>
          </w:tcPr>
          <w:p w14:paraId="785A843C" w14:textId="4B3F2186" w:rsidR="00F67915" w:rsidRPr="0050174E" w:rsidRDefault="005F7722" w:rsidP="00A361A7">
            <w:pPr>
              <w:pStyle w:val="TableText"/>
              <w:jc w:val="center"/>
            </w:pPr>
            <w:r w:rsidRPr="005F7722">
              <w:t>$</w:t>
            </w:r>
            <w:r w:rsidR="00F96E54" w:rsidRPr="00F96E54">
              <w:rPr>
                <w:color w:val="000000"/>
                <w:shd w:val="solid" w:color="000000" w:fill="000000"/>
                <w14:textFill>
                  <w14:solidFill>
                    <w14:srgbClr w14:val="000000">
                      <w14:alpha w14:val="100000"/>
                    </w14:srgbClr>
                  </w14:solidFill>
                </w14:textFill>
              </w:rPr>
              <w:t>|</w:t>
            </w:r>
            <w:r w:rsidRPr="005F7722">
              <w:t xml:space="preserve"> </w:t>
            </w:r>
            <w:r w:rsidR="00E37023">
              <w:br/>
            </w:r>
            <w:r w:rsidR="00F67915">
              <w:t>(</w:t>
            </w:r>
            <w:r w:rsidR="00F67915" w:rsidRPr="0050174E">
              <w:t>$</w:t>
            </w:r>
            <w:r w:rsidR="00F96E54" w:rsidRPr="00F96E54">
              <w:rPr>
                <w:color w:val="000000"/>
                <w:shd w:val="solid" w:color="000000" w:fill="000000"/>
                <w14:textFill>
                  <w14:solidFill>
                    <w14:srgbClr w14:val="000000">
                      <w14:alpha w14:val="100000"/>
                    </w14:srgbClr>
                  </w14:solidFill>
                </w14:textFill>
              </w:rPr>
              <w:t>|</w:t>
            </w:r>
            <w:r w:rsidR="00F67915">
              <w:t>)</w:t>
            </w:r>
          </w:p>
        </w:tc>
        <w:tc>
          <w:tcPr>
            <w:tcW w:w="1644" w:type="dxa"/>
            <w:vAlign w:val="center"/>
          </w:tcPr>
          <w:p w14:paraId="438FE230" w14:textId="77777777" w:rsidR="00F67915" w:rsidRDefault="00F67915" w:rsidP="00A361A7">
            <w:pPr>
              <w:pStyle w:val="TableText"/>
              <w:jc w:val="center"/>
            </w:pPr>
            <w:r>
              <w:t>JAKAVI</w:t>
            </w:r>
            <w:r>
              <w:rPr>
                <w:vertAlign w:val="superscript"/>
              </w:rPr>
              <w:t>®</w:t>
            </w:r>
            <w:r w:rsidRPr="0050174E">
              <w:t xml:space="preserve">, </w:t>
            </w:r>
            <w:r>
              <w:t>Novartis</w:t>
            </w:r>
          </w:p>
        </w:tc>
      </w:tr>
    </w:tbl>
    <w:p w14:paraId="08E1C993" w14:textId="77777777" w:rsidR="00532004" w:rsidRDefault="00532004" w:rsidP="005F7722">
      <w:pPr>
        <w:pStyle w:val="TableFooter"/>
        <w:rPr>
          <w:vertAlign w:val="superscript"/>
        </w:rPr>
      </w:pPr>
    </w:p>
    <w:tbl>
      <w:tblPr>
        <w:tblW w:w="5000" w:type="pct"/>
        <w:tblLook w:val="0000" w:firstRow="0" w:lastRow="0" w:firstColumn="0" w:lastColumn="0" w:noHBand="0" w:noVBand="0"/>
      </w:tblPr>
      <w:tblGrid>
        <w:gridCol w:w="9017"/>
      </w:tblGrid>
      <w:tr w:rsidR="00532004" w:rsidRPr="00532004" w14:paraId="22B776CB"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970AD5B" w14:textId="77777777" w:rsidR="00532004" w:rsidRPr="00532004" w:rsidRDefault="00532004" w:rsidP="00532004">
            <w:pPr>
              <w:pStyle w:val="TableText"/>
              <w:keepNext w:val="0"/>
            </w:pPr>
            <w:r w:rsidRPr="00532004">
              <w:rPr>
                <w:b/>
              </w:rPr>
              <w:t xml:space="preserve">Category / Program: </w:t>
            </w:r>
            <w:r w:rsidRPr="00532004">
              <w:t>GENERAL – General Schedule (Code GE)</w:t>
            </w:r>
          </w:p>
        </w:tc>
      </w:tr>
      <w:tr w:rsidR="00532004" w:rsidRPr="00532004" w14:paraId="59224C76"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B4D221A" w14:textId="1EFBF409" w:rsidR="00532004" w:rsidRPr="00532004" w:rsidRDefault="00532004" w:rsidP="00532004">
            <w:pPr>
              <w:pStyle w:val="TableText"/>
              <w:keepNext w:val="0"/>
            </w:pPr>
            <w:r w:rsidRPr="00532004">
              <w:rPr>
                <w:b/>
              </w:rPr>
              <w:t xml:space="preserve">Prescriber type: </w:t>
            </w:r>
            <w:r w:rsidRPr="00532004">
              <w:fldChar w:fldCharType="begin" w:fldLock="1">
                <w:ffData>
                  <w:name w:val="Check1"/>
                  <w:enabled/>
                  <w:calcOnExit w:val="0"/>
                  <w:checkBox>
                    <w:sizeAuto/>
                    <w:default w:val="0"/>
                  </w:checkBox>
                </w:ffData>
              </w:fldChar>
            </w:r>
            <w:r w:rsidRPr="00532004">
              <w:instrText xml:space="preserve"> FORMCHECKBOX </w:instrText>
            </w:r>
            <w:r w:rsidR="00BD1016">
              <w:fldChar w:fldCharType="separate"/>
            </w:r>
            <w:r w:rsidRPr="00532004">
              <w:fldChar w:fldCharType="end"/>
            </w:r>
            <w:r w:rsidRPr="00532004">
              <w:t xml:space="preserve">Dental  </w:t>
            </w:r>
            <w:r w:rsidRPr="00532004">
              <w:fldChar w:fldCharType="begin" w:fldLock="1">
                <w:ffData>
                  <w:name w:val="Check1"/>
                  <w:enabled/>
                  <w:calcOnExit w:val="0"/>
                  <w:checkBox>
                    <w:sizeAuto/>
                    <w:default w:val="1"/>
                  </w:checkBox>
                </w:ffData>
              </w:fldChar>
            </w:r>
            <w:r w:rsidRPr="00532004">
              <w:instrText xml:space="preserve"> FORMCHECKBOX </w:instrText>
            </w:r>
            <w:r w:rsidR="00BD1016">
              <w:fldChar w:fldCharType="separate"/>
            </w:r>
            <w:r w:rsidRPr="00532004">
              <w:fldChar w:fldCharType="end"/>
            </w:r>
            <w:r w:rsidRPr="00532004">
              <w:t xml:space="preserve">Medical Practitioners  </w:t>
            </w:r>
            <w:r w:rsidRPr="00532004">
              <w:fldChar w:fldCharType="begin" w:fldLock="1">
                <w:ffData>
                  <w:name w:val="Check1"/>
                  <w:enabled/>
                  <w:calcOnExit w:val="0"/>
                  <w:checkBox>
                    <w:sizeAuto/>
                    <w:default w:val="0"/>
                  </w:checkBox>
                </w:ffData>
              </w:fldChar>
            </w:r>
            <w:r w:rsidRPr="00532004">
              <w:instrText xml:space="preserve"> FORMCHECKBOX </w:instrText>
            </w:r>
            <w:r w:rsidR="00BD1016">
              <w:fldChar w:fldCharType="separate"/>
            </w:r>
            <w:r w:rsidRPr="00532004">
              <w:fldChar w:fldCharType="end"/>
            </w:r>
            <w:r w:rsidRPr="00532004">
              <w:t xml:space="preserve">Nurse practitioners </w:t>
            </w:r>
            <w:r w:rsidRPr="00532004">
              <w:fldChar w:fldCharType="begin" w:fldLock="1">
                <w:ffData>
                  <w:name w:val="Check1"/>
                  <w:enabled/>
                  <w:calcOnExit w:val="0"/>
                  <w:checkBox>
                    <w:sizeAuto/>
                    <w:default w:val="0"/>
                  </w:checkBox>
                </w:ffData>
              </w:fldChar>
            </w:r>
            <w:r w:rsidRPr="00532004">
              <w:instrText xml:space="preserve"> FORMCHECKBOX </w:instrText>
            </w:r>
            <w:r w:rsidR="00BD1016">
              <w:fldChar w:fldCharType="separate"/>
            </w:r>
            <w:r w:rsidRPr="00532004">
              <w:fldChar w:fldCharType="end"/>
            </w:r>
            <w:r w:rsidRPr="00532004">
              <w:t xml:space="preserve">Optometrists </w:t>
            </w:r>
            <w:r w:rsidRPr="00532004">
              <w:fldChar w:fldCharType="begin" w:fldLock="1">
                <w:ffData>
                  <w:name w:val="Check1"/>
                  <w:enabled/>
                  <w:calcOnExit w:val="0"/>
                  <w:checkBox>
                    <w:sizeAuto/>
                    <w:default w:val="0"/>
                  </w:checkBox>
                </w:ffData>
              </w:fldChar>
            </w:r>
            <w:r w:rsidRPr="00532004">
              <w:instrText xml:space="preserve"> FORMCHECKBOX </w:instrText>
            </w:r>
            <w:r w:rsidR="00BD1016">
              <w:fldChar w:fldCharType="separate"/>
            </w:r>
            <w:r w:rsidRPr="00532004">
              <w:fldChar w:fldCharType="end"/>
            </w:r>
            <w:r w:rsidRPr="00532004">
              <w:t>Midwives</w:t>
            </w:r>
          </w:p>
        </w:tc>
      </w:tr>
      <w:tr w:rsidR="00532004" w:rsidRPr="00532004" w14:paraId="23EA904C"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E9E8F40" w14:textId="77777777" w:rsidR="00532004" w:rsidRPr="00532004" w:rsidRDefault="00532004" w:rsidP="00532004">
            <w:pPr>
              <w:pStyle w:val="TableText"/>
              <w:keepNext w:val="0"/>
            </w:pPr>
            <w:r w:rsidRPr="00532004">
              <w:rPr>
                <w:b/>
              </w:rPr>
              <w:t xml:space="preserve">Condition: </w:t>
            </w:r>
            <w:r w:rsidRPr="00532004">
              <w:t>Chronic graft versus host disease (cGVHD)</w:t>
            </w:r>
          </w:p>
        </w:tc>
      </w:tr>
      <w:tr w:rsidR="00532004" w:rsidRPr="00532004" w14:paraId="430F6993" w14:textId="77777777" w:rsidTr="00532004">
        <w:trPr>
          <w:cantSplit/>
          <w:trHeight w:val="95"/>
        </w:trPr>
        <w:tc>
          <w:tcPr>
            <w:tcW w:w="5000" w:type="pct"/>
            <w:tcBorders>
              <w:top w:val="single" w:sz="4" w:space="0" w:color="auto"/>
              <w:left w:val="single" w:sz="4" w:space="0" w:color="auto"/>
              <w:bottom w:val="single" w:sz="4" w:space="0" w:color="auto"/>
              <w:right w:val="single" w:sz="4" w:space="0" w:color="auto"/>
            </w:tcBorders>
          </w:tcPr>
          <w:p w14:paraId="5B36094B" w14:textId="77777777" w:rsidR="00532004" w:rsidRPr="00532004" w:rsidRDefault="00532004" w:rsidP="00532004">
            <w:pPr>
              <w:pStyle w:val="TableText"/>
              <w:keepNext w:val="0"/>
            </w:pPr>
            <w:r w:rsidRPr="00532004">
              <w:rPr>
                <w:b/>
              </w:rPr>
              <w:t xml:space="preserve">Severity: </w:t>
            </w:r>
            <w:r w:rsidRPr="00532004">
              <w:t>Moderate to severe</w:t>
            </w:r>
          </w:p>
        </w:tc>
      </w:tr>
      <w:tr w:rsidR="00532004" w:rsidRPr="00532004" w14:paraId="65359C87"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FCC8C77" w14:textId="77777777" w:rsidR="00532004" w:rsidRPr="00532004" w:rsidRDefault="00532004" w:rsidP="00532004">
            <w:pPr>
              <w:pStyle w:val="TableText"/>
              <w:keepNext w:val="0"/>
            </w:pPr>
            <w:r w:rsidRPr="00532004">
              <w:rPr>
                <w:b/>
              </w:rPr>
              <w:t xml:space="preserve">PBS Indication: </w:t>
            </w:r>
            <w:r w:rsidRPr="00532004">
              <w:t>Moderate to severe chronic graft versus host disease (cGVHD)</w:t>
            </w:r>
          </w:p>
        </w:tc>
      </w:tr>
      <w:tr w:rsidR="00532004" w:rsidRPr="00532004" w14:paraId="1D2A0233"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F0F6888" w14:textId="77777777" w:rsidR="00532004" w:rsidRPr="00532004" w:rsidRDefault="00532004" w:rsidP="00532004">
            <w:pPr>
              <w:pStyle w:val="TableText"/>
              <w:keepNext w:val="0"/>
            </w:pPr>
            <w:r w:rsidRPr="00532004">
              <w:rPr>
                <w:b/>
              </w:rPr>
              <w:t xml:space="preserve">Treatment phase: </w:t>
            </w:r>
            <w:r w:rsidRPr="00532004">
              <w:t>Initial</w:t>
            </w:r>
          </w:p>
        </w:tc>
      </w:tr>
      <w:tr w:rsidR="00532004" w:rsidRPr="00532004" w14:paraId="698666D5"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D492111" w14:textId="6B9757CD" w:rsidR="00532004" w:rsidRPr="00532004" w:rsidRDefault="00532004" w:rsidP="00532004">
            <w:pPr>
              <w:pStyle w:val="TableText"/>
              <w:keepNext w:val="0"/>
            </w:pPr>
            <w:r w:rsidRPr="00532004">
              <w:rPr>
                <w:b/>
              </w:rPr>
              <w:t xml:space="preserve">Restriction type: </w:t>
            </w:r>
            <w:r w:rsidRPr="00532004">
              <w:fldChar w:fldCharType="begin" w:fldLock="1">
                <w:ffData>
                  <w:name w:val="Check5"/>
                  <w:enabled/>
                  <w:calcOnExit w:val="0"/>
                  <w:checkBox>
                    <w:sizeAuto/>
                    <w:default w:val="1"/>
                  </w:checkBox>
                </w:ffData>
              </w:fldChar>
            </w:r>
            <w:r w:rsidRPr="00532004">
              <w:instrText xml:space="preserve"> FORMCHECKBOX </w:instrText>
            </w:r>
            <w:r w:rsidR="00BD1016">
              <w:fldChar w:fldCharType="separate"/>
            </w:r>
            <w:r w:rsidRPr="00532004">
              <w:fldChar w:fldCharType="end"/>
            </w:r>
            <w:r w:rsidRPr="00532004">
              <w:t>Authority Required - Streamlined</w:t>
            </w:r>
          </w:p>
        </w:tc>
      </w:tr>
      <w:tr w:rsidR="00532004" w:rsidRPr="00532004" w14:paraId="57A84505"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3755770" w14:textId="77777777" w:rsidR="00532004" w:rsidRPr="00532004" w:rsidRDefault="00532004" w:rsidP="00532004">
            <w:pPr>
              <w:pStyle w:val="TableText"/>
              <w:keepNext w:val="0"/>
              <w:rPr>
                <w:b/>
              </w:rPr>
            </w:pPr>
          </w:p>
        </w:tc>
      </w:tr>
      <w:tr w:rsidR="00532004" w:rsidRPr="00532004" w14:paraId="509C3B96"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C93E3EF" w14:textId="77777777" w:rsidR="00532004" w:rsidRPr="00532004" w:rsidRDefault="00532004" w:rsidP="00532004">
            <w:pPr>
              <w:pStyle w:val="TableText"/>
              <w:keepNext w:val="0"/>
              <w:rPr>
                <w:b/>
              </w:rPr>
            </w:pPr>
            <w:r w:rsidRPr="00532004">
              <w:rPr>
                <w:b/>
              </w:rPr>
              <w:t>Clinical criteria:</w:t>
            </w:r>
          </w:p>
        </w:tc>
      </w:tr>
      <w:tr w:rsidR="00532004" w:rsidRPr="00532004" w14:paraId="7E0F83F7"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0497B64" w14:textId="77777777" w:rsidR="00532004" w:rsidRPr="00532004" w:rsidRDefault="00532004" w:rsidP="00532004">
            <w:pPr>
              <w:pStyle w:val="TableText"/>
              <w:keepNext w:val="0"/>
              <w:rPr>
                <w:rFonts w:cs="Arial"/>
              </w:rPr>
            </w:pPr>
            <w:r w:rsidRPr="00532004">
              <w:rPr>
                <w:rFonts w:cs="Arial"/>
                <w:strike/>
              </w:rPr>
              <w:t>The</w:t>
            </w:r>
            <w:r w:rsidRPr="00532004">
              <w:rPr>
                <w:rFonts w:cs="Arial"/>
              </w:rPr>
              <w:t xml:space="preserve"> Patient </w:t>
            </w:r>
            <w:r w:rsidRPr="00532004">
              <w:rPr>
                <w:rFonts w:cs="Arial"/>
                <w:i/>
                <w:iCs/>
              </w:rPr>
              <w:t>must have</w:t>
            </w:r>
            <w:r w:rsidRPr="00532004">
              <w:rPr>
                <w:rFonts w:cs="Arial"/>
              </w:rPr>
              <w:t xml:space="preserve"> </w:t>
            </w:r>
            <w:r w:rsidRPr="00532004">
              <w:rPr>
                <w:rFonts w:cs="Arial"/>
                <w:strike/>
              </w:rPr>
              <w:t>has</w:t>
            </w:r>
            <w:r w:rsidRPr="00532004">
              <w:rPr>
                <w:rFonts w:cs="Arial"/>
              </w:rPr>
              <w:t xml:space="preserve"> received prior systemic steroid treatment for this condition </w:t>
            </w:r>
            <w:r w:rsidRPr="00532004">
              <w:rPr>
                <w:rFonts w:cs="Arial"/>
                <w:strike/>
              </w:rPr>
              <w:t>and has experienced refractory disease or is dependent or intolerant to steroid treatment</w:t>
            </w:r>
          </w:p>
        </w:tc>
      </w:tr>
      <w:tr w:rsidR="00532004" w:rsidRPr="00532004" w14:paraId="7E3629EF"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13033C8A" w14:textId="77777777" w:rsidR="00532004" w:rsidRPr="00532004" w:rsidRDefault="00532004" w:rsidP="00532004">
            <w:pPr>
              <w:pStyle w:val="TableText"/>
              <w:keepNext w:val="0"/>
              <w:rPr>
                <w:rFonts w:cs="Arial"/>
                <w:b/>
                <w:bCs w:val="0"/>
              </w:rPr>
            </w:pPr>
            <w:r w:rsidRPr="00532004">
              <w:rPr>
                <w:rFonts w:cs="Arial"/>
                <w:b/>
                <w:bCs w:val="0"/>
              </w:rPr>
              <w:t>AND</w:t>
            </w:r>
          </w:p>
        </w:tc>
      </w:tr>
      <w:tr w:rsidR="00532004" w:rsidRPr="00532004" w14:paraId="66D985A8"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5F443CA" w14:textId="77777777" w:rsidR="00532004" w:rsidRPr="00532004" w:rsidRDefault="00532004" w:rsidP="00532004">
            <w:pPr>
              <w:pStyle w:val="TableText"/>
              <w:keepNext w:val="0"/>
              <w:rPr>
                <w:rFonts w:cs="Arial"/>
                <w:b/>
                <w:bCs w:val="0"/>
              </w:rPr>
            </w:pPr>
            <w:r w:rsidRPr="00532004">
              <w:rPr>
                <w:rFonts w:cs="Arial"/>
                <w:b/>
                <w:bCs w:val="0"/>
              </w:rPr>
              <w:t>Clinical criteria:</w:t>
            </w:r>
          </w:p>
        </w:tc>
      </w:tr>
      <w:tr w:rsidR="00532004" w:rsidRPr="00532004" w14:paraId="012C9C7D"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310AAA1B" w14:textId="77777777" w:rsidR="00532004" w:rsidRPr="00532004" w:rsidRDefault="00532004" w:rsidP="00532004">
            <w:pPr>
              <w:pStyle w:val="TableText"/>
              <w:keepNext w:val="0"/>
              <w:rPr>
                <w:rFonts w:cs="Arial"/>
                <w:i/>
                <w:iCs/>
              </w:rPr>
            </w:pPr>
            <w:r w:rsidRPr="00532004">
              <w:rPr>
                <w:rFonts w:cs="Arial"/>
                <w:i/>
                <w:iCs/>
              </w:rPr>
              <w:t>Patient must be one of the following (i) refractory to steroid treatment, (ii) dependent on steroid treatment, (iii) intolerant to steroid treatment</w:t>
            </w:r>
          </w:p>
        </w:tc>
      </w:tr>
      <w:tr w:rsidR="00532004" w:rsidRPr="00532004" w14:paraId="496D8F22"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D881A80" w14:textId="77777777" w:rsidR="00532004" w:rsidRPr="00532004" w:rsidDel="000E5613" w:rsidRDefault="00532004" w:rsidP="00532004">
            <w:pPr>
              <w:pStyle w:val="TableText"/>
              <w:keepNext w:val="0"/>
              <w:rPr>
                <w:rFonts w:cs="Arial"/>
                <w:i/>
                <w:iCs/>
              </w:rPr>
            </w:pPr>
            <w:r w:rsidRPr="00532004">
              <w:rPr>
                <w:rFonts w:cs="Arial"/>
                <w:b/>
                <w:bCs w:val="0"/>
              </w:rPr>
              <w:t>AND</w:t>
            </w:r>
          </w:p>
        </w:tc>
      </w:tr>
      <w:tr w:rsidR="00532004" w:rsidRPr="00532004" w14:paraId="40F5BC83"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35A0EC7" w14:textId="77777777" w:rsidR="00532004" w:rsidRPr="00532004" w:rsidDel="000E5613" w:rsidRDefault="00532004" w:rsidP="00532004">
            <w:pPr>
              <w:pStyle w:val="TableText"/>
              <w:keepNext w:val="0"/>
              <w:rPr>
                <w:rFonts w:cs="Arial"/>
                <w:i/>
                <w:iCs/>
              </w:rPr>
            </w:pPr>
            <w:r w:rsidRPr="00532004">
              <w:rPr>
                <w:rFonts w:cs="Arial"/>
                <w:b/>
                <w:bCs w:val="0"/>
              </w:rPr>
              <w:t>Clinical criteria:</w:t>
            </w:r>
          </w:p>
        </w:tc>
      </w:tr>
      <w:tr w:rsidR="00532004" w:rsidRPr="00532004" w14:paraId="3D4F170F"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9DA0DC4" w14:textId="77777777" w:rsidR="00532004" w:rsidRPr="00532004" w:rsidDel="000E5613" w:rsidRDefault="00532004" w:rsidP="00532004">
            <w:pPr>
              <w:pStyle w:val="TableText"/>
              <w:keepNext w:val="0"/>
              <w:rPr>
                <w:rFonts w:cs="Arial"/>
                <w:i/>
                <w:iCs/>
              </w:rPr>
            </w:pPr>
            <w:r w:rsidRPr="00532004">
              <w:rPr>
                <w:rFonts w:cs="Arial"/>
                <w:i/>
                <w:iCs/>
              </w:rPr>
              <w:t>The treatment must be the sole PBS subsidised treatment for this condition with the exception of: (i) corticosteroids, (ii) calcineurin inhibitors</w:t>
            </w:r>
          </w:p>
        </w:tc>
      </w:tr>
      <w:tr w:rsidR="00532004" w:rsidRPr="00532004" w14:paraId="046ABBE0"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A9AEC5E" w14:textId="77777777" w:rsidR="00532004" w:rsidRPr="00532004" w:rsidRDefault="00532004" w:rsidP="00532004">
            <w:pPr>
              <w:pStyle w:val="TableText"/>
              <w:rPr>
                <w:rFonts w:cs="Arial"/>
              </w:rPr>
            </w:pPr>
          </w:p>
        </w:tc>
      </w:tr>
      <w:tr w:rsidR="00532004" w:rsidRPr="00532004" w14:paraId="1B59AA88"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3A21057" w14:textId="77777777" w:rsidR="00532004" w:rsidRPr="00532004" w:rsidRDefault="00532004" w:rsidP="00532004">
            <w:pPr>
              <w:pStyle w:val="TableText"/>
              <w:rPr>
                <w:rFonts w:cs="Arial"/>
              </w:rPr>
            </w:pPr>
            <w:r w:rsidRPr="00532004">
              <w:rPr>
                <w:b/>
              </w:rPr>
              <w:t>Treatment criteria:</w:t>
            </w:r>
          </w:p>
        </w:tc>
      </w:tr>
      <w:tr w:rsidR="00532004" w:rsidRPr="00532004" w14:paraId="299B84B3"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2106264" w14:textId="77777777" w:rsidR="00532004" w:rsidRPr="00532004" w:rsidRDefault="00532004" w:rsidP="00532004">
            <w:pPr>
              <w:pStyle w:val="TableText"/>
              <w:rPr>
                <w:rFonts w:cs="Arial"/>
              </w:rPr>
            </w:pPr>
            <w:r w:rsidRPr="00532004">
              <w:rPr>
                <w:rFonts w:cs="Arial"/>
              </w:rPr>
              <w:t xml:space="preserve">Must be treated by </w:t>
            </w:r>
            <w:r w:rsidRPr="00532004">
              <w:rPr>
                <w:rFonts w:cs="Arial"/>
                <w:i/>
                <w:iCs/>
              </w:rPr>
              <w:t>either (i)</w:t>
            </w:r>
            <w:r w:rsidRPr="00532004">
              <w:rPr>
                <w:rFonts w:cs="Arial"/>
              </w:rPr>
              <w:t xml:space="preserve"> a haematologist,</w:t>
            </w:r>
            <w:r w:rsidRPr="00532004">
              <w:rPr>
                <w:rFonts w:cs="Arial"/>
                <w:strike/>
              </w:rPr>
              <w:t>; OR</w:t>
            </w:r>
            <w:r w:rsidRPr="00532004">
              <w:rPr>
                <w:rFonts w:cs="Arial"/>
              </w:rPr>
              <w:t xml:space="preserve"> </w:t>
            </w:r>
            <w:r w:rsidRPr="00532004">
              <w:rPr>
                <w:rFonts w:cs="Arial"/>
                <w:i/>
                <w:iCs/>
              </w:rPr>
              <w:t>(ii)</w:t>
            </w:r>
            <w:r w:rsidRPr="00532004">
              <w:rPr>
                <w:rFonts w:cs="Arial"/>
              </w:rPr>
              <w:t xml:space="preserve"> </w:t>
            </w:r>
            <w:r w:rsidRPr="00532004">
              <w:rPr>
                <w:rFonts w:cs="Arial"/>
                <w:strike/>
              </w:rPr>
              <w:t>Must be treated by</w:t>
            </w:r>
            <w:r w:rsidRPr="00532004">
              <w:rPr>
                <w:rFonts w:cs="Arial"/>
              </w:rPr>
              <w:t xml:space="preserve"> an oncologist with allogeneic bone marrow transplantation experience,</w:t>
            </w:r>
            <w:r w:rsidRPr="00532004">
              <w:rPr>
                <w:rFonts w:cs="Arial"/>
                <w:strike/>
              </w:rPr>
              <w:t>; OR</w:t>
            </w:r>
            <w:r w:rsidRPr="00532004">
              <w:rPr>
                <w:rFonts w:cs="Arial"/>
              </w:rPr>
              <w:t xml:space="preserve"> </w:t>
            </w:r>
            <w:r w:rsidRPr="00532004">
              <w:rPr>
                <w:rFonts w:cs="Arial"/>
                <w:i/>
                <w:iCs/>
              </w:rPr>
              <w:t>(iii)</w:t>
            </w:r>
            <w:r w:rsidRPr="00532004">
              <w:rPr>
                <w:rFonts w:cs="Arial"/>
              </w:rPr>
              <w:t xml:space="preserve"> </w:t>
            </w:r>
            <w:r w:rsidRPr="00532004">
              <w:rPr>
                <w:rFonts w:cs="Arial"/>
                <w:strike/>
              </w:rPr>
              <w:t>Must be treated by</w:t>
            </w:r>
            <w:r w:rsidRPr="00532004">
              <w:rPr>
                <w:rFonts w:cs="Arial"/>
              </w:rPr>
              <w:t xml:space="preserve"> a medical practitioner working under the direct supervision of one of the </w:t>
            </w:r>
            <w:r w:rsidRPr="00532004">
              <w:rPr>
                <w:rFonts w:cs="Arial"/>
                <w:strike/>
              </w:rPr>
              <w:t>above</w:t>
            </w:r>
            <w:r w:rsidRPr="00532004">
              <w:rPr>
                <w:rFonts w:cs="Arial"/>
              </w:rPr>
              <w:t xml:space="preserve"> afore mentioned specialist types</w:t>
            </w:r>
          </w:p>
        </w:tc>
      </w:tr>
      <w:tr w:rsidR="00532004" w:rsidRPr="00532004" w14:paraId="14F6DC00"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121B3AD" w14:textId="77777777" w:rsidR="00532004" w:rsidRPr="00532004" w:rsidRDefault="00532004" w:rsidP="00532004">
            <w:pPr>
              <w:pStyle w:val="TableText"/>
              <w:rPr>
                <w:rFonts w:cs="Arial"/>
                <w:b/>
                <w:bCs w:val="0"/>
              </w:rPr>
            </w:pPr>
            <w:r w:rsidRPr="00532004">
              <w:rPr>
                <w:rFonts w:cs="Arial"/>
                <w:b/>
                <w:bCs w:val="0"/>
              </w:rPr>
              <w:t>AND</w:t>
            </w:r>
          </w:p>
        </w:tc>
      </w:tr>
      <w:tr w:rsidR="00532004" w:rsidRPr="00532004" w14:paraId="4DB096C4"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E4FFD2E" w14:textId="77777777" w:rsidR="00532004" w:rsidRPr="00532004" w:rsidRDefault="00532004" w:rsidP="00532004">
            <w:pPr>
              <w:pStyle w:val="TableText"/>
              <w:rPr>
                <w:rFonts w:cs="Arial"/>
              </w:rPr>
            </w:pPr>
            <w:r w:rsidRPr="00532004">
              <w:rPr>
                <w:b/>
              </w:rPr>
              <w:t>Treatment criteria:</w:t>
            </w:r>
          </w:p>
        </w:tc>
      </w:tr>
      <w:tr w:rsidR="00532004" w:rsidRPr="00532004" w14:paraId="2FF77BF0"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06D18C13" w14:textId="77777777" w:rsidR="00532004" w:rsidRPr="00532004" w:rsidRDefault="00532004" w:rsidP="00532004">
            <w:pPr>
              <w:pStyle w:val="TableText"/>
              <w:rPr>
                <w:rFonts w:cs="Arial"/>
              </w:rPr>
            </w:pPr>
            <w:r w:rsidRPr="00532004">
              <w:rPr>
                <w:rFonts w:cs="Arial"/>
              </w:rPr>
              <w:t>Patient must be undergoing treatment with this drug following allogenic haematopoietic stem cell transplantation</w:t>
            </w:r>
          </w:p>
        </w:tc>
      </w:tr>
      <w:tr w:rsidR="00532004" w:rsidRPr="00532004" w14:paraId="004ED26C"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A4E137F" w14:textId="77777777" w:rsidR="00532004" w:rsidRPr="00532004" w:rsidRDefault="00532004" w:rsidP="00532004">
            <w:pPr>
              <w:pStyle w:val="TableText"/>
              <w:rPr>
                <w:rFonts w:cs="Arial"/>
              </w:rPr>
            </w:pPr>
          </w:p>
        </w:tc>
      </w:tr>
      <w:tr w:rsidR="00532004" w:rsidRPr="00532004" w14:paraId="6258007E"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93F0963" w14:textId="77777777" w:rsidR="00532004" w:rsidRPr="00532004" w:rsidRDefault="00532004" w:rsidP="00532004">
            <w:pPr>
              <w:pStyle w:val="TableText"/>
              <w:rPr>
                <w:rFonts w:cs="Arial"/>
                <w:strike/>
              </w:rPr>
            </w:pPr>
            <w:r w:rsidRPr="00532004">
              <w:rPr>
                <w:b/>
                <w:strike/>
              </w:rPr>
              <w:t>Population criteria:</w:t>
            </w:r>
          </w:p>
        </w:tc>
      </w:tr>
      <w:tr w:rsidR="00532004" w:rsidRPr="00532004" w14:paraId="6970D341"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B3A5F8F" w14:textId="77777777" w:rsidR="00532004" w:rsidRPr="00532004" w:rsidRDefault="00532004" w:rsidP="00532004">
            <w:pPr>
              <w:pStyle w:val="TableText"/>
              <w:keepNext w:val="0"/>
              <w:rPr>
                <w:rFonts w:cs="Arial"/>
                <w:strike/>
              </w:rPr>
            </w:pPr>
            <w:r w:rsidRPr="00532004">
              <w:rPr>
                <w:rFonts w:cs="Arial"/>
                <w:strike/>
              </w:rPr>
              <w:t>Patient must be 12 years of age or older</w:t>
            </w:r>
          </w:p>
        </w:tc>
      </w:tr>
      <w:tr w:rsidR="00532004" w:rsidRPr="00532004" w14:paraId="14FC6876"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0E5A51F" w14:textId="77777777" w:rsidR="00532004" w:rsidRPr="00532004" w:rsidRDefault="00532004" w:rsidP="00532004">
            <w:pPr>
              <w:pStyle w:val="TableText"/>
              <w:keepNext w:val="0"/>
              <w:rPr>
                <w:rFonts w:cs="Arial"/>
              </w:rPr>
            </w:pPr>
          </w:p>
        </w:tc>
      </w:tr>
      <w:tr w:rsidR="00532004" w:rsidRPr="00532004" w14:paraId="3ECC8B08"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4239270" w14:textId="77777777" w:rsidR="00532004" w:rsidRPr="00532004" w:rsidRDefault="00532004" w:rsidP="00532004">
            <w:pPr>
              <w:pStyle w:val="TableText"/>
              <w:rPr>
                <w:b/>
              </w:rPr>
            </w:pPr>
            <w:r w:rsidRPr="00532004">
              <w:rPr>
                <w:b/>
              </w:rPr>
              <w:t>Prescriber instructions:</w:t>
            </w:r>
          </w:p>
          <w:p w14:paraId="43B5C76D" w14:textId="335B7D1C" w:rsidR="00532004" w:rsidRPr="00532004" w:rsidRDefault="00532004" w:rsidP="00532004">
            <w:pPr>
              <w:pStyle w:val="CommentText"/>
              <w:rPr>
                <w:rFonts w:ascii="Arial Narrow" w:hAnsi="Arial Narrow"/>
              </w:rPr>
            </w:pPr>
            <w:r w:rsidRPr="00532004">
              <w:rPr>
                <w:rFonts w:ascii="Arial Narrow" w:hAnsi="Arial Narrow"/>
              </w:rPr>
              <w:t xml:space="preserve">The severity of cGVHD is defined by the </w:t>
            </w:r>
            <w:r w:rsidRPr="00532004">
              <w:rPr>
                <w:rFonts w:ascii="Arial Narrow" w:hAnsi="Arial Narrow"/>
                <w:i/>
                <w:iCs/>
              </w:rPr>
              <w:t>National Institutes of Health (</w:t>
            </w:r>
            <w:r w:rsidRPr="00532004">
              <w:rPr>
                <w:rFonts w:ascii="Arial Narrow" w:hAnsi="Arial Narrow"/>
              </w:rPr>
              <w:t>NIH</w:t>
            </w:r>
            <w:r w:rsidRPr="00532004">
              <w:rPr>
                <w:rFonts w:ascii="Arial Narrow" w:hAnsi="Arial Narrow"/>
                <w:i/>
                <w:iCs/>
              </w:rPr>
              <w:t>)</w:t>
            </w:r>
            <w:r w:rsidRPr="00532004">
              <w:rPr>
                <w:rFonts w:ascii="Arial Narrow" w:hAnsi="Arial Narrow"/>
              </w:rPr>
              <w:t xml:space="preserve"> criteria </w:t>
            </w:r>
            <w:r w:rsidRPr="00532004">
              <w:rPr>
                <w:rFonts w:ascii="Arial Narrow" w:hAnsi="Arial Narrow"/>
                <w:i/>
                <w:iCs/>
              </w:rPr>
              <w:t xml:space="preserve">available at </w:t>
            </w:r>
            <w:hyperlink r:id="rId8" w:history="1">
              <w:r w:rsidRPr="00532004">
                <w:rPr>
                  <w:rStyle w:val="Hyperlink"/>
                  <w:rFonts w:ascii="Arial Narrow" w:hAnsi="Arial Narrow" w:cs="Calibri"/>
                  <w:i/>
                  <w:iCs/>
                </w:rPr>
                <w:t>https://www.ncbi.nlm.nih.gov/pmc/articles/PMC4329079/</w:t>
              </w:r>
            </w:hyperlink>
            <w:r w:rsidRPr="00532004">
              <w:rPr>
                <w:rFonts w:ascii="Arial Narrow" w:hAnsi="Arial Narrow"/>
              </w:rPr>
              <w:t xml:space="preserve"> </w:t>
            </w:r>
            <w:r w:rsidRPr="00532004">
              <w:rPr>
                <w:rFonts w:ascii="Arial Narrow" w:hAnsi="Arial Narrow"/>
                <w:strike/>
              </w:rPr>
              <w:t>(Jagasia et al, 2015)</w:t>
            </w:r>
            <w:r w:rsidRPr="00532004">
              <w:rPr>
                <w:rFonts w:ascii="Arial Narrow" w:hAnsi="Arial Narrow"/>
              </w:rPr>
              <w:t>:</w:t>
            </w:r>
          </w:p>
          <w:p w14:paraId="2FB07A4A" w14:textId="77777777" w:rsidR="00532004" w:rsidRPr="00532004" w:rsidRDefault="00532004" w:rsidP="00532004">
            <w:pPr>
              <w:pStyle w:val="TableText"/>
              <w:ind w:left="227" w:hanging="227"/>
              <w:rPr>
                <w:rFonts w:cs="Arial"/>
              </w:rPr>
            </w:pPr>
            <w:r w:rsidRPr="00532004">
              <w:rPr>
                <w:rFonts w:cs="Arial"/>
                <w:szCs w:val="20"/>
              </w:rPr>
              <w:t>(a) Moderate cGVHD</w:t>
            </w:r>
            <w:r w:rsidRPr="00532004">
              <w:rPr>
                <w:rFonts w:cs="Arial"/>
              </w:rPr>
              <w:t>: At least one organ (not lung) with a score of 2, 3 or more organs involved with a score of 1 in each organ, or lung score of 1</w:t>
            </w:r>
          </w:p>
          <w:p w14:paraId="20502C9F" w14:textId="77777777" w:rsidR="00532004" w:rsidRPr="00532004" w:rsidRDefault="00532004" w:rsidP="00532004">
            <w:pPr>
              <w:pStyle w:val="TableText"/>
              <w:ind w:left="227" w:hanging="227"/>
              <w:rPr>
                <w:rFonts w:cs="Arial"/>
              </w:rPr>
            </w:pPr>
            <w:r w:rsidRPr="00532004">
              <w:rPr>
                <w:rFonts w:cs="Arial"/>
              </w:rPr>
              <w:t>(b) Severe cGVHD: at least 1 organ with a score of 3, or lung score of 2 or 3</w:t>
            </w:r>
          </w:p>
        </w:tc>
      </w:tr>
      <w:tr w:rsidR="00532004" w:rsidRPr="00532004" w14:paraId="645720C3"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0969A567" w14:textId="77777777" w:rsidR="00532004" w:rsidRPr="00532004" w:rsidRDefault="00532004" w:rsidP="00532004">
            <w:pPr>
              <w:pStyle w:val="TableText"/>
              <w:rPr>
                <w:rFonts w:cs="Arial"/>
                <w:b/>
                <w:bCs w:val="0"/>
              </w:rPr>
            </w:pPr>
            <w:r w:rsidRPr="00532004">
              <w:rPr>
                <w:rFonts w:cs="Arial"/>
                <w:b/>
                <w:bCs w:val="0"/>
              </w:rPr>
              <w:t>Prescriber instructions:</w:t>
            </w:r>
          </w:p>
          <w:p w14:paraId="34FB08E1" w14:textId="57DB6B92" w:rsidR="00532004" w:rsidRPr="00532004" w:rsidRDefault="00532004" w:rsidP="00532004">
            <w:pPr>
              <w:pStyle w:val="CommentText"/>
              <w:rPr>
                <w:rFonts w:ascii="Arial Narrow" w:hAnsi="Arial Narrow"/>
              </w:rPr>
            </w:pPr>
            <w:r w:rsidRPr="00532004">
              <w:rPr>
                <w:rFonts w:ascii="Arial Narrow" w:hAnsi="Arial Narrow"/>
              </w:rPr>
              <w:t xml:space="preserve">Steroid-refractory disease is defined by the </w:t>
            </w:r>
            <w:r w:rsidRPr="00532004">
              <w:rPr>
                <w:rFonts w:ascii="Arial Narrow" w:hAnsi="Arial Narrow"/>
                <w:i/>
                <w:iCs/>
              </w:rPr>
              <w:t>National Institutes of Health (</w:t>
            </w:r>
            <w:r w:rsidRPr="00532004">
              <w:rPr>
                <w:rFonts w:ascii="Arial Narrow" w:hAnsi="Arial Narrow"/>
              </w:rPr>
              <w:t>NIH</w:t>
            </w:r>
            <w:r w:rsidRPr="00532004">
              <w:rPr>
                <w:rFonts w:ascii="Arial Narrow" w:hAnsi="Arial Narrow"/>
                <w:i/>
                <w:iCs/>
              </w:rPr>
              <w:t>)</w:t>
            </w:r>
            <w:r w:rsidRPr="00532004">
              <w:rPr>
                <w:rFonts w:ascii="Arial Narrow" w:hAnsi="Arial Narrow"/>
              </w:rPr>
              <w:t xml:space="preserve"> criteria </w:t>
            </w:r>
            <w:r w:rsidRPr="00532004">
              <w:rPr>
                <w:rFonts w:ascii="Arial Narrow" w:hAnsi="Arial Narrow"/>
                <w:i/>
                <w:iCs/>
              </w:rPr>
              <w:t xml:space="preserve">available at: </w:t>
            </w:r>
            <w:hyperlink r:id="rId9" w:history="1">
              <w:r w:rsidRPr="00532004">
                <w:rPr>
                  <w:rStyle w:val="Hyperlink"/>
                  <w:rFonts w:ascii="Arial Narrow" w:hAnsi="Arial Narrow" w:cs="Calibri"/>
                  <w:i/>
                  <w:iCs/>
                </w:rPr>
                <w:t>https://pubmed.ncbi.nlm.nih.gov/25985921/</w:t>
              </w:r>
            </w:hyperlink>
            <w:r w:rsidRPr="00532004">
              <w:rPr>
                <w:rStyle w:val="Hyperlink"/>
                <w:rFonts w:ascii="Arial Narrow" w:hAnsi="Arial Narrow" w:cs="Calibri"/>
              </w:rPr>
              <w:t xml:space="preserve"> </w:t>
            </w:r>
            <w:r w:rsidRPr="00532004">
              <w:rPr>
                <w:rStyle w:val="Hyperlink"/>
                <w:rFonts w:ascii="Arial Narrow" w:hAnsi="Arial Narrow" w:cs="Calibri"/>
                <w:strike/>
              </w:rPr>
              <w:t>a</w:t>
            </w:r>
            <w:r w:rsidRPr="00532004">
              <w:rPr>
                <w:rFonts w:ascii="Arial Narrow" w:hAnsi="Arial Narrow"/>
                <w:strike/>
              </w:rPr>
              <w:t>s (Martin et al, 2015)</w:t>
            </w:r>
            <w:r w:rsidRPr="00532004">
              <w:rPr>
                <w:rFonts w:ascii="Arial Narrow" w:hAnsi="Arial Narrow"/>
              </w:rPr>
              <w:t>:</w:t>
            </w:r>
          </w:p>
          <w:p w14:paraId="1D907CE0" w14:textId="77777777" w:rsidR="00532004" w:rsidRPr="00532004" w:rsidRDefault="00532004" w:rsidP="00532004">
            <w:pPr>
              <w:pStyle w:val="TableText"/>
              <w:ind w:left="108"/>
              <w:rPr>
                <w:rFonts w:cs="Arial"/>
              </w:rPr>
            </w:pPr>
            <w:r w:rsidRPr="00532004">
              <w:rPr>
                <w:rFonts w:cs="Arial"/>
              </w:rPr>
              <w:t>(a) A lack of response or disease progression after administration of minimum prednisone 1 mg/kg/day for at least 1 week (or equivalent) OR</w:t>
            </w:r>
          </w:p>
          <w:p w14:paraId="4B136EBF" w14:textId="77777777" w:rsidR="00532004" w:rsidRPr="00532004" w:rsidRDefault="00532004" w:rsidP="00532004">
            <w:pPr>
              <w:pStyle w:val="TableText"/>
              <w:ind w:left="108"/>
              <w:rPr>
                <w:rFonts w:cs="Arial"/>
              </w:rPr>
            </w:pPr>
            <w:r w:rsidRPr="00532004">
              <w:rPr>
                <w:rFonts w:cs="Arial"/>
              </w:rPr>
              <w:t xml:space="preserve">(b) Disease persistence without improvement despite continued treatment with prednisone at &gt; 0.5 mg/kg/day or 1 mg/kg/every other day for at least 4 weeks (or equivalent) </w:t>
            </w:r>
          </w:p>
          <w:p w14:paraId="438C7944" w14:textId="77777777" w:rsidR="00532004" w:rsidRPr="00532004" w:rsidRDefault="00532004" w:rsidP="00532004">
            <w:pPr>
              <w:pStyle w:val="TableText"/>
              <w:rPr>
                <w:rFonts w:cs="Arial"/>
              </w:rPr>
            </w:pPr>
            <w:r w:rsidRPr="00532004">
              <w:rPr>
                <w:rFonts w:cs="Arial"/>
              </w:rPr>
              <w:t xml:space="preserve">Steroid-dependent disease is </w:t>
            </w:r>
            <w:r w:rsidRPr="00532004">
              <w:rPr>
                <w:rFonts w:cs="Arial"/>
                <w:i/>
                <w:iCs/>
              </w:rPr>
              <w:t>defined</w:t>
            </w:r>
            <w:r w:rsidRPr="00532004">
              <w:rPr>
                <w:rFonts w:cs="Arial"/>
              </w:rPr>
              <w:t xml:space="preserve"> by the NIH criteria as </w:t>
            </w:r>
            <w:r w:rsidRPr="00532004">
              <w:rPr>
                <w:rFonts w:cs="Arial"/>
                <w:strike/>
              </w:rPr>
              <w:t>(Martin et al, 2015)</w:t>
            </w:r>
            <w:r w:rsidRPr="00532004">
              <w:rPr>
                <w:rFonts w:cs="Arial"/>
              </w:rPr>
              <w:t xml:space="preserve"> </w:t>
            </w:r>
            <w:r w:rsidRPr="00532004">
              <w:rPr>
                <w:rFonts w:cs="Arial"/>
                <w:i/>
                <w:iCs/>
              </w:rPr>
              <w:t xml:space="preserve">an </w:t>
            </w:r>
            <w:r w:rsidRPr="00532004">
              <w:rPr>
                <w:rFonts w:cs="Arial"/>
              </w:rPr>
              <w:t xml:space="preserve">increased prednisone dose to &gt; 0.25 mg/kg/day after two unsuccessful attempts to taper the dose (or equivalent) </w:t>
            </w:r>
            <w:r w:rsidRPr="00532004">
              <w:rPr>
                <w:rFonts w:cs="Arial"/>
                <w:strike/>
              </w:rPr>
              <w:t>(criteria corresponding to steroid dependency)</w:t>
            </w:r>
          </w:p>
          <w:p w14:paraId="7F150469" w14:textId="77777777" w:rsidR="00532004" w:rsidRPr="00532004" w:rsidRDefault="00532004" w:rsidP="00532004">
            <w:pPr>
              <w:pStyle w:val="TableText"/>
              <w:keepNext w:val="0"/>
              <w:rPr>
                <w:rFonts w:cs="Arial"/>
              </w:rPr>
            </w:pPr>
            <w:r w:rsidRPr="00532004">
              <w:rPr>
                <w:rFonts w:cs="Arial"/>
              </w:rPr>
              <w:t>Steroid intolerance is defined as patient must have developed an intolerance to steroid treatment of a severity necessitating treatment withdrawal.</w:t>
            </w:r>
          </w:p>
        </w:tc>
      </w:tr>
      <w:tr w:rsidR="00532004" w:rsidRPr="00532004" w14:paraId="27FED420"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332F0E5E" w14:textId="77777777" w:rsidR="00532004" w:rsidRPr="00532004" w:rsidRDefault="00532004" w:rsidP="00532004">
            <w:pPr>
              <w:pStyle w:val="TableText"/>
              <w:rPr>
                <w:rFonts w:cs="Arial"/>
                <w:b/>
                <w:bCs w:val="0"/>
                <w:strike/>
              </w:rPr>
            </w:pPr>
            <w:r w:rsidRPr="00532004">
              <w:rPr>
                <w:rFonts w:cs="Arial"/>
                <w:b/>
                <w:bCs w:val="0"/>
                <w:strike/>
              </w:rPr>
              <w:t>Prescriber instructions:</w:t>
            </w:r>
          </w:p>
          <w:p w14:paraId="2F46F534" w14:textId="77777777" w:rsidR="00532004" w:rsidRPr="00532004" w:rsidRDefault="00532004" w:rsidP="00532004">
            <w:pPr>
              <w:pStyle w:val="TableText"/>
              <w:rPr>
                <w:rFonts w:cs="Arial"/>
                <w:strike/>
              </w:rPr>
            </w:pPr>
            <w:r w:rsidRPr="00532004">
              <w:rPr>
                <w:rFonts w:cs="Arial"/>
                <w:strike/>
              </w:rPr>
              <w:t xml:space="preserve">Response is defined as attaining a complete or partial response as defined by the </w:t>
            </w:r>
            <w:r w:rsidRPr="00532004">
              <w:rPr>
                <w:rFonts w:cs="Arial"/>
                <w:i/>
                <w:iCs/>
                <w:strike/>
              </w:rPr>
              <w:t>National Institutes of Health (</w:t>
            </w:r>
            <w:r w:rsidRPr="00532004">
              <w:rPr>
                <w:rFonts w:cs="Arial"/>
                <w:strike/>
              </w:rPr>
              <w:t>NIH</w:t>
            </w:r>
            <w:r w:rsidRPr="00532004">
              <w:rPr>
                <w:rFonts w:cs="Arial"/>
                <w:i/>
                <w:iCs/>
                <w:strike/>
              </w:rPr>
              <w:t>)</w:t>
            </w:r>
            <w:r w:rsidRPr="00532004">
              <w:rPr>
                <w:rFonts w:cs="Arial"/>
                <w:strike/>
              </w:rPr>
              <w:t xml:space="preserve"> criteria (Lee et al., 2015). Note that response is relative to the assessment of organ function affected by cGVHD prior to commencing initial treatment with ruxolitinib.</w:t>
            </w:r>
          </w:p>
          <w:p w14:paraId="5039A98D" w14:textId="77777777" w:rsidR="00532004" w:rsidRPr="00532004" w:rsidRDefault="00532004" w:rsidP="00A2582A">
            <w:pPr>
              <w:pStyle w:val="TableText"/>
              <w:numPr>
                <w:ilvl w:val="0"/>
                <w:numId w:val="7"/>
              </w:numPr>
              <w:ind w:left="323" w:hanging="218"/>
              <w:rPr>
                <w:rFonts w:cs="Arial"/>
                <w:strike/>
              </w:rPr>
            </w:pPr>
            <w:r w:rsidRPr="00532004">
              <w:rPr>
                <w:rFonts w:cs="Arial"/>
                <w:strike/>
              </w:rPr>
              <w:t>Complete response is defined as complete resolution of all signs and symptoms of cGVHD in all evaluable organs without initiation or addition of new systemic therapy.</w:t>
            </w:r>
          </w:p>
          <w:p w14:paraId="4F2A6202" w14:textId="77777777" w:rsidR="00532004" w:rsidRPr="00532004" w:rsidRDefault="00532004" w:rsidP="00A2582A">
            <w:pPr>
              <w:pStyle w:val="TableText"/>
              <w:numPr>
                <w:ilvl w:val="0"/>
                <w:numId w:val="7"/>
              </w:numPr>
              <w:ind w:left="323" w:hanging="218"/>
              <w:rPr>
                <w:rFonts w:cs="Arial"/>
              </w:rPr>
            </w:pPr>
            <w:r w:rsidRPr="00532004">
              <w:rPr>
                <w:rFonts w:cs="Arial"/>
                <w:strike/>
              </w:rPr>
              <w:t>Partial response is defined as an improvement in at least one organ (e.g. improvement of 1 or more points on a 4 to 7 point scale, or an improvement of 2 or more points on a 10 to 12 point scale) without progression in other organs or sites, initiation or addition of new systemic therapies.</w:t>
            </w:r>
          </w:p>
        </w:tc>
      </w:tr>
      <w:tr w:rsidR="00532004" w:rsidRPr="00532004" w14:paraId="04E90B82"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3FFDC12F" w14:textId="77777777" w:rsidR="00532004" w:rsidRPr="00532004" w:rsidRDefault="00532004" w:rsidP="00532004">
            <w:pPr>
              <w:pStyle w:val="TableText"/>
              <w:keepNext w:val="0"/>
              <w:rPr>
                <w:rFonts w:cs="Arial"/>
              </w:rPr>
            </w:pPr>
          </w:p>
        </w:tc>
      </w:tr>
      <w:tr w:rsidR="00532004" w:rsidRPr="00532004" w14:paraId="2A3F2F33"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9FBC19B" w14:textId="77777777" w:rsidR="00532004" w:rsidRPr="00532004" w:rsidRDefault="00532004" w:rsidP="00532004">
            <w:pPr>
              <w:pStyle w:val="TableText"/>
              <w:keepNext w:val="0"/>
              <w:rPr>
                <w:rFonts w:cs="Arial"/>
              </w:rPr>
            </w:pPr>
            <w:r w:rsidRPr="00532004">
              <w:rPr>
                <w:b/>
              </w:rPr>
              <w:t xml:space="preserve">Administrative advice: </w:t>
            </w:r>
            <w:r w:rsidRPr="00532004">
              <w:rPr>
                <w:rFonts w:cs="Arial"/>
              </w:rPr>
              <w:t>This drug is not PBS-subsidised if it is prescribed to an in-patient in a public hospital setting</w:t>
            </w:r>
          </w:p>
        </w:tc>
      </w:tr>
      <w:tr w:rsidR="00532004" w:rsidRPr="00532004" w14:paraId="7C60BC11"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EEE708D" w14:textId="77777777" w:rsidR="00532004" w:rsidRPr="00532004" w:rsidRDefault="00532004" w:rsidP="00532004">
            <w:pPr>
              <w:pStyle w:val="TableText"/>
              <w:keepNext w:val="0"/>
              <w:rPr>
                <w:b/>
                <w:i/>
                <w:iCs/>
              </w:rPr>
            </w:pPr>
            <w:r w:rsidRPr="00532004">
              <w:rPr>
                <w:b/>
                <w:i/>
                <w:iCs/>
              </w:rPr>
              <w:t xml:space="preserve">Administrative advice: </w:t>
            </w:r>
            <w:r w:rsidRPr="00532004">
              <w:rPr>
                <w:bCs w:val="0"/>
                <w:i/>
                <w:iCs/>
              </w:rPr>
              <w:t>Special Pricing Arrangements apply</w:t>
            </w:r>
          </w:p>
        </w:tc>
      </w:tr>
    </w:tbl>
    <w:p w14:paraId="261BD921" w14:textId="77777777" w:rsidR="00532004" w:rsidRPr="00532004" w:rsidRDefault="00532004" w:rsidP="00532004"/>
    <w:tbl>
      <w:tblPr>
        <w:tblW w:w="5000" w:type="pct"/>
        <w:tblLook w:val="0000" w:firstRow="0" w:lastRow="0" w:firstColumn="0" w:lastColumn="0" w:noHBand="0" w:noVBand="0"/>
      </w:tblPr>
      <w:tblGrid>
        <w:gridCol w:w="9017"/>
      </w:tblGrid>
      <w:tr w:rsidR="00532004" w:rsidRPr="00532004" w14:paraId="48F8C96A"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49310CF" w14:textId="77777777" w:rsidR="00532004" w:rsidRPr="00532004" w:rsidRDefault="00532004" w:rsidP="00532004">
            <w:pPr>
              <w:pStyle w:val="TableText"/>
              <w:keepNext w:val="0"/>
            </w:pPr>
            <w:r w:rsidRPr="00532004">
              <w:rPr>
                <w:b/>
              </w:rPr>
              <w:t xml:space="preserve">Category / Program: </w:t>
            </w:r>
            <w:r w:rsidRPr="00532004">
              <w:t>GENERAL – General Schedule (Code GE)</w:t>
            </w:r>
          </w:p>
        </w:tc>
      </w:tr>
      <w:tr w:rsidR="00532004" w:rsidRPr="00532004" w14:paraId="387CADF4"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03B280F" w14:textId="15082B73" w:rsidR="00532004" w:rsidRPr="00532004" w:rsidRDefault="00532004" w:rsidP="00532004">
            <w:pPr>
              <w:pStyle w:val="TableText"/>
              <w:keepNext w:val="0"/>
            </w:pPr>
            <w:r w:rsidRPr="00532004">
              <w:rPr>
                <w:b/>
              </w:rPr>
              <w:t xml:space="preserve">Prescriber type: </w:t>
            </w:r>
            <w:r w:rsidRPr="00532004">
              <w:fldChar w:fldCharType="begin" w:fldLock="1">
                <w:ffData>
                  <w:name w:val="Check1"/>
                  <w:enabled/>
                  <w:calcOnExit w:val="0"/>
                  <w:checkBox>
                    <w:sizeAuto/>
                    <w:default w:val="0"/>
                  </w:checkBox>
                </w:ffData>
              </w:fldChar>
            </w:r>
            <w:r w:rsidRPr="00532004">
              <w:instrText xml:space="preserve"> FORMCHECKBOX </w:instrText>
            </w:r>
            <w:r w:rsidR="00BD1016">
              <w:fldChar w:fldCharType="separate"/>
            </w:r>
            <w:r w:rsidRPr="00532004">
              <w:fldChar w:fldCharType="end"/>
            </w:r>
            <w:r w:rsidRPr="00532004">
              <w:t xml:space="preserve">Dental  </w:t>
            </w:r>
            <w:r w:rsidRPr="00532004">
              <w:fldChar w:fldCharType="begin" w:fldLock="1">
                <w:ffData>
                  <w:name w:val="Check1"/>
                  <w:enabled/>
                  <w:calcOnExit w:val="0"/>
                  <w:checkBox>
                    <w:sizeAuto/>
                    <w:default w:val="1"/>
                  </w:checkBox>
                </w:ffData>
              </w:fldChar>
            </w:r>
            <w:r w:rsidRPr="00532004">
              <w:instrText xml:space="preserve"> FORMCHECKBOX </w:instrText>
            </w:r>
            <w:r w:rsidR="00BD1016">
              <w:fldChar w:fldCharType="separate"/>
            </w:r>
            <w:r w:rsidRPr="00532004">
              <w:fldChar w:fldCharType="end"/>
            </w:r>
            <w:r w:rsidRPr="00532004">
              <w:t xml:space="preserve">Medical Practitioners  </w:t>
            </w:r>
            <w:r w:rsidRPr="00532004">
              <w:fldChar w:fldCharType="begin" w:fldLock="1">
                <w:ffData>
                  <w:name w:val="Check1"/>
                  <w:enabled/>
                  <w:calcOnExit w:val="0"/>
                  <w:checkBox>
                    <w:sizeAuto/>
                    <w:default w:val="0"/>
                  </w:checkBox>
                </w:ffData>
              </w:fldChar>
            </w:r>
            <w:r w:rsidRPr="00532004">
              <w:instrText xml:space="preserve"> FORMCHECKBOX </w:instrText>
            </w:r>
            <w:r w:rsidR="00BD1016">
              <w:fldChar w:fldCharType="separate"/>
            </w:r>
            <w:r w:rsidRPr="00532004">
              <w:fldChar w:fldCharType="end"/>
            </w:r>
            <w:r w:rsidRPr="00532004">
              <w:t xml:space="preserve">Nurse practitioners </w:t>
            </w:r>
            <w:r w:rsidRPr="00532004">
              <w:fldChar w:fldCharType="begin" w:fldLock="1">
                <w:ffData>
                  <w:name w:val="Check1"/>
                  <w:enabled/>
                  <w:calcOnExit w:val="0"/>
                  <w:checkBox>
                    <w:sizeAuto/>
                    <w:default w:val="0"/>
                  </w:checkBox>
                </w:ffData>
              </w:fldChar>
            </w:r>
            <w:r w:rsidRPr="00532004">
              <w:instrText xml:space="preserve"> FORMCHECKBOX </w:instrText>
            </w:r>
            <w:r w:rsidR="00BD1016">
              <w:fldChar w:fldCharType="separate"/>
            </w:r>
            <w:r w:rsidRPr="00532004">
              <w:fldChar w:fldCharType="end"/>
            </w:r>
            <w:r w:rsidRPr="00532004">
              <w:t xml:space="preserve">Optometrists </w:t>
            </w:r>
            <w:r w:rsidRPr="00532004">
              <w:fldChar w:fldCharType="begin" w:fldLock="1">
                <w:ffData>
                  <w:name w:val="Check1"/>
                  <w:enabled/>
                  <w:calcOnExit w:val="0"/>
                  <w:checkBox>
                    <w:sizeAuto/>
                    <w:default w:val="0"/>
                  </w:checkBox>
                </w:ffData>
              </w:fldChar>
            </w:r>
            <w:r w:rsidRPr="00532004">
              <w:instrText xml:space="preserve"> FORMCHECKBOX </w:instrText>
            </w:r>
            <w:r w:rsidR="00BD1016">
              <w:fldChar w:fldCharType="separate"/>
            </w:r>
            <w:r w:rsidRPr="00532004">
              <w:fldChar w:fldCharType="end"/>
            </w:r>
            <w:r w:rsidRPr="00532004">
              <w:t>Midwives</w:t>
            </w:r>
          </w:p>
        </w:tc>
      </w:tr>
      <w:tr w:rsidR="00532004" w:rsidRPr="00532004" w14:paraId="63FD2450"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774B97F" w14:textId="77777777" w:rsidR="00532004" w:rsidRPr="00532004" w:rsidRDefault="00532004" w:rsidP="00532004">
            <w:pPr>
              <w:pStyle w:val="TableText"/>
              <w:keepNext w:val="0"/>
            </w:pPr>
            <w:r w:rsidRPr="00532004">
              <w:rPr>
                <w:b/>
              </w:rPr>
              <w:t xml:space="preserve">Condition: </w:t>
            </w:r>
            <w:r w:rsidRPr="00532004">
              <w:t>Chronic graft versus host disease (cGVHD)</w:t>
            </w:r>
          </w:p>
        </w:tc>
      </w:tr>
      <w:tr w:rsidR="00532004" w:rsidRPr="00532004" w14:paraId="772FC293"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4FDC9B3" w14:textId="77777777" w:rsidR="00532004" w:rsidRPr="00532004" w:rsidRDefault="00532004" w:rsidP="00532004">
            <w:pPr>
              <w:pStyle w:val="TableText"/>
              <w:keepNext w:val="0"/>
            </w:pPr>
            <w:r w:rsidRPr="00532004">
              <w:rPr>
                <w:b/>
              </w:rPr>
              <w:t xml:space="preserve">Severity: </w:t>
            </w:r>
            <w:r w:rsidRPr="00532004">
              <w:t>Moderate to severe</w:t>
            </w:r>
          </w:p>
        </w:tc>
      </w:tr>
      <w:tr w:rsidR="00532004" w:rsidRPr="00532004" w14:paraId="36A00B3E"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3C482429" w14:textId="77777777" w:rsidR="00532004" w:rsidRPr="00532004" w:rsidRDefault="00532004" w:rsidP="00532004">
            <w:pPr>
              <w:pStyle w:val="TableText"/>
              <w:keepNext w:val="0"/>
            </w:pPr>
            <w:r w:rsidRPr="00532004">
              <w:rPr>
                <w:b/>
              </w:rPr>
              <w:t xml:space="preserve">PBS Indication: </w:t>
            </w:r>
            <w:r w:rsidRPr="00532004">
              <w:t>Moderate to severe chronic graft versus host disease (cGVHD)</w:t>
            </w:r>
          </w:p>
        </w:tc>
      </w:tr>
      <w:tr w:rsidR="00532004" w:rsidRPr="00532004" w14:paraId="6D1524FE"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A1AB16A" w14:textId="77777777" w:rsidR="00532004" w:rsidRPr="00532004" w:rsidRDefault="00532004" w:rsidP="00532004">
            <w:pPr>
              <w:pStyle w:val="TableText"/>
              <w:keepNext w:val="0"/>
            </w:pPr>
            <w:r w:rsidRPr="00532004">
              <w:rPr>
                <w:b/>
              </w:rPr>
              <w:t xml:space="preserve">Treatment phase: </w:t>
            </w:r>
            <w:r w:rsidRPr="00532004">
              <w:t>Continuing</w:t>
            </w:r>
          </w:p>
        </w:tc>
      </w:tr>
      <w:tr w:rsidR="00532004" w:rsidRPr="00532004" w14:paraId="51009868"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08416D09" w14:textId="06096BC1" w:rsidR="00532004" w:rsidRPr="00532004" w:rsidRDefault="00532004" w:rsidP="00532004">
            <w:pPr>
              <w:pStyle w:val="TableText"/>
              <w:keepNext w:val="0"/>
            </w:pPr>
            <w:r w:rsidRPr="00532004">
              <w:rPr>
                <w:b/>
              </w:rPr>
              <w:t>Restriction type:</w:t>
            </w:r>
            <w:r>
              <w:rPr>
                <w:b/>
              </w:rPr>
              <w:t xml:space="preserve"> </w:t>
            </w:r>
            <w:r w:rsidRPr="00532004">
              <w:fldChar w:fldCharType="begin" w:fldLock="1">
                <w:ffData>
                  <w:name w:val="Check5"/>
                  <w:enabled/>
                  <w:calcOnExit w:val="0"/>
                  <w:checkBox>
                    <w:sizeAuto/>
                    <w:default w:val="1"/>
                  </w:checkBox>
                </w:ffData>
              </w:fldChar>
            </w:r>
            <w:r w:rsidRPr="00532004">
              <w:instrText xml:space="preserve"> FORMCHECKBOX </w:instrText>
            </w:r>
            <w:r w:rsidR="00BD1016">
              <w:fldChar w:fldCharType="separate"/>
            </w:r>
            <w:r w:rsidRPr="00532004">
              <w:fldChar w:fldCharType="end"/>
            </w:r>
            <w:r w:rsidRPr="00532004">
              <w:t>Streamlined</w:t>
            </w:r>
          </w:p>
        </w:tc>
      </w:tr>
      <w:tr w:rsidR="00532004" w:rsidRPr="00532004" w14:paraId="320AEC3D"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140124E" w14:textId="77777777" w:rsidR="00532004" w:rsidRPr="00532004" w:rsidRDefault="00532004" w:rsidP="00532004">
            <w:pPr>
              <w:pStyle w:val="TableText"/>
              <w:keepNext w:val="0"/>
              <w:rPr>
                <w:b/>
              </w:rPr>
            </w:pPr>
          </w:p>
        </w:tc>
      </w:tr>
      <w:tr w:rsidR="00532004" w:rsidRPr="00532004" w14:paraId="575BCC67"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465257C" w14:textId="77777777" w:rsidR="00532004" w:rsidRPr="00532004" w:rsidRDefault="00532004" w:rsidP="00532004">
            <w:pPr>
              <w:pStyle w:val="TableText"/>
              <w:keepNext w:val="0"/>
              <w:rPr>
                <w:b/>
              </w:rPr>
            </w:pPr>
            <w:r w:rsidRPr="00532004">
              <w:rPr>
                <w:b/>
              </w:rPr>
              <w:t>Clinical criteria:</w:t>
            </w:r>
          </w:p>
        </w:tc>
      </w:tr>
      <w:tr w:rsidR="00532004" w:rsidRPr="00532004" w14:paraId="24797E64"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3B1B6188" w14:textId="77777777" w:rsidR="00532004" w:rsidRPr="00532004" w:rsidRDefault="00532004" w:rsidP="00532004">
            <w:pPr>
              <w:pStyle w:val="TableText"/>
              <w:rPr>
                <w:rFonts w:cs="Arial"/>
              </w:rPr>
            </w:pPr>
            <w:r w:rsidRPr="00532004">
              <w:rPr>
                <w:rFonts w:cs="Arial"/>
              </w:rPr>
              <w:t>Patient must have received initial PBS subsidised treatment with this drug for this condition</w:t>
            </w:r>
          </w:p>
        </w:tc>
      </w:tr>
      <w:tr w:rsidR="00532004" w:rsidRPr="00532004" w14:paraId="10DC7D76"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B89645F" w14:textId="77777777" w:rsidR="00532004" w:rsidRPr="00532004" w:rsidRDefault="00532004" w:rsidP="00532004">
            <w:pPr>
              <w:pStyle w:val="TableText"/>
              <w:rPr>
                <w:rFonts w:cs="Arial"/>
                <w:b/>
                <w:bCs w:val="0"/>
              </w:rPr>
            </w:pPr>
            <w:r w:rsidRPr="00532004">
              <w:rPr>
                <w:rFonts w:cs="Arial"/>
                <w:b/>
                <w:bCs w:val="0"/>
              </w:rPr>
              <w:t>AND</w:t>
            </w:r>
          </w:p>
        </w:tc>
      </w:tr>
      <w:tr w:rsidR="00532004" w:rsidRPr="00532004" w14:paraId="635056FE"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0B7B966" w14:textId="77777777" w:rsidR="00532004" w:rsidRPr="00532004" w:rsidRDefault="00532004" w:rsidP="00532004">
            <w:pPr>
              <w:pStyle w:val="TableText"/>
              <w:rPr>
                <w:rFonts w:cs="Arial"/>
              </w:rPr>
            </w:pPr>
            <w:r w:rsidRPr="00532004">
              <w:rPr>
                <w:b/>
              </w:rPr>
              <w:t>Clinical criteria:</w:t>
            </w:r>
          </w:p>
        </w:tc>
      </w:tr>
      <w:tr w:rsidR="00532004" w:rsidRPr="00532004" w14:paraId="119518A5"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025BA9FE" w14:textId="77777777" w:rsidR="00532004" w:rsidRPr="00532004" w:rsidRDefault="00532004" w:rsidP="00532004">
            <w:pPr>
              <w:pStyle w:val="TableText"/>
              <w:rPr>
                <w:b/>
              </w:rPr>
            </w:pPr>
            <w:r w:rsidRPr="00532004">
              <w:rPr>
                <w:rFonts w:cs="Arial"/>
              </w:rPr>
              <w:t>Patient must have responding disease</w:t>
            </w:r>
          </w:p>
        </w:tc>
      </w:tr>
      <w:tr w:rsidR="00532004" w:rsidRPr="00532004" w14:paraId="0A88240E"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D247422" w14:textId="77777777" w:rsidR="00532004" w:rsidRPr="00532004" w:rsidRDefault="00532004" w:rsidP="00532004">
            <w:pPr>
              <w:pStyle w:val="TableText"/>
              <w:rPr>
                <w:rFonts w:cs="Arial"/>
              </w:rPr>
            </w:pPr>
            <w:r w:rsidRPr="00532004">
              <w:rPr>
                <w:rFonts w:cs="Arial"/>
                <w:b/>
                <w:bCs w:val="0"/>
              </w:rPr>
              <w:t>AND</w:t>
            </w:r>
          </w:p>
        </w:tc>
      </w:tr>
      <w:tr w:rsidR="00532004" w:rsidRPr="00532004" w14:paraId="54B4E811"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781AC1E" w14:textId="77777777" w:rsidR="00532004" w:rsidRPr="00532004" w:rsidRDefault="00532004" w:rsidP="00532004">
            <w:pPr>
              <w:pStyle w:val="TableText"/>
              <w:rPr>
                <w:rFonts w:cs="Arial"/>
              </w:rPr>
            </w:pPr>
            <w:r w:rsidRPr="00532004">
              <w:rPr>
                <w:rFonts w:cs="Arial"/>
                <w:b/>
                <w:bCs w:val="0"/>
              </w:rPr>
              <w:t>Clinical criteria:</w:t>
            </w:r>
          </w:p>
        </w:tc>
      </w:tr>
      <w:tr w:rsidR="00532004" w:rsidRPr="00532004" w14:paraId="4A98DF9B"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5D8D60F" w14:textId="77777777" w:rsidR="00532004" w:rsidRPr="00532004" w:rsidRDefault="00532004" w:rsidP="00532004">
            <w:pPr>
              <w:pStyle w:val="TableText"/>
              <w:rPr>
                <w:rFonts w:cs="Arial"/>
              </w:rPr>
            </w:pPr>
            <w:r w:rsidRPr="00532004">
              <w:rPr>
                <w:rFonts w:cs="Arial"/>
                <w:i/>
                <w:iCs/>
              </w:rPr>
              <w:t>The treatment must be the sole PBS subsidised treatment for this condition with the exception of: (i) corticosteroids, (ii)calcineurin inhibitors</w:t>
            </w:r>
          </w:p>
        </w:tc>
      </w:tr>
      <w:tr w:rsidR="00532004" w:rsidRPr="00532004" w14:paraId="0B70068E"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18521D7" w14:textId="77777777" w:rsidR="00532004" w:rsidRPr="00532004" w:rsidRDefault="00532004" w:rsidP="00532004">
            <w:pPr>
              <w:pStyle w:val="TableText"/>
              <w:rPr>
                <w:rFonts w:cs="Arial"/>
              </w:rPr>
            </w:pPr>
          </w:p>
        </w:tc>
      </w:tr>
      <w:tr w:rsidR="00532004" w:rsidRPr="00532004" w14:paraId="531D7F9E"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D989F21" w14:textId="77777777" w:rsidR="00532004" w:rsidRPr="00532004" w:rsidRDefault="00532004" w:rsidP="00532004">
            <w:pPr>
              <w:pStyle w:val="TableText"/>
              <w:rPr>
                <w:rFonts w:cs="Arial"/>
              </w:rPr>
            </w:pPr>
            <w:r w:rsidRPr="00532004">
              <w:rPr>
                <w:b/>
              </w:rPr>
              <w:t>Treatment criteria:</w:t>
            </w:r>
          </w:p>
        </w:tc>
      </w:tr>
      <w:tr w:rsidR="00532004" w:rsidRPr="00532004" w14:paraId="188F0C95"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CD23D86" w14:textId="77777777" w:rsidR="00532004" w:rsidRPr="00532004" w:rsidRDefault="00532004" w:rsidP="00532004">
            <w:pPr>
              <w:pStyle w:val="TableText"/>
              <w:rPr>
                <w:rFonts w:cs="Arial"/>
              </w:rPr>
            </w:pPr>
            <w:r w:rsidRPr="00532004">
              <w:rPr>
                <w:rFonts w:cs="Arial"/>
              </w:rPr>
              <w:t xml:space="preserve">Must be treated by </w:t>
            </w:r>
            <w:r w:rsidRPr="00532004">
              <w:rPr>
                <w:rFonts w:cs="Arial"/>
                <w:i/>
                <w:iCs/>
              </w:rPr>
              <w:t>either (i)</w:t>
            </w:r>
            <w:r w:rsidRPr="00532004">
              <w:rPr>
                <w:rFonts w:cs="Arial"/>
              </w:rPr>
              <w:t xml:space="preserve"> a haematologist,</w:t>
            </w:r>
            <w:r w:rsidRPr="00532004">
              <w:rPr>
                <w:rFonts w:cs="Arial"/>
                <w:strike/>
              </w:rPr>
              <w:t>; OR</w:t>
            </w:r>
            <w:r w:rsidRPr="00532004">
              <w:rPr>
                <w:rFonts w:cs="Arial"/>
              </w:rPr>
              <w:t xml:space="preserve"> </w:t>
            </w:r>
            <w:r w:rsidRPr="00532004">
              <w:rPr>
                <w:rFonts w:cs="Arial"/>
                <w:i/>
                <w:iCs/>
              </w:rPr>
              <w:t>(ii)</w:t>
            </w:r>
            <w:r w:rsidRPr="00532004">
              <w:rPr>
                <w:rFonts w:cs="Arial"/>
              </w:rPr>
              <w:t xml:space="preserve"> </w:t>
            </w:r>
            <w:r w:rsidRPr="00532004">
              <w:rPr>
                <w:rFonts w:cs="Arial"/>
                <w:strike/>
              </w:rPr>
              <w:t>Must be treated by</w:t>
            </w:r>
            <w:r w:rsidRPr="00532004">
              <w:rPr>
                <w:rFonts w:cs="Arial"/>
              </w:rPr>
              <w:t xml:space="preserve"> an oncologist with allogeneic bone marrow transplantation experience,</w:t>
            </w:r>
            <w:r w:rsidRPr="00532004">
              <w:rPr>
                <w:rFonts w:cs="Arial"/>
                <w:strike/>
              </w:rPr>
              <w:t>; OR</w:t>
            </w:r>
            <w:r w:rsidRPr="00532004">
              <w:rPr>
                <w:rFonts w:cs="Arial"/>
              </w:rPr>
              <w:t xml:space="preserve"> </w:t>
            </w:r>
            <w:r w:rsidRPr="00532004">
              <w:rPr>
                <w:rFonts w:cs="Arial"/>
                <w:i/>
                <w:iCs/>
              </w:rPr>
              <w:t>(iii)</w:t>
            </w:r>
            <w:r w:rsidRPr="00532004">
              <w:rPr>
                <w:rFonts w:cs="Arial"/>
              </w:rPr>
              <w:t xml:space="preserve"> </w:t>
            </w:r>
            <w:r w:rsidRPr="00532004">
              <w:rPr>
                <w:rFonts w:cs="Arial"/>
                <w:strike/>
              </w:rPr>
              <w:t>Must be treated by</w:t>
            </w:r>
            <w:r w:rsidRPr="00532004">
              <w:rPr>
                <w:rFonts w:cs="Arial"/>
              </w:rPr>
              <w:t xml:space="preserve"> a medical practitioner working under the direct supervision of one of the </w:t>
            </w:r>
            <w:r w:rsidRPr="00532004">
              <w:rPr>
                <w:rFonts w:cs="Arial"/>
                <w:strike/>
              </w:rPr>
              <w:t>above</w:t>
            </w:r>
            <w:r w:rsidRPr="00532004">
              <w:rPr>
                <w:rFonts w:cs="Arial"/>
              </w:rPr>
              <w:t xml:space="preserve"> afore mentioned specialist types</w:t>
            </w:r>
          </w:p>
        </w:tc>
      </w:tr>
      <w:tr w:rsidR="00532004" w:rsidRPr="00532004" w14:paraId="5871DB98"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039DD144" w14:textId="77777777" w:rsidR="00532004" w:rsidRPr="00532004" w:rsidRDefault="00532004" w:rsidP="00532004">
            <w:pPr>
              <w:pStyle w:val="TableText"/>
              <w:rPr>
                <w:rFonts w:cs="Arial"/>
                <w:b/>
                <w:bCs w:val="0"/>
                <w:strike/>
              </w:rPr>
            </w:pPr>
            <w:r w:rsidRPr="00532004">
              <w:rPr>
                <w:rFonts w:cs="Arial"/>
                <w:b/>
                <w:bCs w:val="0"/>
                <w:strike/>
              </w:rPr>
              <w:t>AND</w:t>
            </w:r>
          </w:p>
        </w:tc>
      </w:tr>
      <w:tr w:rsidR="00532004" w:rsidRPr="00532004" w14:paraId="572BCDAF"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62E3ECC" w14:textId="77777777" w:rsidR="00532004" w:rsidRPr="00532004" w:rsidRDefault="00532004" w:rsidP="00532004">
            <w:pPr>
              <w:pStyle w:val="TableText"/>
              <w:rPr>
                <w:rFonts w:cs="Arial"/>
                <w:strike/>
              </w:rPr>
            </w:pPr>
            <w:r w:rsidRPr="00532004">
              <w:rPr>
                <w:b/>
                <w:strike/>
              </w:rPr>
              <w:t>Treatment criteria:</w:t>
            </w:r>
          </w:p>
        </w:tc>
      </w:tr>
      <w:tr w:rsidR="00532004" w:rsidRPr="00532004" w14:paraId="72102B34"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F22B895" w14:textId="77777777" w:rsidR="00532004" w:rsidRPr="00532004" w:rsidRDefault="00532004" w:rsidP="00532004">
            <w:pPr>
              <w:pStyle w:val="TableText"/>
              <w:keepNext w:val="0"/>
              <w:rPr>
                <w:rFonts w:cs="Arial"/>
                <w:strike/>
              </w:rPr>
            </w:pPr>
            <w:r w:rsidRPr="00532004">
              <w:rPr>
                <w:rFonts w:cs="Arial"/>
                <w:strike/>
              </w:rPr>
              <w:t>Patient must be undergoing treatment with this drug following allogenic haematopoietic stem cell transplantation</w:t>
            </w:r>
          </w:p>
        </w:tc>
      </w:tr>
      <w:tr w:rsidR="00532004" w:rsidRPr="00532004" w14:paraId="07B9AE2B"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1B8CE854" w14:textId="77777777" w:rsidR="00532004" w:rsidRPr="00532004" w:rsidRDefault="00532004" w:rsidP="00532004">
            <w:pPr>
              <w:pStyle w:val="TableText"/>
              <w:keepNext w:val="0"/>
              <w:rPr>
                <w:rFonts w:cs="Arial"/>
              </w:rPr>
            </w:pPr>
          </w:p>
        </w:tc>
      </w:tr>
      <w:tr w:rsidR="00532004" w:rsidRPr="00532004" w14:paraId="3E4D3454"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13E3A31" w14:textId="77777777" w:rsidR="00532004" w:rsidRPr="00532004" w:rsidRDefault="00532004" w:rsidP="00532004">
            <w:pPr>
              <w:pStyle w:val="TableText"/>
              <w:rPr>
                <w:rFonts w:cs="Arial"/>
              </w:rPr>
            </w:pPr>
            <w:r w:rsidRPr="00532004">
              <w:rPr>
                <w:b/>
              </w:rPr>
              <w:t>Prescriber instructions:</w:t>
            </w:r>
          </w:p>
          <w:p w14:paraId="0B4B51E1" w14:textId="17BA960F" w:rsidR="00532004" w:rsidRPr="00532004" w:rsidRDefault="00532004" w:rsidP="00532004">
            <w:pPr>
              <w:pStyle w:val="CommentText"/>
              <w:rPr>
                <w:rFonts w:ascii="Arial Narrow" w:hAnsi="Arial Narrow"/>
              </w:rPr>
            </w:pPr>
            <w:r w:rsidRPr="00532004">
              <w:rPr>
                <w:rFonts w:ascii="Arial Narrow" w:hAnsi="Arial Narrow"/>
                <w:strike/>
              </w:rPr>
              <w:t>To be eligible for continuing treatment, a patient must demonstrate a response to initial treatment.</w:t>
            </w:r>
            <w:r w:rsidRPr="00532004">
              <w:rPr>
                <w:rFonts w:ascii="Arial Narrow" w:hAnsi="Arial Narrow"/>
              </w:rPr>
              <w:t xml:space="preserve"> Response is defined as attaining a complete or partial response as defined by </w:t>
            </w:r>
            <w:r w:rsidRPr="00532004">
              <w:rPr>
                <w:rFonts w:ascii="Arial Narrow" w:hAnsi="Arial Narrow"/>
                <w:i/>
                <w:iCs/>
              </w:rPr>
              <w:t>the National Institutes of Health (</w:t>
            </w:r>
            <w:r w:rsidRPr="00532004">
              <w:rPr>
                <w:rFonts w:ascii="Arial Narrow" w:hAnsi="Arial Narrow"/>
              </w:rPr>
              <w:t>NIH</w:t>
            </w:r>
            <w:r w:rsidRPr="00532004">
              <w:rPr>
                <w:rFonts w:ascii="Arial Narrow" w:hAnsi="Arial Narrow"/>
                <w:i/>
                <w:iCs/>
              </w:rPr>
              <w:t>)</w:t>
            </w:r>
            <w:r w:rsidRPr="00532004">
              <w:rPr>
                <w:rFonts w:ascii="Arial Narrow" w:hAnsi="Arial Narrow"/>
              </w:rPr>
              <w:t xml:space="preserve"> criteria </w:t>
            </w:r>
            <w:r w:rsidRPr="00532004">
              <w:rPr>
                <w:rFonts w:ascii="Arial Narrow" w:hAnsi="Arial Narrow"/>
                <w:strike/>
              </w:rPr>
              <w:t>(Lee et al., 2015)</w:t>
            </w:r>
            <w:r>
              <w:rPr>
                <w:rFonts w:ascii="Arial Narrow" w:hAnsi="Arial Narrow"/>
                <w:strike/>
              </w:rPr>
              <w:t xml:space="preserve"> </w:t>
            </w:r>
            <w:r w:rsidRPr="00532004">
              <w:rPr>
                <w:rFonts w:ascii="Arial Narrow" w:hAnsi="Arial Narrow"/>
                <w:i/>
                <w:iCs/>
              </w:rPr>
              <w:t xml:space="preserve">available at: </w:t>
            </w:r>
            <w:hyperlink r:id="rId10" w:history="1">
              <w:r w:rsidRPr="00532004">
                <w:rPr>
                  <w:rStyle w:val="Hyperlink"/>
                  <w:rFonts w:ascii="Arial Narrow" w:hAnsi="Arial Narrow" w:cs="Calibri"/>
                  <w:i/>
                  <w:iCs/>
                </w:rPr>
                <w:t>https://www.ncbi.nlm.nih.gov/pmc/articles/PMC4744804/</w:t>
              </w:r>
            </w:hyperlink>
            <w:r w:rsidRPr="00532004">
              <w:rPr>
                <w:rFonts w:ascii="Arial Narrow" w:hAnsi="Arial Narrow"/>
              </w:rPr>
              <w:t>. Note that response is relative to the assessment of organ function affected by cGVHD prior to commencing initial treatment with ruxolitinib.</w:t>
            </w:r>
          </w:p>
          <w:p w14:paraId="6390E3AD" w14:textId="77777777" w:rsidR="00532004" w:rsidRPr="00532004" w:rsidRDefault="00532004" w:rsidP="00532004">
            <w:pPr>
              <w:pStyle w:val="TableText"/>
              <w:rPr>
                <w:rFonts w:cs="Arial"/>
              </w:rPr>
            </w:pPr>
            <w:r w:rsidRPr="00532004">
              <w:rPr>
                <w:rFonts w:cs="Arial"/>
                <w:szCs w:val="20"/>
              </w:rPr>
              <w:t>(a) Complete response</w:t>
            </w:r>
            <w:r w:rsidRPr="00532004">
              <w:rPr>
                <w:rFonts w:cs="Arial"/>
              </w:rPr>
              <w:t xml:space="preserve"> is defined as complete resolution of all signs and symptoms of cGVHD in all evaluable organs without initiation or addition of new systemic therapy.</w:t>
            </w:r>
          </w:p>
          <w:p w14:paraId="487B53DE" w14:textId="77777777" w:rsidR="00532004" w:rsidRPr="00532004" w:rsidRDefault="00532004" w:rsidP="00532004">
            <w:pPr>
              <w:pStyle w:val="TableText"/>
              <w:keepNext w:val="0"/>
              <w:rPr>
                <w:rFonts w:cs="Arial"/>
              </w:rPr>
            </w:pPr>
            <w:r w:rsidRPr="00532004">
              <w:rPr>
                <w:rFonts w:cs="Arial"/>
              </w:rPr>
              <w:t>(b) Partial response is defined as an improvement in at least one organ (e.g. improvement of 1 or more points on a 4 to 7 point scale, or an improvement of 2 or more points on a 10 to 12 point scale) without progression in other organs or sites, initiation or addition of new systemic therapies.</w:t>
            </w:r>
          </w:p>
        </w:tc>
      </w:tr>
      <w:tr w:rsidR="00532004" w:rsidRPr="00532004" w14:paraId="1ABC809C"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113AC0E" w14:textId="77777777" w:rsidR="00532004" w:rsidRPr="00532004" w:rsidRDefault="00532004" w:rsidP="00532004">
            <w:pPr>
              <w:pStyle w:val="TableText"/>
              <w:rPr>
                <w:b/>
              </w:rPr>
            </w:pPr>
          </w:p>
        </w:tc>
      </w:tr>
      <w:tr w:rsidR="00532004" w:rsidRPr="00532004" w14:paraId="147BE7FA"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E6C1C05" w14:textId="77777777" w:rsidR="00532004" w:rsidRPr="00532004" w:rsidRDefault="00532004" w:rsidP="00532004">
            <w:pPr>
              <w:pStyle w:val="TableText"/>
              <w:keepNext w:val="0"/>
              <w:rPr>
                <w:rFonts w:cs="Arial"/>
                <w:i/>
                <w:iCs/>
              </w:rPr>
            </w:pPr>
            <w:r w:rsidRPr="00532004">
              <w:rPr>
                <w:b/>
                <w:i/>
                <w:iCs/>
              </w:rPr>
              <w:t xml:space="preserve">Administrative advice: </w:t>
            </w:r>
            <w:r w:rsidRPr="00532004">
              <w:rPr>
                <w:rFonts w:cs="Arial"/>
                <w:i/>
                <w:iCs/>
              </w:rPr>
              <w:t>This drug is not PBS-subsidised if it is prescribed to an in-patient in a public hospital setting</w:t>
            </w:r>
          </w:p>
        </w:tc>
      </w:tr>
      <w:tr w:rsidR="00532004" w:rsidRPr="00532004" w14:paraId="0D493EA4"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6441793" w14:textId="77777777" w:rsidR="00532004" w:rsidRPr="00532004" w:rsidRDefault="00532004" w:rsidP="00532004">
            <w:pPr>
              <w:pStyle w:val="TableText"/>
              <w:keepNext w:val="0"/>
              <w:rPr>
                <w:b/>
                <w:i/>
                <w:iCs/>
              </w:rPr>
            </w:pPr>
            <w:r w:rsidRPr="00532004">
              <w:rPr>
                <w:b/>
                <w:i/>
                <w:iCs/>
              </w:rPr>
              <w:t xml:space="preserve">Administrative advice: </w:t>
            </w:r>
            <w:r w:rsidRPr="00532004">
              <w:rPr>
                <w:bCs w:val="0"/>
                <w:i/>
                <w:iCs/>
              </w:rPr>
              <w:t>Special Pricing Arrangements apply</w:t>
            </w:r>
          </w:p>
        </w:tc>
      </w:tr>
    </w:tbl>
    <w:p w14:paraId="4DF4E40E" w14:textId="77777777" w:rsidR="00532004" w:rsidRPr="00532004" w:rsidRDefault="00532004" w:rsidP="00532004"/>
    <w:tbl>
      <w:tblPr>
        <w:tblW w:w="5000" w:type="pct"/>
        <w:tblInd w:w="-5" w:type="dxa"/>
        <w:tblLayout w:type="fixed"/>
        <w:tblLook w:val="0000" w:firstRow="0" w:lastRow="0" w:firstColumn="0" w:lastColumn="0" w:noHBand="0" w:noVBand="0"/>
      </w:tblPr>
      <w:tblGrid>
        <w:gridCol w:w="9017"/>
      </w:tblGrid>
      <w:tr w:rsidR="00532004" w:rsidRPr="00532004" w14:paraId="3B365B20"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84FDF4D" w14:textId="77777777" w:rsidR="00532004" w:rsidRPr="00532004" w:rsidRDefault="00532004" w:rsidP="00532004">
            <w:pPr>
              <w:pStyle w:val="TableText"/>
              <w:keepNext w:val="0"/>
            </w:pPr>
            <w:r w:rsidRPr="00532004">
              <w:rPr>
                <w:b/>
              </w:rPr>
              <w:t xml:space="preserve">Category / Program: </w:t>
            </w:r>
            <w:r w:rsidRPr="00532004">
              <w:t>GENERAL – General Schedule (Code GE)</w:t>
            </w:r>
          </w:p>
        </w:tc>
      </w:tr>
      <w:tr w:rsidR="00532004" w:rsidRPr="00532004" w14:paraId="797EDE07"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0FBA4F3F" w14:textId="50A06BEE" w:rsidR="00532004" w:rsidRPr="00532004" w:rsidRDefault="00532004" w:rsidP="00532004">
            <w:pPr>
              <w:pStyle w:val="TableText"/>
              <w:keepNext w:val="0"/>
            </w:pPr>
            <w:r w:rsidRPr="00532004">
              <w:rPr>
                <w:b/>
              </w:rPr>
              <w:t xml:space="preserve">Prescriber type: </w:t>
            </w:r>
            <w:r w:rsidRPr="00532004">
              <w:fldChar w:fldCharType="begin" w:fldLock="1">
                <w:ffData>
                  <w:name w:val="Check1"/>
                  <w:enabled/>
                  <w:calcOnExit w:val="0"/>
                  <w:checkBox>
                    <w:sizeAuto/>
                    <w:default w:val="0"/>
                  </w:checkBox>
                </w:ffData>
              </w:fldChar>
            </w:r>
            <w:r w:rsidRPr="00532004">
              <w:instrText xml:space="preserve"> FORMCHECKBOX </w:instrText>
            </w:r>
            <w:r w:rsidR="00BD1016">
              <w:fldChar w:fldCharType="separate"/>
            </w:r>
            <w:r w:rsidRPr="00532004">
              <w:fldChar w:fldCharType="end"/>
            </w:r>
            <w:r w:rsidRPr="00532004">
              <w:t xml:space="preserve">Dental  </w:t>
            </w:r>
            <w:r w:rsidRPr="00532004">
              <w:fldChar w:fldCharType="begin" w:fldLock="1">
                <w:ffData>
                  <w:name w:val="Check1"/>
                  <w:enabled/>
                  <w:calcOnExit w:val="0"/>
                  <w:checkBox>
                    <w:sizeAuto/>
                    <w:default w:val="1"/>
                  </w:checkBox>
                </w:ffData>
              </w:fldChar>
            </w:r>
            <w:r w:rsidRPr="00532004">
              <w:instrText xml:space="preserve"> FORMCHECKBOX </w:instrText>
            </w:r>
            <w:r w:rsidR="00BD1016">
              <w:fldChar w:fldCharType="separate"/>
            </w:r>
            <w:r w:rsidRPr="00532004">
              <w:fldChar w:fldCharType="end"/>
            </w:r>
            <w:r w:rsidRPr="00532004">
              <w:t xml:space="preserve">Medical Practitioners  </w:t>
            </w:r>
            <w:r w:rsidRPr="00532004">
              <w:fldChar w:fldCharType="begin" w:fldLock="1">
                <w:ffData>
                  <w:name w:val="Check1"/>
                  <w:enabled/>
                  <w:calcOnExit w:val="0"/>
                  <w:checkBox>
                    <w:sizeAuto/>
                    <w:default w:val="0"/>
                  </w:checkBox>
                </w:ffData>
              </w:fldChar>
            </w:r>
            <w:r w:rsidRPr="00532004">
              <w:instrText xml:space="preserve"> FORMCHECKBOX </w:instrText>
            </w:r>
            <w:r w:rsidR="00BD1016">
              <w:fldChar w:fldCharType="separate"/>
            </w:r>
            <w:r w:rsidRPr="00532004">
              <w:fldChar w:fldCharType="end"/>
            </w:r>
            <w:r w:rsidRPr="00532004">
              <w:t xml:space="preserve">Nurse practitioners </w:t>
            </w:r>
            <w:r w:rsidRPr="00532004">
              <w:fldChar w:fldCharType="begin" w:fldLock="1">
                <w:ffData>
                  <w:name w:val="Check1"/>
                  <w:enabled/>
                  <w:calcOnExit w:val="0"/>
                  <w:checkBox>
                    <w:sizeAuto/>
                    <w:default w:val="0"/>
                  </w:checkBox>
                </w:ffData>
              </w:fldChar>
            </w:r>
            <w:r w:rsidRPr="00532004">
              <w:instrText xml:space="preserve"> FORMCHECKBOX </w:instrText>
            </w:r>
            <w:r w:rsidR="00BD1016">
              <w:fldChar w:fldCharType="separate"/>
            </w:r>
            <w:r w:rsidRPr="00532004">
              <w:fldChar w:fldCharType="end"/>
            </w:r>
            <w:r w:rsidRPr="00532004">
              <w:t xml:space="preserve">Optometrists </w:t>
            </w:r>
            <w:r w:rsidRPr="00532004">
              <w:fldChar w:fldCharType="begin" w:fldLock="1">
                <w:ffData>
                  <w:name w:val="Check1"/>
                  <w:enabled/>
                  <w:calcOnExit w:val="0"/>
                  <w:checkBox>
                    <w:sizeAuto/>
                    <w:default w:val="0"/>
                  </w:checkBox>
                </w:ffData>
              </w:fldChar>
            </w:r>
            <w:r w:rsidRPr="00532004">
              <w:instrText xml:space="preserve"> FORMCHECKBOX </w:instrText>
            </w:r>
            <w:r w:rsidR="00BD1016">
              <w:fldChar w:fldCharType="separate"/>
            </w:r>
            <w:r w:rsidRPr="00532004">
              <w:fldChar w:fldCharType="end"/>
            </w:r>
            <w:r w:rsidRPr="00532004">
              <w:t>Midwives</w:t>
            </w:r>
          </w:p>
        </w:tc>
      </w:tr>
      <w:tr w:rsidR="00532004" w:rsidRPr="00532004" w14:paraId="5119DA55"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35491E3D" w14:textId="77777777" w:rsidR="00532004" w:rsidRPr="00532004" w:rsidRDefault="00532004" w:rsidP="00532004">
            <w:pPr>
              <w:pStyle w:val="TableText"/>
              <w:keepNext w:val="0"/>
            </w:pPr>
            <w:r w:rsidRPr="00532004">
              <w:rPr>
                <w:b/>
              </w:rPr>
              <w:t xml:space="preserve">Condition: </w:t>
            </w:r>
            <w:r w:rsidRPr="00532004">
              <w:t>Chronic graft versus host disease (cGVHD)</w:t>
            </w:r>
          </w:p>
        </w:tc>
      </w:tr>
      <w:tr w:rsidR="00532004" w:rsidRPr="00532004" w14:paraId="685A4571"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B0134FB" w14:textId="77777777" w:rsidR="00532004" w:rsidRPr="00532004" w:rsidRDefault="00532004" w:rsidP="00532004">
            <w:pPr>
              <w:pStyle w:val="TableText"/>
              <w:keepNext w:val="0"/>
            </w:pPr>
            <w:r w:rsidRPr="00532004">
              <w:rPr>
                <w:b/>
              </w:rPr>
              <w:t xml:space="preserve">Severity: </w:t>
            </w:r>
            <w:r w:rsidRPr="00532004">
              <w:t>Moderate to severe</w:t>
            </w:r>
          </w:p>
        </w:tc>
      </w:tr>
      <w:tr w:rsidR="00532004" w:rsidRPr="00532004" w14:paraId="0F257853"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23C5212" w14:textId="77777777" w:rsidR="00532004" w:rsidRPr="00532004" w:rsidRDefault="00532004" w:rsidP="00532004">
            <w:pPr>
              <w:pStyle w:val="TableText"/>
              <w:keepNext w:val="0"/>
            </w:pPr>
            <w:r w:rsidRPr="00532004">
              <w:rPr>
                <w:b/>
              </w:rPr>
              <w:t xml:space="preserve">PBS Indication: </w:t>
            </w:r>
            <w:r w:rsidRPr="00532004">
              <w:t>Moderate to severe chronic graft versus host disease (cGVHD)</w:t>
            </w:r>
          </w:p>
        </w:tc>
      </w:tr>
      <w:tr w:rsidR="00532004" w:rsidRPr="00532004" w14:paraId="61609F59"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4E35C81" w14:textId="77777777" w:rsidR="00532004" w:rsidRPr="00532004" w:rsidRDefault="00532004" w:rsidP="00532004">
            <w:pPr>
              <w:pStyle w:val="TableText"/>
              <w:keepNext w:val="0"/>
            </w:pPr>
            <w:r w:rsidRPr="00532004">
              <w:rPr>
                <w:b/>
              </w:rPr>
              <w:t xml:space="preserve">Treatment phase: </w:t>
            </w:r>
            <w:r w:rsidRPr="00532004">
              <w:t>Grandfather</w:t>
            </w:r>
          </w:p>
        </w:tc>
      </w:tr>
      <w:tr w:rsidR="00532004" w:rsidRPr="00532004" w14:paraId="29E53088"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4C44DAF" w14:textId="43EC93FF" w:rsidR="00532004" w:rsidRPr="00532004" w:rsidRDefault="00532004" w:rsidP="0055010E">
            <w:pPr>
              <w:pStyle w:val="TableText"/>
              <w:keepNext w:val="0"/>
            </w:pPr>
            <w:r w:rsidRPr="00532004">
              <w:rPr>
                <w:b/>
              </w:rPr>
              <w:t>Restriction type:</w:t>
            </w:r>
            <w:r w:rsidR="0055010E">
              <w:rPr>
                <w:b/>
              </w:rPr>
              <w:t xml:space="preserve"> </w:t>
            </w:r>
            <w:r w:rsidRPr="00532004">
              <w:fldChar w:fldCharType="begin" w:fldLock="1">
                <w:ffData>
                  <w:name w:val="Check5"/>
                  <w:enabled/>
                  <w:calcOnExit w:val="0"/>
                  <w:checkBox>
                    <w:sizeAuto/>
                    <w:default w:val="1"/>
                  </w:checkBox>
                </w:ffData>
              </w:fldChar>
            </w:r>
            <w:r w:rsidRPr="00532004">
              <w:instrText xml:space="preserve"> FORMCHECKBOX </w:instrText>
            </w:r>
            <w:r w:rsidR="00BD1016">
              <w:fldChar w:fldCharType="separate"/>
            </w:r>
            <w:r w:rsidRPr="00532004">
              <w:fldChar w:fldCharType="end"/>
            </w:r>
            <w:r w:rsidRPr="00532004">
              <w:t>Streamlined</w:t>
            </w:r>
          </w:p>
        </w:tc>
      </w:tr>
      <w:tr w:rsidR="00532004" w:rsidRPr="00532004" w14:paraId="70ACB54B"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A81CD45" w14:textId="77777777" w:rsidR="00532004" w:rsidRPr="00532004" w:rsidRDefault="00532004" w:rsidP="00532004">
            <w:pPr>
              <w:pStyle w:val="TableText"/>
              <w:rPr>
                <w:rFonts w:cs="Arial"/>
              </w:rPr>
            </w:pPr>
            <w:r w:rsidRPr="00532004">
              <w:rPr>
                <w:b/>
              </w:rPr>
              <w:t>Clinical criteria:</w:t>
            </w:r>
          </w:p>
        </w:tc>
      </w:tr>
      <w:tr w:rsidR="00532004" w:rsidRPr="00532004" w14:paraId="4DD72BB1"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0CBD1B90" w14:textId="77777777" w:rsidR="00532004" w:rsidRPr="00532004" w:rsidRDefault="00532004" w:rsidP="00532004">
            <w:pPr>
              <w:pStyle w:val="TableText"/>
              <w:rPr>
                <w:rFonts w:cs="Arial"/>
              </w:rPr>
            </w:pPr>
            <w:r w:rsidRPr="00532004">
              <w:rPr>
                <w:rFonts w:cs="Arial"/>
              </w:rPr>
              <w:t>Patient must have received non-PBS-subsidised treatment with this drug for this PBS-indication prior to [insert date of PBS listing]</w:t>
            </w:r>
          </w:p>
        </w:tc>
      </w:tr>
      <w:tr w:rsidR="00532004" w:rsidRPr="00532004" w14:paraId="3DD7E61E"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0FBFAF8" w14:textId="77777777" w:rsidR="00532004" w:rsidRPr="00532004" w:rsidRDefault="00532004" w:rsidP="00532004">
            <w:pPr>
              <w:pStyle w:val="TableText"/>
              <w:rPr>
                <w:rFonts w:cs="Arial"/>
                <w:b/>
                <w:bCs w:val="0"/>
              </w:rPr>
            </w:pPr>
            <w:r w:rsidRPr="00532004">
              <w:rPr>
                <w:rFonts w:cs="Arial"/>
                <w:b/>
                <w:bCs w:val="0"/>
              </w:rPr>
              <w:t>AND</w:t>
            </w:r>
          </w:p>
        </w:tc>
      </w:tr>
      <w:tr w:rsidR="00532004" w:rsidRPr="00532004" w14:paraId="7AE7CD10"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10F750EA" w14:textId="77777777" w:rsidR="00532004" w:rsidRPr="00532004" w:rsidRDefault="00532004" w:rsidP="00532004">
            <w:pPr>
              <w:pStyle w:val="TableText"/>
              <w:rPr>
                <w:rFonts w:cs="Arial"/>
              </w:rPr>
            </w:pPr>
            <w:r w:rsidRPr="00532004">
              <w:rPr>
                <w:b/>
              </w:rPr>
              <w:t>Clinical criteria:</w:t>
            </w:r>
          </w:p>
        </w:tc>
      </w:tr>
      <w:tr w:rsidR="00532004" w:rsidRPr="00532004" w14:paraId="06691DD3"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D02FB22" w14:textId="77777777" w:rsidR="00532004" w:rsidRPr="00532004" w:rsidRDefault="00532004" w:rsidP="00532004">
            <w:pPr>
              <w:pStyle w:val="TableText"/>
              <w:rPr>
                <w:rFonts w:cs="Arial"/>
                <w:i/>
                <w:iCs/>
              </w:rPr>
            </w:pPr>
            <w:r w:rsidRPr="00532004">
              <w:rPr>
                <w:rFonts w:cs="Arial"/>
                <w:i/>
                <w:iCs/>
              </w:rPr>
              <w:t xml:space="preserve">Patient must have received prior systemic steroid treatment prior to initiation of this drug for this condition </w:t>
            </w:r>
          </w:p>
        </w:tc>
      </w:tr>
      <w:tr w:rsidR="00532004" w:rsidRPr="00532004" w14:paraId="2B22106F"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20F2C44" w14:textId="77777777" w:rsidR="00532004" w:rsidRPr="00532004" w:rsidRDefault="00532004" w:rsidP="00532004">
            <w:pPr>
              <w:pStyle w:val="TableText"/>
              <w:rPr>
                <w:rFonts w:cs="Arial"/>
              </w:rPr>
            </w:pPr>
            <w:r w:rsidRPr="00532004">
              <w:rPr>
                <w:rFonts w:cs="Arial"/>
                <w:b/>
                <w:bCs w:val="0"/>
              </w:rPr>
              <w:t>AND</w:t>
            </w:r>
          </w:p>
        </w:tc>
      </w:tr>
      <w:tr w:rsidR="00532004" w:rsidRPr="00532004" w14:paraId="5EDE4F14"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763E894" w14:textId="77777777" w:rsidR="00532004" w:rsidRPr="00532004" w:rsidRDefault="00532004" w:rsidP="00532004">
            <w:pPr>
              <w:pStyle w:val="TableText"/>
              <w:rPr>
                <w:rFonts w:cs="Arial"/>
              </w:rPr>
            </w:pPr>
            <w:r w:rsidRPr="00532004">
              <w:rPr>
                <w:rFonts w:cs="Arial"/>
                <w:b/>
                <w:bCs w:val="0"/>
              </w:rPr>
              <w:t>Clinical criteria:</w:t>
            </w:r>
          </w:p>
        </w:tc>
      </w:tr>
      <w:tr w:rsidR="00532004" w:rsidRPr="00532004" w14:paraId="2860B036"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ADE9756" w14:textId="77777777" w:rsidR="00532004" w:rsidRPr="00532004" w:rsidRDefault="00532004" w:rsidP="00532004">
            <w:pPr>
              <w:pStyle w:val="TableText"/>
              <w:rPr>
                <w:rFonts w:cs="Arial"/>
              </w:rPr>
            </w:pPr>
            <w:r w:rsidRPr="00532004">
              <w:rPr>
                <w:rFonts w:cs="Arial"/>
                <w:i/>
                <w:iCs/>
              </w:rPr>
              <w:t>Patient must be one of the following (i) refractory to steroid treatment, (ii) dependent on steroid treatment, (iii) intolerant to steroid treatment</w:t>
            </w:r>
          </w:p>
        </w:tc>
      </w:tr>
      <w:tr w:rsidR="00532004" w:rsidRPr="00532004" w14:paraId="122C7D4E"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F2FA727" w14:textId="77777777" w:rsidR="00532004" w:rsidRPr="00532004" w:rsidRDefault="00532004" w:rsidP="00532004">
            <w:pPr>
              <w:pStyle w:val="TableText"/>
              <w:rPr>
                <w:rFonts w:cs="Arial"/>
              </w:rPr>
            </w:pPr>
            <w:r w:rsidRPr="00532004">
              <w:rPr>
                <w:rFonts w:cs="Arial"/>
              </w:rPr>
              <w:t>AND</w:t>
            </w:r>
          </w:p>
        </w:tc>
      </w:tr>
      <w:tr w:rsidR="00532004" w:rsidRPr="00532004" w14:paraId="046277D1"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264140F" w14:textId="77777777" w:rsidR="00532004" w:rsidRPr="00532004" w:rsidRDefault="00532004" w:rsidP="00532004">
            <w:pPr>
              <w:pStyle w:val="TableText"/>
              <w:rPr>
                <w:rFonts w:cs="Arial"/>
              </w:rPr>
            </w:pPr>
            <w:r w:rsidRPr="00532004">
              <w:rPr>
                <w:b/>
              </w:rPr>
              <w:t>Clinical criteria:</w:t>
            </w:r>
          </w:p>
        </w:tc>
      </w:tr>
      <w:tr w:rsidR="00532004" w:rsidRPr="00532004" w14:paraId="1EC62FB8"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F86BB23" w14:textId="77777777" w:rsidR="00532004" w:rsidRPr="00532004" w:rsidRDefault="00532004" w:rsidP="00532004">
            <w:pPr>
              <w:pStyle w:val="TableText"/>
              <w:rPr>
                <w:rFonts w:cs="Arial"/>
              </w:rPr>
            </w:pPr>
            <w:r w:rsidRPr="00532004">
              <w:rPr>
                <w:rFonts w:cs="Arial"/>
              </w:rPr>
              <w:t>Patient must have responding disease</w:t>
            </w:r>
          </w:p>
        </w:tc>
      </w:tr>
      <w:tr w:rsidR="00532004" w:rsidRPr="00532004" w14:paraId="5E0AA7F2"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F46E6A1" w14:textId="77777777" w:rsidR="00532004" w:rsidRPr="00532004" w:rsidRDefault="00532004" w:rsidP="00532004">
            <w:pPr>
              <w:pStyle w:val="TableText"/>
              <w:rPr>
                <w:rFonts w:cs="Arial"/>
              </w:rPr>
            </w:pPr>
          </w:p>
        </w:tc>
      </w:tr>
      <w:tr w:rsidR="00532004" w:rsidRPr="00532004" w14:paraId="123224B4"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1581088F" w14:textId="77777777" w:rsidR="00532004" w:rsidRPr="00532004" w:rsidRDefault="00532004" w:rsidP="00532004">
            <w:pPr>
              <w:pStyle w:val="TableText"/>
              <w:rPr>
                <w:rFonts w:cs="Arial"/>
              </w:rPr>
            </w:pPr>
            <w:r w:rsidRPr="00532004">
              <w:rPr>
                <w:b/>
              </w:rPr>
              <w:t>Treatment criteria:</w:t>
            </w:r>
          </w:p>
        </w:tc>
      </w:tr>
      <w:tr w:rsidR="00532004" w:rsidRPr="00532004" w14:paraId="59DD9C89"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0584FCA9" w14:textId="77777777" w:rsidR="00532004" w:rsidRPr="00532004" w:rsidRDefault="00532004" w:rsidP="00532004">
            <w:pPr>
              <w:pStyle w:val="TableText"/>
              <w:rPr>
                <w:rFonts w:cs="Arial"/>
              </w:rPr>
            </w:pPr>
            <w:r w:rsidRPr="00532004">
              <w:rPr>
                <w:rFonts w:cs="Arial"/>
              </w:rPr>
              <w:t xml:space="preserve">Must be treated by </w:t>
            </w:r>
            <w:r w:rsidRPr="00532004">
              <w:rPr>
                <w:rFonts w:cs="Arial"/>
                <w:i/>
                <w:iCs/>
              </w:rPr>
              <w:t>either (i)</w:t>
            </w:r>
            <w:r w:rsidRPr="00532004">
              <w:rPr>
                <w:rFonts w:cs="Arial"/>
              </w:rPr>
              <w:t xml:space="preserve"> a haematologist,</w:t>
            </w:r>
            <w:r w:rsidRPr="00532004">
              <w:rPr>
                <w:rFonts w:cs="Arial"/>
                <w:strike/>
              </w:rPr>
              <w:t>; OR</w:t>
            </w:r>
            <w:r w:rsidRPr="00532004">
              <w:rPr>
                <w:rFonts w:cs="Arial"/>
              </w:rPr>
              <w:t xml:space="preserve"> </w:t>
            </w:r>
            <w:r w:rsidRPr="00532004">
              <w:rPr>
                <w:rFonts w:cs="Arial"/>
                <w:i/>
                <w:iCs/>
              </w:rPr>
              <w:t>(ii)</w:t>
            </w:r>
            <w:r w:rsidRPr="00532004">
              <w:rPr>
                <w:rFonts w:cs="Arial"/>
              </w:rPr>
              <w:t xml:space="preserve"> </w:t>
            </w:r>
            <w:r w:rsidRPr="00532004">
              <w:rPr>
                <w:rFonts w:cs="Arial"/>
                <w:strike/>
              </w:rPr>
              <w:t>Must be treated by</w:t>
            </w:r>
            <w:r w:rsidRPr="00532004">
              <w:rPr>
                <w:rFonts w:cs="Arial"/>
              </w:rPr>
              <w:t xml:space="preserve"> an oncologist with allogeneic bone marrow transplantation experience,</w:t>
            </w:r>
            <w:r w:rsidRPr="00532004">
              <w:rPr>
                <w:rFonts w:cs="Arial"/>
                <w:strike/>
              </w:rPr>
              <w:t>; OR</w:t>
            </w:r>
            <w:r w:rsidRPr="00532004">
              <w:rPr>
                <w:rFonts w:cs="Arial"/>
              </w:rPr>
              <w:t xml:space="preserve"> </w:t>
            </w:r>
            <w:r w:rsidRPr="00532004">
              <w:rPr>
                <w:rFonts w:cs="Arial"/>
                <w:i/>
                <w:iCs/>
              </w:rPr>
              <w:t>(iii)</w:t>
            </w:r>
            <w:r w:rsidRPr="00532004">
              <w:rPr>
                <w:rFonts w:cs="Arial"/>
              </w:rPr>
              <w:t xml:space="preserve"> </w:t>
            </w:r>
            <w:r w:rsidRPr="00532004">
              <w:rPr>
                <w:rFonts w:cs="Arial"/>
                <w:strike/>
              </w:rPr>
              <w:t>Must be treated by</w:t>
            </w:r>
            <w:r w:rsidRPr="00532004">
              <w:rPr>
                <w:rFonts w:cs="Arial"/>
              </w:rPr>
              <w:t xml:space="preserve"> a medical practitioner working under the direct supervision of one of the </w:t>
            </w:r>
            <w:r w:rsidRPr="00532004">
              <w:rPr>
                <w:rFonts w:cs="Arial"/>
                <w:strike/>
              </w:rPr>
              <w:t>above</w:t>
            </w:r>
            <w:r w:rsidRPr="00532004">
              <w:rPr>
                <w:rFonts w:cs="Arial"/>
              </w:rPr>
              <w:t xml:space="preserve"> afore-mentioned specialist types</w:t>
            </w:r>
          </w:p>
        </w:tc>
      </w:tr>
      <w:tr w:rsidR="00532004" w:rsidRPr="00532004" w14:paraId="5D80BC1C"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B17DCDB" w14:textId="77777777" w:rsidR="00532004" w:rsidRPr="00532004" w:rsidRDefault="00532004" w:rsidP="00532004">
            <w:pPr>
              <w:pStyle w:val="TableText"/>
              <w:rPr>
                <w:rFonts w:cs="Arial"/>
              </w:rPr>
            </w:pPr>
            <w:r w:rsidRPr="00532004">
              <w:rPr>
                <w:rFonts w:cs="Arial"/>
              </w:rPr>
              <w:t>AND</w:t>
            </w:r>
          </w:p>
        </w:tc>
      </w:tr>
      <w:tr w:rsidR="00532004" w:rsidRPr="00532004" w14:paraId="6F61CDD6"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35754842" w14:textId="77777777" w:rsidR="00532004" w:rsidRPr="00532004" w:rsidRDefault="00532004" w:rsidP="00532004">
            <w:pPr>
              <w:pStyle w:val="TableText"/>
              <w:rPr>
                <w:rFonts w:cs="Arial"/>
              </w:rPr>
            </w:pPr>
            <w:r w:rsidRPr="00532004">
              <w:rPr>
                <w:b/>
              </w:rPr>
              <w:t>Treatment criteria:</w:t>
            </w:r>
          </w:p>
        </w:tc>
      </w:tr>
      <w:tr w:rsidR="00532004" w:rsidRPr="00532004" w14:paraId="16867F8B"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447EE1C" w14:textId="77777777" w:rsidR="00532004" w:rsidRPr="00532004" w:rsidRDefault="00532004" w:rsidP="00532004">
            <w:pPr>
              <w:pStyle w:val="TableText"/>
              <w:rPr>
                <w:rFonts w:cs="Arial"/>
              </w:rPr>
            </w:pPr>
            <w:r w:rsidRPr="00532004">
              <w:rPr>
                <w:rFonts w:cs="Arial"/>
              </w:rPr>
              <w:t>Patient must be undergoing treatment with this drug following allogenic haematopoietic stem cell transplantation</w:t>
            </w:r>
          </w:p>
        </w:tc>
      </w:tr>
      <w:tr w:rsidR="00532004" w:rsidRPr="00532004" w14:paraId="3C02C6F8"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B9631D7" w14:textId="77777777" w:rsidR="00532004" w:rsidRPr="00532004" w:rsidRDefault="00532004" w:rsidP="00532004">
            <w:pPr>
              <w:pStyle w:val="TableText"/>
              <w:rPr>
                <w:rFonts w:cs="Arial"/>
              </w:rPr>
            </w:pPr>
          </w:p>
        </w:tc>
      </w:tr>
      <w:tr w:rsidR="00532004" w:rsidRPr="0055010E" w14:paraId="3A7A6571"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B37E5DE" w14:textId="77777777" w:rsidR="00532004" w:rsidRPr="0055010E" w:rsidRDefault="00532004" w:rsidP="00532004">
            <w:pPr>
              <w:pStyle w:val="TableText"/>
              <w:rPr>
                <w:rFonts w:cs="Arial"/>
                <w:i/>
                <w:iCs/>
                <w:strike/>
              </w:rPr>
            </w:pPr>
            <w:r w:rsidRPr="0055010E">
              <w:rPr>
                <w:b/>
                <w:i/>
                <w:iCs/>
                <w:strike/>
              </w:rPr>
              <w:t>Population criteria:</w:t>
            </w:r>
          </w:p>
        </w:tc>
      </w:tr>
      <w:tr w:rsidR="00532004" w:rsidRPr="0055010E" w14:paraId="2F093C74"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026670FD" w14:textId="77777777" w:rsidR="00532004" w:rsidRPr="0055010E" w:rsidRDefault="00532004" w:rsidP="00532004">
            <w:pPr>
              <w:pStyle w:val="TableText"/>
              <w:keepNext w:val="0"/>
              <w:rPr>
                <w:rFonts w:cs="Arial"/>
                <w:i/>
                <w:iCs/>
                <w:strike/>
              </w:rPr>
            </w:pPr>
            <w:r w:rsidRPr="0055010E">
              <w:rPr>
                <w:rFonts w:cs="Arial"/>
                <w:i/>
                <w:iCs/>
                <w:strike/>
              </w:rPr>
              <w:t>Patient must be 12 years of age or older</w:t>
            </w:r>
          </w:p>
        </w:tc>
      </w:tr>
      <w:tr w:rsidR="00532004" w:rsidRPr="00532004" w14:paraId="0C7DC102"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3F80251" w14:textId="77777777" w:rsidR="00532004" w:rsidRPr="00532004" w:rsidRDefault="00532004" w:rsidP="00532004">
            <w:pPr>
              <w:pStyle w:val="TableText"/>
              <w:rPr>
                <w:rFonts w:cs="Arial"/>
              </w:rPr>
            </w:pPr>
          </w:p>
        </w:tc>
      </w:tr>
      <w:tr w:rsidR="00532004" w:rsidRPr="00532004" w14:paraId="384504DF"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04574AED" w14:textId="77777777" w:rsidR="00532004" w:rsidRPr="00532004" w:rsidRDefault="00532004" w:rsidP="00532004">
            <w:pPr>
              <w:pStyle w:val="TableText"/>
              <w:rPr>
                <w:rFonts w:cs="Arial"/>
                <w:b/>
                <w:bCs w:val="0"/>
              </w:rPr>
            </w:pPr>
            <w:r w:rsidRPr="00532004">
              <w:rPr>
                <w:rFonts w:cs="Arial"/>
                <w:b/>
                <w:bCs w:val="0"/>
              </w:rPr>
              <w:t>Prescriber instructions:</w:t>
            </w:r>
          </w:p>
          <w:p w14:paraId="23E2142E" w14:textId="6C1B8501" w:rsidR="00532004" w:rsidRPr="00532004" w:rsidRDefault="00532004" w:rsidP="00532004">
            <w:pPr>
              <w:pStyle w:val="CommentText"/>
              <w:rPr>
                <w:rFonts w:ascii="Arial Narrow" w:hAnsi="Arial Narrow"/>
              </w:rPr>
            </w:pPr>
            <w:r w:rsidRPr="00532004">
              <w:rPr>
                <w:rFonts w:ascii="Arial Narrow" w:hAnsi="Arial Narrow"/>
              </w:rPr>
              <w:t xml:space="preserve">Response is defined as attaining a complete or partial response as defined by the </w:t>
            </w:r>
            <w:r w:rsidRPr="00532004">
              <w:rPr>
                <w:rFonts w:ascii="Arial Narrow" w:hAnsi="Arial Narrow"/>
                <w:i/>
                <w:iCs/>
              </w:rPr>
              <w:t>National Institutes of Health (</w:t>
            </w:r>
            <w:r w:rsidRPr="00532004">
              <w:rPr>
                <w:rFonts w:ascii="Arial Narrow" w:hAnsi="Arial Narrow"/>
              </w:rPr>
              <w:t>NIH</w:t>
            </w:r>
            <w:r w:rsidRPr="00532004">
              <w:rPr>
                <w:rFonts w:ascii="Arial Narrow" w:hAnsi="Arial Narrow"/>
                <w:i/>
                <w:iCs/>
              </w:rPr>
              <w:t>)</w:t>
            </w:r>
            <w:r w:rsidRPr="00532004">
              <w:rPr>
                <w:rFonts w:ascii="Arial Narrow" w:hAnsi="Arial Narrow"/>
              </w:rPr>
              <w:t xml:space="preserve"> criteria </w:t>
            </w:r>
            <w:r w:rsidRPr="00532004">
              <w:rPr>
                <w:rFonts w:ascii="Arial Narrow" w:hAnsi="Arial Narrow"/>
                <w:strike/>
              </w:rPr>
              <w:t>(Lee et al., 2015)</w:t>
            </w:r>
            <w:r>
              <w:rPr>
                <w:rFonts w:ascii="Arial Narrow" w:hAnsi="Arial Narrow"/>
              </w:rPr>
              <w:t xml:space="preserve"> </w:t>
            </w:r>
            <w:r w:rsidRPr="00532004">
              <w:rPr>
                <w:rFonts w:ascii="Arial Narrow" w:hAnsi="Arial Narrow"/>
                <w:i/>
                <w:iCs/>
              </w:rPr>
              <w:t xml:space="preserve">available at: </w:t>
            </w:r>
            <w:hyperlink r:id="rId11" w:history="1">
              <w:r w:rsidRPr="00532004">
                <w:rPr>
                  <w:rStyle w:val="Hyperlink"/>
                  <w:rFonts w:ascii="Arial Narrow" w:hAnsi="Arial Narrow" w:cs="Calibri"/>
                  <w:i/>
                  <w:iCs/>
                </w:rPr>
                <w:t>https://www.ncbi.nlm.nih.gov/pmc/articles/PMC4744804/</w:t>
              </w:r>
            </w:hyperlink>
            <w:r w:rsidRPr="00532004">
              <w:rPr>
                <w:rFonts w:ascii="Arial Narrow" w:hAnsi="Arial Narrow"/>
              </w:rPr>
              <w:t>. Note that response is relative to the assessment of organ function affected by cGVHD prior to commencing initial treatment with ruxolitinib.</w:t>
            </w:r>
          </w:p>
          <w:p w14:paraId="332CF763" w14:textId="77777777" w:rsidR="00532004" w:rsidRPr="00532004" w:rsidRDefault="00532004" w:rsidP="00532004">
            <w:pPr>
              <w:pStyle w:val="TableText"/>
              <w:rPr>
                <w:rFonts w:cs="Arial"/>
              </w:rPr>
            </w:pPr>
            <w:r w:rsidRPr="00532004">
              <w:rPr>
                <w:rFonts w:cs="Arial"/>
              </w:rPr>
              <w:t>(a) Complete response is defined as complete resolution of all signs and symptoms of cGVHD in all evaluable organs without initiation or addition of new systemic therapy.</w:t>
            </w:r>
          </w:p>
          <w:p w14:paraId="5F1B602A" w14:textId="77777777" w:rsidR="00532004" w:rsidRPr="00532004" w:rsidRDefault="00532004" w:rsidP="00532004">
            <w:pPr>
              <w:pStyle w:val="TableText"/>
              <w:keepNext w:val="0"/>
              <w:rPr>
                <w:rFonts w:cs="Arial"/>
              </w:rPr>
            </w:pPr>
            <w:r w:rsidRPr="00532004">
              <w:rPr>
                <w:rFonts w:cs="Arial"/>
              </w:rPr>
              <w:t>(b) Partial response is defined as an improvement in at least one organ (e.g. improvement of 1 or more points on a 4 to 7 point scale, or an improvement of 2 or more points on a 10 to 12 point scale) without progression in other organs or sites, initiation or addition of new systemic therapies.</w:t>
            </w:r>
          </w:p>
        </w:tc>
      </w:tr>
      <w:tr w:rsidR="00532004" w:rsidRPr="00532004" w14:paraId="3137EC7B"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89CC4D4" w14:textId="77777777" w:rsidR="00532004" w:rsidRPr="00532004" w:rsidRDefault="00532004" w:rsidP="00532004">
            <w:pPr>
              <w:pStyle w:val="TableText"/>
              <w:rPr>
                <w:rFonts w:cs="Arial"/>
                <w:b/>
                <w:bCs w:val="0"/>
              </w:rPr>
            </w:pPr>
          </w:p>
        </w:tc>
      </w:tr>
      <w:tr w:rsidR="00532004" w:rsidRPr="00532004" w14:paraId="4DBA011D"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1BCE204E" w14:textId="77777777" w:rsidR="00532004" w:rsidRPr="00532004" w:rsidRDefault="00532004" w:rsidP="00532004">
            <w:pPr>
              <w:pStyle w:val="TableText"/>
              <w:rPr>
                <w:rFonts w:cs="Arial"/>
                <w:b/>
                <w:bCs w:val="0"/>
                <w:i/>
                <w:iCs/>
              </w:rPr>
            </w:pPr>
            <w:r w:rsidRPr="00532004">
              <w:rPr>
                <w:rFonts w:cs="Arial"/>
                <w:b/>
                <w:bCs w:val="0"/>
                <w:i/>
                <w:iCs/>
              </w:rPr>
              <w:t xml:space="preserve">Administrative advice: </w:t>
            </w:r>
            <w:r w:rsidRPr="00532004">
              <w:rPr>
                <w:rFonts w:cs="Arial"/>
                <w:i/>
                <w:iCs/>
              </w:rPr>
              <w:t>This drug is not PBS-subsidised if it is prescribed to an in-patient in a public hospital setting</w:t>
            </w:r>
          </w:p>
        </w:tc>
      </w:tr>
      <w:tr w:rsidR="00532004" w:rsidRPr="00532004" w14:paraId="1B7E8771"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17FB3720" w14:textId="77777777" w:rsidR="00532004" w:rsidRPr="00532004" w:rsidRDefault="00532004" w:rsidP="00532004">
            <w:pPr>
              <w:pStyle w:val="TableText"/>
              <w:rPr>
                <w:rFonts w:cs="Arial"/>
                <w:b/>
                <w:bCs w:val="0"/>
                <w:i/>
                <w:iCs/>
              </w:rPr>
            </w:pPr>
            <w:r w:rsidRPr="00532004">
              <w:rPr>
                <w:rFonts w:cs="Arial"/>
                <w:b/>
                <w:bCs w:val="0"/>
                <w:i/>
                <w:iCs/>
              </w:rPr>
              <w:t xml:space="preserve">Administrative advice: </w:t>
            </w:r>
            <w:r w:rsidRPr="00532004">
              <w:rPr>
                <w:rFonts w:cs="Arial"/>
                <w:i/>
                <w:iCs/>
              </w:rPr>
              <w:t>Special Pricing Arrangements apply</w:t>
            </w:r>
          </w:p>
        </w:tc>
      </w:tr>
      <w:tr w:rsidR="00532004" w:rsidRPr="00A6154D" w14:paraId="5587B233"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14A33DD4" w14:textId="77777777" w:rsidR="00532004" w:rsidRPr="00532004" w:rsidRDefault="00532004" w:rsidP="00532004">
            <w:pPr>
              <w:pStyle w:val="TableText"/>
              <w:rPr>
                <w:rFonts w:cs="Arial"/>
                <w:b/>
                <w:bCs w:val="0"/>
                <w:i/>
                <w:iCs/>
              </w:rPr>
            </w:pPr>
            <w:r w:rsidRPr="00532004">
              <w:rPr>
                <w:rFonts w:cs="Arial"/>
                <w:b/>
                <w:bCs w:val="0"/>
                <w:i/>
                <w:iCs/>
              </w:rPr>
              <w:t xml:space="preserve">Administrative Advice: </w:t>
            </w:r>
            <w:r w:rsidRPr="00532004">
              <w:rPr>
                <w:rFonts w:cs="Arial"/>
                <w:i/>
                <w:iCs/>
              </w:rPr>
              <w:t>This grandfather restriction will cease to operate from 12 months after the date specified in the clinical criteria.</w:t>
            </w:r>
          </w:p>
        </w:tc>
      </w:tr>
    </w:tbl>
    <w:p w14:paraId="7B861B94" w14:textId="3C55660E" w:rsidR="00F67915" w:rsidRPr="005F7722" w:rsidRDefault="005F7722" w:rsidP="005F7722">
      <w:pPr>
        <w:pStyle w:val="TableFooter"/>
      </w:pPr>
      <w:r>
        <w:rPr>
          <w:vertAlign w:val="superscript"/>
        </w:rPr>
        <w:t>1</w:t>
      </w:r>
      <w:r>
        <w:t xml:space="preserve"> No effective price proposed for ruxolitinib 5 mg tablets.</w:t>
      </w:r>
    </w:p>
    <w:p w14:paraId="53D8BCB8" w14:textId="42920DAB" w:rsidR="00F67915" w:rsidRPr="00A6154D" w:rsidRDefault="003D0F6F" w:rsidP="003D0F6F">
      <w:pPr>
        <w:pStyle w:val="ExecSumBodyText"/>
        <w:numPr>
          <w:ilvl w:val="1"/>
          <w:numId w:val="1"/>
        </w:numPr>
      </w:pPr>
      <w:r w:rsidRPr="00A6154D">
        <w:t>A special pricing arrangement was requested for ruxolitinib 10</w:t>
      </w:r>
      <w:r w:rsidR="00284397">
        <w:t> </w:t>
      </w:r>
      <w:r w:rsidRPr="00A6154D">
        <w:t>mg tablets.</w:t>
      </w:r>
      <w:r w:rsidR="00C26470" w:rsidRPr="00A6154D">
        <w:t xml:space="preserve"> The submission requested an effective ex-manufacturer price of $</w:t>
      </w:r>
      <w:r w:rsidR="00F96E54" w:rsidRPr="00AF0E02">
        <w:rPr>
          <w:color w:val="000000"/>
          <w:w w:val="15"/>
          <w:shd w:val="solid" w:color="000000" w:fill="000000"/>
          <w14:textFill>
            <w14:solidFill>
              <w14:srgbClr w14:val="000000">
                <w14:alpha w14:val="100000"/>
              </w14:srgbClr>
            </w14:solidFill>
          </w14:textFill>
        </w:rPr>
        <w:t xml:space="preserve">|  </w:t>
      </w:r>
      <w:r w:rsidR="00F96E54" w:rsidRPr="00AF0E02">
        <w:rPr>
          <w:color w:val="000000"/>
          <w:spacing w:val="-69"/>
          <w:w w:val="15"/>
          <w:shd w:val="solid" w:color="000000" w:fill="000000"/>
          <w14:textFill>
            <w14:solidFill>
              <w14:srgbClr w14:val="000000">
                <w14:alpha w14:val="100000"/>
              </w14:srgbClr>
            </w14:solidFill>
          </w14:textFill>
        </w:rPr>
        <w:t>|</w:t>
      </w:r>
      <w:r w:rsidR="00C26470" w:rsidRPr="00A6154D">
        <w:t xml:space="preserve"> for the 10</w:t>
      </w:r>
      <w:r w:rsidR="00284397">
        <w:t> </w:t>
      </w:r>
      <w:r w:rsidR="00C26470" w:rsidRPr="00A6154D">
        <w:t>mg strength and $</w:t>
      </w:r>
      <w:r w:rsidR="00F96E54" w:rsidRPr="00AF0E02">
        <w:rPr>
          <w:color w:val="000000"/>
          <w:w w:val="15"/>
          <w:shd w:val="solid" w:color="000000" w:fill="000000"/>
          <w14:textFill>
            <w14:solidFill>
              <w14:srgbClr w14:val="000000">
                <w14:alpha w14:val="100000"/>
              </w14:srgbClr>
            </w14:solidFill>
          </w14:textFill>
        </w:rPr>
        <w:t xml:space="preserve">|  </w:t>
      </w:r>
      <w:r w:rsidR="00F96E54" w:rsidRPr="00AF0E02">
        <w:rPr>
          <w:color w:val="000000"/>
          <w:spacing w:val="-69"/>
          <w:w w:val="15"/>
          <w:shd w:val="solid" w:color="000000" w:fill="000000"/>
          <w14:textFill>
            <w14:solidFill>
              <w14:srgbClr w14:val="000000">
                <w14:alpha w14:val="100000"/>
              </w14:srgbClr>
            </w14:solidFill>
          </w14:textFill>
        </w:rPr>
        <w:t>|</w:t>
      </w:r>
      <w:r w:rsidR="00C26470" w:rsidRPr="00A6154D">
        <w:t xml:space="preserve"> for the 5</w:t>
      </w:r>
      <w:r w:rsidR="00284397">
        <w:t> </w:t>
      </w:r>
      <w:r w:rsidR="00C26470" w:rsidRPr="00A6154D">
        <w:t xml:space="preserve">mg strength (quantity of 56) in both the chronic and acute settings. For context, the current effective price for the existing </w:t>
      </w:r>
      <w:r w:rsidR="00226FED" w:rsidRPr="00A6154D">
        <w:t xml:space="preserve">ruxolitinib </w:t>
      </w:r>
      <w:r w:rsidR="00C26470" w:rsidRPr="00A6154D">
        <w:t>listing (in myelofibrosis) is lower for the 5</w:t>
      </w:r>
      <w:r w:rsidR="00284397">
        <w:t> </w:t>
      </w:r>
      <w:r w:rsidR="00C26470" w:rsidRPr="00A6154D">
        <w:t>mg strength ($</w:t>
      </w:r>
      <w:r w:rsidR="00F96E54" w:rsidRPr="00AF0E02">
        <w:rPr>
          <w:color w:val="000000"/>
          <w:w w:val="15"/>
          <w:shd w:val="solid" w:color="000000" w:fill="000000"/>
          <w14:textFill>
            <w14:solidFill>
              <w14:srgbClr w14:val="000000">
                <w14:alpha w14:val="100000"/>
              </w14:srgbClr>
            </w14:solidFill>
          </w14:textFill>
        </w:rPr>
        <w:t xml:space="preserve">|  </w:t>
      </w:r>
      <w:r w:rsidR="00F96E54" w:rsidRPr="00AF0E02">
        <w:rPr>
          <w:color w:val="000000"/>
          <w:spacing w:val="-69"/>
          <w:w w:val="15"/>
          <w:shd w:val="solid" w:color="000000" w:fill="000000"/>
          <w14:textFill>
            <w14:solidFill>
              <w14:srgbClr w14:val="000000">
                <w14:alpha w14:val="100000"/>
              </w14:srgbClr>
            </w14:solidFill>
          </w14:textFill>
        </w:rPr>
        <w:t>|</w:t>
      </w:r>
      <w:r w:rsidR="00C26470" w:rsidRPr="00A6154D">
        <w:t xml:space="preserve"> for a quantity of 56) and the same as requested for the 10</w:t>
      </w:r>
      <w:r w:rsidR="00284397">
        <w:t> </w:t>
      </w:r>
      <w:r w:rsidR="00C26470" w:rsidRPr="00A6154D">
        <w:t>mg strength.</w:t>
      </w:r>
    </w:p>
    <w:p w14:paraId="69DDC9F4" w14:textId="4461C735" w:rsidR="00DC7F64" w:rsidRPr="00A6154D" w:rsidRDefault="00DC7F64" w:rsidP="00DC7F64">
      <w:pPr>
        <w:pStyle w:val="ExecSumBodyText"/>
        <w:numPr>
          <w:ilvl w:val="1"/>
          <w:numId w:val="1"/>
        </w:numPr>
      </w:pPr>
      <w:r w:rsidRPr="00A6154D">
        <w:t xml:space="preserve">The proposed restriction is narrower than the ruxolitinib TGA indication, which does not restrict treatment on the basis of disease severity or include a definition for an inadequate response to corticosteroids. The </w:t>
      </w:r>
      <w:r w:rsidR="00F5367A" w:rsidRPr="00A6154D">
        <w:t xml:space="preserve">proposed PBS listing is also narrower that the </w:t>
      </w:r>
      <w:r w:rsidRPr="00A6154D">
        <w:t xml:space="preserve">MBS restriction for </w:t>
      </w:r>
      <w:r w:rsidR="00121655" w:rsidRPr="00A6154D">
        <w:t>extracorporeal photopheresis (</w:t>
      </w:r>
      <w:r w:rsidRPr="00A6154D">
        <w:t>ECP</w:t>
      </w:r>
      <w:r w:rsidR="00121655" w:rsidRPr="00A6154D">
        <w:t>) for the treatment of cGVHD</w:t>
      </w:r>
      <w:r w:rsidRPr="00A6154D">
        <w:t xml:space="preserve"> (Item 13761), as it does not restrict on the basis of disease severity and do</w:t>
      </w:r>
      <w:r w:rsidR="00121655" w:rsidRPr="00A6154D">
        <w:t>es</w:t>
      </w:r>
      <w:r w:rsidRPr="00A6154D">
        <w:t xml:space="preserve"> not include criteria to define steroid refractory disease, steroid dependent disease, or steroid intolerance</w:t>
      </w:r>
      <w:r w:rsidR="00121655" w:rsidRPr="00A6154D">
        <w:t>.</w:t>
      </w:r>
    </w:p>
    <w:p w14:paraId="7112E31D" w14:textId="165FB441" w:rsidR="00DC7F64" w:rsidRPr="00A6154D" w:rsidRDefault="00DC7F64" w:rsidP="00DC7F64">
      <w:pPr>
        <w:pStyle w:val="ExecSumBodyText"/>
        <w:numPr>
          <w:ilvl w:val="1"/>
          <w:numId w:val="1"/>
        </w:numPr>
      </w:pPr>
      <w:r w:rsidRPr="00A6154D">
        <w:t xml:space="preserve">The proposed disease severity (based on NIH criteria), patient age (&gt;12 years) and definitions of steroid refractoriness and dependence are consistent with the REACH3 trial. </w:t>
      </w:r>
      <w:r w:rsidR="001E2DD6" w:rsidRPr="00A6154D">
        <w:t>Although t</w:t>
      </w:r>
      <w:r w:rsidRPr="00A6154D">
        <w:t>he REACH3 trial did not include patients who were intolerant to corticosteroids</w:t>
      </w:r>
      <w:r w:rsidR="001E2DD6" w:rsidRPr="00A6154D">
        <w:t xml:space="preserve">, the ESC considered their inclusion in the proposed restriction was </w:t>
      </w:r>
      <w:r w:rsidR="004A2499" w:rsidRPr="00A6154D">
        <w:t xml:space="preserve">clinically </w:t>
      </w:r>
      <w:r w:rsidR="001E2DD6" w:rsidRPr="00A6154D">
        <w:t>appropriate</w:t>
      </w:r>
      <w:r w:rsidRPr="00A6154D">
        <w:t>. Only a small number of patients aged 12-17 years participated in the REACH3 trial (4 patients in the ruxolitinib arm and 8 patients in the BAT arm).</w:t>
      </w:r>
    </w:p>
    <w:p w14:paraId="5276AB9D" w14:textId="7092E4F9" w:rsidR="005657C4" w:rsidRPr="00A6154D" w:rsidRDefault="005657C4" w:rsidP="00DC7F64">
      <w:pPr>
        <w:pStyle w:val="ExecSumBodyText"/>
        <w:numPr>
          <w:ilvl w:val="1"/>
          <w:numId w:val="1"/>
        </w:numPr>
      </w:pPr>
      <w:r w:rsidRPr="00A6154D">
        <w:t>The proposed restriction is silent regarding concomitant therapies. The REACH3 trial allowed patients on ruxolitinib to continue corticosteroids and calcineurin inhibitors.</w:t>
      </w:r>
    </w:p>
    <w:p w14:paraId="6A273A36" w14:textId="29AAF2DF" w:rsidR="000C0777" w:rsidRPr="00A6154D" w:rsidRDefault="000C0777" w:rsidP="00DC7F64">
      <w:pPr>
        <w:pStyle w:val="ExecSumBodyText"/>
        <w:numPr>
          <w:ilvl w:val="1"/>
          <w:numId w:val="1"/>
        </w:numPr>
      </w:pPr>
      <w:r w:rsidRPr="00A6154D">
        <w:t>The proposed restriction d</w:t>
      </w:r>
      <w:r w:rsidR="00971B12" w:rsidRPr="00A6154D">
        <w:t>id</w:t>
      </w:r>
      <w:r w:rsidRPr="00A6154D">
        <w:t xml:space="preserve"> not specify a timeframe for the achievement of a response. The primary outcome in the REACH3 trial was the overall response rate at Week 24.</w:t>
      </w:r>
      <w:r w:rsidR="003D3179" w:rsidRPr="00A6154D">
        <w:t xml:space="preserve"> The </w:t>
      </w:r>
      <w:r w:rsidR="00732096">
        <w:t>Pre-Sub</w:t>
      </w:r>
      <w:r w:rsidR="008166A3">
        <w:t>-</w:t>
      </w:r>
      <w:r w:rsidR="00732096">
        <w:t>Committee Response (</w:t>
      </w:r>
      <w:r w:rsidR="003D3179" w:rsidRPr="00A6154D">
        <w:t>PSCR</w:t>
      </w:r>
      <w:r w:rsidR="00732096">
        <w:t>)</w:t>
      </w:r>
      <w:r w:rsidR="003D3179" w:rsidRPr="00A6154D">
        <w:t xml:space="preserve"> stated that the proposed initial restriction aligns with the time point of assessment of the primary outcomes in the REACH3 trial at 24 weeks (i.e. the initial prescription provides 28 days of treatment with 5 repeats).</w:t>
      </w:r>
      <w:r w:rsidR="00BB532A" w:rsidRPr="00A6154D">
        <w:t xml:space="preserve"> The ESC considered that this was reasonable.</w:t>
      </w:r>
    </w:p>
    <w:p w14:paraId="5243A9CE" w14:textId="318B897C" w:rsidR="00DC7F64" w:rsidRPr="00A6154D" w:rsidRDefault="00DC7F64" w:rsidP="00DC7F64">
      <w:pPr>
        <w:pStyle w:val="ExecSumBodyText"/>
        <w:numPr>
          <w:ilvl w:val="1"/>
          <w:numId w:val="1"/>
        </w:numPr>
      </w:pPr>
      <w:r w:rsidRPr="00A6154D">
        <w:t>There is potential for use outside of the proposed restriction among patients with mild disease, patients who do not meet the proposed steroid refractory/dependence/</w:t>
      </w:r>
      <w:r w:rsidR="0065380F" w:rsidRPr="00A6154D">
        <w:t xml:space="preserve"> </w:t>
      </w:r>
      <w:r w:rsidRPr="00A6154D">
        <w:t>intolerance criteria, patients who continue treatment despite not achieving a response, and patients who are public hospital inpatients.</w:t>
      </w:r>
    </w:p>
    <w:p w14:paraId="71DFCCEA" w14:textId="68870009" w:rsidR="000C0777" w:rsidRPr="00A6154D" w:rsidRDefault="000C0777" w:rsidP="00DC7F64">
      <w:pPr>
        <w:pStyle w:val="ExecSumBodyText"/>
        <w:numPr>
          <w:ilvl w:val="1"/>
          <w:numId w:val="1"/>
        </w:numPr>
      </w:pPr>
      <w:bookmarkStart w:id="10" w:name="_Hlk103343265"/>
      <w:r w:rsidRPr="00A6154D">
        <w:t xml:space="preserve">The submission noted that the sponsor currently has a patient access program providing ruxolitinib to patients with moderate to severe steroid-refractory cGVHD and that, in addition, the REACH3 clinical trial is still ongoing in Australia. </w:t>
      </w:r>
      <w:bookmarkStart w:id="11" w:name="_Hlk103343063"/>
      <w:bookmarkStart w:id="12" w:name="_Hlk103343155"/>
      <w:r w:rsidR="001B7E53" w:rsidRPr="00A6154D">
        <w:t xml:space="preserve">The submission stated there are currently </w:t>
      </w:r>
      <w:r w:rsidR="00A075FD">
        <w:t>&lt; 500</w:t>
      </w:r>
      <w:r w:rsidR="00A075FD" w:rsidRPr="00A6154D">
        <w:t xml:space="preserve"> </w:t>
      </w:r>
      <w:r w:rsidR="001B7E53" w:rsidRPr="00A6154D">
        <w:t>active patients receiving treatment with rux</w:t>
      </w:r>
      <w:r w:rsidRPr="00A6154D">
        <w:t>o</w:t>
      </w:r>
      <w:r w:rsidR="001B7E53" w:rsidRPr="00A6154D">
        <w:t>litinib</w:t>
      </w:r>
      <w:bookmarkEnd w:id="11"/>
      <w:r w:rsidR="008B44C0" w:rsidRPr="00A6154D">
        <w:t xml:space="preserve"> under the patient access program</w:t>
      </w:r>
      <w:r w:rsidR="001B7E53" w:rsidRPr="00A6154D">
        <w:t>.</w:t>
      </w:r>
      <w:bookmarkEnd w:id="12"/>
    </w:p>
    <w:bookmarkEnd w:id="10"/>
    <w:p w14:paraId="147147C7" w14:textId="4482CEBA" w:rsidR="00F67915" w:rsidRDefault="00F67915" w:rsidP="00F67915">
      <w:pPr>
        <w:pStyle w:val="4-SubsectSubhead"/>
      </w:pPr>
      <w:r>
        <w:t>Acute GVHD</w:t>
      </w:r>
    </w:p>
    <w:p w14:paraId="11F3EEA8" w14:textId="2F075879" w:rsidR="0055010E" w:rsidRPr="000611DC" w:rsidRDefault="0055010E" w:rsidP="0055010E">
      <w:pPr>
        <w:pStyle w:val="ExecSumBodyText"/>
      </w:pPr>
      <w:r w:rsidRPr="00285DCC">
        <w:t xml:space="preserve">The restrictions proposed in the </w:t>
      </w:r>
      <w:r>
        <w:t xml:space="preserve">submission </w:t>
      </w:r>
      <w:r w:rsidRPr="00285DCC">
        <w:t xml:space="preserve">are outlined below. </w:t>
      </w:r>
      <w:r>
        <w:t>Secretariat and PBAC proposed additions are in italics and deletions in strikethrough.</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797"/>
        <w:gridCol w:w="1255"/>
        <w:gridCol w:w="1248"/>
        <w:gridCol w:w="845"/>
        <w:gridCol w:w="2027"/>
        <w:gridCol w:w="1855"/>
      </w:tblGrid>
      <w:tr w:rsidR="00F67915" w:rsidRPr="007D2D5F" w14:paraId="77C2278E" w14:textId="77777777" w:rsidTr="001C47F4">
        <w:tc>
          <w:tcPr>
            <w:tcW w:w="1804" w:type="dxa"/>
          </w:tcPr>
          <w:p w14:paraId="58DB471A" w14:textId="77777777" w:rsidR="00F67915" w:rsidRPr="002C71CE" w:rsidRDefault="00F67915" w:rsidP="00A361A7">
            <w:pPr>
              <w:pStyle w:val="TableFigureCaption"/>
            </w:pPr>
            <w:r w:rsidRPr="002C71CE">
              <w:t>Name, restriction, manner of administration, form</w:t>
            </w:r>
          </w:p>
        </w:tc>
        <w:tc>
          <w:tcPr>
            <w:tcW w:w="1260" w:type="dxa"/>
            <w:vAlign w:val="center"/>
          </w:tcPr>
          <w:p w14:paraId="6F4397EB" w14:textId="77777777" w:rsidR="00F67915" w:rsidRPr="002C71CE" w:rsidRDefault="00F67915" w:rsidP="00A361A7">
            <w:pPr>
              <w:pStyle w:val="TableFigureCaption"/>
              <w:jc w:val="center"/>
            </w:pPr>
            <w:r w:rsidRPr="002C71CE">
              <w:t>Maximum quantity (packs)</w:t>
            </w:r>
          </w:p>
        </w:tc>
        <w:tc>
          <w:tcPr>
            <w:tcW w:w="1253" w:type="dxa"/>
            <w:vAlign w:val="center"/>
          </w:tcPr>
          <w:p w14:paraId="0F280CA8" w14:textId="77777777" w:rsidR="00F67915" w:rsidRPr="002C71CE" w:rsidRDefault="00F67915" w:rsidP="00A361A7">
            <w:pPr>
              <w:pStyle w:val="TableFigureCaption"/>
              <w:jc w:val="center"/>
            </w:pPr>
            <w:r w:rsidRPr="002C71CE">
              <w:t>Maximum quantity (units)</w:t>
            </w:r>
          </w:p>
        </w:tc>
        <w:tc>
          <w:tcPr>
            <w:tcW w:w="846" w:type="dxa"/>
            <w:vAlign w:val="center"/>
          </w:tcPr>
          <w:p w14:paraId="0E7A4D4B" w14:textId="77777777" w:rsidR="00F67915" w:rsidRPr="002C71CE" w:rsidRDefault="00F67915" w:rsidP="00A361A7">
            <w:pPr>
              <w:pStyle w:val="TableFigureCaption"/>
              <w:jc w:val="center"/>
            </w:pPr>
            <w:r w:rsidRPr="002C71CE">
              <w:t>No. of repeats</w:t>
            </w:r>
          </w:p>
        </w:tc>
        <w:tc>
          <w:tcPr>
            <w:tcW w:w="2044" w:type="dxa"/>
            <w:vAlign w:val="center"/>
          </w:tcPr>
          <w:p w14:paraId="04F3FBEF" w14:textId="77777777" w:rsidR="00F67915" w:rsidRPr="00E01142" w:rsidRDefault="00F67915" w:rsidP="00A361A7">
            <w:pPr>
              <w:pStyle w:val="TableFigureCaption"/>
              <w:jc w:val="center"/>
            </w:pPr>
            <w:r>
              <w:t>Published (effective) d</w:t>
            </w:r>
            <w:r w:rsidRPr="002C71CE">
              <w:t>ispensed price for maximum quantity</w:t>
            </w:r>
          </w:p>
        </w:tc>
        <w:tc>
          <w:tcPr>
            <w:tcW w:w="1865" w:type="dxa"/>
            <w:vAlign w:val="center"/>
          </w:tcPr>
          <w:p w14:paraId="1F14B074" w14:textId="77777777" w:rsidR="00F67915" w:rsidRPr="002C71CE" w:rsidRDefault="00F67915" w:rsidP="00A361A7">
            <w:pPr>
              <w:pStyle w:val="TableFigureCaption"/>
              <w:jc w:val="center"/>
            </w:pPr>
            <w:r w:rsidRPr="002C71CE">
              <w:t>Proprietary name and manufacturer</w:t>
            </w:r>
          </w:p>
        </w:tc>
      </w:tr>
      <w:tr w:rsidR="00F67915" w:rsidRPr="007D2D5F" w14:paraId="04CBFC7A" w14:textId="77777777" w:rsidTr="001C47F4">
        <w:tc>
          <w:tcPr>
            <w:tcW w:w="9072" w:type="dxa"/>
            <w:gridSpan w:val="6"/>
            <w:vAlign w:val="center"/>
          </w:tcPr>
          <w:p w14:paraId="6E74757C" w14:textId="77777777" w:rsidR="00F67915" w:rsidRDefault="00F67915" w:rsidP="00A361A7">
            <w:pPr>
              <w:pStyle w:val="TableText"/>
            </w:pPr>
            <w:r>
              <w:rPr>
                <w:b/>
                <w:bCs w:val="0"/>
              </w:rPr>
              <w:t>Initial</w:t>
            </w:r>
            <w:r w:rsidRPr="00532004">
              <w:rPr>
                <w:b/>
                <w:bCs w:val="0"/>
                <w:strike/>
              </w:rPr>
              <w:t>/continuing treatment</w:t>
            </w:r>
          </w:p>
        </w:tc>
      </w:tr>
      <w:tr w:rsidR="00F67915" w:rsidRPr="007D2D5F" w14:paraId="36448B64" w14:textId="77777777" w:rsidTr="001C47F4">
        <w:tc>
          <w:tcPr>
            <w:tcW w:w="1804" w:type="dxa"/>
            <w:vAlign w:val="center"/>
          </w:tcPr>
          <w:p w14:paraId="20A1937D" w14:textId="77777777" w:rsidR="00F67915" w:rsidRPr="0050174E" w:rsidRDefault="00F67915" w:rsidP="00A361A7">
            <w:pPr>
              <w:pStyle w:val="TableText"/>
            </w:pPr>
            <w:r>
              <w:rPr>
                <w:smallCaps/>
              </w:rPr>
              <w:t>RUXOLITINIB</w:t>
            </w:r>
          </w:p>
          <w:p w14:paraId="71A3DA9B" w14:textId="77777777" w:rsidR="00F67915" w:rsidRDefault="00F67915" w:rsidP="00A361A7">
            <w:pPr>
              <w:pStyle w:val="TableText"/>
              <w:rPr>
                <w:smallCaps/>
              </w:rPr>
            </w:pPr>
            <w:r>
              <w:t>Tablet 5 mg, 56</w:t>
            </w:r>
          </w:p>
        </w:tc>
        <w:tc>
          <w:tcPr>
            <w:tcW w:w="1260" w:type="dxa"/>
            <w:vAlign w:val="center"/>
          </w:tcPr>
          <w:p w14:paraId="36064EFD" w14:textId="77777777" w:rsidR="00F67915" w:rsidRDefault="00F67915" w:rsidP="00A361A7">
            <w:pPr>
              <w:pStyle w:val="TableText"/>
              <w:jc w:val="center"/>
            </w:pPr>
            <w:r>
              <w:t>1</w:t>
            </w:r>
          </w:p>
        </w:tc>
        <w:tc>
          <w:tcPr>
            <w:tcW w:w="1253" w:type="dxa"/>
            <w:vAlign w:val="center"/>
          </w:tcPr>
          <w:p w14:paraId="2B11224B" w14:textId="77777777" w:rsidR="00F67915" w:rsidRDefault="00F67915" w:rsidP="00A361A7">
            <w:pPr>
              <w:pStyle w:val="TableText"/>
              <w:jc w:val="center"/>
            </w:pPr>
            <w:r>
              <w:t>56</w:t>
            </w:r>
          </w:p>
        </w:tc>
        <w:tc>
          <w:tcPr>
            <w:tcW w:w="846" w:type="dxa"/>
            <w:vAlign w:val="center"/>
          </w:tcPr>
          <w:p w14:paraId="4B5D5DAE" w14:textId="77777777" w:rsidR="00F67915" w:rsidRDefault="00F67915" w:rsidP="00A361A7">
            <w:pPr>
              <w:pStyle w:val="TableText"/>
              <w:jc w:val="center"/>
            </w:pPr>
            <w:r>
              <w:t>0</w:t>
            </w:r>
          </w:p>
        </w:tc>
        <w:tc>
          <w:tcPr>
            <w:tcW w:w="2044" w:type="dxa"/>
            <w:vAlign w:val="center"/>
          </w:tcPr>
          <w:p w14:paraId="57DFAC29" w14:textId="77777777" w:rsidR="00F67915" w:rsidRDefault="00F67915" w:rsidP="00A361A7">
            <w:pPr>
              <w:pStyle w:val="TableText"/>
              <w:jc w:val="center"/>
            </w:pPr>
            <w:r>
              <w:t>Public hospital:</w:t>
            </w:r>
          </w:p>
          <w:p w14:paraId="3ADC7377" w14:textId="14E92193" w:rsidR="00F67915" w:rsidRPr="00B54383" w:rsidRDefault="00F67915" w:rsidP="00A361A7">
            <w:pPr>
              <w:pStyle w:val="TableText"/>
              <w:jc w:val="center"/>
              <w:rPr>
                <w:vertAlign w:val="superscript"/>
              </w:rPr>
            </w:pPr>
            <w:r w:rsidRPr="0050174E">
              <w:t>$</w:t>
            </w:r>
            <w:r w:rsidR="00F96E54" w:rsidRPr="00F96E54">
              <w:rPr>
                <w:color w:val="000000"/>
                <w:shd w:val="solid" w:color="000000" w:fill="000000"/>
                <w14:textFill>
                  <w14:solidFill>
                    <w14:srgbClr w14:val="000000">
                      <w14:alpha w14:val="100000"/>
                    </w14:srgbClr>
                  </w14:solidFill>
                </w14:textFill>
              </w:rPr>
              <w:t>|</w:t>
            </w:r>
            <w:r w:rsidR="00B54383">
              <w:rPr>
                <w:vertAlign w:val="superscript"/>
              </w:rPr>
              <w:t>1</w:t>
            </w:r>
          </w:p>
          <w:p w14:paraId="36467C84" w14:textId="77777777" w:rsidR="00F67915" w:rsidRDefault="00F67915" w:rsidP="00A361A7">
            <w:pPr>
              <w:pStyle w:val="TableText"/>
              <w:jc w:val="center"/>
            </w:pPr>
            <w:r>
              <w:t>Private hospital:</w:t>
            </w:r>
          </w:p>
          <w:p w14:paraId="49239717" w14:textId="4FCAD4B4" w:rsidR="00F67915" w:rsidRPr="00B54383" w:rsidRDefault="00F67915" w:rsidP="00A361A7">
            <w:pPr>
              <w:pStyle w:val="TableText"/>
              <w:jc w:val="center"/>
              <w:rPr>
                <w:vertAlign w:val="superscript"/>
              </w:rPr>
            </w:pPr>
            <w:r>
              <w:t>$</w:t>
            </w:r>
            <w:r w:rsidR="00F96E54" w:rsidRPr="00F96E54">
              <w:rPr>
                <w:color w:val="000000"/>
                <w:shd w:val="solid" w:color="000000" w:fill="000000"/>
                <w14:textFill>
                  <w14:solidFill>
                    <w14:srgbClr w14:val="000000">
                      <w14:alpha w14:val="100000"/>
                    </w14:srgbClr>
                  </w14:solidFill>
                </w14:textFill>
              </w:rPr>
              <w:t>|</w:t>
            </w:r>
            <w:r w:rsidR="00B54383">
              <w:rPr>
                <w:vertAlign w:val="superscript"/>
              </w:rPr>
              <w:t>1</w:t>
            </w:r>
          </w:p>
        </w:tc>
        <w:tc>
          <w:tcPr>
            <w:tcW w:w="1865" w:type="dxa"/>
            <w:vAlign w:val="center"/>
          </w:tcPr>
          <w:p w14:paraId="75681D9A" w14:textId="77777777" w:rsidR="00F67915" w:rsidRDefault="00F67915" w:rsidP="00A361A7">
            <w:pPr>
              <w:pStyle w:val="TableText"/>
              <w:jc w:val="center"/>
            </w:pPr>
            <w:r>
              <w:t>JAKAVI</w:t>
            </w:r>
            <w:r>
              <w:rPr>
                <w:vertAlign w:val="superscript"/>
              </w:rPr>
              <w:t>®</w:t>
            </w:r>
            <w:r w:rsidRPr="0050174E">
              <w:t xml:space="preserve">, </w:t>
            </w:r>
            <w:r>
              <w:t>Novartis</w:t>
            </w:r>
          </w:p>
        </w:tc>
      </w:tr>
      <w:tr w:rsidR="00F67915" w:rsidRPr="007D2D5F" w14:paraId="5EB99E2E" w14:textId="77777777" w:rsidTr="001C47F4">
        <w:tc>
          <w:tcPr>
            <w:tcW w:w="1804" w:type="dxa"/>
            <w:vAlign w:val="center"/>
          </w:tcPr>
          <w:p w14:paraId="7EA44B46" w14:textId="77777777" w:rsidR="00F67915" w:rsidRPr="0050174E" w:rsidRDefault="00F67915" w:rsidP="00A361A7">
            <w:pPr>
              <w:pStyle w:val="TableText"/>
            </w:pPr>
            <w:r>
              <w:rPr>
                <w:smallCaps/>
              </w:rPr>
              <w:t>RUXOLITINIB</w:t>
            </w:r>
          </w:p>
          <w:p w14:paraId="7FE8B55C" w14:textId="77777777" w:rsidR="00F67915" w:rsidRDefault="00F67915" w:rsidP="00A361A7">
            <w:pPr>
              <w:pStyle w:val="TableText"/>
              <w:rPr>
                <w:smallCaps/>
              </w:rPr>
            </w:pPr>
            <w:r>
              <w:t>Tablet 10 mg, 56</w:t>
            </w:r>
          </w:p>
        </w:tc>
        <w:tc>
          <w:tcPr>
            <w:tcW w:w="1260" w:type="dxa"/>
            <w:vAlign w:val="center"/>
          </w:tcPr>
          <w:p w14:paraId="1D829138" w14:textId="77777777" w:rsidR="00F67915" w:rsidRDefault="00F67915" w:rsidP="00A361A7">
            <w:pPr>
              <w:pStyle w:val="TableText"/>
              <w:jc w:val="center"/>
            </w:pPr>
            <w:r>
              <w:t>1</w:t>
            </w:r>
          </w:p>
        </w:tc>
        <w:tc>
          <w:tcPr>
            <w:tcW w:w="1253" w:type="dxa"/>
            <w:vAlign w:val="center"/>
          </w:tcPr>
          <w:p w14:paraId="3509E27E" w14:textId="77777777" w:rsidR="00F67915" w:rsidRDefault="00F67915" w:rsidP="00A361A7">
            <w:pPr>
              <w:pStyle w:val="TableText"/>
              <w:jc w:val="center"/>
            </w:pPr>
            <w:r>
              <w:t>56</w:t>
            </w:r>
          </w:p>
        </w:tc>
        <w:tc>
          <w:tcPr>
            <w:tcW w:w="846" w:type="dxa"/>
            <w:vAlign w:val="center"/>
          </w:tcPr>
          <w:p w14:paraId="5742CABF" w14:textId="77777777" w:rsidR="00F67915" w:rsidRDefault="00F67915" w:rsidP="00A361A7">
            <w:pPr>
              <w:pStyle w:val="TableText"/>
              <w:jc w:val="center"/>
            </w:pPr>
            <w:r>
              <w:t>0</w:t>
            </w:r>
          </w:p>
        </w:tc>
        <w:tc>
          <w:tcPr>
            <w:tcW w:w="2044" w:type="dxa"/>
            <w:vAlign w:val="center"/>
          </w:tcPr>
          <w:p w14:paraId="3868EC76" w14:textId="77777777" w:rsidR="00F67915" w:rsidRDefault="00F67915" w:rsidP="00A361A7">
            <w:pPr>
              <w:pStyle w:val="TableText"/>
              <w:jc w:val="center"/>
            </w:pPr>
            <w:r>
              <w:t xml:space="preserve">Public hospital: </w:t>
            </w:r>
          </w:p>
          <w:p w14:paraId="2C443400" w14:textId="6BA60C8C" w:rsidR="00F67915" w:rsidRDefault="00F67915" w:rsidP="00A361A7">
            <w:pPr>
              <w:pStyle w:val="TableText"/>
              <w:jc w:val="center"/>
            </w:pPr>
            <w:r w:rsidRPr="0050174E">
              <w:t>$</w:t>
            </w:r>
            <w:r w:rsidR="00F96E54" w:rsidRPr="00AF0E02">
              <w:rPr>
                <w:rFonts w:hint="eastAsia"/>
                <w:color w:val="000000"/>
                <w:w w:val="15"/>
                <w:shd w:val="solid" w:color="000000" w:fill="000000"/>
                <w14:textFill>
                  <w14:solidFill>
                    <w14:srgbClr w14:val="000000">
                      <w14:alpha w14:val="100000"/>
                    </w14:srgbClr>
                  </w14:solidFill>
                </w14:textFill>
              </w:rPr>
              <w:t xml:space="preserve">　</w:t>
            </w:r>
            <w:r w:rsidR="00F96E54" w:rsidRPr="00AF0E02">
              <w:rPr>
                <w:color w:val="000000"/>
                <w:w w:val="15"/>
                <w:shd w:val="solid" w:color="000000" w:fill="000000"/>
                <w14:textFill>
                  <w14:solidFill>
                    <w14:srgbClr w14:val="000000">
                      <w14:alpha w14:val="100000"/>
                    </w14:srgbClr>
                  </w14:solidFill>
                </w14:textFill>
              </w:rPr>
              <w:t>|</w:t>
            </w:r>
            <w:r w:rsidR="00F96E54" w:rsidRPr="00AF0E02">
              <w:rPr>
                <w:rFonts w:hint="eastAsia"/>
                <w:color w:val="000000"/>
                <w:spacing w:val="-40"/>
                <w:w w:val="15"/>
                <w:shd w:val="solid" w:color="000000" w:fill="000000"/>
                <w14:textFill>
                  <w14:solidFill>
                    <w14:srgbClr w14:val="000000">
                      <w14:alpha w14:val="100000"/>
                    </w14:srgbClr>
                  </w14:solidFill>
                </w14:textFill>
              </w:rPr>
              <w:t xml:space="preserve">　</w:t>
            </w:r>
            <w:r>
              <w:t xml:space="preserve"> (</w:t>
            </w:r>
            <w:r w:rsidR="005431C6" w:rsidRPr="005431C6">
              <w:t>$</w:t>
            </w:r>
            <w:r w:rsidR="00F96E54" w:rsidRPr="00F96E54">
              <w:rPr>
                <w:color w:val="000000"/>
                <w:shd w:val="solid" w:color="000000" w:fill="000000"/>
                <w14:textFill>
                  <w14:solidFill>
                    <w14:srgbClr w14:val="000000">
                      <w14:alpha w14:val="100000"/>
                    </w14:srgbClr>
                  </w14:solidFill>
                </w14:textFill>
              </w:rPr>
              <w:t>|</w:t>
            </w:r>
            <w:r>
              <w:t>)</w:t>
            </w:r>
          </w:p>
          <w:p w14:paraId="4F8BA244" w14:textId="77777777" w:rsidR="00F67915" w:rsidRDefault="00F67915" w:rsidP="00A361A7">
            <w:pPr>
              <w:pStyle w:val="TableText"/>
              <w:jc w:val="center"/>
            </w:pPr>
            <w:r>
              <w:t>Private hospital:</w:t>
            </w:r>
          </w:p>
          <w:p w14:paraId="3ADCE25F" w14:textId="0368AB6E" w:rsidR="00F67915" w:rsidRPr="0050174E" w:rsidRDefault="005431C6" w:rsidP="00A361A7">
            <w:pPr>
              <w:pStyle w:val="TableText"/>
              <w:jc w:val="center"/>
            </w:pPr>
            <w:r w:rsidRPr="005431C6">
              <w:t>$</w:t>
            </w:r>
            <w:r w:rsidR="00F96E54" w:rsidRPr="00AF0E02">
              <w:rPr>
                <w:rFonts w:hint="eastAsia"/>
                <w:color w:val="000000"/>
                <w:w w:val="15"/>
                <w:shd w:val="solid" w:color="000000" w:fill="000000"/>
                <w14:textFill>
                  <w14:solidFill>
                    <w14:srgbClr w14:val="000000">
                      <w14:alpha w14:val="100000"/>
                    </w14:srgbClr>
                  </w14:solidFill>
                </w14:textFill>
              </w:rPr>
              <w:t xml:space="preserve">　</w:t>
            </w:r>
            <w:r w:rsidR="00F96E54" w:rsidRPr="00AF0E02">
              <w:rPr>
                <w:color w:val="000000"/>
                <w:w w:val="15"/>
                <w:shd w:val="solid" w:color="000000" w:fill="000000"/>
                <w14:textFill>
                  <w14:solidFill>
                    <w14:srgbClr w14:val="000000">
                      <w14:alpha w14:val="100000"/>
                    </w14:srgbClr>
                  </w14:solidFill>
                </w14:textFill>
              </w:rPr>
              <w:t>|</w:t>
            </w:r>
            <w:r w:rsidR="00F96E54" w:rsidRPr="00AF0E02">
              <w:rPr>
                <w:rFonts w:hint="eastAsia"/>
                <w:color w:val="000000"/>
                <w:spacing w:val="-40"/>
                <w:w w:val="15"/>
                <w:shd w:val="solid" w:color="000000" w:fill="000000"/>
                <w14:textFill>
                  <w14:solidFill>
                    <w14:srgbClr w14:val="000000">
                      <w14:alpha w14:val="100000"/>
                    </w14:srgbClr>
                  </w14:solidFill>
                </w14:textFill>
              </w:rPr>
              <w:t xml:space="preserve">　</w:t>
            </w:r>
            <w:r>
              <w:t xml:space="preserve"> (</w:t>
            </w:r>
            <w:r w:rsidRPr="005431C6">
              <w:t>$</w:t>
            </w:r>
            <w:r w:rsidR="00F96E54" w:rsidRPr="00F96E54">
              <w:rPr>
                <w:color w:val="000000"/>
                <w:shd w:val="solid" w:color="000000" w:fill="000000"/>
                <w14:textFill>
                  <w14:solidFill>
                    <w14:srgbClr w14:val="000000">
                      <w14:alpha w14:val="100000"/>
                    </w14:srgbClr>
                  </w14:solidFill>
                </w14:textFill>
              </w:rPr>
              <w:t>|</w:t>
            </w:r>
            <w:r>
              <w:t>)</w:t>
            </w:r>
          </w:p>
        </w:tc>
        <w:tc>
          <w:tcPr>
            <w:tcW w:w="1865" w:type="dxa"/>
            <w:vAlign w:val="center"/>
          </w:tcPr>
          <w:p w14:paraId="46E51DEB" w14:textId="77777777" w:rsidR="00F67915" w:rsidRDefault="00F67915" w:rsidP="00A361A7">
            <w:pPr>
              <w:pStyle w:val="TableText"/>
              <w:jc w:val="center"/>
            </w:pPr>
            <w:r>
              <w:t>JAKAVI</w:t>
            </w:r>
            <w:r>
              <w:rPr>
                <w:vertAlign w:val="superscript"/>
              </w:rPr>
              <w:t>®</w:t>
            </w:r>
            <w:r w:rsidRPr="0050174E">
              <w:t xml:space="preserve">, </w:t>
            </w:r>
            <w:r>
              <w:t>Novartis</w:t>
            </w:r>
          </w:p>
        </w:tc>
      </w:tr>
      <w:tr w:rsidR="00F67915" w:rsidRPr="007D2D5F" w14:paraId="2D466B7B" w14:textId="77777777" w:rsidTr="001C47F4">
        <w:tc>
          <w:tcPr>
            <w:tcW w:w="9072" w:type="dxa"/>
            <w:gridSpan w:val="6"/>
            <w:vAlign w:val="center"/>
          </w:tcPr>
          <w:p w14:paraId="11F63470" w14:textId="77777777" w:rsidR="00F67915" w:rsidRDefault="00F67915" w:rsidP="00A361A7">
            <w:pPr>
              <w:pStyle w:val="TableText"/>
            </w:pPr>
            <w:r>
              <w:rPr>
                <w:b/>
                <w:bCs w:val="0"/>
              </w:rPr>
              <w:t>Continuing treatment</w:t>
            </w:r>
          </w:p>
        </w:tc>
      </w:tr>
      <w:tr w:rsidR="00F67915" w:rsidRPr="007D2D5F" w14:paraId="2F38A082" w14:textId="77777777" w:rsidTr="001C47F4">
        <w:tc>
          <w:tcPr>
            <w:tcW w:w="1804" w:type="dxa"/>
            <w:vAlign w:val="center"/>
          </w:tcPr>
          <w:p w14:paraId="01960968" w14:textId="77777777" w:rsidR="00F67915" w:rsidRPr="0050174E" w:rsidRDefault="00F67915" w:rsidP="00A361A7">
            <w:pPr>
              <w:pStyle w:val="TableText"/>
            </w:pPr>
            <w:r>
              <w:rPr>
                <w:smallCaps/>
              </w:rPr>
              <w:t>RUXOLITINIB</w:t>
            </w:r>
          </w:p>
          <w:p w14:paraId="73F38556" w14:textId="77777777" w:rsidR="00F67915" w:rsidRDefault="00F67915" w:rsidP="00A361A7">
            <w:pPr>
              <w:pStyle w:val="TableText"/>
              <w:rPr>
                <w:smallCaps/>
              </w:rPr>
            </w:pPr>
            <w:r>
              <w:t>Tablet 5 mg, 56</w:t>
            </w:r>
          </w:p>
        </w:tc>
        <w:tc>
          <w:tcPr>
            <w:tcW w:w="1260" w:type="dxa"/>
            <w:vAlign w:val="center"/>
          </w:tcPr>
          <w:p w14:paraId="604F3B0A" w14:textId="77777777" w:rsidR="00F67915" w:rsidRDefault="00F67915" w:rsidP="00A361A7">
            <w:pPr>
              <w:pStyle w:val="TableText"/>
              <w:jc w:val="center"/>
            </w:pPr>
            <w:r>
              <w:t>1</w:t>
            </w:r>
          </w:p>
        </w:tc>
        <w:tc>
          <w:tcPr>
            <w:tcW w:w="1253" w:type="dxa"/>
            <w:vAlign w:val="center"/>
          </w:tcPr>
          <w:p w14:paraId="5A98CB51" w14:textId="77777777" w:rsidR="00F67915" w:rsidRDefault="00F67915" w:rsidP="00A361A7">
            <w:pPr>
              <w:pStyle w:val="TableText"/>
              <w:jc w:val="center"/>
            </w:pPr>
            <w:r>
              <w:t>56</w:t>
            </w:r>
          </w:p>
        </w:tc>
        <w:tc>
          <w:tcPr>
            <w:tcW w:w="846" w:type="dxa"/>
            <w:vAlign w:val="center"/>
          </w:tcPr>
          <w:p w14:paraId="32BCD6B7" w14:textId="77777777" w:rsidR="00F67915" w:rsidRDefault="00F67915" w:rsidP="00A361A7">
            <w:pPr>
              <w:pStyle w:val="TableText"/>
              <w:jc w:val="center"/>
            </w:pPr>
            <w:r>
              <w:t>5</w:t>
            </w:r>
          </w:p>
        </w:tc>
        <w:tc>
          <w:tcPr>
            <w:tcW w:w="2044" w:type="dxa"/>
            <w:vAlign w:val="center"/>
          </w:tcPr>
          <w:p w14:paraId="6F849FBD" w14:textId="77777777" w:rsidR="00E34DC1" w:rsidRDefault="00E34DC1" w:rsidP="00E34DC1">
            <w:pPr>
              <w:pStyle w:val="TableText"/>
              <w:jc w:val="center"/>
            </w:pPr>
            <w:r>
              <w:t>Public hospital:</w:t>
            </w:r>
          </w:p>
          <w:p w14:paraId="4DF0FA10" w14:textId="61C8467B" w:rsidR="00E34DC1" w:rsidRPr="00B54383" w:rsidRDefault="00E34DC1" w:rsidP="00E34DC1">
            <w:pPr>
              <w:pStyle w:val="TableText"/>
              <w:jc w:val="center"/>
              <w:rPr>
                <w:vertAlign w:val="superscript"/>
              </w:rPr>
            </w:pPr>
            <w:r w:rsidRPr="0050174E">
              <w:t>$</w:t>
            </w:r>
            <w:r w:rsidR="00F96E54" w:rsidRPr="00F96E54">
              <w:rPr>
                <w:color w:val="000000"/>
                <w:shd w:val="solid" w:color="000000" w:fill="000000"/>
                <w14:textFill>
                  <w14:solidFill>
                    <w14:srgbClr w14:val="000000">
                      <w14:alpha w14:val="100000"/>
                    </w14:srgbClr>
                  </w14:solidFill>
                </w14:textFill>
              </w:rPr>
              <w:t>|</w:t>
            </w:r>
            <w:r>
              <w:rPr>
                <w:vertAlign w:val="superscript"/>
              </w:rPr>
              <w:t>1</w:t>
            </w:r>
          </w:p>
          <w:p w14:paraId="30B620F0" w14:textId="77777777" w:rsidR="00E34DC1" w:rsidRDefault="00E34DC1" w:rsidP="00E34DC1">
            <w:pPr>
              <w:pStyle w:val="TableText"/>
              <w:jc w:val="center"/>
            </w:pPr>
            <w:r>
              <w:t>Private hospital:</w:t>
            </w:r>
          </w:p>
          <w:p w14:paraId="118600BA" w14:textId="2B92E5A5" w:rsidR="00F67915" w:rsidRPr="0050174E" w:rsidRDefault="00E34DC1" w:rsidP="00E34DC1">
            <w:pPr>
              <w:pStyle w:val="TableText"/>
              <w:jc w:val="center"/>
            </w:pPr>
            <w:r>
              <w:t>$</w:t>
            </w:r>
            <w:r w:rsidR="00F96E54" w:rsidRPr="00F96E54">
              <w:rPr>
                <w:color w:val="000000"/>
                <w:shd w:val="solid" w:color="000000" w:fill="000000"/>
                <w14:textFill>
                  <w14:solidFill>
                    <w14:srgbClr w14:val="000000">
                      <w14:alpha w14:val="100000"/>
                    </w14:srgbClr>
                  </w14:solidFill>
                </w14:textFill>
              </w:rPr>
              <w:t>|</w:t>
            </w:r>
            <w:r>
              <w:rPr>
                <w:vertAlign w:val="superscript"/>
              </w:rPr>
              <w:t>1</w:t>
            </w:r>
          </w:p>
        </w:tc>
        <w:tc>
          <w:tcPr>
            <w:tcW w:w="1865" w:type="dxa"/>
            <w:vAlign w:val="center"/>
          </w:tcPr>
          <w:p w14:paraId="5CD695AB" w14:textId="77777777" w:rsidR="00F67915" w:rsidRDefault="00F67915" w:rsidP="00A361A7">
            <w:pPr>
              <w:pStyle w:val="TableText"/>
              <w:jc w:val="center"/>
            </w:pPr>
            <w:r>
              <w:t>JAKAVI</w:t>
            </w:r>
            <w:r>
              <w:rPr>
                <w:vertAlign w:val="superscript"/>
              </w:rPr>
              <w:t>®</w:t>
            </w:r>
            <w:r w:rsidRPr="0050174E">
              <w:t xml:space="preserve">, </w:t>
            </w:r>
            <w:r>
              <w:t>Novartis</w:t>
            </w:r>
          </w:p>
        </w:tc>
      </w:tr>
      <w:tr w:rsidR="00F67915" w:rsidRPr="007D2D5F" w14:paraId="6E2BAFC9" w14:textId="77777777" w:rsidTr="001C47F4">
        <w:tc>
          <w:tcPr>
            <w:tcW w:w="1804" w:type="dxa"/>
            <w:vAlign w:val="center"/>
          </w:tcPr>
          <w:p w14:paraId="2A725778" w14:textId="77777777" w:rsidR="00F67915" w:rsidRPr="0050174E" w:rsidRDefault="00F67915" w:rsidP="00A361A7">
            <w:pPr>
              <w:pStyle w:val="TableText"/>
            </w:pPr>
            <w:r>
              <w:rPr>
                <w:smallCaps/>
              </w:rPr>
              <w:t>RUXOLITINIB</w:t>
            </w:r>
          </w:p>
          <w:p w14:paraId="7F9271EE" w14:textId="77777777" w:rsidR="00F67915" w:rsidRDefault="00F67915" w:rsidP="00A361A7">
            <w:pPr>
              <w:pStyle w:val="TableText"/>
              <w:rPr>
                <w:smallCaps/>
              </w:rPr>
            </w:pPr>
            <w:r>
              <w:t>Tablet 10 mg, 56</w:t>
            </w:r>
          </w:p>
        </w:tc>
        <w:tc>
          <w:tcPr>
            <w:tcW w:w="1260" w:type="dxa"/>
            <w:vAlign w:val="center"/>
          </w:tcPr>
          <w:p w14:paraId="3029A169" w14:textId="77777777" w:rsidR="00F67915" w:rsidRDefault="00F67915" w:rsidP="00A361A7">
            <w:pPr>
              <w:pStyle w:val="TableText"/>
              <w:jc w:val="center"/>
            </w:pPr>
            <w:r>
              <w:t>1</w:t>
            </w:r>
          </w:p>
        </w:tc>
        <w:tc>
          <w:tcPr>
            <w:tcW w:w="1253" w:type="dxa"/>
            <w:vAlign w:val="center"/>
          </w:tcPr>
          <w:p w14:paraId="48220CFD" w14:textId="77777777" w:rsidR="00F67915" w:rsidRDefault="00F67915" w:rsidP="00A361A7">
            <w:pPr>
              <w:pStyle w:val="TableText"/>
              <w:jc w:val="center"/>
            </w:pPr>
            <w:r>
              <w:t>56</w:t>
            </w:r>
          </w:p>
        </w:tc>
        <w:tc>
          <w:tcPr>
            <w:tcW w:w="846" w:type="dxa"/>
            <w:vAlign w:val="center"/>
          </w:tcPr>
          <w:p w14:paraId="5D592990" w14:textId="77777777" w:rsidR="00F67915" w:rsidRDefault="00F67915" w:rsidP="00A361A7">
            <w:pPr>
              <w:pStyle w:val="TableText"/>
              <w:jc w:val="center"/>
            </w:pPr>
            <w:r>
              <w:t>5</w:t>
            </w:r>
          </w:p>
        </w:tc>
        <w:tc>
          <w:tcPr>
            <w:tcW w:w="2044" w:type="dxa"/>
            <w:vAlign w:val="center"/>
          </w:tcPr>
          <w:p w14:paraId="6AF76BF8" w14:textId="77777777" w:rsidR="00E34DC1" w:rsidRDefault="00E34DC1" w:rsidP="00E34DC1">
            <w:pPr>
              <w:pStyle w:val="TableText"/>
              <w:jc w:val="center"/>
            </w:pPr>
            <w:r>
              <w:t xml:space="preserve">Public hospital: </w:t>
            </w:r>
          </w:p>
          <w:p w14:paraId="30F5FDC2" w14:textId="099A4216" w:rsidR="00E34DC1" w:rsidRDefault="00E34DC1" w:rsidP="00E34DC1">
            <w:pPr>
              <w:pStyle w:val="TableText"/>
              <w:jc w:val="center"/>
            </w:pPr>
            <w:r w:rsidRPr="0050174E">
              <w:t>$</w:t>
            </w:r>
            <w:r w:rsidR="00F96E54" w:rsidRPr="00AF0E02">
              <w:rPr>
                <w:rFonts w:hint="eastAsia"/>
                <w:color w:val="000000"/>
                <w:w w:val="15"/>
                <w:shd w:val="solid" w:color="000000" w:fill="000000"/>
                <w14:textFill>
                  <w14:solidFill>
                    <w14:srgbClr w14:val="000000">
                      <w14:alpha w14:val="100000"/>
                    </w14:srgbClr>
                  </w14:solidFill>
                </w14:textFill>
              </w:rPr>
              <w:t xml:space="preserve">　</w:t>
            </w:r>
            <w:r w:rsidR="00F96E54" w:rsidRPr="00AF0E02">
              <w:rPr>
                <w:color w:val="000000"/>
                <w:w w:val="15"/>
                <w:shd w:val="solid" w:color="000000" w:fill="000000"/>
                <w14:textFill>
                  <w14:solidFill>
                    <w14:srgbClr w14:val="000000">
                      <w14:alpha w14:val="100000"/>
                    </w14:srgbClr>
                  </w14:solidFill>
                </w14:textFill>
              </w:rPr>
              <w:t>|</w:t>
            </w:r>
            <w:r w:rsidR="00F96E54" w:rsidRPr="00AF0E02">
              <w:rPr>
                <w:rFonts w:hint="eastAsia"/>
                <w:color w:val="000000"/>
                <w:spacing w:val="-40"/>
                <w:w w:val="15"/>
                <w:shd w:val="solid" w:color="000000" w:fill="000000"/>
                <w14:textFill>
                  <w14:solidFill>
                    <w14:srgbClr w14:val="000000">
                      <w14:alpha w14:val="100000"/>
                    </w14:srgbClr>
                  </w14:solidFill>
                </w14:textFill>
              </w:rPr>
              <w:t xml:space="preserve">　</w:t>
            </w:r>
            <w:r>
              <w:t xml:space="preserve"> (</w:t>
            </w:r>
            <w:r w:rsidRPr="005431C6">
              <w:t>$</w:t>
            </w:r>
            <w:r w:rsidR="00F96E54" w:rsidRPr="00F96E54">
              <w:rPr>
                <w:color w:val="000000"/>
                <w:shd w:val="solid" w:color="000000" w:fill="000000"/>
                <w14:textFill>
                  <w14:solidFill>
                    <w14:srgbClr w14:val="000000">
                      <w14:alpha w14:val="100000"/>
                    </w14:srgbClr>
                  </w14:solidFill>
                </w14:textFill>
              </w:rPr>
              <w:t>|</w:t>
            </w:r>
            <w:r>
              <w:t>)</w:t>
            </w:r>
          </w:p>
          <w:p w14:paraId="6814CE45" w14:textId="77777777" w:rsidR="00E34DC1" w:rsidRDefault="00E34DC1" w:rsidP="00E34DC1">
            <w:pPr>
              <w:pStyle w:val="TableText"/>
              <w:jc w:val="center"/>
            </w:pPr>
            <w:r>
              <w:t>Private hospital:</w:t>
            </w:r>
          </w:p>
          <w:p w14:paraId="4B876A4D" w14:textId="0F85CDF3" w:rsidR="00F67915" w:rsidRPr="0050174E" w:rsidRDefault="00E34DC1" w:rsidP="00E34DC1">
            <w:pPr>
              <w:pStyle w:val="TableText"/>
              <w:jc w:val="center"/>
            </w:pPr>
            <w:r w:rsidRPr="005431C6">
              <w:t>$</w:t>
            </w:r>
            <w:r w:rsidR="00F96E54" w:rsidRPr="00AF0E02">
              <w:rPr>
                <w:rFonts w:hint="eastAsia"/>
                <w:color w:val="000000"/>
                <w:w w:val="15"/>
                <w:shd w:val="solid" w:color="000000" w:fill="000000"/>
                <w14:textFill>
                  <w14:solidFill>
                    <w14:srgbClr w14:val="000000">
                      <w14:alpha w14:val="100000"/>
                    </w14:srgbClr>
                  </w14:solidFill>
                </w14:textFill>
              </w:rPr>
              <w:t xml:space="preserve">　</w:t>
            </w:r>
            <w:r w:rsidR="00F96E54" w:rsidRPr="00AF0E02">
              <w:rPr>
                <w:color w:val="000000"/>
                <w:w w:val="15"/>
                <w:shd w:val="solid" w:color="000000" w:fill="000000"/>
                <w14:textFill>
                  <w14:solidFill>
                    <w14:srgbClr w14:val="000000">
                      <w14:alpha w14:val="100000"/>
                    </w14:srgbClr>
                  </w14:solidFill>
                </w14:textFill>
              </w:rPr>
              <w:t>|</w:t>
            </w:r>
            <w:r w:rsidR="00F96E54" w:rsidRPr="00AF0E02">
              <w:rPr>
                <w:rFonts w:hint="eastAsia"/>
                <w:color w:val="000000"/>
                <w:spacing w:val="-40"/>
                <w:w w:val="15"/>
                <w:shd w:val="solid" w:color="000000" w:fill="000000"/>
                <w14:textFill>
                  <w14:solidFill>
                    <w14:srgbClr w14:val="000000">
                      <w14:alpha w14:val="100000"/>
                    </w14:srgbClr>
                  </w14:solidFill>
                </w14:textFill>
              </w:rPr>
              <w:t xml:space="preserve">　</w:t>
            </w:r>
            <w:r>
              <w:t xml:space="preserve"> (</w:t>
            </w:r>
            <w:r w:rsidRPr="005431C6">
              <w:t>$</w:t>
            </w:r>
            <w:r w:rsidR="00F96E54" w:rsidRPr="00F96E54">
              <w:rPr>
                <w:color w:val="000000"/>
                <w:shd w:val="solid" w:color="000000" w:fill="000000"/>
                <w14:textFill>
                  <w14:solidFill>
                    <w14:srgbClr w14:val="000000">
                      <w14:alpha w14:val="100000"/>
                    </w14:srgbClr>
                  </w14:solidFill>
                </w14:textFill>
              </w:rPr>
              <w:t>|</w:t>
            </w:r>
            <w:r>
              <w:t>)</w:t>
            </w:r>
          </w:p>
        </w:tc>
        <w:tc>
          <w:tcPr>
            <w:tcW w:w="1865" w:type="dxa"/>
            <w:vAlign w:val="center"/>
          </w:tcPr>
          <w:p w14:paraId="2505E4EA" w14:textId="77777777" w:rsidR="00F67915" w:rsidRDefault="00F67915" w:rsidP="00A361A7">
            <w:pPr>
              <w:pStyle w:val="TableText"/>
              <w:jc w:val="center"/>
            </w:pPr>
            <w:r>
              <w:t>JAKAVI</w:t>
            </w:r>
            <w:r>
              <w:rPr>
                <w:vertAlign w:val="superscript"/>
              </w:rPr>
              <w:t>®</w:t>
            </w:r>
            <w:r w:rsidRPr="0050174E">
              <w:t xml:space="preserve">, </w:t>
            </w:r>
            <w:r>
              <w:t>Novartis</w:t>
            </w:r>
          </w:p>
        </w:tc>
      </w:tr>
    </w:tbl>
    <w:p w14:paraId="689AE16A" w14:textId="77777777" w:rsidR="0055010E" w:rsidRDefault="0055010E" w:rsidP="00B54383">
      <w:pPr>
        <w:pStyle w:val="TableFigureFooter"/>
        <w:rPr>
          <w:vertAlign w:val="superscript"/>
        </w:rPr>
      </w:pPr>
    </w:p>
    <w:tbl>
      <w:tblPr>
        <w:tblW w:w="5000" w:type="pct"/>
        <w:tblLook w:val="0000" w:firstRow="0" w:lastRow="0" w:firstColumn="0" w:lastColumn="0" w:noHBand="0" w:noVBand="0"/>
      </w:tblPr>
      <w:tblGrid>
        <w:gridCol w:w="9017"/>
      </w:tblGrid>
      <w:tr w:rsidR="0055010E" w:rsidRPr="0055010E" w14:paraId="5CAC00F4"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48C7D34" w14:textId="77777777" w:rsidR="0055010E" w:rsidRPr="0055010E" w:rsidRDefault="0055010E" w:rsidP="0055010E">
            <w:pPr>
              <w:pStyle w:val="TableText"/>
              <w:keepNext w:val="0"/>
            </w:pPr>
            <w:r w:rsidRPr="0055010E">
              <w:rPr>
                <w:b/>
              </w:rPr>
              <w:t xml:space="preserve">Category / Program: </w:t>
            </w:r>
            <w:r w:rsidRPr="0055010E">
              <w:t>Section 100 – Highly Specialised Drugs Program</w:t>
            </w:r>
          </w:p>
        </w:tc>
      </w:tr>
      <w:tr w:rsidR="0055010E" w:rsidRPr="0055010E" w14:paraId="6A3462A0"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12AF4D47" w14:textId="4D6D1E2D" w:rsidR="0055010E" w:rsidRPr="0055010E" w:rsidRDefault="0055010E" w:rsidP="0055010E">
            <w:pPr>
              <w:pStyle w:val="TableText"/>
              <w:keepNext w:val="0"/>
            </w:pPr>
            <w:r w:rsidRPr="0055010E">
              <w:rPr>
                <w:b/>
              </w:rPr>
              <w:t xml:space="preserve">Prescriber type: </w:t>
            </w:r>
            <w:r w:rsidRPr="0055010E">
              <w:fldChar w:fldCharType="begin" w:fldLock="1">
                <w:ffData>
                  <w:name w:val="Check1"/>
                  <w:enabled/>
                  <w:calcOnExit w:val="0"/>
                  <w:checkBox>
                    <w:sizeAuto/>
                    <w:default w:val="0"/>
                  </w:checkBox>
                </w:ffData>
              </w:fldChar>
            </w:r>
            <w:r w:rsidRPr="0055010E">
              <w:instrText xml:space="preserve"> FORMCHECKBOX </w:instrText>
            </w:r>
            <w:r w:rsidR="00BD1016">
              <w:fldChar w:fldCharType="separate"/>
            </w:r>
            <w:r w:rsidRPr="0055010E">
              <w:fldChar w:fldCharType="end"/>
            </w:r>
            <w:r w:rsidRPr="0055010E">
              <w:t xml:space="preserve">Dental  </w:t>
            </w:r>
            <w:r w:rsidRPr="0055010E">
              <w:fldChar w:fldCharType="begin" w:fldLock="1">
                <w:ffData>
                  <w:name w:val="Check1"/>
                  <w:enabled/>
                  <w:calcOnExit w:val="0"/>
                  <w:checkBox>
                    <w:sizeAuto/>
                    <w:default w:val="1"/>
                  </w:checkBox>
                </w:ffData>
              </w:fldChar>
            </w:r>
            <w:r w:rsidRPr="0055010E">
              <w:instrText xml:space="preserve"> FORMCHECKBOX </w:instrText>
            </w:r>
            <w:r w:rsidR="00BD1016">
              <w:fldChar w:fldCharType="separate"/>
            </w:r>
            <w:r w:rsidRPr="0055010E">
              <w:fldChar w:fldCharType="end"/>
            </w:r>
            <w:r w:rsidRPr="0055010E">
              <w:t xml:space="preserve">Medical Practitioners  </w:t>
            </w:r>
            <w:r w:rsidRPr="0055010E">
              <w:fldChar w:fldCharType="begin" w:fldLock="1">
                <w:ffData>
                  <w:name w:val="Check1"/>
                  <w:enabled/>
                  <w:calcOnExit w:val="0"/>
                  <w:checkBox>
                    <w:sizeAuto/>
                    <w:default w:val="0"/>
                  </w:checkBox>
                </w:ffData>
              </w:fldChar>
            </w:r>
            <w:r w:rsidRPr="0055010E">
              <w:instrText xml:space="preserve"> FORMCHECKBOX </w:instrText>
            </w:r>
            <w:r w:rsidR="00BD1016">
              <w:fldChar w:fldCharType="separate"/>
            </w:r>
            <w:r w:rsidRPr="0055010E">
              <w:fldChar w:fldCharType="end"/>
            </w:r>
            <w:r w:rsidRPr="0055010E">
              <w:t xml:space="preserve">Nurse practitioners </w:t>
            </w:r>
            <w:r w:rsidRPr="0055010E">
              <w:fldChar w:fldCharType="begin" w:fldLock="1">
                <w:ffData>
                  <w:name w:val="Check1"/>
                  <w:enabled/>
                  <w:calcOnExit w:val="0"/>
                  <w:checkBox>
                    <w:sizeAuto/>
                    <w:default w:val="0"/>
                  </w:checkBox>
                </w:ffData>
              </w:fldChar>
            </w:r>
            <w:r w:rsidRPr="0055010E">
              <w:instrText xml:space="preserve"> FORMCHECKBOX </w:instrText>
            </w:r>
            <w:r w:rsidR="00BD1016">
              <w:fldChar w:fldCharType="separate"/>
            </w:r>
            <w:r w:rsidRPr="0055010E">
              <w:fldChar w:fldCharType="end"/>
            </w:r>
            <w:r w:rsidRPr="0055010E">
              <w:t xml:space="preserve">Optometrists </w:t>
            </w:r>
            <w:r w:rsidRPr="0055010E">
              <w:fldChar w:fldCharType="begin" w:fldLock="1">
                <w:ffData>
                  <w:name w:val="Check1"/>
                  <w:enabled/>
                  <w:calcOnExit w:val="0"/>
                  <w:checkBox>
                    <w:sizeAuto/>
                    <w:default w:val="0"/>
                  </w:checkBox>
                </w:ffData>
              </w:fldChar>
            </w:r>
            <w:r w:rsidRPr="0055010E">
              <w:instrText xml:space="preserve"> FORMCHECKBOX </w:instrText>
            </w:r>
            <w:r w:rsidR="00BD1016">
              <w:fldChar w:fldCharType="separate"/>
            </w:r>
            <w:r w:rsidRPr="0055010E">
              <w:fldChar w:fldCharType="end"/>
            </w:r>
            <w:r w:rsidRPr="0055010E">
              <w:t>Midwives</w:t>
            </w:r>
          </w:p>
        </w:tc>
      </w:tr>
      <w:tr w:rsidR="0055010E" w:rsidRPr="0055010E" w14:paraId="54D076C6"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1E08DB44" w14:textId="77777777" w:rsidR="0055010E" w:rsidRPr="0055010E" w:rsidRDefault="0055010E" w:rsidP="0055010E">
            <w:pPr>
              <w:pStyle w:val="TableText"/>
              <w:keepNext w:val="0"/>
            </w:pPr>
            <w:r w:rsidRPr="0055010E">
              <w:rPr>
                <w:b/>
              </w:rPr>
              <w:t xml:space="preserve">Condition: </w:t>
            </w:r>
            <w:r w:rsidRPr="0055010E">
              <w:t>Acute graft versus host disease (aGVHD)</w:t>
            </w:r>
          </w:p>
        </w:tc>
      </w:tr>
      <w:tr w:rsidR="0055010E" w:rsidRPr="0055010E" w14:paraId="0D74753C"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550DCCBE" w14:textId="77777777" w:rsidR="0055010E" w:rsidRPr="0055010E" w:rsidRDefault="0055010E" w:rsidP="0055010E">
            <w:pPr>
              <w:pStyle w:val="TableText"/>
              <w:keepNext w:val="0"/>
            </w:pPr>
            <w:r w:rsidRPr="0055010E">
              <w:rPr>
                <w:b/>
              </w:rPr>
              <w:t xml:space="preserve">Severity: </w:t>
            </w:r>
            <w:r w:rsidRPr="0055010E">
              <w:t>Grade II to IV</w:t>
            </w:r>
          </w:p>
        </w:tc>
      </w:tr>
      <w:tr w:rsidR="0055010E" w:rsidRPr="0055010E" w14:paraId="648DAF26"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015CEA1B" w14:textId="77777777" w:rsidR="0055010E" w:rsidRPr="0055010E" w:rsidRDefault="0055010E" w:rsidP="0055010E">
            <w:pPr>
              <w:pStyle w:val="TableText"/>
              <w:keepNext w:val="0"/>
            </w:pPr>
            <w:r w:rsidRPr="0055010E">
              <w:rPr>
                <w:b/>
              </w:rPr>
              <w:t xml:space="preserve">PBS Indication: </w:t>
            </w:r>
            <w:r w:rsidRPr="0055010E">
              <w:t>Grade II to IV acute graft versus host disease</w:t>
            </w:r>
          </w:p>
        </w:tc>
      </w:tr>
      <w:tr w:rsidR="0055010E" w:rsidRPr="0055010E" w14:paraId="2AB2052C"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54BB261D" w14:textId="77777777" w:rsidR="0055010E" w:rsidRPr="0055010E" w:rsidRDefault="0055010E" w:rsidP="0055010E">
            <w:pPr>
              <w:pStyle w:val="TableText"/>
              <w:keepNext w:val="0"/>
            </w:pPr>
            <w:r w:rsidRPr="0055010E">
              <w:rPr>
                <w:b/>
              </w:rPr>
              <w:t xml:space="preserve">Treatment phase: </w:t>
            </w:r>
            <w:r w:rsidRPr="0055010E">
              <w:t>Initial</w:t>
            </w:r>
            <w:r w:rsidRPr="0055010E">
              <w:rPr>
                <w:strike/>
              </w:rPr>
              <w:t>/continuing</w:t>
            </w:r>
          </w:p>
        </w:tc>
      </w:tr>
      <w:tr w:rsidR="0055010E" w:rsidRPr="0055010E" w14:paraId="7E0314AF"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5E264A73" w14:textId="1444783E" w:rsidR="0055010E" w:rsidRPr="0055010E" w:rsidRDefault="0055010E" w:rsidP="0055010E">
            <w:pPr>
              <w:pStyle w:val="TableText"/>
              <w:keepNext w:val="0"/>
            </w:pPr>
            <w:r w:rsidRPr="0055010E">
              <w:rPr>
                <w:b/>
              </w:rPr>
              <w:t xml:space="preserve">Restriction type: </w:t>
            </w:r>
            <w:r w:rsidRPr="0055010E">
              <w:fldChar w:fldCharType="begin" w:fldLock="1">
                <w:ffData>
                  <w:name w:val="Check5"/>
                  <w:enabled/>
                  <w:calcOnExit w:val="0"/>
                  <w:checkBox>
                    <w:sizeAuto/>
                    <w:default w:val="1"/>
                  </w:checkBox>
                </w:ffData>
              </w:fldChar>
            </w:r>
            <w:r w:rsidRPr="0055010E">
              <w:instrText xml:space="preserve"> FORMCHECKBOX </w:instrText>
            </w:r>
            <w:r w:rsidR="00BD1016">
              <w:fldChar w:fldCharType="separate"/>
            </w:r>
            <w:r w:rsidRPr="0055010E">
              <w:fldChar w:fldCharType="end"/>
            </w:r>
            <w:r w:rsidRPr="0055010E">
              <w:t>Streamlined</w:t>
            </w:r>
          </w:p>
        </w:tc>
      </w:tr>
      <w:tr w:rsidR="0055010E" w:rsidRPr="0055010E" w14:paraId="1C98D01A"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E931BA7" w14:textId="77777777" w:rsidR="0055010E" w:rsidRPr="0055010E" w:rsidRDefault="0055010E" w:rsidP="0055010E">
            <w:pPr>
              <w:pStyle w:val="TableText"/>
              <w:keepNext w:val="0"/>
              <w:rPr>
                <w:b/>
              </w:rPr>
            </w:pPr>
          </w:p>
        </w:tc>
      </w:tr>
      <w:tr w:rsidR="0055010E" w:rsidRPr="0055010E" w14:paraId="65A5551F"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0F3021F" w14:textId="77777777" w:rsidR="0055010E" w:rsidRPr="0055010E" w:rsidRDefault="0055010E" w:rsidP="0055010E">
            <w:pPr>
              <w:pStyle w:val="TableText"/>
              <w:keepNext w:val="0"/>
              <w:rPr>
                <w:b/>
              </w:rPr>
            </w:pPr>
            <w:r w:rsidRPr="0055010E">
              <w:rPr>
                <w:b/>
              </w:rPr>
              <w:t>Clinical criteria:</w:t>
            </w:r>
          </w:p>
        </w:tc>
      </w:tr>
      <w:tr w:rsidR="0055010E" w:rsidRPr="0055010E" w14:paraId="00EED4F2"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56FB4765" w14:textId="77777777" w:rsidR="0055010E" w:rsidRPr="0055010E" w:rsidRDefault="0055010E" w:rsidP="0055010E">
            <w:pPr>
              <w:pStyle w:val="TableText"/>
              <w:keepNext w:val="0"/>
              <w:rPr>
                <w:rFonts w:cs="Arial"/>
              </w:rPr>
            </w:pPr>
            <w:r w:rsidRPr="0055010E">
              <w:rPr>
                <w:rFonts w:cs="Arial"/>
                <w:strike/>
              </w:rPr>
              <w:t xml:space="preserve">The </w:t>
            </w:r>
            <w:r w:rsidRPr="0055010E">
              <w:rPr>
                <w:rFonts w:cs="Arial"/>
              </w:rPr>
              <w:t xml:space="preserve">Patient </w:t>
            </w:r>
            <w:r w:rsidRPr="0055010E">
              <w:rPr>
                <w:rFonts w:cs="Arial"/>
                <w:i/>
                <w:iCs/>
              </w:rPr>
              <w:t>must have</w:t>
            </w:r>
            <w:r w:rsidRPr="0055010E">
              <w:rPr>
                <w:rFonts w:cs="Arial"/>
              </w:rPr>
              <w:t xml:space="preserve"> </w:t>
            </w:r>
            <w:r w:rsidRPr="0055010E">
              <w:rPr>
                <w:rFonts w:cs="Arial"/>
                <w:strike/>
              </w:rPr>
              <w:t>has</w:t>
            </w:r>
            <w:r w:rsidRPr="0055010E">
              <w:rPr>
                <w:rFonts w:cs="Arial"/>
              </w:rPr>
              <w:t xml:space="preserve"> received prior systemic steroid treatment for this condition </w:t>
            </w:r>
            <w:r w:rsidRPr="0055010E">
              <w:rPr>
                <w:rFonts w:cs="Arial"/>
                <w:strike/>
              </w:rPr>
              <w:t>and has experienced refractory disease or is dependent or intolerant to steroid treatment</w:t>
            </w:r>
          </w:p>
        </w:tc>
      </w:tr>
      <w:tr w:rsidR="0055010E" w:rsidRPr="0055010E" w14:paraId="0A2D8105"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C52A915" w14:textId="77777777" w:rsidR="0055010E" w:rsidRPr="0055010E" w:rsidRDefault="0055010E" w:rsidP="0055010E">
            <w:pPr>
              <w:pStyle w:val="TableText"/>
              <w:keepNext w:val="0"/>
              <w:rPr>
                <w:rFonts w:cs="Arial"/>
                <w:b/>
                <w:bCs w:val="0"/>
              </w:rPr>
            </w:pPr>
            <w:r w:rsidRPr="0055010E">
              <w:rPr>
                <w:rFonts w:cs="Arial"/>
                <w:b/>
                <w:bCs w:val="0"/>
              </w:rPr>
              <w:t>AND</w:t>
            </w:r>
          </w:p>
        </w:tc>
      </w:tr>
      <w:tr w:rsidR="0055010E" w:rsidRPr="0055010E" w14:paraId="57094F32"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2F89F6F" w14:textId="77777777" w:rsidR="0055010E" w:rsidRPr="0055010E" w:rsidRDefault="0055010E" w:rsidP="0055010E">
            <w:pPr>
              <w:pStyle w:val="TableText"/>
              <w:keepNext w:val="0"/>
              <w:rPr>
                <w:rFonts w:cs="Arial"/>
                <w:b/>
                <w:bCs w:val="0"/>
              </w:rPr>
            </w:pPr>
            <w:r w:rsidRPr="0055010E">
              <w:rPr>
                <w:rFonts w:cs="Arial"/>
                <w:b/>
                <w:bCs w:val="0"/>
              </w:rPr>
              <w:t>Clinical criteria:</w:t>
            </w:r>
          </w:p>
        </w:tc>
      </w:tr>
      <w:tr w:rsidR="0055010E" w:rsidRPr="0055010E" w14:paraId="0C1D52D1"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20EBAB74" w14:textId="77777777" w:rsidR="0055010E" w:rsidRPr="0055010E" w:rsidRDefault="0055010E" w:rsidP="0055010E">
            <w:pPr>
              <w:pStyle w:val="TableText"/>
              <w:keepNext w:val="0"/>
              <w:rPr>
                <w:rFonts w:cs="Arial"/>
                <w:i/>
                <w:iCs/>
              </w:rPr>
            </w:pPr>
            <w:r w:rsidRPr="0055010E">
              <w:rPr>
                <w:rFonts w:cs="Arial"/>
                <w:i/>
                <w:iCs/>
              </w:rPr>
              <w:t>Patient must be one of the following (i) refractory to steroid treatment, (ii) dependent on steroid treatment, (iii) intolerant to steroid treatment</w:t>
            </w:r>
          </w:p>
        </w:tc>
      </w:tr>
      <w:tr w:rsidR="0055010E" w:rsidRPr="0055010E" w14:paraId="5B36F466"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595634DD" w14:textId="77777777" w:rsidR="0055010E" w:rsidRPr="0055010E" w:rsidRDefault="0055010E" w:rsidP="0055010E">
            <w:pPr>
              <w:pStyle w:val="TableText"/>
              <w:keepNext w:val="0"/>
              <w:rPr>
                <w:rFonts w:cs="Arial"/>
              </w:rPr>
            </w:pPr>
          </w:p>
        </w:tc>
      </w:tr>
      <w:tr w:rsidR="0055010E" w:rsidRPr="0055010E" w14:paraId="152E09ED"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1690692" w14:textId="77777777" w:rsidR="0055010E" w:rsidRPr="0055010E" w:rsidRDefault="0055010E" w:rsidP="0055010E">
            <w:pPr>
              <w:pStyle w:val="TableText"/>
              <w:keepNext w:val="0"/>
              <w:rPr>
                <w:rFonts w:cs="Arial"/>
              </w:rPr>
            </w:pPr>
            <w:r w:rsidRPr="0055010E">
              <w:rPr>
                <w:b/>
              </w:rPr>
              <w:t>Treatment criteria:</w:t>
            </w:r>
          </w:p>
        </w:tc>
      </w:tr>
      <w:tr w:rsidR="0055010E" w:rsidRPr="0055010E" w14:paraId="49EBB96A"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7F9EC50" w14:textId="77777777" w:rsidR="0055010E" w:rsidRPr="0055010E" w:rsidRDefault="0055010E" w:rsidP="0055010E">
            <w:pPr>
              <w:pStyle w:val="TableText"/>
              <w:keepNext w:val="0"/>
              <w:rPr>
                <w:rFonts w:cs="Arial"/>
              </w:rPr>
            </w:pPr>
            <w:r w:rsidRPr="0055010E">
              <w:rPr>
                <w:rFonts w:cs="Arial"/>
              </w:rPr>
              <w:t>Must be treated by</w:t>
            </w:r>
            <w:r w:rsidRPr="0055010E">
              <w:rPr>
                <w:rFonts w:cs="Arial"/>
                <w:i/>
                <w:iCs/>
              </w:rPr>
              <w:t xml:space="preserve"> either</w:t>
            </w:r>
            <w:r w:rsidRPr="0055010E">
              <w:rPr>
                <w:rFonts w:cs="Arial"/>
              </w:rPr>
              <w:t xml:space="preserve"> </w:t>
            </w:r>
            <w:r w:rsidRPr="0055010E">
              <w:rPr>
                <w:rFonts w:cs="Arial"/>
                <w:i/>
                <w:iCs/>
              </w:rPr>
              <w:t>(i)</w:t>
            </w:r>
            <w:r w:rsidRPr="0055010E">
              <w:rPr>
                <w:rFonts w:cs="Arial"/>
              </w:rPr>
              <w:t xml:space="preserve"> a haematologist,</w:t>
            </w:r>
            <w:r w:rsidRPr="0055010E">
              <w:rPr>
                <w:rFonts w:cs="Arial"/>
                <w:strike/>
              </w:rPr>
              <w:t>; OR</w:t>
            </w:r>
            <w:r w:rsidRPr="0055010E">
              <w:rPr>
                <w:rFonts w:cs="Arial"/>
              </w:rPr>
              <w:t xml:space="preserve"> </w:t>
            </w:r>
            <w:r w:rsidRPr="0055010E">
              <w:rPr>
                <w:rFonts w:cs="Arial"/>
                <w:i/>
                <w:iCs/>
              </w:rPr>
              <w:t>(ii)</w:t>
            </w:r>
            <w:r w:rsidRPr="0055010E">
              <w:rPr>
                <w:rFonts w:cs="Arial"/>
              </w:rPr>
              <w:t xml:space="preserve"> </w:t>
            </w:r>
            <w:r w:rsidRPr="0055010E">
              <w:rPr>
                <w:rFonts w:cs="Arial"/>
                <w:strike/>
              </w:rPr>
              <w:t>Must be treated by</w:t>
            </w:r>
            <w:r w:rsidRPr="0055010E">
              <w:rPr>
                <w:rFonts w:cs="Arial"/>
              </w:rPr>
              <w:t xml:space="preserve"> an oncologist with allogeneic bone marrow transplantation experience,</w:t>
            </w:r>
            <w:r w:rsidRPr="0055010E">
              <w:rPr>
                <w:rFonts w:cs="Arial"/>
                <w:strike/>
              </w:rPr>
              <w:t>; OR</w:t>
            </w:r>
            <w:r w:rsidRPr="0055010E">
              <w:rPr>
                <w:rFonts w:cs="Arial"/>
              </w:rPr>
              <w:t xml:space="preserve"> </w:t>
            </w:r>
            <w:r w:rsidRPr="0055010E">
              <w:rPr>
                <w:rFonts w:cs="Arial"/>
                <w:i/>
                <w:iCs/>
              </w:rPr>
              <w:t>(iii)</w:t>
            </w:r>
            <w:r w:rsidRPr="0055010E">
              <w:rPr>
                <w:rFonts w:cs="Arial"/>
              </w:rPr>
              <w:t xml:space="preserve"> </w:t>
            </w:r>
            <w:r w:rsidRPr="0055010E">
              <w:rPr>
                <w:rFonts w:cs="Arial"/>
                <w:strike/>
              </w:rPr>
              <w:t>Must be treated by</w:t>
            </w:r>
            <w:r w:rsidRPr="0055010E">
              <w:rPr>
                <w:rFonts w:cs="Arial"/>
              </w:rPr>
              <w:t xml:space="preserve"> a medical practitioner working under the direct supervision of one of the </w:t>
            </w:r>
            <w:r w:rsidRPr="0055010E">
              <w:rPr>
                <w:rFonts w:cs="Arial"/>
                <w:strike/>
              </w:rPr>
              <w:t>above</w:t>
            </w:r>
            <w:r w:rsidRPr="0055010E">
              <w:rPr>
                <w:rFonts w:cs="Arial"/>
              </w:rPr>
              <w:t xml:space="preserve"> afore-mentioned specialist types</w:t>
            </w:r>
          </w:p>
        </w:tc>
      </w:tr>
      <w:tr w:rsidR="0055010E" w:rsidRPr="0055010E" w14:paraId="48700439"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51FBEAEA" w14:textId="77777777" w:rsidR="0055010E" w:rsidRPr="0055010E" w:rsidRDefault="0055010E" w:rsidP="0055010E">
            <w:pPr>
              <w:pStyle w:val="TableText"/>
              <w:keepNext w:val="0"/>
              <w:rPr>
                <w:rFonts w:cs="Arial"/>
                <w:b/>
                <w:bCs w:val="0"/>
              </w:rPr>
            </w:pPr>
            <w:r w:rsidRPr="0055010E">
              <w:rPr>
                <w:rFonts w:cs="Arial"/>
                <w:b/>
                <w:bCs w:val="0"/>
              </w:rPr>
              <w:t>AND</w:t>
            </w:r>
          </w:p>
        </w:tc>
      </w:tr>
      <w:tr w:rsidR="0055010E" w:rsidRPr="0055010E" w14:paraId="1943231B"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3049C624" w14:textId="77777777" w:rsidR="0055010E" w:rsidRPr="0055010E" w:rsidRDefault="0055010E" w:rsidP="0055010E">
            <w:pPr>
              <w:pStyle w:val="TableText"/>
              <w:keepNext w:val="0"/>
              <w:rPr>
                <w:rFonts w:cs="Arial"/>
              </w:rPr>
            </w:pPr>
            <w:r w:rsidRPr="0055010E">
              <w:rPr>
                <w:b/>
              </w:rPr>
              <w:t>Treatment criteria:</w:t>
            </w:r>
          </w:p>
        </w:tc>
      </w:tr>
      <w:tr w:rsidR="0055010E" w:rsidRPr="0055010E" w14:paraId="2938A9A1"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00920B5" w14:textId="77777777" w:rsidR="0055010E" w:rsidRPr="0055010E" w:rsidRDefault="0055010E" w:rsidP="0055010E">
            <w:pPr>
              <w:pStyle w:val="TableText"/>
              <w:keepNext w:val="0"/>
              <w:rPr>
                <w:rFonts w:cs="Arial"/>
              </w:rPr>
            </w:pPr>
            <w:r w:rsidRPr="0055010E">
              <w:rPr>
                <w:rFonts w:cs="Arial"/>
              </w:rPr>
              <w:t>Patient must be undergoing treatment with this drug following allogenic haematopoietic stem cell transplantation</w:t>
            </w:r>
          </w:p>
        </w:tc>
      </w:tr>
      <w:tr w:rsidR="0055010E" w:rsidRPr="0055010E" w14:paraId="44A070DA"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3BF1C1B1" w14:textId="77777777" w:rsidR="0055010E" w:rsidRPr="0055010E" w:rsidRDefault="0055010E" w:rsidP="0055010E">
            <w:pPr>
              <w:pStyle w:val="TableText"/>
              <w:keepNext w:val="0"/>
              <w:rPr>
                <w:rFonts w:cs="Arial"/>
              </w:rPr>
            </w:pPr>
          </w:p>
        </w:tc>
      </w:tr>
      <w:tr w:rsidR="0055010E" w:rsidRPr="0055010E" w14:paraId="46DC6C0D"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20FA8C13" w14:textId="77777777" w:rsidR="0055010E" w:rsidRPr="0055010E" w:rsidRDefault="0055010E" w:rsidP="0055010E">
            <w:pPr>
              <w:pStyle w:val="TableText"/>
              <w:keepNext w:val="0"/>
              <w:rPr>
                <w:rFonts w:cs="Arial"/>
                <w:strike/>
              </w:rPr>
            </w:pPr>
            <w:r w:rsidRPr="0055010E">
              <w:rPr>
                <w:b/>
                <w:strike/>
              </w:rPr>
              <w:t>Population criteria:</w:t>
            </w:r>
          </w:p>
        </w:tc>
      </w:tr>
      <w:tr w:rsidR="0055010E" w:rsidRPr="0055010E" w14:paraId="1F95676F"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12CB62AE" w14:textId="77777777" w:rsidR="0055010E" w:rsidRPr="0055010E" w:rsidRDefault="0055010E" w:rsidP="0055010E">
            <w:pPr>
              <w:pStyle w:val="TableText"/>
              <w:keepNext w:val="0"/>
              <w:rPr>
                <w:rFonts w:cs="Arial"/>
                <w:strike/>
              </w:rPr>
            </w:pPr>
            <w:r w:rsidRPr="0055010E">
              <w:rPr>
                <w:rFonts w:cs="Arial"/>
                <w:strike/>
              </w:rPr>
              <w:t>Patient must be 12 years of age or older</w:t>
            </w:r>
          </w:p>
        </w:tc>
      </w:tr>
      <w:tr w:rsidR="0055010E" w:rsidRPr="0055010E" w14:paraId="4185D149"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290A139" w14:textId="77777777" w:rsidR="0055010E" w:rsidRPr="0055010E" w:rsidRDefault="0055010E" w:rsidP="0055010E">
            <w:pPr>
              <w:pStyle w:val="TableText"/>
              <w:keepNext w:val="0"/>
              <w:rPr>
                <w:rFonts w:cs="Arial"/>
              </w:rPr>
            </w:pPr>
          </w:p>
        </w:tc>
      </w:tr>
      <w:tr w:rsidR="0055010E" w:rsidRPr="0055010E" w14:paraId="758A36EB"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293B3D86" w14:textId="77777777" w:rsidR="0055010E" w:rsidRPr="0055010E" w:rsidRDefault="0055010E" w:rsidP="0055010E">
            <w:pPr>
              <w:pStyle w:val="TableText"/>
              <w:keepNext w:val="0"/>
              <w:rPr>
                <w:b/>
              </w:rPr>
            </w:pPr>
            <w:r w:rsidRPr="0055010E">
              <w:rPr>
                <w:b/>
              </w:rPr>
              <w:t>Prescriber instructions:</w:t>
            </w:r>
          </w:p>
          <w:p w14:paraId="60B40755" w14:textId="7386DE6A" w:rsidR="0055010E" w:rsidRPr="0055010E" w:rsidRDefault="0055010E" w:rsidP="0055010E">
            <w:pPr>
              <w:pStyle w:val="CommentText"/>
              <w:rPr>
                <w:rFonts w:ascii="Arial Narrow" w:hAnsi="Arial Narrow"/>
              </w:rPr>
            </w:pPr>
            <w:r w:rsidRPr="0055010E">
              <w:rPr>
                <w:rFonts w:ascii="Arial Narrow" w:hAnsi="Arial Narrow"/>
              </w:rPr>
              <w:t xml:space="preserve">The severity of aGVHD is defined by the </w:t>
            </w:r>
            <w:r w:rsidR="00BA504B" w:rsidRPr="00D2346A">
              <w:rPr>
                <w:rFonts w:ascii="Arial Narrow" w:hAnsi="Arial Narrow"/>
                <w:i/>
                <w:iCs/>
              </w:rPr>
              <w:t>Mount Sinai Acute GVHD International Consortium</w:t>
            </w:r>
            <w:r w:rsidR="00BA504B" w:rsidRPr="00320844">
              <w:rPr>
                <w:rFonts w:ascii="Arial Narrow" w:hAnsi="Arial Narrow"/>
              </w:rPr>
              <w:t xml:space="preserve"> </w:t>
            </w:r>
            <w:r w:rsidRPr="0055010E">
              <w:rPr>
                <w:rFonts w:ascii="Arial Narrow" w:hAnsi="Arial Narrow"/>
                <w:i/>
                <w:iCs/>
              </w:rPr>
              <w:t>(</w:t>
            </w:r>
            <w:r w:rsidRPr="0055010E">
              <w:rPr>
                <w:rFonts w:ascii="Arial Narrow" w:hAnsi="Arial Narrow"/>
              </w:rPr>
              <w:t>MAGIC</w:t>
            </w:r>
            <w:r w:rsidRPr="0055010E">
              <w:rPr>
                <w:rFonts w:ascii="Arial Narrow" w:hAnsi="Arial Narrow"/>
                <w:i/>
                <w:iCs/>
              </w:rPr>
              <w:t xml:space="preserve">) </w:t>
            </w:r>
            <w:r w:rsidRPr="0055010E">
              <w:rPr>
                <w:rFonts w:ascii="Arial Narrow" w:hAnsi="Arial Narrow"/>
              </w:rPr>
              <w:t xml:space="preserve">criteria </w:t>
            </w:r>
            <w:r w:rsidRPr="0055010E">
              <w:rPr>
                <w:rFonts w:ascii="Arial Narrow" w:hAnsi="Arial Narrow"/>
                <w:strike/>
              </w:rPr>
              <w:t xml:space="preserve">(Harris et al., 2016) </w:t>
            </w:r>
            <w:r w:rsidRPr="0055010E">
              <w:rPr>
                <w:rFonts w:ascii="Arial Narrow" w:hAnsi="Arial Narrow"/>
                <w:i/>
                <w:iCs/>
              </w:rPr>
              <w:t xml:space="preserve">available at: </w:t>
            </w:r>
            <w:hyperlink r:id="rId12" w:history="1">
              <w:r w:rsidRPr="0055010E">
                <w:rPr>
                  <w:rStyle w:val="Hyperlink"/>
                  <w:rFonts w:ascii="Arial Narrow" w:hAnsi="Arial Narrow" w:cs="Calibri"/>
                  <w:i/>
                  <w:iCs/>
                </w:rPr>
                <w:t>https://www.ncbi.nlm.nih.gov/pmc/articles/PMC4706482/</w:t>
              </w:r>
            </w:hyperlink>
            <w:r w:rsidRPr="0055010E">
              <w:rPr>
                <w:rFonts w:ascii="Arial Narrow" w:hAnsi="Arial Narrow"/>
              </w:rPr>
              <w:t>.</w:t>
            </w:r>
          </w:p>
        </w:tc>
      </w:tr>
      <w:tr w:rsidR="0055010E" w:rsidRPr="0055010E" w14:paraId="29924C35" w14:textId="77777777" w:rsidTr="001C47F4">
        <w:trPr>
          <w:cantSplit/>
          <w:trHeight w:val="3619"/>
        </w:trPr>
        <w:tc>
          <w:tcPr>
            <w:tcW w:w="5000" w:type="pct"/>
            <w:tcBorders>
              <w:top w:val="single" w:sz="4" w:space="0" w:color="auto"/>
              <w:left w:val="single" w:sz="4" w:space="0" w:color="auto"/>
              <w:right w:val="single" w:sz="4" w:space="0" w:color="auto"/>
            </w:tcBorders>
          </w:tcPr>
          <w:p w14:paraId="424CED7A" w14:textId="77777777" w:rsidR="0055010E" w:rsidRPr="0055010E" w:rsidRDefault="0055010E" w:rsidP="0055010E">
            <w:pPr>
              <w:pStyle w:val="TableText"/>
              <w:keepNext w:val="0"/>
              <w:rPr>
                <w:b/>
              </w:rPr>
            </w:pPr>
            <w:r w:rsidRPr="0055010E">
              <w:rPr>
                <w:b/>
              </w:rPr>
              <w:t>Prescriber instructions:</w:t>
            </w:r>
          </w:p>
          <w:p w14:paraId="1C3F2D73" w14:textId="77777777" w:rsidR="0055010E" w:rsidRPr="0055010E" w:rsidRDefault="0055010E" w:rsidP="0055010E">
            <w:pPr>
              <w:pStyle w:val="TableText"/>
              <w:keepNext w:val="0"/>
              <w:rPr>
                <w:rFonts w:cs="Arial"/>
              </w:rPr>
            </w:pPr>
            <w:r w:rsidRPr="0055010E">
              <w:rPr>
                <w:rFonts w:cs="Arial"/>
              </w:rPr>
              <w:t>Steroid-refractory disease is defined as:</w:t>
            </w:r>
          </w:p>
          <w:p w14:paraId="3EBF5D3C" w14:textId="77777777" w:rsidR="0055010E" w:rsidRPr="0055010E" w:rsidRDefault="0055010E" w:rsidP="0055010E">
            <w:pPr>
              <w:pStyle w:val="TableText"/>
              <w:keepNext w:val="0"/>
              <w:rPr>
                <w:rFonts w:cs="Arial"/>
              </w:rPr>
            </w:pPr>
            <w:r w:rsidRPr="0055010E">
              <w:rPr>
                <w:rFonts w:cs="Arial"/>
              </w:rPr>
              <w:t>(a) Progression after at least 3 days of high-dose systemic corticosteroid (methylprednisolone 2 mg/kg/day [or equivalent prednisone dose 2.5 mg/kg/day]) with or without calcineurin inhibitors for the treatment of Grade II-IV aGVHD, OR</w:t>
            </w:r>
          </w:p>
          <w:p w14:paraId="4E689313" w14:textId="77777777" w:rsidR="0055010E" w:rsidRPr="0055010E" w:rsidRDefault="0055010E" w:rsidP="0055010E">
            <w:pPr>
              <w:pStyle w:val="TableText"/>
              <w:keepNext w:val="0"/>
              <w:rPr>
                <w:rFonts w:cs="Arial"/>
              </w:rPr>
            </w:pPr>
            <w:r w:rsidRPr="0055010E">
              <w:rPr>
                <w:rFonts w:cs="Arial"/>
              </w:rPr>
              <w:t>(b) Failure to achieve a partial response after 5 days at the time of initiation of high-dose systemic corticosteroid (methylprednisolone 2 mg/kg/day [or equivalent prednisone dose 2.5 mg/kg/day]) with or without calcineurin inhibitors for the treatment of Grade II-IV aGVHD</w:t>
            </w:r>
          </w:p>
          <w:p w14:paraId="1CDF164C" w14:textId="77777777" w:rsidR="0055010E" w:rsidRPr="0055010E" w:rsidRDefault="0055010E" w:rsidP="0055010E">
            <w:pPr>
              <w:pStyle w:val="TableText"/>
              <w:keepNext w:val="0"/>
              <w:rPr>
                <w:rFonts w:cs="Arial"/>
              </w:rPr>
            </w:pPr>
            <w:r w:rsidRPr="0055010E">
              <w:rPr>
                <w:rFonts w:cs="Arial"/>
              </w:rPr>
              <w:t>Steroid-dependent disease is defined as:</w:t>
            </w:r>
          </w:p>
          <w:p w14:paraId="356725A5" w14:textId="77777777" w:rsidR="0055010E" w:rsidRPr="0055010E" w:rsidRDefault="0055010E" w:rsidP="0055010E">
            <w:pPr>
              <w:pStyle w:val="TableText"/>
              <w:keepNext w:val="0"/>
              <w:rPr>
                <w:rFonts w:cs="Arial"/>
              </w:rPr>
            </w:pPr>
            <w:r w:rsidRPr="0055010E">
              <w:rPr>
                <w:rFonts w:cs="Arial"/>
              </w:rPr>
              <w:t xml:space="preserve">(a) Failed corticosteroid taper </w:t>
            </w:r>
            <w:r w:rsidRPr="0055010E">
              <w:rPr>
                <w:rFonts w:cs="Arial"/>
                <w:strike/>
              </w:rPr>
              <w:t>defined as fulfilling</w:t>
            </w:r>
            <w:r w:rsidRPr="0055010E">
              <w:rPr>
                <w:rFonts w:cs="Arial"/>
              </w:rPr>
              <w:t xml:space="preserve"> </w:t>
            </w:r>
            <w:r w:rsidRPr="0055010E">
              <w:rPr>
                <w:rFonts w:cs="Arial"/>
                <w:i/>
                <w:iCs/>
              </w:rPr>
              <w:t xml:space="preserve">involving </w:t>
            </w:r>
            <w:r w:rsidRPr="0055010E">
              <w:rPr>
                <w:rFonts w:cs="Arial"/>
              </w:rPr>
              <w:t>either one of the following criteria:</w:t>
            </w:r>
          </w:p>
          <w:p w14:paraId="511C0215" w14:textId="77777777" w:rsidR="0055010E" w:rsidRPr="0055010E" w:rsidRDefault="0055010E" w:rsidP="0055010E">
            <w:pPr>
              <w:pStyle w:val="TableText"/>
              <w:keepNext w:val="0"/>
              <w:ind w:left="607"/>
              <w:rPr>
                <w:rFonts w:cs="Arial"/>
              </w:rPr>
            </w:pPr>
            <w:r w:rsidRPr="0055010E">
              <w:rPr>
                <w:rFonts w:cs="Arial"/>
              </w:rPr>
              <w:t xml:space="preserve">(i) </w:t>
            </w:r>
            <w:r w:rsidRPr="0055010E">
              <w:rPr>
                <w:rFonts w:cs="Arial"/>
                <w:strike/>
              </w:rPr>
              <w:t>Requirement for</w:t>
            </w:r>
            <w:r w:rsidRPr="0055010E">
              <w:rPr>
                <w:rFonts w:cs="Arial"/>
              </w:rPr>
              <w:t xml:space="preserve"> an increase in the corticosteroid dose to methylprednisolone ≥ 2 mg/kg/day (or equivalent prednisone dose ≥ 2.5 mg/kg/day) OR</w:t>
            </w:r>
          </w:p>
          <w:p w14:paraId="3A88C2FC" w14:textId="77777777" w:rsidR="0055010E" w:rsidRPr="0055010E" w:rsidRDefault="0055010E" w:rsidP="0055010E">
            <w:pPr>
              <w:pStyle w:val="TableText"/>
              <w:keepNext w:val="0"/>
              <w:ind w:left="607"/>
              <w:rPr>
                <w:rFonts w:cs="Arial"/>
              </w:rPr>
            </w:pPr>
            <w:r w:rsidRPr="0055010E">
              <w:rPr>
                <w:rFonts w:cs="Arial"/>
              </w:rPr>
              <w:t>(ii)Failure to taper the methylprednisolone dose to &lt;0.5 mg/kg/day (or equivalent prednisone dose &lt;0.6 mg/kg/day) for a minimum 7 days</w:t>
            </w:r>
          </w:p>
          <w:p w14:paraId="2BAD11D8" w14:textId="77777777" w:rsidR="0055010E" w:rsidRPr="0055010E" w:rsidRDefault="0055010E" w:rsidP="0055010E">
            <w:pPr>
              <w:pStyle w:val="TableText"/>
              <w:keepNext w:val="0"/>
              <w:rPr>
                <w:rFonts w:cs="Arial"/>
              </w:rPr>
            </w:pPr>
            <w:r w:rsidRPr="0055010E">
              <w:rPr>
                <w:rFonts w:cs="Arial"/>
              </w:rPr>
              <w:t>Steroid intolerance is defined as patient must have developed an intolerance to steroid treatment of a severity necessitating treatment withdrawal.</w:t>
            </w:r>
          </w:p>
        </w:tc>
      </w:tr>
      <w:tr w:rsidR="0055010E" w:rsidRPr="0055010E" w14:paraId="39EB49A0"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15DD987" w14:textId="77777777" w:rsidR="0055010E" w:rsidRPr="0055010E" w:rsidRDefault="0055010E" w:rsidP="0055010E">
            <w:pPr>
              <w:pStyle w:val="TableText"/>
              <w:keepNext w:val="0"/>
              <w:rPr>
                <w:b/>
                <w:strike/>
              </w:rPr>
            </w:pPr>
            <w:r w:rsidRPr="0055010E">
              <w:rPr>
                <w:b/>
                <w:strike/>
              </w:rPr>
              <w:t>Prescriber instructions:</w:t>
            </w:r>
          </w:p>
          <w:p w14:paraId="686EFA5D" w14:textId="246A3D8E" w:rsidR="0055010E" w:rsidRPr="0055010E" w:rsidRDefault="0055010E" w:rsidP="0055010E">
            <w:pPr>
              <w:pStyle w:val="TableText"/>
              <w:keepNext w:val="0"/>
              <w:rPr>
                <w:rFonts w:cs="Arial"/>
                <w:strike/>
              </w:rPr>
            </w:pPr>
            <w:r w:rsidRPr="0055010E">
              <w:rPr>
                <w:rFonts w:cs="Arial"/>
                <w:strike/>
              </w:rPr>
              <w:t xml:space="preserve">A patient must demonstrate a response to initial treatment to be eligible for continuing treatment. Response is defined as attaining a complete or partial response as assessed </w:t>
            </w:r>
            <w:r w:rsidRPr="00320844">
              <w:rPr>
                <w:rFonts w:cs="Arial"/>
                <w:strike/>
              </w:rPr>
              <w:t xml:space="preserve">by </w:t>
            </w:r>
            <w:r w:rsidR="00BA504B" w:rsidRPr="00D2346A">
              <w:rPr>
                <w:strike/>
              </w:rPr>
              <w:t>Mount Sinai Acute GVHD International Consortium</w:t>
            </w:r>
            <w:r w:rsidR="00BA504B" w:rsidRPr="00320844">
              <w:t xml:space="preserve"> </w:t>
            </w:r>
            <w:r w:rsidRPr="00764CEF">
              <w:rPr>
                <w:rFonts w:cs="Arial"/>
                <w:i/>
                <w:iCs/>
                <w:strike/>
              </w:rPr>
              <w:t>(</w:t>
            </w:r>
            <w:r w:rsidRPr="00764CEF">
              <w:rPr>
                <w:rFonts w:cs="Arial"/>
                <w:strike/>
              </w:rPr>
              <w:t>MAGIC</w:t>
            </w:r>
            <w:r w:rsidRPr="00764CEF">
              <w:rPr>
                <w:rFonts w:cs="Arial"/>
                <w:i/>
                <w:iCs/>
                <w:strike/>
              </w:rPr>
              <w:t>)</w:t>
            </w:r>
            <w:r w:rsidRPr="00764CEF">
              <w:rPr>
                <w:rFonts w:cs="Arial"/>
                <w:strike/>
              </w:rPr>
              <w:t xml:space="preserve"> criteria (Harris et al., 2016). Note that response is relative to the assessment of organ function affected </w:t>
            </w:r>
            <w:r w:rsidRPr="0055010E">
              <w:rPr>
                <w:rFonts w:cs="Arial"/>
                <w:strike/>
              </w:rPr>
              <w:t>by aGVHD prior to commencing initial treatment with ruxolitinib.</w:t>
            </w:r>
          </w:p>
          <w:p w14:paraId="0487B853" w14:textId="77777777" w:rsidR="0055010E" w:rsidRPr="0055010E" w:rsidRDefault="0055010E" w:rsidP="00A2582A">
            <w:pPr>
              <w:pStyle w:val="TableText"/>
              <w:keepNext w:val="0"/>
              <w:numPr>
                <w:ilvl w:val="0"/>
                <w:numId w:val="6"/>
              </w:numPr>
              <w:ind w:left="323" w:hanging="218"/>
              <w:rPr>
                <w:rFonts w:cs="Arial"/>
                <w:strike/>
              </w:rPr>
            </w:pPr>
            <w:r w:rsidRPr="0055010E">
              <w:rPr>
                <w:rFonts w:cs="Arial"/>
                <w:strike/>
              </w:rPr>
              <w:t>Complete response was defined as a score of 0 for the aGVHD grading in all evaluable organs that indicates complete resolution of all signs and symptoms of aGVHD in all evaluable organs without administration of additional systemic therapies for any earlier progression, mixed response or non-response of aGVHD.</w:t>
            </w:r>
          </w:p>
          <w:p w14:paraId="65B70943" w14:textId="77777777" w:rsidR="0055010E" w:rsidRPr="0055010E" w:rsidRDefault="0055010E" w:rsidP="00A2582A">
            <w:pPr>
              <w:pStyle w:val="TableText"/>
              <w:keepNext w:val="0"/>
              <w:numPr>
                <w:ilvl w:val="0"/>
                <w:numId w:val="6"/>
              </w:numPr>
              <w:ind w:left="323" w:hanging="218"/>
              <w:rPr>
                <w:rFonts w:cs="Arial"/>
              </w:rPr>
            </w:pPr>
            <w:r w:rsidRPr="0055010E">
              <w:rPr>
                <w:rFonts w:cs="Arial"/>
                <w:strike/>
              </w:rPr>
              <w:t>Partial response was defined as improvement of one stage in one or more organs involved with aGVHD signs or symptoms without progression in other organs or sites without administration of additional systemic therapies for an earlier progression, mixed response, or non-response of aGVHD.</w:t>
            </w:r>
          </w:p>
        </w:tc>
      </w:tr>
      <w:tr w:rsidR="0055010E" w:rsidRPr="0055010E" w14:paraId="5CEEA14C"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1149F2A7" w14:textId="77777777" w:rsidR="0055010E" w:rsidRPr="0055010E" w:rsidRDefault="0055010E" w:rsidP="0055010E">
            <w:pPr>
              <w:pStyle w:val="TableText"/>
              <w:keepNext w:val="0"/>
              <w:rPr>
                <w:b/>
              </w:rPr>
            </w:pPr>
          </w:p>
        </w:tc>
      </w:tr>
      <w:tr w:rsidR="0055010E" w:rsidRPr="00A6154D" w14:paraId="203E709F"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E8A0714" w14:textId="77777777" w:rsidR="0055010E" w:rsidRPr="0055010E" w:rsidRDefault="0055010E" w:rsidP="0055010E">
            <w:pPr>
              <w:pStyle w:val="TableText"/>
              <w:keepNext w:val="0"/>
              <w:rPr>
                <w:rFonts w:cs="Arial"/>
                <w:i/>
                <w:iCs/>
              </w:rPr>
            </w:pPr>
            <w:r w:rsidRPr="0055010E">
              <w:rPr>
                <w:b/>
                <w:i/>
                <w:iCs/>
              </w:rPr>
              <w:t xml:space="preserve">Administrative advice: </w:t>
            </w:r>
            <w:r w:rsidRPr="0055010E">
              <w:rPr>
                <w:rFonts w:cs="Arial"/>
                <w:i/>
                <w:iCs/>
              </w:rPr>
              <w:t>This drug is not PBS-subsidised if it is prescribed to an in-patient in a public hospital setting</w:t>
            </w:r>
          </w:p>
        </w:tc>
      </w:tr>
      <w:tr w:rsidR="0055010E" w:rsidRPr="00A6154D" w14:paraId="22A399FE"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5DCD28D0" w14:textId="77777777" w:rsidR="0055010E" w:rsidRPr="0055010E" w:rsidRDefault="0055010E" w:rsidP="0055010E">
            <w:pPr>
              <w:pStyle w:val="TableText"/>
              <w:keepNext w:val="0"/>
              <w:rPr>
                <w:b/>
                <w:i/>
                <w:iCs/>
              </w:rPr>
            </w:pPr>
            <w:r w:rsidRPr="0055010E">
              <w:rPr>
                <w:b/>
                <w:i/>
                <w:iCs/>
              </w:rPr>
              <w:t xml:space="preserve">Administrative advice: </w:t>
            </w:r>
            <w:r w:rsidRPr="0055010E">
              <w:rPr>
                <w:bCs w:val="0"/>
                <w:i/>
                <w:iCs/>
              </w:rPr>
              <w:t>Special Pricing Arrangements apply</w:t>
            </w:r>
          </w:p>
        </w:tc>
      </w:tr>
    </w:tbl>
    <w:p w14:paraId="7957645C" w14:textId="77777777" w:rsidR="0055010E" w:rsidRPr="0055010E" w:rsidRDefault="0055010E" w:rsidP="0055010E"/>
    <w:tbl>
      <w:tblPr>
        <w:tblW w:w="5000" w:type="pct"/>
        <w:tblLook w:val="0000" w:firstRow="0" w:lastRow="0" w:firstColumn="0" w:lastColumn="0" w:noHBand="0" w:noVBand="0"/>
      </w:tblPr>
      <w:tblGrid>
        <w:gridCol w:w="9017"/>
      </w:tblGrid>
      <w:tr w:rsidR="0055010E" w:rsidRPr="0055010E" w14:paraId="17AF66A7"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53D118C0" w14:textId="77777777" w:rsidR="0055010E" w:rsidRPr="0055010E" w:rsidRDefault="0055010E" w:rsidP="0055010E">
            <w:pPr>
              <w:pStyle w:val="TableText"/>
              <w:keepNext w:val="0"/>
            </w:pPr>
            <w:r w:rsidRPr="0055010E">
              <w:rPr>
                <w:b/>
              </w:rPr>
              <w:t xml:space="preserve">Category / Program: </w:t>
            </w:r>
            <w:r w:rsidRPr="0055010E">
              <w:t>Section 100 – Highly Specialised Drugs Program</w:t>
            </w:r>
          </w:p>
        </w:tc>
      </w:tr>
      <w:tr w:rsidR="0055010E" w:rsidRPr="0055010E" w14:paraId="2567E24F"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41CF175" w14:textId="36D215D1" w:rsidR="0055010E" w:rsidRPr="0055010E" w:rsidRDefault="0055010E" w:rsidP="0055010E">
            <w:pPr>
              <w:pStyle w:val="TableText"/>
              <w:keepNext w:val="0"/>
            </w:pPr>
            <w:r w:rsidRPr="0055010E">
              <w:rPr>
                <w:b/>
              </w:rPr>
              <w:t xml:space="preserve">Prescriber type: </w:t>
            </w:r>
            <w:r w:rsidRPr="0055010E">
              <w:fldChar w:fldCharType="begin" w:fldLock="1">
                <w:ffData>
                  <w:name w:val="Check1"/>
                  <w:enabled/>
                  <w:calcOnExit w:val="0"/>
                  <w:checkBox>
                    <w:sizeAuto/>
                    <w:default w:val="0"/>
                  </w:checkBox>
                </w:ffData>
              </w:fldChar>
            </w:r>
            <w:r w:rsidRPr="0055010E">
              <w:instrText xml:space="preserve"> FORMCHECKBOX </w:instrText>
            </w:r>
            <w:r w:rsidR="00BD1016">
              <w:fldChar w:fldCharType="separate"/>
            </w:r>
            <w:r w:rsidRPr="0055010E">
              <w:fldChar w:fldCharType="end"/>
            </w:r>
            <w:r w:rsidRPr="0055010E">
              <w:t xml:space="preserve">Dental  </w:t>
            </w:r>
            <w:r w:rsidRPr="0055010E">
              <w:fldChar w:fldCharType="begin" w:fldLock="1">
                <w:ffData>
                  <w:name w:val="Check1"/>
                  <w:enabled/>
                  <w:calcOnExit w:val="0"/>
                  <w:checkBox>
                    <w:sizeAuto/>
                    <w:default w:val="1"/>
                  </w:checkBox>
                </w:ffData>
              </w:fldChar>
            </w:r>
            <w:r w:rsidRPr="0055010E">
              <w:instrText xml:space="preserve"> FORMCHECKBOX </w:instrText>
            </w:r>
            <w:r w:rsidR="00BD1016">
              <w:fldChar w:fldCharType="separate"/>
            </w:r>
            <w:r w:rsidRPr="0055010E">
              <w:fldChar w:fldCharType="end"/>
            </w:r>
            <w:r w:rsidRPr="0055010E">
              <w:t xml:space="preserve">Medical Practitioners  </w:t>
            </w:r>
            <w:r w:rsidRPr="0055010E">
              <w:fldChar w:fldCharType="begin" w:fldLock="1">
                <w:ffData>
                  <w:name w:val="Check1"/>
                  <w:enabled/>
                  <w:calcOnExit w:val="0"/>
                  <w:checkBox>
                    <w:sizeAuto/>
                    <w:default w:val="0"/>
                  </w:checkBox>
                </w:ffData>
              </w:fldChar>
            </w:r>
            <w:r w:rsidRPr="0055010E">
              <w:instrText xml:space="preserve"> FORMCHECKBOX </w:instrText>
            </w:r>
            <w:r w:rsidR="00BD1016">
              <w:fldChar w:fldCharType="separate"/>
            </w:r>
            <w:r w:rsidRPr="0055010E">
              <w:fldChar w:fldCharType="end"/>
            </w:r>
            <w:r w:rsidRPr="0055010E">
              <w:t xml:space="preserve">Nurse practitioners </w:t>
            </w:r>
            <w:r w:rsidRPr="0055010E">
              <w:fldChar w:fldCharType="begin" w:fldLock="1">
                <w:ffData>
                  <w:name w:val="Check1"/>
                  <w:enabled/>
                  <w:calcOnExit w:val="0"/>
                  <w:checkBox>
                    <w:sizeAuto/>
                    <w:default w:val="0"/>
                  </w:checkBox>
                </w:ffData>
              </w:fldChar>
            </w:r>
            <w:r w:rsidRPr="0055010E">
              <w:instrText xml:space="preserve"> FORMCHECKBOX </w:instrText>
            </w:r>
            <w:r w:rsidR="00BD1016">
              <w:fldChar w:fldCharType="separate"/>
            </w:r>
            <w:r w:rsidRPr="0055010E">
              <w:fldChar w:fldCharType="end"/>
            </w:r>
            <w:r w:rsidRPr="0055010E">
              <w:t xml:space="preserve">Optometrists </w:t>
            </w:r>
            <w:r w:rsidRPr="0055010E">
              <w:fldChar w:fldCharType="begin" w:fldLock="1">
                <w:ffData>
                  <w:name w:val="Check1"/>
                  <w:enabled/>
                  <w:calcOnExit w:val="0"/>
                  <w:checkBox>
                    <w:sizeAuto/>
                    <w:default w:val="0"/>
                  </w:checkBox>
                </w:ffData>
              </w:fldChar>
            </w:r>
            <w:r w:rsidRPr="0055010E">
              <w:instrText xml:space="preserve"> FORMCHECKBOX </w:instrText>
            </w:r>
            <w:r w:rsidR="00BD1016">
              <w:fldChar w:fldCharType="separate"/>
            </w:r>
            <w:r w:rsidRPr="0055010E">
              <w:fldChar w:fldCharType="end"/>
            </w:r>
            <w:r w:rsidRPr="0055010E">
              <w:t>Midwives</w:t>
            </w:r>
          </w:p>
        </w:tc>
      </w:tr>
      <w:tr w:rsidR="0055010E" w:rsidRPr="0055010E" w14:paraId="6BDB2509"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6EF77FE" w14:textId="77777777" w:rsidR="0055010E" w:rsidRPr="0055010E" w:rsidRDefault="0055010E" w:rsidP="0055010E">
            <w:pPr>
              <w:pStyle w:val="TableText"/>
              <w:keepNext w:val="0"/>
            </w:pPr>
            <w:r w:rsidRPr="0055010E">
              <w:rPr>
                <w:b/>
              </w:rPr>
              <w:t xml:space="preserve">Condition: </w:t>
            </w:r>
            <w:r w:rsidRPr="0055010E">
              <w:t>Acute graft versus host disease (aGVHD)</w:t>
            </w:r>
          </w:p>
        </w:tc>
      </w:tr>
      <w:tr w:rsidR="0055010E" w:rsidRPr="0055010E" w14:paraId="16112CD6"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22A7AFD4" w14:textId="77777777" w:rsidR="0055010E" w:rsidRPr="0055010E" w:rsidRDefault="0055010E" w:rsidP="0055010E">
            <w:pPr>
              <w:pStyle w:val="TableText"/>
              <w:keepNext w:val="0"/>
            </w:pPr>
            <w:r w:rsidRPr="0055010E">
              <w:rPr>
                <w:b/>
              </w:rPr>
              <w:t xml:space="preserve">Severity: </w:t>
            </w:r>
            <w:r w:rsidRPr="0055010E">
              <w:t>Grade II to IV</w:t>
            </w:r>
          </w:p>
        </w:tc>
      </w:tr>
      <w:tr w:rsidR="0055010E" w:rsidRPr="0055010E" w14:paraId="31FE4F4B"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81AAA25" w14:textId="77777777" w:rsidR="0055010E" w:rsidRPr="0055010E" w:rsidRDefault="0055010E" w:rsidP="0055010E">
            <w:pPr>
              <w:pStyle w:val="TableText"/>
              <w:keepNext w:val="0"/>
            </w:pPr>
            <w:r w:rsidRPr="0055010E">
              <w:rPr>
                <w:b/>
              </w:rPr>
              <w:t xml:space="preserve">PBS Indication: </w:t>
            </w:r>
            <w:r w:rsidRPr="0055010E">
              <w:t>Grade II to IV acute graft versus host disease</w:t>
            </w:r>
          </w:p>
        </w:tc>
      </w:tr>
      <w:tr w:rsidR="0055010E" w:rsidRPr="0055010E" w14:paraId="6EA1F62C"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6FD4DE3" w14:textId="77777777" w:rsidR="0055010E" w:rsidRPr="0055010E" w:rsidRDefault="0055010E" w:rsidP="0055010E">
            <w:pPr>
              <w:pStyle w:val="TableText"/>
              <w:keepNext w:val="0"/>
            </w:pPr>
            <w:r w:rsidRPr="0055010E">
              <w:rPr>
                <w:b/>
              </w:rPr>
              <w:t xml:space="preserve">Treatment phase: </w:t>
            </w:r>
            <w:r w:rsidRPr="0055010E">
              <w:t>Continuing</w:t>
            </w:r>
          </w:p>
        </w:tc>
      </w:tr>
      <w:tr w:rsidR="0055010E" w:rsidRPr="0055010E" w14:paraId="0D42CD80"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9EFBD6D" w14:textId="349BCD97" w:rsidR="0055010E" w:rsidRPr="0055010E" w:rsidRDefault="0055010E" w:rsidP="0055010E">
            <w:pPr>
              <w:pStyle w:val="TableText"/>
              <w:keepNext w:val="0"/>
            </w:pPr>
            <w:r w:rsidRPr="0055010E">
              <w:rPr>
                <w:b/>
              </w:rPr>
              <w:t xml:space="preserve">Restriction type: </w:t>
            </w:r>
            <w:r w:rsidRPr="0055010E">
              <w:fldChar w:fldCharType="begin" w:fldLock="1">
                <w:ffData>
                  <w:name w:val="Check5"/>
                  <w:enabled/>
                  <w:calcOnExit w:val="0"/>
                  <w:checkBox>
                    <w:sizeAuto/>
                    <w:default w:val="1"/>
                  </w:checkBox>
                </w:ffData>
              </w:fldChar>
            </w:r>
            <w:r w:rsidRPr="0055010E">
              <w:instrText xml:space="preserve"> FORMCHECKBOX </w:instrText>
            </w:r>
            <w:r w:rsidR="00BD1016">
              <w:fldChar w:fldCharType="separate"/>
            </w:r>
            <w:r w:rsidRPr="0055010E">
              <w:fldChar w:fldCharType="end"/>
            </w:r>
            <w:r w:rsidRPr="0055010E">
              <w:t>Streamlined</w:t>
            </w:r>
          </w:p>
        </w:tc>
      </w:tr>
      <w:tr w:rsidR="0055010E" w:rsidRPr="0055010E" w14:paraId="145D3830"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082C8C6" w14:textId="77777777" w:rsidR="0055010E" w:rsidRPr="0055010E" w:rsidRDefault="0055010E" w:rsidP="0055010E">
            <w:pPr>
              <w:pStyle w:val="TableText"/>
              <w:keepNext w:val="0"/>
              <w:rPr>
                <w:b/>
              </w:rPr>
            </w:pPr>
          </w:p>
        </w:tc>
      </w:tr>
      <w:tr w:rsidR="0055010E" w:rsidRPr="0055010E" w14:paraId="478F94A2"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CFE6C59" w14:textId="77777777" w:rsidR="0055010E" w:rsidRPr="0055010E" w:rsidRDefault="0055010E" w:rsidP="0055010E">
            <w:pPr>
              <w:pStyle w:val="TableText"/>
              <w:keepNext w:val="0"/>
              <w:rPr>
                <w:b/>
              </w:rPr>
            </w:pPr>
            <w:r w:rsidRPr="0055010E">
              <w:rPr>
                <w:b/>
              </w:rPr>
              <w:t>Clinical criteria:</w:t>
            </w:r>
          </w:p>
        </w:tc>
      </w:tr>
      <w:tr w:rsidR="0055010E" w:rsidRPr="0055010E" w14:paraId="64004FD8"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15AB3441" w14:textId="77777777" w:rsidR="0055010E" w:rsidRPr="0055010E" w:rsidRDefault="0055010E" w:rsidP="0055010E">
            <w:pPr>
              <w:pStyle w:val="TableText"/>
              <w:rPr>
                <w:rFonts w:cs="Arial"/>
              </w:rPr>
            </w:pPr>
            <w:r w:rsidRPr="0055010E">
              <w:rPr>
                <w:rFonts w:cs="Arial"/>
              </w:rPr>
              <w:t xml:space="preserve">Patient must have received initial PBS subsidised treatment with this drug for this condition; </w:t>
            </w:r>
          </w:p>
        </w:tc>
      </w:tr>
      <w:tr w:rsidR="0055010E" w:rsidRPr="0055010E" w14:paraId="3D1E52C9"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B52A8B0" w14:textId="77777777" w:rsidR="0055010E" w:rsidRPr="0055010E" w:rsidRDefault="0055010E" w:rsidP="0055010E">
            <w:pPr>
              <w:pStyle w:val="TableText"/>
              <w:rPr>
                <w:rFonts w:cs="Arial"/>
              </w:rPr>
            </w:pPr>
          </w:p>
        </w:tc>
      </w:tr>
      <w:tr w:rsidR="0055010E" w:rsidRPr="0055010E" w14:paraId="22D81A84"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80F024C" w14:textId="77777777" w:rsidR="0055010E" w:rsidRPr="0055010E" w:rsidRDefault="0055010E" w:rsidP="0055010E">
            <w:pPr>
              <w:pStyle w:val="TableText"/>
              <w:keepNext w:val="0"/>
              <w:rPr>
                <w:rFonts w:cs="Arial"/>
              </w:rPr>
            </w:pPr>
            <w:r w:rsidRPr="0055010E">
              <w:rPr>
                <w:b/>
              </w:rPr>
              <w:t>Treatment criteria:</w:t>
            </w:r>
          </w:p>
        </w:tc>
      </w:tr>
      <w:tr w:rsidR="0055010E" w:rsidRPr="0055010E" w14:paraId="1D0287BE"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199C5200" w14:textId="77777777" w:rsidR="0055010E" w:rsidRPr="0055010E" w:rsidRDefault="0055010E" w:rsidP="0055010E">
            <w:pPr>
              <w:pStyle w:val="TableText"/>
              <w:keepNext w:val="0"/>
              <w:rPr>
                <w:rFonts w:cs="Arial"/>
              </w:rPr>
            </w:pPr>
            <w:r w:rsidRPr="0055010E">
              <w:rPr>
                <w:rFonts w:cs="Arial"/>
              </w:rPr>
              <w:t xml:space="preserve">Must be treated by </w:t>
            </w:r>
            <w:r w:rsidRPr="0055010E">
              <w:rPr>
                <w:rFonts w:cs="Arial"/>
                <w:i/>
                <w:iCs/>
              </w:rPr>
              <w:t>either (i)</w:t>
            </w:r>
            <w:r w:rsidRPr="0055010E">
              <w:rPr>
                <w:rFonts w:cs="Arial"/>
              </w:rPr>
              <w:t xml:space="preserve"> a haematologist,</w:t>
            </w:r>
            <w:r w:rsidRPr="0055010E">
              <w:rPr>
                <w:rFonts w:cs="Arial"/>
                <w:strike/>
              </w:rPr>
              <w:t>; OR</w:t>
            </w:r>
            <w:r w:rsidRPr="0055010E">
              <w:rPr>
                <w:rFonts w:cs="Arial"/>
              </w:rPr>
              <w:t xml:space="preserve"> </w:t>
            </w:r>
            <w:r w:rsidRPr="0055010E">
              <w:rPr>
                <w:rFonts w:cs="Arial"/>
                <w:i/>
                <w:iCs/>
              </w:rPr>
              <w:t>(ii)</w:t>
            </w:r>
            <w:r w:rsidRPr="0055010E">
              <w:rPr>
                <w:rFonts w:cs="Arial"/>
              </w:rPr>
              <w:t xml:space="preserve"> </w:t>
            </w:r>
            <w:r w:rsidRPr="0055010E">
              <w:rPr>
                <w:rFonts w:cs="Arial"/>
                <w:strike/>
              </w:rPr>
              <w:t>Must be treated by</w:t>
            </w:r>
            <w:r w:rsidRPr="0055010E">
              <w:rPr>
                <w:rFonts w:cs="Arial"/>
              </w:rPr>
              <w:t xml:space="preserve"> an oncologist with allogeneic bone marrow transplantation experience,</w:t>
            </w:r>
            <w:r w:rsidRPr="0055010E">
              <w:rPr>
                <w:rFonts w:cs="Arial"/>
                <w:strike/>
              </w:rPr>
              <w:t>; OR</w:t>
            </w:r>
            <w:r w:rsidRPr="0055010E">
              <w:rPr>
                <w:rFonts w:cs="Arial"/>
              </w:rPr>
              <w:t xml:space="preserve"> </w:t>
            </w:r>
            <w:r w:rsidRPr="0055010E">
              <w:rPr>
                <w:rFonts w:cs="Arial"/>
                <w:i/>
                <w:iCs/>
              </w:rPr>
              <w:t>(iii)</w:t>
            </w:r>
            <w:r w:rsidRPr="0055010E">
              <w:rPr>
                <w:rFonts w:cs="Arial"/>
              </w:rPr>
              <w:t xml:space="preserve"> </w:t>
            </w:r>
            <w:r w:rsidRPr="0055010E">
              <w:rPr>
                <w:rFonts w:cs="Arial"/>
                <w:strike/>
              </w:rPr>
              <w:t>Must be treated by</w:t>
            </w:r>
            <w:r w:rsidRPr="0055010E">
              <w:rPr>
                <w:rFonts w:cs="Arial"/>
              </w:rPr>
              <w:t xml:space="preserve"> a medical practitioner working under the direct supervision of one of the </w:t>
            </w:r>
            <w:r w:rsidRPr="0055010E">
              <w:rPr>
                <w:rFonts w:cs="Arial"/>
                <w:strike/>
              </w:rPr>
              <w:t>above</w:t>
            </w:r>
            <w:r w:rsidRPr="0055010E">
              <w:rPr>
                <w:rFonts w:cs="Arial"/>
              </w:rPr>
              <w:t xml:space="preserve"> afore-mentioned specialist types</w:t>
            </w:r>
          </w:p>
        </w:tc>
      </w:tr>
      <w:tr w:rsidR="0055010E" w:rsidRPr="0055010E" w14:paraId="40A5EAC3"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720CEAE" w14:textId="77777777" w:rsidR="0055010E" w:rsidRPr="0055010E" w:rsidRDefault="0055010E" w:rsidP="0055010E">
            <w:pPr>
              <w:pStyle w:val="TableText"/>
              <w:keepNext w:val="0"/>
              <w:rPr>
                <w:rFonts w:cs="Arial"/>
                <w:b/>
                <w:bCs w:val="0"/>
                <w:strike/>
              </w:rPr>
            </w:pPr>
            <w:r w:rsidRPr="0055010E">
              <w:rPr>
                <w:rFonts w:cs="Arial"/>
                <w:b/>
                <w:bCs w:val="0"/>
                <w:strike/>
              </w:rPr>
              <w:t>AND</w:t>
            </w:r>
          </w:p>
        </w:tc>
      </w:tr>
      <w:tr w:rsidR="0055010E" w:rsidRPr="0055010E" w14:paraId="3BC7A836"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0E786502" w14:textId="77777777" w:rsidR="0055010E" w:rsidRPr="0055010E" w:rsidRDefault="0055010E" w:rsidP="0055010E">
            <w:pPr>
              <w:pStyle w:val="TableText"/>
              <w:keepNext w:val="0"/>
              <w:rPr>
                <w:rFonts w:cs="Arial"/>
                <w:strike/>
              </w:rPr>
            </w:pPr>
            <w:r w:rsidRPr="0055010E">
              <w:rPr>
                <w:b/>
                <w:strike/>
              </w:rPr>
              <w:t>Treatment criteria:</w:t>
            </w:r>
          </w:p>
        </w:tc>
      </w:tr>
      <w:tr w:rsidR="0055010E" w:rsidRPr="0055010E" w14:paraId="759AB95B"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3C3C6FD3" w14:textId="77777777" w:rsidR="0055010E" w:rsidRPr="0055010E" w:rsidRDefault="0055010E" w:rsidP="0055010E">
            <w:pPr>
              <w:pStyle w:val="TableText"/>
              <w:keepNext w:val="0"/>
              <w:rPr>
                <w:rFonts w:cs="Arial"/>
                <w:strike/>
              </w:rPr>
            </w:pPr>
            <w:r w:rsidRPr="0055010E">
              <w:rPr>
                <w:rFonts w:cs="Arial"/>
                <w:strike/>
              </w:rPr>
              <w:t>Patient must be undergoing treatment with this drug following allogenic haematopoietic stem cell transplantation</w:t>
            </w:r>
          </w:p>
        </w:tc>
      </w:tr>
      <w:tr w:rsidR="0055010E" w:rsidRPr="0055010E" w14:paraId="13E3D3FF"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F0C3F42" w14:textId="77777777" w:rsidR="0055010E" w:rsidRPr="0055010E" w:rsidRDefault="0055010E" w:rsidP="0055010E">
            <w:pPr>
              <w:pStyle w:val="TableText"/>
              <w:keepNext w:val="0"/>
              <w:rPr>
                <w:rFonts w:cs="Arial"/>
              </w:rPr>
            </w:pPr>
          </w:p>
        </w:tc>
      </w:tr>
      <w:tr w:rsidR="0055010E" w:rsidRPr="0055010E" w14:paraId="1975BBF7"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8196109" w14:textId="77777777" w:rsidR="0055010E" w:rsidRPr="0055010E" w:rsidRDefault="0055010E" w:rsidP="0055010E">
            <w:pPr>
              <w:pStyle w:val="TableText"/>
              <w:rPr>
                <w:b/>
              </w:rPr>
            </w:pPr>
            <w:r w:rsidRPr="0055010E">
              <w:rPr>
                <w:b/>
              </w:rPr>
              <w:t>Prescriber instructions:</w:t>
            </w:r>
          </w:p>
          <w:p w14:paraId="10AC75F5" w14:textId="779F02A8" w:rsidR="0055010E" w:rsidRPr="0055010E" w:rsidRDefault="0055010E" w:rsidP="0055010E">
            <w:pPr>
              <w:pStyle w:val="CommentText"/>
              <w:rPr>
                <w:rFonts w:ascii="Arial Narrow" w:hAnsi="Arial Narrow"/>
              </w:rPr>
            </w:pPr>
            <w:r w:rsidRPr="0055010E">
              <w:rPr>
                <w:rFonts w:ascii="Arial Narrow" w:hAnsi="Arial Narrow"/>
              </w:rPr>
              <w:t xml:space="preserve">Response is defined as attaining a complete or partial response as assessed by </w:t>
            </w:r>
            <w:r w:rsidR="00BA504B" w:rsidRPr="00D2346A">
              <w:rPr>
                <w:rFonts w:ascii="Arial Narrow" w:hAnsi="Arial Narrow"/>
                <w:i/>
                <w:iCs/>
              </w:rPr>
              <w:t>Mount Sinai Acute GVHD International Consortium</w:t>
            </w:r>
            <w:r w:rsidR="00BA504B" w:rsidRPr="00320844">
              <w:rPr>
                <w:rFonts w:ascii="Arial Narrow" w:hAnsi="Arial Narrow"/>
              </w:rPr>
              <w:t xml:space="preserve"> </w:t>
            </w:r>
            <w:r w:rsidRPr="00764CEF">
              <w:rPr>
                <w:rFonts w:ascii="Arial Narrow" w:hAnsi="Arial Narrow"/>
                <w:i/>
                <w:iCs/>
              </w:rPr>
              <w:t>(</w:t>
            </w:r>
            <w:r w:rsidRPr="00764CEF">
              <w:rPr>
                <w:rFonts w:ascii="Arial Narrow" w:hAnsi="Arial Narrow"/>
              </w:rPr>
              <w:t>MAGIC</w:t>
            </w:r>
            <w:r w:rsidRPr="00764CEF">
              <w:rPr>
                <w:rFonts w:ascii="Arial Narrow" w:hAnsi="Arial Narrow"/>
                <w:i/>
                <w:iCs/>
              </w:rPr>
              <w:t>)</w:t>
            </w:r>
            <w:r w:rsidRPr="00764CEF">
              <w:rPr>
                <w:rFonts w:ascii="Arial Narrow" w:hAnsi="Arial Narrow"/>
              </w:rPr>
              <w:t xml:space="preserve"> criteria </w:t>
            </w:r>
            <w:r w:rsidRPr="00764CEF">
              <w:rPr>
                <w:rFonts w:ascii="Arial Narrow" w:hAnsi="Arial Narrow"/>
                <w:strike/>
              </w:rPr>
              <w:t>(Harris et al., 2016)</w:t>
            </w:r>
            <w:r w:rsidRPr="00764CEF">
              <w:rPr>
                <w:rFonts w:ascii="Arial Narrow" w:hAnsi="Arial Narrow"/>
              </w:rPr>
              <w:t xml:space="preserve"> </w:t>
            </w:r>
            <w:r w:rsidRPr="00764CEF">
              <w:rPr>
                <w:rFonts w:ascii="Arial Narrow" w:hAnsi="Arial Narrow"/>
                <w:i/>
                <w:iCs/>
              </w:rPr>
              <w:t>available at</w:t>
            </w:r>
            <w:r w:rsidRPr="0055010E">
              <w:rPr>
                <w:rFonts w:ascii="Arial Narrow" w:hAnsi="Arial Narrow"/>
                <w:i/>
                <w:iCs/>
              </w:rPr>
              <w:t xml:space="preserve">: </w:t>
            </w:r>
            <w:hyperlink r:id="rId13" w:history="1">
              <w:r w:rsidRPr="0055010E">
                <w:rPr>
                  <w:rStyle w:val="Hyperlink"/>
                  <w:rFonts w:ascii="Arial Narrow" w:hAnsi="Arial Narrow" w:cs="Calibri"/>
                  <w:i/>
                  <w:iCs/>
                </w:rPr>
                <w:t>https://www.ncbi.nlm.nih.gov/pmc/articles/PMC4706482/</w:t>
              </w:r>
            </w:hyperlink>
            <w:r w:rsidRPr="0055010E">
              <w:rPr>
                <w:rFonts w:ascii="Arial Narrow" w:hAnsi="Arial Narrow"/>
              </w:rPr>
              <w:t>. Note that response is relative to the assessment of organ function affected by aGVHD prior to commencing initial treatment with ruxolitinib.</w:t>
            </w:r>
          </w:p>
          <w:p w14:paraId="4335E9C2" w14:textId="77777777" w:rsidR="0055010E" w:rsidRPr="0055010E" w:rsidRDefault="0055010E" w:rsidP="0055010E">
            <w:pPr>
              <w:pStyle w:val="TableText"/>
              <w:rPr>
                <w:rFonts w:cs="Arial"/>
              </w:rPr>
            </w:pPr>
            <w:r w:rsidRPr="0055010E">
              <w:rPr>
                <w:rFonts w:cs="Arial"/>
              </w:rPr>
              <w:t>(a) Complete response was defined as a score of 0 for the aGVHD grading in all evaluable organs that indicates complete resolution of all signs and symptoms of aGVHD in all evaluable organs without administration of additional systemic therapies for any earlier progression, mixed response or non-response of aGVHD.</w:t>
            </w:r>
          </w:p>
          <w:p w14:paraId="06558255" w14:textId="77777777" w:rsidR="0055010E" w:rsidRPr="0055010E" w:rsidRDefault="0055010E" w:rsidP="0055010E">
            <w:pPr>
              <w:pStyle w:val="TableText"/>
              <w:keepNext w:val="0"/>
              <w:rPr>
                <w:rFonts w:cs="Arial"/>
              </w:rPr>
            </w:pPr>
            <w:r w:rsidRPr="0055010E">
              <w:rPr>
                <w:rFonts w:cs="Arial"/>
              </w:rPr>
              <w:t>(b) Partial response was defined as improvement of one stage in one or more organs involved with aGVHD signs or symptoms without progression in other organs or sites without administration of additional systemic therapies for an earlier progression, mixed response, or non-response of aGVHD.</w:t>
            </w:r>
          </w:p>
        </w:tc>
      </w:tr>
      <w:tr w:rsidR="0055010E" w:rsidRPr="0055010E" w14:paraId="5774B3B4"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D84B1A1" w14:textId="77777777" w:rsidR="0055010E" w:rsidRPr="0055010E" w:rsidRDefault="0055010E" w:rsidP="0055010E">
            <w:pPr>
              <w:pStyle w:val="TableText"/>
              <w:rPr>
                <w:b/>
              </w:rPr>
            </w:pPr>
            <w:r w:rsidRPr="0055010E">
              <w:rPr>
                <w:b/>
              </w:rPr>
              <w:t>Prescriber instructions:</w:t>
            </w:r>
          </w:p>
          <w:p w14:paraId="769F4706" w14:textId="77777777" w:rsidR="0055010E" w:rsidRPr="0055010E" w:rsidRDefault="0055010E" w:rsidP="0055010E">
            <w:pPr>
              <w:pStyle w:val="TableText"/>
              <w:rPr>
                <w:bCs w:val="0"/>
              </w:rPr>
            </w:pPr>
            <w:r w:rsidRPr="0055010E">
              <w:rPr>
                <w:bCs w:val="0"/>
              </w:rPr>
              <w:t>Tapering the dose of corticosteroids should be considered in responding patients. Following successful taper of corticosteroids, tapering the dose of ruxolitinib can be initiated.</w:t>
            </w:r>
          </w:p>
        </w:tc>
      </w:tr>
      <w:tr w:rsidR="0055010E" w:rsidRPr="0055010E" w14:paraId="4499CC95"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413BF2C" w14:textId="77777777" w:rsidR="0055010E" w:rsidRPr="0055010E" w:rsidRDefault="0055010E" w:rsidP="0055010E">
            <w:pPr>
              <w:pStyle w:val="TableText"/>
              <w:rPr>
                <w:b/>
              </w:rPr>
            </w:pPr>
          </w:p>
        </w:tc>
      </w:tr>
      <w:tr w:rsidR="0055010E" w:rsidRPr="0055010E" w14:paraId="3E91C56B"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AE7ED92" w14:textId="77777777" w:rsidR="0055010E" w:rsidRPr="0055010E" w:rsidRDefault="0055010E" w:rsidP="0055010E">
            <w:pPr>
              <w:pStyle w:val="TableText"/>
              <w:rPr>
                <w:b/>
                <w:i/>
                <w:iCs/>
              </w:rPr>
            </w:pPr>
            <w:r w:rsidRPr="0055010E">
              <w:rPr>
                <w:b/>
                <w:i/>
                <w:iCs/>
              </w:rPr>
              <w:t xml:space="preserve">Administrative advice: </w:t>
            </w:r>
            <w:r w:rsidRPr="0055010E">
              <w:rPr>
                <w:bCs w:val="0"/>
                <w:i/>
                <w:iCs/>
              </w:rPr>
              <w:t>This drug is not PBS-subsidised if it is prescribed to an in-patient in a public hospital setting</w:t>
            </w:r>
          </w:p>
        </w:tc>
      </w:tr>
      <w:tr w:rsidR="0055010E" w:rsidRPr="0055010E" w14:paraId="2E78AFDD"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68A30A2" w14:textId="77777777" w:rsidR="0055010E" w:rsidRPr="0055010E" w:rsidRDefault="0055010E" w:rsidP="0055010E">
            <w:pPr>
              <w:pStyle w:val="TableText"/>
              <w:rPr>
                <w:b/>
                <w:i/>
                <w:iCs/>
              </w:rPr>
            </w:pPr>
            <w:r w:rsidRPr="0055010E">
              <w:rPr>
                <w:b/>
                <w:i/>
                <w:iCs/>
              </w:rPr>
              <w:t xml:space="preserve">Administrative advice: </w:t>
            </w:r>
            <w:r w:rsidRPr="0055010E">
              <w:rPr>
                <w:bCs w:val="0"/>
                <w:i/>
                <w:iCs/>
              </w:rPr>
              <w:t>Special Pricing Arrangements apply</w:t>
            </w:r>
          </w:p>
        </w:tc>
      </w:tr>
    </w:tbl>
    <w:p w14:paraId="66FF723F" w14:textId="77777777" w:rsidR="0055010E" w:rsidRPr="0055010E" w:rsidRDefault="0055010E" w:rsidP="0055010E"/>
    <w:tbl>
      <w:tblPr>
        <w:tblW w:w="5000" w:type="pct"/>
        <w:tblLook w:val="0000" w:firstRow="0" w:lastRow="0" w:firstColumn="0" w:lastColumn="0" w:noHBand="0" w:noVBand="0"/>
      </w:tblPr>
      <w:tblGrid>
        <w:gridCol w:w="9017"/>
      </w:tblGrid>
      <w:tr w:rsidR="0055010E" w:rsidRPr="0055010E" w14:paraId="635A552F"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243EFFB" w14:textId="77777777" w:rsidR="0055010E" w:rsidRPr="0055010E" w:rsidRDefault="0055010E" w:rsidP="0055010E">
            <w:pPr>
              <w:pStyle w:val="TableText"/>
              <w:keepNext w:val="0"/>
            </w:pPr>
            <w:r w:rsidRPr="0055010E">
              <w:rPr>
                <w:b/>
              </w:rPr>
              <w:t xml:space="preserve">Category / Program: </w:t>
            </w:r>
            <w:r w:rsidRPr="0055010E">
              <w:t>Section 100 – Highly Specialised Drugs Program</w:t>
            </w:r>
          </w:p>
        </w:tc>
      </w:tr>
      <w:tr w:rsidR="0055010E" w:rsidRPr="0055010E" w14:paraId="40308194"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07220BEF" w14:textId="0F44C479" w:rsidR="0055010E" w:rsidRPr="0055010E" w:rsidRDefault="0055010E" w:rsidP="0055010E">
            <w:pPr>
              <w:pStyle w:val="TableText"/>
              <w:keepNext w:val="0"/>
            </w:pPr>
            <w:r w:rsidRPr="0055010E">
              <w:rPr>
                <w:b/>
              </w:rPr>
              <w:t xml:space="preserve">Prescriber type: </w:t>
            </w:r>
            <w:r w:rsidRPr="0055010E">
              <w:fldChar w:fldCharType="begin" w:fldLock="1">
                <w:ffData>
                  <w:name w:val="Check1"/>
                  <w:enabled/>
                  <w:calcOnExit w:val="0"/>
                  <w:checkBox>
                    <w:sizeAuto/>
                    <w:default w:val="0"/>
                  </w:checkBox>
                </w:ffData>
              </w:fldChar>
            </w:r>
            <w:r w:rsidRPr="0055010E">
              <w:instrText xml:space="preserve"> FORMCHECKBOX </w:instrText>
            </w:r>
            <w:r w:rsidR="00BD1016">
              <w:fldChar w:fldCharType="separate"/>
            </w:r>
            <w:r w:rsidRPr="0055010E">
              <w:fldChar w:fldCharType="end"/>
            </w:r>
            <w:r w:rsidRPr="0055010E">
              <w:t xml:space="preserve">Dental  </w:t>
            </w:r>
            <w:r w:rsidRPr="0055010E">
              <w:fldChar w:fldCharType="begin" w:fldLock="1">
                <w:ffData>
                  <w:name w:val="Check1"/>
                  <w:enabled/>
                  <w:calcOnExit w:val="0"/>
                  <w:checkBox>
                    <w:sizeAuto/>
                    <w:default w:val="1"/>
                  </w:checkBox>
                </w:ffData>
              </w:fldChar>
            </w:r>
            <w:r w:rsidRPr="0055010E">
              <w:instrText xml:space="preserve"> FORMCHECKBOX </w:instrText>
            </w:r>
            <w:r w:rsidR="00BD1016">
              <w:fldChar w:fldCharType="separate"/>
            </w:r>
            <w:r w:rsidRPr="0055010E">
              <w:fldChar w:fldCharType="end"/>
            </w:r>
            <w:r w:rsidRPr="0055010E">
              <w:t xml:space="preserve">Medical Practitioners  </w:t>
            </w:r>
            <w:r w:rsidRPr="0055010E">
              <w:fldChar w:fldCharType="begin" w:fldLock="1">
                <w:ffData>
                  <w:name w:val="Check1"/>
                  <w:enabled/>
                  <w:calcOnExit w:val="0"/>
                  <w:checkBox>
                    <w:sizeAuto/>
                    <w:default w:val="0"/>
                  </w:checkBox>
                </w:ffData>
              </w:fldChar>
            </w:r>
            <w:r w:rsidRPr="0055010E">
              <w:instrText xml:space="preserve"> FORMCHECKBOX </w:instrText>
            </w:r>
            <w:r w:rsidR="00BD1016">
              <w:fldChar w:fldCharType="separate"/>
            </w:r>
            <w:r w:rsidRPr="0055010E">
              <w:fldChar w:fldCharType="end"/>
            </w:r>
            <w:r w:rsidRPr="0055010E">
              <w:t xml:space="preserve">Nurse practitioners </w:t>
            </w:r>
            <w:r w:rsidRPr="0055010E">
              <w:fldChar w:fldCharType="begin" w:fldLock="1">
                <w:ffData>
                  <w:name w:val="Check1"/>
                  <w:enabled/>
                  <w:calcOnExit w:val="0"/>
                  <w:checkBox>
                    <w:sizeAuto/>
                    <w:default w:val="0"/>
                  </w:checkBox>
                </w:ffData>
              </w:fldChar>
            </w:r>
            <w:r w:rsidRPr="0055010E">
              <w:instrText xml:space="preserve"> FORMCHECKBOX </w:instrText>
            </w:r>
            <w:r w:rsidR="00BD1016">
              <w:fldChar w:fldCharType="separate"/>
            </w:r>
            <w:r w:rsidRPr="0055010E">
              <w:fldChar w:fldCharType="end"/>
            </w:r>
            <w:r w:rsidRPr="0055010E">
              <w:t xml:space="preserve">Optometrists </w:t>
            </w:r>
            <w:r w:rsidRPr="0055010E">
              <w:fldChar w:fldCharType="begin" w:fldLock="1">
                <w:ffData>
                  <w:name w:val="Check1"/>
                  <w:enabled/>
                  <w:calcOnExit w:val="0"/>
                  <w:checkBox>
                    <w:sizeAuto/>
                    <w:default w:val="0"/>
                  </w:checkBox>
                </w:ffData>
              </w:fldChar>
            </w:r>
            <w:r w:rsidRPr="0055010E">
              <w:instrText xml:space="preserve"> FORMCHECKBOX </w:instrText>
            </w:r>
            <w:r w:rsidR="00BD1016">
              <w:fldChar w:fldCharType="separate"/>
            </w:r>
            <w:r w:rsidRPr="0055010E">
              <w:fldChar w:fldCharType="end"/>
            </w:r>
            <w:r w:rsidRPr="0055010E">
              <w:t>Midwives</w:t>
            </w:r>
          </w:p>
        </w:tc>
      </w:tr>
      <w:tr w:rsidR="0055010E" w:rsidRPr="0055010E" w14:paraId="064FBF72"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1BFAF9D9" w14:textId="77777777" w:rsidR="0055010E" w:rsidRPr="0055010E" w:rsidRDefault="0055010E" w:rsidP="0055010E">
            <w:pPr>
              <w:pStyle w:val="TableText"/>
              <w:keepNext w:val="0"/>
            </w:pPr>
            <w:r w:rsidRPr="0055010E">
              <w:rPr>
                <w:b/>
              </w:rPr>
              <w:t xml:space="preserve">Condition: </w:t>
            </w:r>
            <w:r w:rsidRPr="0055010E">
              <w:t>Acute graft versus host disease (aGVHD)</w:t>
            </w:r>
          </w:p>
        </w:tc>
      </w:tr>
      <w:tr w:rsidR="0055010E" w:rsidRPr="0055010E" w14:paraId="5F622736"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34D80C71" w14:textId="77777777" w:rsidR="0055010E" w:rsidRPr="0055010E" w:rsidRDefault="0055010E" w:rsidP="0055010E">
            <w:pPr>
              <w:pStyle w:val="TableText"/>
              <w:keepNext w:val="0"/>
            </w:pPr>
            <w:r w:rsidRPr="0055010E">
              <w:rPr>
                <w:b/>
              </w:rPr>
              <w:t xml:space="preserve">Severity: </w:t>
            </w:r>
            <w:r w:rsidRPr="0055010E">
              <w:t>Grade II to IV</w:t>
            </w:r>
          </w:p>
        </w:tc>
      </w:tr>
      <w:tr w:rsidR="0055010E" w:rsidRPr="0055010E" w14:paraId="5E13CA56"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03C2AA81" w14:textId="77777777" w:rsidR="0055010E" w:rsidRPr="0055010E" w:rsidRDefault="0055010E" w:rsidP="0055010E">
            <w:pPr>
              <w:pStyle w:val="TableText"/>
              <w:keepNext w:val="0"/>
            </w:pPr>
            <w:r w:rsidRPr="0055010E">
              <w:rPr>
                <w:b/>
              </w:rPr>
              <w:t xml:space="preserve">PBS Indication: </w:t>
            </w:r>
            <w:r w:rsidRPr="0055010E">
              <w:t>Grade II to IV acute graft versus host disease</w:t>
            </w:r>
          </w:p>
        </w:tc>
      </w:tr>
      <w:tr w:rsidR="0055010E" w:rsidRPr="0055010E" w14:paraId="7C59274C"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9A9A62E" w14:textId="77777777" w:rsidR="0055010E" w:rsidRPr="0055010E" w:rsidRDefault="0055010E" w:rsidP="0055010E">
            <w:pPr>
              <w:pStyle w:val="TableText"/>
              <w:keepNext w:val="0"/>
            </w:pPr>
            <w:r w:rsidRPr="0055010E">
              <w:rPr>
                <w:b/>
              </w:rPr>
              <w:t xml:space="preserve">Treatment phase: </w:t>
            </w:r>
            <w:r w:rsidRPr="0055010E">
              <w:t>Grandfather</w:t>
            </w:r>
          </w:p>
        </w:tc>
      </w:tr>
      <w:tr w:rsidR="0055010E" w:rsidRPr="0055010E" w14:paraId="35C72070"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35E5A9D" w14:textId="08C5C04C" w:rsidR="0055010E" w:rsidRPr="0055010E" w:rsidRDefault="0055010E" w:rsidP="0055010E">
            <w:pPr>
              <w:pStyle w:val="TableText"/>
              <w:keepNext w:val="0"/>
            </w:pPr>
            <w:r w:rsidRPr="0055010E">
              <w:rPr>
                <w:b/>
              </w:rPr>
              <w:t xml:space="preserve">Restriction type: </w:t>
            </w:r>
            <w:r w:rsidRPr="0055010E">
              <w:fldChar w:fldCharType="begin" w:fldLock="1">
                <w:ffData>
                  <w:name w:val="Check5"/>
                  <w:enabled/>
                  <w:calcOnExit w:val="0"/>
                  <w:checkBox>
                    <w:sizeAuto/>
                    <w:default w:val="1"/>
                  </w:checkBox>
                </w:ffData>
              </w:fldChar>
            </w:r>
            <w:r w:rsidRPr="0055010E">
              <w:instrText xml:space="preserve"> FORMCHECKBOX </w:instrText>
            </w:r>
            <w:r w:rsidR="00BD1016">
              <w:fldChar w:fldCharType="separate"/>
            </w:r>
            <w:r w:rsidRPr="0055010E">
              <w:fldChar w:fldCharType="end"/>
            </w:r>
            <w:r w:rsidRPr="0055010E">
              <w:t>Streamlined</w:t>
            </w:r>
          </w:p>
        </w:tc>
      </w:tr>
      <w:tr w:rsidR="0055010E" w:rsidRPr="0055010E" w14:paraId="4D644EAD"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4FA9CF5" w14:textId="77777777" w:rsidR="0055010E" w:rsidRPr="0055010E" w:rsidRDefault="0055010E" w:rsidP="0055010E">
            <w:pPr>
              <w:pStyle w:val="TableText"/>
              <w:rPr>
                <w:rFonts w:cs="Arial"/>
              </w:rPr>
            </w:pPr>
          </w:p>
        </w:tc>
      </w:tr>
      <w:tr w:rsidR="0055010E" w:rsidRPr="0055010E" w14:paraId="6DEC25F7"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3D151C51" w14:textId="77777777" w:rsidR="0055010E" w:rsidRPr="0055010E" w:rsidRDefault="0055010E" w:rsidP="0055010E">
            <w:pPr>
              <w:pStyle w:val="TableText"/>
              <w:rPr>
                <w:rFonts w:cs="Arial"/>
              </w:rPr>
            </w:pPr>
            <w:r w:rsidRPr="0055010E">
              <w:rPr>
                <w:b/>
              </w:rPr>
              <w:t>Clinical criteria:</w:t>
            </w:r>
          </w:p>
        </w:tc>
      </w:tr>
      <w:tr w:rsidR="0055010E" w:rsidRPr="0055010E" w14:paraId="1DFB20C0"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2859F43A" w14:textId="77777777" w:rsidR="0055010E" w:rsidRPr="0055010E" w:rsidRDefault="0055010E" w:rsidP="0055010E">
            <w:pPr>
              <w:pStyle w:val="TableText"/>
              <w:rPr>
                <w:rFonts w:cs="Arial"/>
              </w:rPr>
            </w:pPr>
            <w:r w:rsidRPr="0055010E">
              <w:rPr>
                <w:rFonts w:cs="Arial"/>
              </w:rPr>
              <w:t>Patient must have received non-PBS-subsidised treatment with this drug for this PBS-indication prior to [insert date of PBS listing]</w:t>
            </w:r>
          </w:p>
        </w:tc>
      </w:tr>
      <w:tr w:rsidR="0055010E" w:rsidRPr="0055010E" w14:paraId="4F6EF7D4"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489397A" w14:textId="77777777" w:rsidR="0055010E" w:rsidRPr="0055010E" w:rsidRDefault="0055010E" w:rsidP="0055010E">
            <w:pPr>
              <w:pStyle w:val="TableText"/>
              <w:rPr>
                <w:rFonts w:cs="Arial"/>
              </w:rPr>
            </w:pPr>
            <w:r w:rsidRPr="0055010E">
              <w:rPr>
                <w:rFonts w:cs="Arial"/>
                <w:b/>
                <w:bCs w:val="0"/>
              </w:rPr>
              <w:t>AND</w:t>
            </w:r>
          </w:p>
        </w:tc>
      </w:tr>
      <w:tr w:rsidR="0055010E" w:rsidRPr="0055010E" w14:paraId="4A7979D9"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2D3AF944" w14:textId="77777777" w:rsidR="0055010E" w:rsidRPr="0055010E" w:rsidRDefault="0055010E" w:rsidP="0055010E">
            <w:pPr>
              <w:pStyle w:val="TableText"/>
              <w:rPr>
                <w:rFonts w:cs="Arial"/>
              </w:rPr>
            </w:pPr>
            <w:r w:rsidRPr="0055010E">
              <w:rPr>
                <w:b/>
              </w:rPr>
              <w:t>Clinical criteria:</w:t>
            </w:r>
          </w:p>
        </w:tc>
      </w:tr>
      <w:tr w:rsidR="0055010E" w:rsidRPr="0055010E" w14:paraId="5F1A81E7"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2530E052" w14:textId="77777777" w:rsidR="0055010E" w:rsidRPr="0055010E" w:rsidRDefault="0055010E" w:rsidP="0055010E">
            <w:pPr>
              <w:pStyle w:val="TableText"/>
              <w:rPr>
                <w:rFonts w:cs="Arial"/>
              </w:rPr>
            </w:pPr>
            <w:r w:rsidRPr="0055010E">
              <w:rPr>
                <w:rFonts w:cs="Arial"/>
                <w:i/>
                <w:iCs/>
              </w:rPr>
              <w:t xml:space="preserve">Patient must have received prior systemic steroid treatment prior to initiation of this drug for this condition </w:t>
            </w:r>
          </w:p>
        </w:tc>
      </w:tr>
      <w:tr w:rsidR="0055010E" w:rsidRPr="0055010E" w14:paraId="265F6115"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069F3FCD" w14:textId="77777777" w:rsidR="0055010E" w:rsidRPr="0055010E" w:rsidRDefault="0055010E" w:rsidP="0055010E">
            <w:pPr>
              <w:pStyle w:val="TableText"/>
              <w:rPr>
                <w:rFonts w:cs="Arial"/>
              </w:rPr>
            </w:pPr>
            <w:r w:rsidRPr="0055010E">
              <w:rPr>
                <w:rFonts w:cs="Arial"/>
                <w:b/>
                <w:bCs w:val="0"/>
              </w:rPr>
              <w:t>AND</w:t>
            </w:r>
          </w:p>
        </w:tc>
      </w:tr>
      <w:tr w:rsidR="0055010E" w:rsidRPr="0055010E" w14:paraId="20246F6B"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38D00A35" w14:textId="77777777" w:rsidR="0055010E" w:rsidRPr="0055010E" w:rsidRDefault="0055010E" w:rsidP="0055010E">
            <w:pPr>
              <w:pStyle w:val="TableText"/>
              <w:rPr>
                <w:rFonts w:cs="Arial"/>
              </w:rPr>
            </w:pPr>
            <w:r w:rsidRPr="0055010E">
              <w:rPr>
                <w:rFonts w:cs="Arial"/>
                <w:b/>
                <w:bCs w:val="0"/>
              </w:rPr>
              <w:t>Clinical criteria:</w:t>
            </w:r>
          </w:p>
        </w:tc>
      </w:tr>
      <w:tr w:rsidR="0055010E" w:rsidRPr="0055010E" w14:paraId="5D23D35A"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2E67BF54" w14:textId="77777777" w:rsidR="0055010E" w:rsidRPr="0055010E" w:rsidRDefault="0055010E" w:rsidP="0055010E">
            <w:pPr>
              <w:pStyle w:val="TableText"/>
              <w:rPr>
                <w:rFonts w:cs="Arial"/>
              </w:rPr>
            </w:pPr>
            <w:r w:rsidRPr="0055010E">
              <w:rPr>
                <w:rFonts w:cs="Arial"/>
                <w:i/>
                <w:iCs/>
              </w:rPr>
              <w:t>Patient must be one of the following (i) refractory to steroid treatment, (ii) dependent on steroid treatment, (iii) intolerant to steroid treatment</w:t>
            </w:r>
          </w:p>
        </w:tc>
      </w:tr>
      <w:tr w:rsidR="0055010E" w:rsidRPr="0055010E" w14:paraId="79B0D602"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18687081" w14:textId="77777777" w:rsidR="0055010E" w:rsidRPr="0055010E" w:rsidRDefault="0055010E" w:rsidP="0055010E">
            <w:pPr>
              <w:pStyle w:val="TableText"/>
              <w:rPr>
                <w:rFonts w:cs="Arial"/>
              </w:rPr>
            </w:pPr>
          </w:p>
        </w:tc>
      </w:tr>
      <w:tr w:rsidR="0055010E" w:rsidRPr="0055010E" w14:paraId="646B9D56"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2A825109" w14:textId="77777777" w:rsidR="0055010E" w:rsidRPr="0055010E" w:rsidRDefault="0055010E" w:rsidP="0055010E">
            <w:pPr>
              <w:pStyle w:val="TableText"/>
              <w:keepNext w:val="0"/>
              <w:rPr>
                <w:rFonts w:cs="Arial"/>
              </w:rPr>
            </w:pPr>
            <w:r w:rsidRPr="0055010E">
              <w:rPr>
                <w:b/>
              </w:rPr>
              <w:t>Treatment criteria:</w:t>
            </w:r>
          </w:p>
        </w:tc>
      </w:tr>
      <w:tr w:rsidR="0055010E" w:rsidRPr="0055010E" w14:paraId="2E69A4A5"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3440A0E8" w14:textId="77777777" w:rsidR="0055010E" w:rsidRPr="0055010E" w:rsidRDefault="0055010E" w:rsidP="0055010E">
            <w:pPr>
              <w:pStyle w:val="TableText"/>
              <w:keepNext w:val="0"/>
              <w:rPr>
                <w:rFonts w:cs="Arial"/>
              </w:rPr>
            </w:pPr>
            <w:r w:rsidRPr="0055010E">
              <w:rPr>
                <w:rFonts w:cs="Arial"/>
              </w:rPr>
              <w:t xml:space="preserve">Must be treated by </w:t>
            </w:r>
            <w:r w:rsidRPr="0055010E">
              <w:rPr>
                <w:rFonts w:cs="Arial"/>
                <w:i/>
                <w:iCs/>
              </w:rPr>
              <w:t>either (i)</w:t>
            </w:r>
            <w:r w:rsidRPr="0055010E">
              <w:rPr>
                <w:rFonts w:cs="Arial"/>
              </w:rPr>
              <w:t xml:space="preserve"> a haematologist,</w:t>
            </w:r>
            <w:r w:rsidRPr="0055010E">
              <w:rPr>
                <w:rFonts w:cs="Arial"/>
                <w:strike/>
              </w:rPr>
              <w:t>; OR</w:t>
            </w:r>
            <w:r w:rsidRPr="0055010E">
              <w:rPr>
                <w:rFonts w:cs="Arial"/>
              </w:rPr>
              <w:t xml:space="preserve"> </w:t>
            </w:r>
            <w:r w:rsidRPr="0055010E">
              <w:rPr>
                <w:rFonts w:cs="Arial"/>
                <w:i/>
                <w:iCs/>
              </w:rPr>
              <w:t>(ii)</w:t>
            </w:r>
            <w:r w:rsidRPr="0055010E">
              <w:rPr>
                <w:rFonts w:cs="Arial"/>
              </w:rPr>
              <w:t xml:space="preserve"> </w:t>
            </w:r>
            <w:r w:rsidRPr="0055010E">
              <w:rPr>
                <w:rFonts w:cs="Arial"/>
                <w:strike/>
              </w:rPr>
              <w:t>Must be treated by</w:t>
            </w:r>
            <w:r w:rsidRPr="0055010E">
              <w:rPr>
                <w:rFonts w:cs="Arial"/>
              </w:rPr>
              <w:t xml:space="preserve"> an oncologist with allogeneic bone marrow transplantation experience,</w:t>
            </w:r>
            <w:r w:rsidRPr="0055010E">
              <w:rPr>
                <w:rFonts w:cs="Arial"/>
                <w:strike/>
              </w:rPr>
              <w:t>; OR</w:t>
            </w:r>
            <w:r w:rsidRPr="0055010E">
              <w:rPr>
                <w:rFonts w:cs="Arial"/>
              </w:rPr>
              <w:t xml:space="preserve"> </w:t>
            </w:r>
            <w:r w:rsidRPr="0055010E">
              <w:rPr>
                <w:rFonts w:cs="Arial"/>
                <w:i/>
                <w:iCs/>
              </w:rPr>
              <w:t>(iii)</w:t>
            </w:r>
            <w:r w:rsidRPr="0055010E">
              <w:rPr>
                <w:rFonts w:cs="Arial"/>
              </w:rPr>
              <w:t xml:space="preserve"> </w:t>
            </w:r>
            <w:r w:rsidRPr="0055010E">
              <w:rPr>
                <w:rFonts w:cs="Arial"/>
                <w:strike/>
              </w:rPr>
              <w:t>Must be treated by</w:t>
            </w:r>
            <w:r w:rsidRPr="0055010E">
              <w:rPr>
                <w:rFonts w:cs="Arial"/>
              </w:rPr>
              <w:t xml:space="preserve"> a medical practitioner working under the direct supervision of one of the </w:t>
            </w:r>
            <w:r w:rsidRPr="0055010E">
              <w:rPr>
                <w:rFonts w:cs="Arial"/>
                <w:strike/>
              </w:rPr>
              <w:t>above</w:t>
            </w:r>
            <w:r w:rsidRPr="0055010E">
              <w:rPr>
                <w:rFonts w:cs="Arial"/>
              </w:rPr>
              <w:t xml:space="preserve"> afore-mentioned specialist types</w:t>
            </w:r>
          </w:p>
        </w:tc>
      </w:tr>
      <w:tr w:rsidR="0055010E" w:rsidRPr="0055010E" w14:paraId="20F8A544"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56D41363" w14:textId="77777777" w:rsidR="0055010E" w:rsidRPr="0055010E" w:rsidRDefault="0055010E" w:rsidP="0055010E">
            <w:pPr>
              <w:pStyle w:val="TableText"/>
              <w:keepNext w:val="0"/>
              <w:rPr>
                <w:rFonts w:cs="Arial"/>
                <w:b/>
                <w:bCs w:val="0"/>
              </w:rPr>
            </w:pPr>
            <w:r w:rsidRPr="0055010E">
              <w:rPr>
                <w:rFonts w:cs="Arial"/>
                <w:b/>
                <w:bCs w:val="0"/>
              </w:rPr>
              <w:t>AND</w:t>
            </w:r>
          </w:p>
        </w:tc>
      </w:tr>
      <w:tr w:rsidR="0055010E" w:rsidRPr="0055010E" w14:paraId="212B94E9"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D20DF83" w14:textId="77777777" w:rsidR="0055010E" w:rsidRPr="0055010E" w:rsidRDefault="0055010E" w:rsidP="0055010E">
            <w:pPr>
              <w:pStyle w:val="TableText"/>
              <w:keepNext w:val="0"/>
              <w:rPr>
                <w:rFonts w:cs="Arial"/>
              </w:rPr>
            </w:pPr>
            <w:r w:rsidRPr="0055010E">
              <w:rPr>
                <w:b/>
              </w:rPr>
              <w:t>Treatment criteria:</w:t>
            </w:r>
          </w:p>
        </w:tc>
      </w:tr>
      <w:tr w:rsidR="0055010E" w:rsidRPr="0055010E" w14:paraId="1F2B0A79"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31EAFE50" w14:textId="77777777" w:rsidR="0055010E" w:rsidRPr="0055010E" w:rsidRDefault="0055010E" w:rsidP="0055010E">
            <w:pPr>
              <w:pStyle w:val="TableText"/>
              <w:keepNext w:val="0"/>
              <w:rPr>
                <w:rFonts w:cs="Arial"/>
              </w:rPr>
            </w:pPr>
            <w:r w:rsidRPr="0055010E">
              <w:rPr>
                <w:rFonts w:cs="Arial"/>
              </w:rPr>
              <w:t>Patient must be undergoing treatment with this drug following allogenic haematopoietic stem cell transplantation</w:t>
            </w:r>
          </w:p>
        </w:tc>
      </w:tr>
      <w:tr w:rsidR="0055010E" w:rsidRPr="0055010E" w14:paraId="1BA9323C"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3EB40824" w14:textId="77777777" w:rsidR="0055010E" w:rsidRPr="0055010E" w:rsidRDefault="0055010E" w:rsidP="0055010E">
            <w:pPr>
              <w:pStyle w:val="TableText"/>
              <w:keepNext w:val="0"/>
              <w:rPr>
                <w:rFonts w:cs="Arial"/>
              </w:rPr>
            </w:pPr>
          </w:p>
        </w:tc>
      </w:tr>
      <w:tr w:rsidR="0055010E" w:rsidRPr="0055010E" w14:paraId="644B1C84"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1B3D0FE1" w14:textId="77777777" w:rsidR="0055010E" w:rsidRPr="0055010E" w:rsidRDefault="0055010E" w:rsidP="0055010E">
            <w:pPr>
              <w:pStyle w:val="TableText"/>
              <w:rPr>
                <w:b/>
              </w:rPr>
            </w:pPr>
            <w:r w:rsidRPr="0055010E">
              <w:rPr>
                <w:b/>
              </w:rPr>
              <w:t>Prescriber instructions:</w:t>
            </w:r>
          </w:p>
          <w:p w14:paraId="1096E4D0" w14:textId="708A5F67" w:rsidR="0055010E" w:rsidRPr="0055010E" w:rsidRDefault="0055010E" w:rsidP="0055010E">
            <w:pPr>
              <w:pStyle w:val="CommentText"/>
              <w:rPr>
                <w:rFonts w:ascii="Arial Narrow" w:hAnsi="Arial Narrow"/>
              </w:rPr>
            </w:pPr>
            <w:r w:rsidRPr="0055010E">
              <w:rPr>
                <w:rFonts w:ascii="Arial Narrow" w:hAnsi="Arial Narrow"/>
              </w:rPr>
              <w:t xml:space="preserve">Response is defined as attaining a complete or partial response as assessed by </w:t>
            </w:r>
            <w:r w:rsidR="00BA504B" w:rsidRPr="00D2346A">
              <w:rPr>
                <w:rFonts w:ascii="Arial Narrow" w:hAnsi="Arial Narrow"/>
                <w:i/>
                <w:iCs/>
              </w:rPr>
              <w:t>Mount Sinai Acute GVHD International Consortium</w:t>
            </w:r>
            <w:r w:rsidR="00BA504B" w:rsidRPr="00320844">
              <w:rPr>
                <w:rFonts w:ascii="Arial Narrow" w:hAnsi="Arial Narrow"/>
              </w:rPr>
              <w:t xml:space="preserve"> </w:t>
            </w:r>
            <w:r w:rsidRPr="00764CEF">
              <w:rPr>
                <w:rFonts w:ascii="Arial Narrow" w:hAnsi="Arial Narrow"/>
                <w:i/>
                <w:iCs/>
              </w:rPr>
              <w:t>(</w:t>
            </w:r>
            <w:r w:rsidRPr="00764CEF">
              <w:rPr>
                <w:rFonts w:ascii="Arial Narrow" w:hAnsi="Arial Narrow"/>
              </w:rPr>
              <w:t>MAGIC</w:t>
            </w:r>
            <w:r w:rsidRPr="00764CEF">
              <w:rPr>
                <w:rFonts w:ascii="Arial Narrow" w:hAnsi="Arial Narrow"/>
                <w:i/>
                <w:iCs/>
              </w:rPr>
              <w:t>)</w:t>
            </w:r>
            <w:r w:rsidRPr="00764CEF">
              <w:rPr>
                <w:rFonts w:ascii="Arial Narrow" w:hAnsi="Arial Narrow"/>
              </w:rPr>
              <w:t xml:space="preserve"> criteria </w:t>
            </w:r>
            <w:r w:rsidRPr="00764CEF">
              <w:rPr>
                <w:rFonts w:ascii="Arial Narrow" w:hAnsi="Arial Narrow"/>
                <w:strike/>
              </w:rPr>
              <w:t xml:space="preserve">(Harris </w:t>
            </w:r>
            <w:r w:rsidRPr="0055010E">
              <w:rPr>
                <w:rFonts w:ascii="Arial Narrow" w:hAnsi="Arial Narrow"/>
                <w:strike/>
              </w:rPr>
              <w:t>et al., 2016)</w:t>
            </w:r>
            <w:r w:rsidRPr="0055010E">
              <w:rPr>
                <w:rFonts w:ascii="Arial Narrow" w:hAnsi="Arial Narrow"/>
              </w:rPr>
              <w:t xml:space="preserve"> </w:t>
            </w:r>
            <w:r w:rsidRPr="0055010E">
              <w:rPr>
                <w:rFonts w:ascii="Arial Narrow" w:hAnsi="Arial Narrow"/>
                <w:i/>
                <w:iCs/>
              </w:rPr>
              <w:t xml:space="preserve">available at: </w:t>
            </w:r>
            <w:hyperlink r:id="rId14" w:history="1">
              <w:r w:rsidRPr="0055010E">
                <w:rPr>
                  <w:rStyle w:val="Hyperlink"/>
                  <w:rFonts w:ascii="Arial Narrow" w:hAnsi="Arial Narrow" w:cs="Calibri"/>
                  <w:i/>
                  <w:iCs/>
                </w:rPr>
                <w:t>https://www.ncbi.nlm.nih.gov/pmc/articles/PMC4706482/</w:t>
              </w:r>
            </w:hyperlink>
            <w:r w:rsidRPr="0055010E">
              <w:rPr>
                <w:rFonts w:ascii="Arial Narrow" w:hAnsi="Arial Narrow"/>
              </w:rPr>
              <w:t>. Note that response is relative to the assessment of organ function affected by aGVHD prior to commencing initial treatment with ruxolitinib.</w:t>
            </w:r>
          </w:p>
          <w:p w14:paraId="07D4AA46" w14:textId="77777777" w:rsidR="0055010E" w:rsidRPr="0055010E" w:rsidRDefault="0055010E" w:rsidP="0055010E">
            <w:pPr>
              <w:pStyle w:val="TableText"/>
              <w:rPr>
                <w:rFonts w:cs="Arial"/>
              </w:rPr>
            </w:pPr>
            <w:r w:rsidRPr="0055010E">
              <w:rPr>
                <w:rFonts w:cs="Arial"/>
              </w:rPr>
              <w:t>(a) Complete response was defined as a score of 0 for the aGVHD grading in all evaluable organs that indicates complete resolution of all signs and symptoms of aGVHD in all evaluable organs without administration of additional systemic therapies for any earlier progression, mixed response or non-response of aGVHD.</w:t>
            </w:r>
          </w:p>
          <w:p w14:paraId="04950771" w14:textId="77777777" w:rsidR="0055010E" w:rsidRPr="0055010E" w:rsidRDefault="0055010E" w:rsidP="0055010E">
            <w:pPr>
              <w:pStyle w:val="TableText"/>
              <w:keepNext w:val="0"/>
              <w:rPr>
                <w:rFonts w:cs="Arial"/>
              </w:rPr>
            </w:pPr>
            <w:r w:rsidRPr="0055010E">
              <w:rPr>
                <w:rFonts w:cs="Arial"/>
              </w:rPr>
              <w:t>(b) Partial response was defined as improvement of one stage in one or more organs involved with aGVHD signs or symptoms without progression in other organs or sites without administration of additional systemic therapies for an earlier progression, mixed response, or non-response of aGVHD.</w:t>
            </w:r>
          </w:p>
        </w:tc>
      </w:tr>
      <w:tr w:rsidR="0055010E" w:rsidRPr="0055010E" w14:paraId="7CC6D226"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7C111B0" w14:textId="77777777" w:rsidR="0055010E" w:rsidRPr="0055010E" w:rsidRDefault="0055010E" w:rsidP="0055010E">
            <w:pPr>
              <w:pStyle w:val="TableText"/>
              <w:rPr>
                <w:b/>
              </w:rPr>
            </w:pPr>
            <w:r w:rsidRPr="0055010E">
              <w:rPr>
                <w:b/>
              </w:rPr>
              <w:t>Prescriber instructions:</w:t>
            </w:r>
          </w:p>
          <w:p w14:paraId="74D07935" w14:textId="77777777" w:rsidR="0055010E" w:rsidRPr="0055010E" w:rsidRDefault="0055010E" w:rsidP="0055010E">
            <w:pPr>
              <w:pStyle w:val="TableText"/>
              <w:rPr>
                <w:b/>
              </w:rPr>
            </w:pPr>
            <w:r w:rsidRPr="0055010E">
              <w:rPr>
                <w:bCs w:val="0"/>
              </w:rPr>
              <w:t>Tapering the dose of corticosteroids should be considered in responding patients. Following successful taper of corticosteroids, tapering the dose of ruxolitinib can be initiated.</w:t>
            </w:r>
          </w:p>
        </w:tc>
      </w:tr>
      <w:tr w:rsidR="0055010E" w:rsidRPr="0055010E" w14:paraId="1AC41CE2"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23E4C772" w14:textId="77777777" w:rsidR="0055010E" w:rsidRPr="0055010E" w:rsidRDefault="0055010E" w:rsidP="0055010E">
            <w:pPr>
              <w:pStyle w:val="TableText"/>
              <w:rPr>
                <w:b/>
              </w:rPr>
            </w:pPr>
          </w:p>
        </w:tc>
      </w:tr>
      <w:tr w:rsidR="0055010E" w:rsidRPr="0055010E" w14:paraId="2C3D5776"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189521C6" w14:textId="77777777" w:rsidR="0055010E" w:rsidRPr="0055010E" w:rsidRDefault="0055010E" w:rsidP="0055010E">
            <w:pPr>
              <w:pStyle w:val="TableText"/>
              <w:rPr>
                <w:b/>
              </w:rPr>
            </w:pPr>
            <w:r w:rsidRPr="0055010E">
              <w:rPr>
                <w:b/>
              </w:rPr>
              <w:t xml:space="preserve">Administrative advice: </w:t>
            </w:r>
            <w:r w:rsidRPr="0055010E">
              <w:rPr>
                <w:bCs w:val="0"/>
                <w:i/>
                <w:iCs/>
              </w:rPr>
              <w:t>This drug is not PBS-subsidised if it is prescribed to an in-patient in a public hospital setting</w:t>
            </w:r>
          </w:p>
        </w:tc>
      </w:tr>
      <w:tr w:rsidR="0055010E" w:rsidRPr="0055010E" w14:paraId="539C9C3F"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AAB95BE" w14:textId="77777777" w:rsidR="0055010E" w:rsidRPr="0055010E" w:rsidRDefault="0055010E" w:rsidP="0055010E">
            <w:pPr>
              <w:pStyle w:val="TableText"/>
              <w:rPr>
                <w:b/>
              </w:rPr>
            </w:pPr>
            <w:r w:rsidRPr="0055010E">
              <w:rPr>
                <w:b/>
              </w:rPr>
              <w:t xml:space="preserve">Administrative advice: </w:t>
            </w:r>
            <w:r w:rsidRPr="0055010E">
              <w:rPr>
                <w:bCs w:val="0"/>
                <w:i/>
                <w:iCs/>
              </w:rPr>
              <w:t>Special Pricing Arrangements apply</w:t>
            </w:r>
          </w:p>
        </w:tc>
      </w:tr>
      <w:tr w:rsidR="0055010E" w:rsidRPr="000D5965" w14:paraId="7F940434" w14:textId="77777777" w:rsidTr="001C47F4">
        <w:tc>
          <w:tcPr>
            <w:tcW w:w="5000" w:type="pct"/>
            <w:tcBorders>
              <w:top w:val="single" w:sz="4" w:space="0" w:color="auto"/>
              <w:left w:val="single" w:sz="4" w:space="0" w:color="auto"/>
              <w:bottom w:val="single" w:sz="4" w:space="0" w:color="auto"/>
              <w:right w:val="single" w:sz="4" w:space="0" w:color="auto"/>
            </w:tcBorders>
          </w:tcPr>
          <w:p w14:paraId="6E59A175" w14:textId="77777777" w:rsidR="0055010E" w:rsidRPr="004D0CFF" w:rsidRDefault="0055010E" w:rsidP="0055010E">
            <w:pPr>
              <w:pStyle w:val="TableText"/>
              <w:rPr>
                <w:b/>
                <w:i/>
                <w:iCs/>
              </w:rPr>
            </w:pPr>
            <w:r w:rsidRPr="0055010E">
              <w:rPr>
                <w:b/>
                <w:i/>
                <w:iCs/>
              </w:rPr>
              <w:t xml:space="preserve">Administrative Advice: </w:t>
            </w:r>
            <w:r w:rsidRPr="0055010E">
              <w:rPr>
                <w:bCs w:val="0"/>
                <w:i/>
                <w:iCs/>
              </w:rPr>
              <w:t>This grandfather restriction will cease to operate from 12 months after the date specified in the clinical criteria.</w:t>
            </w:r>
          </w:p>
        </w:tc>
      </w:tr>
    </w:tbl>
    <w:p w14:paraId="2B677638" w14:textId="6A19F80B" w:rsidR="00F67915" w:rsidRPr="00B54383" w:rsidRDefault="00B54383" w:rsidP="00B54383">
      <w:pPr>
        <w:pStyle w:val="TableFigureFooter"/>
      </w:pPr>
      <w:r>
        <w:rPr>
          <w:vertAlign w:val="superscript"/>
        </w:rPr>
        <w:t>1</w:t>
      </w:r>
      <w:r>
        <w:t xml:space="preserve"> No effective price proposed for ruxolitinib 5 mg tablets.</w:t>
      </w:r>
    </w:p>
    <w:p w14:paraId="32047D4E" w14:textId="5916C0E7" w:rsidR="003D0F6F" w:rsidRPr="00A6154D" w:rsidRDefault="003D0F6F" w:rsidP="003D0F6F">
      <w:pPr>
        <w:pStyle w:val="ExecSumBodyText"/>
        <w:numPr>
          <w:ilvl w:val="1"/>
          <w:numId w:val="1"/>
        </w:numPr>
      </w:pPr>
      <w:r w:rsidRPr="00A6154D">
        <w:t>A special pricing arrangement was requested for ruxolitinib 10 mg tablets.</w:t>
      </w:r>
    </w:p>
    <w:p w14:paraId="21364B14" w14:textId="06FD754C" w:rsidR="00EA3740" w:rsidRPr="00A6154D" w:rsidRDefault="00787AB0" w:rsidP="00BD15A4">
      <w:pPr>
        <w:pStyle w:val="ExecSumBodyText"/>
        <w:numPr>
          <w:ilvl w:val="1"/>
          <w:numId w:val="1"/>
        </w:numPr>
      </w:pPr>
      <w:r w:rsidRPr="00A6154D">
        <w:t xml:space="preserve">The submission requested a Section 100 (Highly Specialised Drugs Program) authority required (streamlined) listing of ruxolitinib for the initial and continuing treatment of patients with aGVHD who are steroid </w:t>
      </w:r>
      <w:r w:rsidR="00CE68B0" w:rsidRPr="00A6154D">
        <w:t>r</w:t>
      </w:r>
      <w:r w:rsidRPr="00A6154D">
        <w:t xml:space="preserve">efractory, dependent or intolerant. </w:t>
      </w:r>
      <w:r w:rsidR="00EA3740" w:rsidRPr="00A6154D">
        <w:t>The submission also proposed an additional aGVHD continuing treatment restriction with 5 repeats. The continuing treatment component included in the proposed initial/continuing treatment restriction may not be required given that it overlaps with the continuing treatment restriction. The submission estimated that approximately 40% of patients would initiate ruxolitinib treatment as hospital inpatients due to the severity of the condition but noted that responding patients would require continuing treatment following discharge from hospital.</w:t>
      </w:r>
      <w:r w:rsidR="00F77398" w:rsidRPr="00A6154D">
        <w:t xml:space="preserve"> The PSCR reiterated that the restriction would need to allow a patient who initiates ruxolitinib while admitted to a public hospital to receive PBS-subsidised treatment after discharge.</w:t>
      </w:r>
    </w:p>
    <w:p w14:paraId="02004038" w14:textId="4BEEBF86" w:rsidR="00BD15A4" w:rsidRPr="00A6154D" w:rsidRDefault="00787AB0" w:rsidP="00BD15A4">
      <w:pPr>
        <w:pStyle w:val="ExecSumBodyText"/>
        <w:numPr>
          <w:ilvl w:val="1"/>
          <w:numId w:val="1"/>
        </w:numPr>
      </w:pPr>
      <w:r w:rsidRPr="00A6154D">
        <w:t>The proposed restriction is narrower than the ruxolitinib TGA indication, which does not restrict treatment on the basis of disease severity, require patients to achieve a response in order to continue treatment, or include a definition for what constitutes an inadequate response to corticosteroids</w:t>
      </w:r>
      <w:r w:rsidR="00BD15A4" w:rsidRPr="00A6154D">
        <w:t>.</w:t>
      </w:r>
    </w:p>
    <w:p w14:paraId="20CFF2D7" w14:textId="44898FFE" w:rsidR="004C4011" w:rsidRPr="00A6154D" w:rsidRDefault="004C4011" w:rsidP="004C4011">
      <w:pPr>
        <w:pStyle w:val="ExecSumBodyText"/>
      </w:pPr>
      <w:r w:rsidRPr="00A6154D">
        <w:t>The proposed severity criteria (based on MAGIC criteria) and patient age requirement (&gt;12 years) are consistent with the REACH2 trial eligibility criteria. Only a small number of patients aged 12-17 years participated in the REACH2 trial (5 patients in the ruxolitinib arm and 4 patients in the BAT arm).</w:t>
      </w:r>
    </w:p>
    <w:p w14:paraId="4F7C6648" w14:textId="37E060AA" w:rsidR="00B95009" w:rsidRPr="00A6154D" w:rsidRDefault="004C4011" w:rsidP="004C4011">
      <w:pPr>
        <w:pStyle w:val="ExecSumBodyText"/>
      </w:pPr>
      <w:r w:rsidRPr="00A6154D">
        <w:t xml:space="preserve">The included criteria relating to steroid refractoriness/dependence were generally consistent with the REACH2 trial, apart from a reduction in the timeframe for achieving a response following initiation of high-dose systemic corticosteroid </w:t>
      </w:r>
      <w:r w:rsidR="00463D38" w:rsidRPr="00A6154D">
        <w:t>from</w:t>
      </w:r>
      <w:r w:rsidRPr="00A6154D">
        <w:t xml:space="preserve"> 7 days to 5 days. </w:t>
      </w:r>
      <w:r w:rsidR="00064D1F" w:rsidRPr="00A6154D">
        <w:t>The submission stated that feedback from clinicians recommended changing this requirement on the basis that patients with Stage IV aGVHD would be unable to meet the first criterion, and delayed initiation of second</w:t>
      </w:r>
      <w:r w:rsidR="009116AC" w:rsidRPr="00A6154D">
        <w:t xml:space="preserve"> </w:t>
      </w:r>
      <w:r w:rsidR="00064D1F" w:rsidRPr="00A6154D">
        <w:t>line aGVHD treatment may be life-threatening in some cases. The submission noted that aGVHD assessment criteria included in the NCCN guidelines specify a timeframe of 5 to 7 days for the assessment of failure to improve following steroid treatment initiation.</w:t>
      </w:r>
    </w:p>
    <w:p w14:paraId="18B3125F" w14:textId="4A800628" w:rsidR="005657C4" w:rsidRPr="00A6154D" w:rsidRDefault="005657C4" w:rsidP="004C4011">
      <w:pPr>
        <w:pStyle w:val="ExecSumBodyText"/>
      </w:pPr>
      <w:r w:rsidRPr="00A6154D">
        <w:t>The proposed restriction is silent regarding concomitant therapies. The REACH2 trial allowed patients on ruxolitinib to continue corticosteroids and calcineurin inhibitors.</w:t>
      </w:r>
    </w:p>
    <w:p w14:paraId="1A4DD14E" w14:textId="1B172F76" w:rsidR="00C83ECC" w:rsidRPr="00A6154D" w:rsidRDefault="00C83ECC" w:rsidP="004C4011">
      <w:pPr>
        <w:pStyle w:val="ExecSumBodyText"/>
      </w:pPr>
      <w:r w:rsidRPr="00A6154D">
        <w:t>The proposed restriction does not specify a timeframe for the achievement of a response. The primary outcome in the REACH2 trial was the overall response rate at Day 28.</w:t>
      </w:r>
      <w:r w:rsidR="003D3179" w:rsidRPr="00A6154D">
        <w:t xml:space="preserve"> The PSCR stated that the proposed initial restriction aligns with the time point of assessment of the primary outcomes in the REACH2 trial at 28 days (i.e. the initial prescription provides 28 days of treatment with 0 repeats).</w:t>
      </w:r>
      <w:r w:rsidR="00BB532A" w:rsidRPr="00A6154D">
        <w:t xml:space="preserve"> The ESC considered that this was reasonable.</w:t>
      </w:r>
    </w:p>
    <w:p w14:paraId="3D3B7A6D" w14:textId="62453D60" w:rsidR="00F67915" w:rsidRPr="00A6154D" w:rsidRDefault="00787AB0" w:rsidP="00B95009">
      <w:pPr>
        <w:pStyle w:val="ExecSumBodyText"/>
        <w:numPr>
          <w:ilvl w:val="1"/>
          <w:numId w:val="1"/>
        </w:numPr>
      </w:pPr>
      <w:r w:rsidRPr="00A6154D">
        <w:t>There is potential for use outside of the proposed restriction among patients with Grade I disease, patients who do not meet the proposed steroid refractory/</w:t>
      </w:r>
      <w:r w:rsidR="007E0480" w:rsidRPr="00A6154D">
        <w:t xml:space="preserve"> </w:t>
      </w:r>
      <w:r w:rsidRPr="00A6154D">
        <w:t>dependence/intolerance criteria, patients who continue treatment despite not achieving a response, and patients who are public hospital inpatients.</w:t>
      </w:r>
    </w:p>
    <w:p w14:paraId="6C193DAB" w14:textId="0B489902" w:rsidR="00A4713C" w:rsidRPr="001C47F4" w:rsidRDefault="00A4713C" w:rsidP="00A4713C">
      <w:pPr>
        <w:pStyle w:val="ExecSumBodyText"/>
      </w:pPr>
      <w:r w:rsidRPr="001C47F4">
        <w:t xml:space="preserve">The submission noted that the sponsor currently has a patient access program providing ruxolitinib to patients with </w:t>
      </w:r>
      <w:r w:rsidR="00547875" w:rsidRPr="001C47F4">
        <w:t>Grade II to IV steroid refractory aGVHD.</w:t>
      </w:r>
      <w:r w:rsidRPr="001C47F4">
        <w:t xml:space="preserve"> The submission stated there are currently </w:t>
      </w:r>
      <w:r w:rsidR="00547875" w:rsidRPr="001C47F4">
        <w:t>40</w:t>
      </w:r>
      <w:r w:rsidRPr="001C47F4">
        <w:t xml:space="preserve"> patients receiving treatment with ruxolitinib under the patient access program.</w:t>
      </w:r>
    </w:p>
    <w:p w14:paraId="7B229772" w14:textId="18EBEC52" w:rsidR="00410066" w:rsidRPr="001C47F4" w:rsidRDefault="00410066" w:rsidP="00A4713C">
      <w:pPr>
        <w:pStyle w:val="ExecSumBodyText"/>
      </w:pPr>
      <w:bookmarkStart w:id="13" w:name="_Ref109986946"/>
      <w:r w:rsidRPr="001C47F4">
        <w:t>The pre-PBAC response proposed adding the following wording to the treatment criteria of the continuing restriction: “Tapering criteria: Tapering the dose of corticosteroids should be considered in responding patients. Following successful taper of corticosteroids, tapering the dose of ruxolitinib can be initiated”.</w:t>
      </w:r>
      <w:bookmarkEnd w:id="13"/>
    </w:p>
    <w:p w14:paraId="52D909F4" w14:textId="78D4F73A" w:rsidR="00A6154D" w:rsidRPr="00FB0D10" w:rsidRDefault="00A6154D" w:rsidP="00A6154D">
      <w:pPr>
        <w:pStyle w:val="ExecSumBodyText"/>
        <w:numPr>
          <w:ilvl w:val="0"/>
          <w:numId w:val="0"/>
        </w:numPr>
        <w:ind w:left="720"/>
      </w:pPr>
      <w:r w:rsidRPr="001C47F4">
        <w:rPr>
          <w:i/>
          <w:iCs/>
          <w:snapToGrid/>
          <w:lang w:val="en-US"/>
        </w:rPr>
        <w:t>For more detail on PBAC’s view, see section 7 PBAC outcome.</w:t>
      </w:r>
    </w:p>
    <w:p w14:paraId="2DD4785F" w14:textId="77777777" w:rsidR="00F67915" w:rsidRPr="00407F2D" w:rsidRDefault="00F67915" w:rsidP="00F67915">
      <w:pPr>
        <w:pStyle w:val="2-SectionHeading"/>
        <w:numPr>
          <w:ilvl w:val="0"/>
          <w:numId w:val="1"/>
        </w:numPr>
      </w:pPr>
      <w:bookmarkStart w:id="14" w:name="_Toc103611028"/>
      <w:bookmarkStart w:id="15" w:name="_Toc103614211"/>
      <w:bookmarkStart w:id="16" w:name="_Toc22898849"/>
      <w:bookmarkStart w:id="17" w:name="_Toc103614212"/>
      <w:bookmarkEnd w:id="14"/>
      <w:bookmarkEnd w:id="15"/>
      <w:r>
        <w:t>Population and disease</w:t>
      </w:r>
      <w:bookmarkEnd w:id="16"/>
      <w:bookmarkEnd w:id="17"/>
    </w:p>
    <w:p w14:paraId="549A175A" w14:textId="3C7FEE81" w:rsidR="00B95009" w:rsidRPr="00B95009" w:rsidRDefault="00B95009" w:rsidP="00B95009">
      <w:pPr>
        <w:pStyle w:val="ExecSumBodyText"/>
        <w:numPr>
          <w:ilvl w:val="1"/>
          <w:numId w:val="1"/>
        </w:numPr>
      </w:pPr>
      <w:r w:rsidRPr="00B95009">
        <w:t>Allogeneic stem cell transplantation (alloSCT) is a potentially curative therapy option used in the management of haematologic malignancies, non-malignant haematologic conditions and inherited metabolic disorders. GVHD is a common and serious complication of alloSCT which occurs when the donor immune cells mount an immune response against the transplant recipient’s tissues. GVHD is associated with significant morbidity and a high mortality rate.</w:t>
      </w:r>
    </w:p>
    <w:p w14:paraId="0C1C5434" w14:textId="6C65E3A1" w:rsidR="0051143F" w:rsidRDefault="00C95927" w:rsidP="0051143F">
      <w:pPr>
        <w:pStyle w:val="ExecSumBodyText"/>
        <w:numPr>
          <w:ilvl w:val="1"/>
          <w:numId w:val="1"/>
        </w:numPr>
      </w:pPr>
      <w:r w:rsidRPr="00C95927">
        <w:t>GVHD is classified as acute or chronic based on the timing of onset and the pattern of organ involvement. Acute GVHD typically occurs within the first 100 days following alloSCT and primarily affects the skin, gastrointestinal tract and liver. Chronic GVHD typically occurs at least 100 days post allogeneic transplant, and commonly affects the skin, mouth, liver and lungs, although almost any organ may be involved. Overlap syndrome (simultaneous presence of aGVHD with features of cGVHD) may also occur.</w:t>
      </w:r>
    </w:p>
    <w:p w14:paraId="2AFBD595" w14:textId="1BDA87F5" w:rsidR="0051143F" w:rsidRDefault="0051143F" w:rsidP="0051143F">
      <w:pPr>
        <w:pStyle w:val="ExecSumBodyText"/>
        <w:numPr>
          <w:ilvl w:val="1"/>
          <w:numId w:val="1"/>
        </w:numPr>
      </w:pPr>
      <w:r w:rsidRPr="0051143F">
        <w:t>Ruxolitinib is an inhibitor of intracellular tyrosine kinases JAK1 and JAK2, which mediate signalling of a number of cytokines and growth factors involved in haematopoiesis and immune function.</w:t>
      </w:r>
      <w:r>
        <w:t xml:space="preserve"> </w:t>
      </w:r>
      <w:r w:rsidRPr="00C00A31">
        <w:t xml:space="preserve">The submission positioned ruxolitinib as an alternative treatment option for patients with </w:t>
      </w:r>
      <w:r>
        <w:t>c</w:t>
      </w:r>
      <w:r w:rsidRPr="00C00A31">
        <w:t>GVHD</w:t>
      </w:r>
      <w:r>
        <w:t xml:space="preserve"> or aGVHD </w:t>
      </w:r>
      <w:r w:rsidRPr="00C00A31">
        <w:t xml:space="preserve">who are </w:t>
      </w:r>
      <w:r>
        <w:t>cortico</w:t>
      </w:r>
      <w:r w:rsidRPr="00C00A31">
        <w:t>steroid refractory, dependent or intolerant.</w:t>
      </w:r>
    </w:p>
    <w:p w14:paraId="0B2EBE02" w14:textId="3D2881BF" w:rsidR="00A6154D" w:rsidRDefault="00A6154D" w:rsidP="00A6154D">
      <w:pPr>
        <w:pStyle w:val="ExecSumBodyText"/>
        <w:numPr>
          <w:ilvl w:val="0"/>
          <w:numId w:val="0"/>
        </w:numPr>
        <w:ind w:left="720"/>
      </w:pPr>
      <w:r w:rsidRPr="00A6154D">
        <w:rPr>
          <w:i/>
          <w:iCs/>
          <w:snapToGrid/>
          <w:lang w:val="en-US"/>
        </w:rPr>
        <w:t>For more detail on PBAC’s view, see section 7 PBAC outcome.</w:t>
      </w:r>
    </w:p>
    <w:p w14:paraId="4EE03F7C" w14:textId="77777777" w:rsidR="00F67915" w:rsidRPr="00407F2D" w:rsidRDefault="00F67915" w:rsidP="00F67915">
      <w:pPr>
        <w:pStyle w:val="2-SectionHeading"/>
        <w:numPr>
          <w:ilvl w:val="0"/>
          <w:numId w:val="1"/>
        </w:numPr>
      </w:pPr>
      <w:bookmarkStart w:id="18" w:name="_Toc22898850"/>
      <w:bookmarkStart w:id="19" w:name="_Toc103614213"/>
      <w:r w:rsidRPr="00407F2D">
        <w:t>Comparator</w:t>
      </w:r>
      <w:bookmarkEnd w:id="18"/>
      <w:bookmarkEnd w:id="19"/>
    </w:p>
    <w:p w14:paraId="0BF06A04" w14:textId="299E8E35" w:rsidR="00F67915" w:rsidRPr="00A6154D" w:rsidRDefault="00F67915" w:rsidP="00F67915">
      <w:pPr>
        <w:pStyle w:val="ExecSumBodyText"/>
        <w:numPr>
          <w:ilvl w:val="1"/>
          <w:numId w:val="1"/>
        </w:numPr>
      </w:pPr>
      <w:r w:rsidRPr="00A6154D">
        <w:t xml:space="preserve">The submission nominated best available therapy </w:t>
      </w:r>
      <w:r w:rsidR="0002613C" w:rsidRPr="00A6154D">
        <w:t xml:space="preserve">(BAT) </w:t>
      </w:r>
      <w:r w:rsidRPr="00A6154D">
        <w:t>as the main comparator for cGVHD and aGVHD. The main argument to support this nomination was that, while a variety of different treatments are used in the management of steroid-refractory/dependent cGVHD and aGVHD, treatment guidelines suggest that there is a lack of evidence to recommend any particular therapy over another.</w:t>
      </w:r>
    </w:p>
    <w:p w14:paraId="588C8564" w14:textId="7B04E9AE" w:rsidR="004D034B" w:rsidRPr="00A6154D" w:rsidRDefault="00BB532A" w:rsidP="009C7407">
      <w:pPr>
        <w:pStyle w:val="ExecSumBodyText"/>
      </w:pPr>
      <w:r w:rsidRPr="00A6154D">
        <w:t xml:space="preserve">The ESC considered that </w:t>
      </w:r>
      <w:r w:rsidR="0002613C" w:rsidRPr="00A6154D">
        <w:t>BAT</w:t>
      </w:r>
      <w:r w:rsidR="00F67915" w:rsidRPr="00A6154D">
        <w:t xml:space="preserve"> </w:t>
      </w:r>
      <w:r w:rsidRPr="00A6154D">
        <w:t>wa</w:t>
      </w:r>
      <w:r w:rsidR="00F67915" w:rsidRPr="00A6154D">
        <w:t xml:space="preserve">s an appropriate comparator. </w:t>
      </w:r>
      <w:r w:rsidR="004D034B" w:rsidRPr="00A6154D">
        <w:t xml:space="preserve">The Australian eviQ guidelines state that common second line treatments for cGVHD include abatacept, alemtuzumab, calcineurin inhibitors, etanercept, </w:t>
      </w:r>
      <w:r w:rsidR="00D86BC4" w:rsidRPr="00A6154D">
        <w:t>ECP</w:t>
      </w:r>
      <w:r w:rsidR="004D034B" w:rsidRPr="00A6154D">
        <w:t>, hydroxychloroquine, ibrutinib, imatinib, interleukin-2, mycophenolate mofetil, mammalian target of rapamycin (mTOR) inhibitors, pentostatin, rituximab and ruxolitinib. The eviQ guidelines for aGVHD list the following systemic agents for use in conjunction with corticosteroids for the treatment of steroid refractory aGVHD: alemtuzumab, alpha-1 antitrypsin, anti-thymocyte globulin, basiliximab, calcineurin inhibitors, etanercept, infliximab</w:t>
      </w:r>
      <w:r w:rsidR="00D86BC4" w:rsidRPr="00A6154D">
        <w:t>,</w:t>
      </w:r>
      <w:r w:rsidR="004D034B" w:rsidRPr="00A6154D">
        <w:t xml:space="preserve"> mTOR inhibitors, mycophenolate mofetil, pentostatin, ruxolitinib and tocilizumab.</w:t>
      </w:r>
    </w:p>
    <w:p w14:paraId="0725F2CA" w14:textId="058B332F" w:rsidR="00CA2151" w:rsidRPr="00A6154D" w:rsidRDefault="00F67915" w:rsidP="00CA2151">
      <w:pPr>
        <w:pStyle w:val="ExecSumBodyText"/>
        <w:numPr>
          <w:ilvl w:val="1"/>
          <w:numId w:val="1"/>
        </w:numPr>
      </w:pPr>
      <w:r w:rsidRPr="00A6154D">
        <w:t xml:space="preserve">Of the medicines listed in the eviQ guidelines for the treatment of cGVHD and aGVHD, everolimus, sirolimus, mycophenolate mofetil, ciclosporin, and methotrexate have unrestricted PBS listings. The submission noted that none of these medicines are specifically registered on the </w:t>
      </w:r>
      <w:r w:rsidR="00042467" w:rsidRPr="00A6154D">
        <w:t>ARTG</w:t>
      </w:r>
      <w:r w:rsidRPr="00A6154D">
        <w:t xml:space="preserve"> for the treatment of cGVHD or aGVHD.</w:t>
      </w:r>
    </w:p>
    <w:p w14:paraId="5C142A34" w14:textId="384C3BA7" w:rsidR="00CA2151" w:rsidRPr="00A6154D" w:rsidRDefault="00CA2151" w:rsidP="009C7407">
      <w:pPr>
        <w:pStyle w:val="ExecSumBodyText"/>
      </w:pPr>
      <w:r w:rsidRPr="00A6154D">
        <w:t xml:space="preserve">Extracorporeal photopheresis (ECP) was nominated as a supplementary comparator for cGVHD on the basis that ECP received a positive recommendation at the July 2021 MSAC meeting for the treatment of steroid refractory, dependent or intolerant cGVHD. </w:t>
      </w:r>
      <w:r w:rsidR="00791EC2" w:rsidRPr="00A6154D">
        <w:t>ECP is an appropriate comparator</w:t>
      </w:r>
      <w:r w:rsidRPr="00A6154D">
        <w:t>. ECP was added to the Medicare Benefits Schedule in March 2022.</w:t>
      </w:r>
    </w:p>
    <w:p w14:paraId="19EE0E54" w14:textId="3A8A0A0B" w:rsidR="00F67915" w:rsidRDefault="00CA2151" w:rsidP="00320844">
      <w:pPr>
        <w:pStyle w:val="ExecSumBodyText"/>
        <w:numPr>
          <w:ilvl w:val="1"/>
          <w:numId w:val="1"/>
        </w:numPr>
      </w:pPr>
      <w:r w:rsidRPr="00A6154D">
        <w:t>A formal comparison of outcomes for ruxolitinib versus ECP was not presented in the submission. The submission argued that evidence from the REACH3 trial suggests that the efficacy of ECP is similar to the other BATs, and that, accordingly, the efficacy of the BAT arm of REACH3 trial could be considered to be representative of ECP in cGVHD. However, the submission noted that the nominated comparator in the ECP MSAC submission was standard of care, and that MSAC considered that ECP likely had superior clinical effectiveness compared with standard of care, noting that the clinical studies presented involved small numbers of participants and short follow-up times (p4, extracorporeal photopheresis</w:t>
      </w:r>
      <w:r w:rsidR="00732096">
        <w:t xml:space="preserve"> </w:t>
      </w:r>
      <w:r w:rsidR="008166A3">
        <w:t>Public Summary Document</w:t>
      </w:r>
      <w:r w:rsidR="008166A3" w:rsidRPr="00A6154D">
        <w:t xml:space="preserve"> </w:t>
      </w:r>
      <w:r w:rsidR="00732096">
        <w:t>(</w:t>
      </w:r>
      <w:r w:rsidRPr="00A6154D">
        <w:t>PSD</w:t>
      </w:r>
      <w:r w:rsidR="00732096">
        <w:t>)</w:t>
      </w:r>
      <w:r w:rsidRPr="00A6154D">
        <w:t>, July 2021 MSAC meeting).</w:t>
      </w:r>
      <w:bookmarkStart w:id="20" w:name="_Hlk103588127"/>
    </w:p>
    <w:p w14:paraId="4E152A7F" w14:textId="42A8A468" w:rsidR="00A6154D" w:rsidRPr="00A6154D" w:rsidRDefault="00A6154D" w:rsidP="00A6154D">
      <w:pPr>
        <w:pStyle w:val="ExecSumBodyText"/>
        <w:numPr>
          <w:ilvl w:val="0"/>
          <w:numId w:val="0"/>
        </w:numPr>
        <w:ind w:left="720"/>
      </w:pPr>
      <w:r w:rsidRPr="00A6154D">
        <w:rPr>
          <w:i/>
          <w:iCs/>
          <w:snapToGrid/>
          <w:lang w:val="en-US"/>
        </w:rPr>
        <w:t>For more detail on PBAC’s view, see section 7 PBAC outcome.</w:t>
      </w:r>
    </w:p>
    <w:p w14:paraId="5CA862D6" w14:textId="77777777" w:rsidR="00F67915" w:rsidRPr="00407F2D" w:rsidRDefault="00F67915" w:rsidP="00F67915">
      <w:pPr>
        <w:pStyle w:val="2-SectionHeading"/>
        <w:numPr>
          <w:ilvl w:val="0"/>
          <w:numId w:val="1"/>
        </w:numPr>
      </w:pPr>
      <w:bookmarkStart w:id="21" w:name="_Toc103614214"/>
      <w:bookmarkStart w:id="22" w:name="_Toc22897640"/>
      <w:bookmarkStart w:id="23" w:name="_Toc22898852"/>
      <w:bookmarkEnd w:id="20"/>
      <w:r>
        <w:t>C</w:t>
      </w:r>
      <w:r w:rsidRPr="00407F2D">
        <w:t>onsideration of the evidence</w:t>
      </w:r>
      <w:bookmarkEnd w:id="21"/>
    </w:p>
    <w:p w14:paraId="6FFF92AA" w14:textId="77777777" w:rsidR="00A6154D" w:rsidRPr="006E1229" w:rsidRDefault="00A6154D" w:rsidP="00A6154D">
      <w:pPr>
        <w:pStyle w:val="3-SubsectionHeading"/>
      </w:pPr>
      <w:bookmarkStart w:id="24" w:name="_Hlk76375935"/>
      <w:bookmarkStart w:id="25" w:name="_Toc103614215"/>
      <w:r w:rsidRPr="006E1229">
        <w:t>Sponsor hearing</w:t>
      </w:r>
    </w:p>
    <w:p w14:paraId="64165DB3" w14:textId="4ACE01EA" w:rsidR="00630A94" w:rsidRDefault="00A6154D" w:rsidP="00A6154D">
      <w:pPr>
        <w:widowControl w:val="0"/>
        <w:numPr>
          <w:ilvl w:val="1"/>
          <w:numId w:val="1"/>
        </w:numPr>
        <w:spacing w:after="120"/>
        <w:ind w:left="720" w:hanging="720"/>
        <w:rPr>
          <w:rFonts w:asciiTheme="minorHAnsi" w:hAnsiTheme="minorHAnsi"/>
          <w:bCs/>
          <w:snapToGrid w:val="0"/>
        </w:rPr>
      </w:pPr>
      <w:bookmarkStart w:id="26" w:name="_Hlk76382586"/>
      <w:r w:rsidRPr="00836F75">
        <w:rPr>
          <w:rFonts w:asciiTheme="minorHAnsi" w:hAnsiTheme="minorHAnsi"/>
          <w:bCs/>
          <w:snapToGrid w:val="0"/>
        </w:rPr>
        <w:t xml:space="preserve">The sponsor requested a hearing for this item. The clinician </w:t>
      </w:r>
      <w:r w:rsidR="00D709B8">
        <w:rPr>
          <w:rFonts w:asciiTheme="minorHAnsi" w:hAnsiTheme="minorHAnsi"/>
          <w:bCs/>
          <w:snapToGrid w:val="0"/>
        </w:rPr>
        <w:t xml:space="preserve">discussed the natural progression of GVHD and outlined the reduced quality of life particularly associated with cGVHD which is a multisystem disorder that can result in </w:t>
      </w:r>
      <w:r w:rsidR="00630A94">
        <w:rPr>
          <w:rFonts w:asciiTheme="minorHAnsi" w:hAnsiTheme="minorHAnsi"/>
          <w:bCs/>
          <w:snapToGrid w:val="0"/>
        </w:rPr>
        <w:t xml:space="preserve">disability and </w:t>
      </w:r>
      <w:r w:rsidR="00D709B8">
        <w:rPr>
          <w:rFonts w:asciiTheme="minorHAnsi" w:hAnsiTheme="minorHAnsi"/>
          <w:bCs/>
          <w:snapToGrid w:val="0"/>
        </w:rPr>
        <w:t xml:space="preserve">mortality. The clinician indicated that although the rate of allogenic HSCT in Australia was increasing, particularly in older patients who were historically less tolerant to GVHD, the incidence of aGVHD and cGVHD was declining. The clinician stated that the decline in GVHD was likely due </w:t>
      </w:r>
      <w:r w:rsidR="00630A94">
        <w:rPr>
          <w:rFonts w:asciiTheme="minorHAnsi" w:hAnsiTheme="minorHAnsi"/>
          <w:bCs/>
          <w:snapToGrid w:val="0"/>
        </w:rPr>
        <w:t xml:space="preserve">to better understanding of the disease, </w:t>
      </w:r>
      <w:r w:rsidR="00D709B8">
        <w:rPr>
          <w:rFonts w:asciiTheme="minorHAnsi" w:hAnsiTheme="minorHAnsi"/>
          <w:bCs/>
          <w:snapToGrid w:val="0"/>
        </w:rPr>
        <w:t>better high resolution human leukocyte antigen (HLA) typing, increased T-cell depletion and better GVHD prophylaxis and treatment options, including ruxolitinib.</w:t>
      </w:r>
    </w:p>
    <w:p w14:paraId="0E3ECEAF" w14:textId="5C2C54E2" w:rsidR="00630A94" w:rsidRDefault="00630A94" w:rsidP="00A6154D">
      <w:pPr>
        <w:widowControl w:val="0"/>
        <w:numPr>
          <w:ilvl w:val="1"/>
          <w:numId w:val="1"/>
        </w:numPr>
        <w:spacing w:after="120"/>
        <w:ind w:left="720" w:hanging="720"/>
        <w:rPr>
          <w:rFonts w:asciiTheme="minorHAnsi" w:hAnsiTheme="minorHAnsi"/>
          <w:bCs/>
          <w:snapToGrid w:val="0"/>
        </w:rPr>
      </w:pPr>
      <w:r>
        <w:rPr>
          <w:rFonts w:asciiTheme="minorHAnsi" w:hAnsiTheme="minorHAnsi"/>
          <w:bCs/>
          <w:snapToGrid w:val="0"/>
        </w:rPr>
        <w:t>The clinician stated that early treatment of GVHD with ruxolitinib reduces the severity of disease and reduces the incidence of permanent organ dysfunction and disability, which in turn has resulted in improvements in quality of life and reduced the burden of medical care. The clinician also stated that ruxolitinib has meant that the cessation of corticosteroids is becoming a standard goal of treatmen</w:t>
      </w:r>
      <w:r w:rsidR="00A36C81">
        <w:rPr>
          <w:rFonts w:asciiTheme="minorHAnsi" w:hAnsiTheme="minorHAnsi"/>
          <w:bCs/>
          <w:snapToGrid w:val="0"/>
        </w:rPr>
        <w:t>t</w:t>
      </w:r>
      <w:r>
        <w:rPr>
          <w:rFonts w:asciiTheme="minorHAnsi" w:hAnsiTheme="minorHAnsi"/>
          <w:bCs/>
          <w:snapToGrid w:val="0"/>
        </w:rPr>
        <w:t>.</w:t>
      </w:r>
    </w:p>
    <w:p w14:paraId="3AAA76EC" w14:textId="7D3C65EE" w:rsidR="00A6154D" w:rsidRPr="00836F75" w:rsidRDefault="00630A94" w:rsidP="00A6154D">
      <w:pPr>
        <w:widowControl w:val="0"/>
        <w:numPr>
          <w:ilvl w:val="1"/>
          <w:numId w:val="1"/>
        </w:numPr>
        <w:spacing w:after="120"/>
        <w:ind w:left="720" w:hanging="720"/>
        <w:rPr>
          <w:rFonts w:asciiTheme="minorHAnsi" w:hAnsiTheme="minorHAnsi"/>
          <w:bCs/>
          <w:snapToGrid w:val="0"/>
        </w:rPr>
      </w:pPr>
      <w:r>
        <w:rPr>
          <w:rFonts w:asciiTheme="minorHAnsi" w:hAnsiTheme="minorHAnsi"/>
          <w:bCs/>
          <w:snapToGrid w:val="0"/>
        </w:rPr>
        <w:t>The clinician also</w:t>
      </w:r>
      <w:r w:rsidR="00A6154D" w:rsidRPr="00836F75">
        <w:rPr>
          <w:rFonts w:asciiTheme="minorHAnsi" w:hAnsiTheme="minorHAnsi"/>
          <w:bCs/>
          <w:snapToGrid w:val="0"/>
        </w:rPr>
        <w:t xml:space="preserve"> addressed other matters in response to the Committee’s qu</w:t>
      </w:r>
      <w:r w:rsidR="00A6154D">
        <w:rPr>
          <w:rFonts w:asciiTheme="minorHAnsi" w:hAnsiTheme="minorHAnsi"/>
          <w:bCs/>
          <w:snapToGrid w:val="0"/>
        </w:rPr>
        <w:t>estions</w:t>
      </w:r>
      <w:r w:rsidR="00380C05">
        <w:rPr>
          <w:rFonts w:asciiTheme="minorHAnsi" w:hAnsiTheme="minorHAnsi"/>
          <w:bCs/>
          <w:snapToGrid w:val="0"/>
        </w:rPr>
        <w:t>, including indicating that the age of the patient did not result in any material differences in response to ruxolitinib and that they estimated that 10% to 20% of patients were steroid refractory</w:t>
      </w:r>
      <w:r w:rsidR="00A6154D">
        <w:rPr>
          <w:rFonts w:asciiTheme="minorHAnsi" w:hAnsiTheme="minorHAnsi"/>
          <w:bCs/>
          <w:snapToGrid w:val="0"/>
        </w:rPr>
        <w:t xml:space="preserve">. </w:t>
      </w:r>
      <w:r w:rsidR="00A6154D" w:rsidRPr="00836F75">
        <w:rPr>
          <w:rFonts w:asciiTheme="minorHAnsi" w:hAnsiTheme="minorHAnsi"/>
          <w:bCs/>
          <w:snapToGrid w:val="0"/>
        </w:rPr>
        <w:t xml:space="preserve">The PBAC considered that the hearing was informative as it provided a clinical perspective on treating </w:t>
      </w:r>
      <w:r w:rsidR="00DD1933">
        <w:rPr>
          <w:rFonts w:asciiTheme="minorHAnsi" w:hAnsiTheme="minorHAnsi"/>
          <w:bCs/>
          <w:snapToGrid w:val="0"/>
        </w:rPr>
        <w:t>acute and chronic GVHD</w:t>
      </w:r>
      <w:r w:rsidR="00A6154D" w:rsidRPr="00836F75">
        <w:rPr>
          <w:rFonts w:asciiTheme="minorHAnsi" w:hAnsiTheme="minorHAnsi"/>
          <w:bCs/>
          <w:snapToGrid w:val="0"/>
        </w:rPr>
        <w:t>.</w:t>
      </w:r>
    </w:p>
    <w:bookmarkEnd w:id="26"/>
    <w:p w14:paraId="2EC3E604" w14:textId="77777777" w:rsidR="00A6154D" w:rsidRPr="006E1229" w:rsidRDefault="00A6154D" w:rsidP="00A6154D">
      <w:pPr>
        <w:pStyle w:val="3-SubsectionHeading"/>
      </w:pPr>
      <w:r w:rsidRPr="006E1229">
        <w:t>Consumer comments</w:t>
      </w:r>
    </w:p>
    <w:p w14:paraId="2C5BF288" w14:textId="5B1D4E9E" w:rsidR="003532B5" w:rsidRPr="00836F75" w:rsidRDefault="00A6154D" w:rsidP="003532B5">
      <w:pPr>
        <w:widowControl w:val="0"/>
        <w:numPr>
          <w:ilvl w:val="1"/>
          <w:numId w:val="1"/>
        </w:numPr>
        <w:spacing w:after="120"/>
        <w:ind w:left="720" w:hanging="720"/>
        <w:rPr>
          <w:rFonts w:asciiTheme="minorHAnsi" w:hAnsiTheme="minorHAnsi"/>
          <w:bCs/>
          <w:snapToGrid w:val="0"/>
        </w:rPr>
      </w:pPr>
      <w:bookmarkStart w:id="27" w:name="_Hlk76382618"/>
      <w:r w:rsidRPr="00836F75">
        <w:rPr>
          <w:rFonts w:asciiTheme="minorHAnsi" w:hAnsiTheme="minorHAnsi"/>
          <w:bCs/>
          <w:snapToGrid w:val="0"/>
        </w:rPr>
        <w:t>The PBAC noted and welcomed the input from organisations (</w:t>
      </w:r>
      <w:r w:rsidR="003532B5">
        <w:rPr>
          <w:rFonts w:asciiTheme="minorHAnsi" w:hAnsiTheme="minorHAnsi"/>
          <w:bCs/>
          <w:snapToGrid w:val="0"/>
        </w:rPr>
        <w:t>3</w:t>
      </w:r>
      <w:r w:rsidRPr="00836F75">
        <w:rPr>
          <w:rFonts w:asciiTheme="minorHAnsi" w:hAnsiTheme="minorHAnsi"/>
          <w:bCs/>
          <w:snapToGrid w:val="0"/>
        </w:rPr>
        <w:t>) via the Consumer Comments facility on the PBS website.</w:t>
      </w:r>
    </w:p>
    <w:p w14:paraId="28CB734D" w14:textId="45E591D4" w:rsidR="00A6154D" w:rsidRPr="00DD1933" w:rsidRDefault="00A6154D" w:rsidP="00DD1933">
      <w:pPr>
        <w:widowControl w:val="0"/>
        <w:numPr>
          <w:ilvl w:val="1"/>
          <w:numId w:val="1"/>
        </w:numPr>
        <w:spacing w:after="120"/>
        <w:ind w:left="720" w:hanging="720"/>
        <w:rPr>
          <w:rFonts w:asciiTheme="minorHAnsi" w:hAnsiTheme="minorHAnsi"/>
          <w:bCs/>
          <w:snapToGrid w:val="0"/>
        </w:rPr>
      </w:pPr>
      <w:r w:rsidRPr="00836F75">
        <w:rPr>
          <w:rFonts w:asciiTheme="minorHAnsi" w:hAnsiTheme="minorHAnsi"/>
          <w:bCs/>
          <w:snapToGrid w:val="0"/>
        </w:rPr>
        <w:t xml:space="preserve">The PBAC noted the advice received from </w:t>
      </w:r>
      <w:r w:rsidR="003532B5">
        <w:rPr>
          <w:rFonts w:asciiTheme="minorHAnsi" w:hAnsiTheme="minorHAnsi"/>
          <w:bCs/>
          <w:snapToGrid w:val="0"/>
        </w:rPr>
        <w:t xml:space="preserve">the Leukaemia Foundation, Rare Cancers Australia and the National Paediatric Medicines Forum. The PBAC noted that the advice outlined the high clinical need for effective acute and chronic GVHD treatments, the quality of life difficulties associated with GVHD and the significant side effects associated with current glucocorticoid standard of care treatment. The PBAC noted the advice that ruxolitinib </w:t>
      </w:r>
      <w:r w:rsidR="00DD1933">
        <w:rPr>
          <w:rFonts w:asciiTheme="minorHAnsi" w:hAnsiTheme="minorHAnsi"/>
          <w:bCs/>
          <w:snapToGrid w:val="0"/>
        </w:rPr>
        <w:t>is less invasive than other currently available therapies. In addition, the PBAC noted that the National Paediatric Medicines Forum requested that the PBAC consider removing the age restriction for ruxolitinib (and other GVHD medications) if it is listed on the PBS to allow children to access the treatment.</w:t>
      </w:r>
    </w:p>
    <w:bookmarkEnd w:id="24"/>
    <w:bookmarkEnd w:id="27"/>
    <w:p w14:paraId="42E4A008" w14:textId="1BE7612D" w:rsidR="00F67915" w:rsidRPr="00C9624D" w:rsidRDefault="00F67915" w:rsidP="00F67915">
      <w:pPr>
        <w:pStyle w:val="3-SubsectionHeading"/>
      </w:pPr>
      <w:r w:rsidRPr="00C9624D">
        <w:t>Clinical trials</w:t>
      </w:r>
      <w:bookmarkEnd w:id="22"/>
      <w:bookmarkEnd w:id="23"/>
      <w:bookmarkEnd w:id="25"/>
    </w:p>
    <w:p w14:paraId="57DC2926" w14:textId="77777777" w:rsidR="00F67915" w:rsidRPr="00284397" w:rsidRDefault="00F67915" w:rsidP="00F67915">
      <w:pPr>
        <w:pStyle w:val="ExecSumBodyText"/>
        <w:numPr>
          <w:ilvl w:val="1"/>
          <w:numId w:val="1"/>
        </w:numPr>
        <w:contextualSpacing/>
      </w:pPr>
      <w:r>
        <w:rPr>
          <w:snapToGrid/>
          <w:lang w:val="en-US"/>
        </w:rPr>
        <w:t>The submission was based on two head-to-head trials:</w:t>
      </w:r>
    </w:p>
    <w:p w14:paraId="34237344" w14:textId="77777777" w:rsidR="00F67915" w:rsidRPr="002954B7" w:rsidRDefault="00F67915" w:rsidP="00A2582A">
      <w:pPr>
        <w:pStyle w:val="ExecSumBodyText"/>
        <w:numPr>
          <w:ilvl w:val="1"/>
          <w:numId w:val="12"/>
        </w:numPr>
        <w:ind w:left="1077" w:hanging="357"/>
        <w:contextualSpacing/>
      </w:pPr>
      <w:r>
        <w:rPr>
          <w:snapToGrid/>
          <w:lang w:val="en-US"/>
        </w:rPr>
        <w:t xml:space="preserve">A </w:t>
      </w:r>
      <w:r w:rsidRPr="002954B7">
        <w:rPr>
          <w:snapToGrid/>
          <w:lang w:val="en-US"/>
        </w:rPr>
        <w:t>head-to-head trial comparing ruxolitinib with physician’s choice of BAT in patients with steroid refractory/dependent cGVHD (REACH3).</w:t>
      </w:r>
    </w:p>
    <w:p w14:paraId="4F09D716" w14:textId="5CE5AE1E" w:rsidR="00F67915" w:rsidRPr="003B278B" w:rsidRDefault="00F67915" w:rsidP="00A2582A">
      <w:pPr>
        <w:pStyle w:val="ExecSumBodyText"/>
        <w:numPr>
          <w:ilvl w:val="1"/>
          <w:numId w:val="12"/>
        </w:numPr>
        <w:ind w:left="1077" w:hanging="357"/>
      </w:pPr>
      <w:r>
        <w:rPr>
          <w:snapToGrid/>
          <w:lang w:val="en-US"/>
        </w:rPr>
        <w:t xml:space="preserve">A </w:t>
      </w:r>
      <w:r w:rsidRPr="00D2457D">
        <w:rPr>
          <w:snapToGrid/>
          <w:lang w:val="en-US"/>
        </w:rPr>
        <w:t>head-to-head trial comparing ruxolitinib with physician’s choice of BAT in patients with steroid refractory/dependent aGVHD (REACH2).</w:t>
      </w:r>
    </w:p>
    <w:p w14:paraId="478D4999" w14:textId="77777777" w:rsidR="00F67915" w:rsidRPr="00B50DB8" w:rsidRDefault="00F67915" w:rsidP="00F67915">
      <w:pPr>
        <w:pStyle w:val="ExecSumBodyText"/>
        <w:numPr>
          <w:ilvl w:val="1"/>
          <w:numId w:val="1"/>
        </w:numPr>
      </w:pPr>
      <w:r>
        <w:rPr>
          <w:snapToGrid/>
          <w:lang w:val="en-US"/>
        </w:rPr>
        <w:t>Details of the trials presented in the submission are provided in the table below.</w:t>
      </w:r>
    </w:p>
    <w:p w14:paraId="124D4DEC" w14:textId="475FF86C" w:rsidR="00F67915" w:rsidRDefault="00F67915" w:rsidP="0051143F">
      <w:pPr>
        <w:pStyle w:val="TableHeading"/>
      </w:pPr>
      <w:r w:rsidRPr="00B958A9">
        <w:t xml:space="preserve">Table </w:t>
      </w:r>
      <w:fldSimple w:instr=" SEQ Table \* ARABIC " w:fldLock="1">
        <w:r w:rsidR="005A7A1C">
          <w:rPr>
            <w:noProof/>
          </w:rPr>
          <w:t>2</w:t>
        </w:r>
      </w:fldSimple>
      <w:r w:rsidRPr="00B958A9">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5"/>
        <w:gridCol w:w="5459"/>
        <w:gridCol w:w="2123"/>
      </w:tblGrid>
      <w:tr w:rsidR="00F67915" w:rsidRPr="00B41614" w14:paraId="133FFA41" w14:textId="77777777" w:rsidTr="00A361A7">
        <w:trPr>
          <w:tblHeader/>
        </w:trPr>
        <w:tc>
          <w:tcPr>
            <w:tcW w:w="796" w:type="pct"/>
            <w:vAlign w:val="center"/>
          </w:tcPr>
          <w:p w14:paraId="3AB31A52" w14:textId="77777777" w:rsidR="00F67915" w:rsidRPr="00B41614" w:rsidRDefault="00F67915" w:rsidP="00A361A7">
            <w:pPr>
              <w:pStyle w:val="Tableheadingrow"/>
            </w:pPr>
            <w:r w:rsidRPr="00B41614">
              <w:t>Trial ID</w:t>
            </w:r>
          </w:p>
        </w:tc>
        <w:tc>
          <w:tcPr>
            <w:tcW w:w="3027" w:type="pct"/>
            <w:vAlign w:val="center"/>
          </w:tcPr>
          <w:p w14:paraId="04058F7D" w14:textId="77777777" w:rsidR="00F67915" w:rsidRPr="00B41614" w:rsidRDefault="00F67915" w:rsidP="00A361A7">
            <w:pPr>
              <w:pStyle w:val="Tableheadingrow"/>
              <w:jc w:val="center"/>
            </w:pPr>
            <w:r w:rsidRPr="00B41614">
              <w:t>Protocol title/ Publication title</w:t>
            </w:r>
          </w:p>
        </w:tc>
        <w:tc>
          <w:tcPr>
            <w:tcW w:w="1177" w:type="pct"/>
            <w:vAlign w:val="center"/>
          </w:tcPr>
          <w:p w14:paraId="645E5DC3" w14:textId="77777777" w:rsidR="00F67915" w:rsidRPr="00B41614" w:rsidRDefault="00F67915" w:rsidP="00A361A7">
            <w:pPr>
              <w:pStyle w:val="Tableheadingrow"/>
              <w:jc w:val="center"/>
            </w:pPr>
            <w:r w:rsidRPr="00B41614">
              <w:t>Publication citation</w:t>
            </w:r>
          </w:p>
        </w:tc>
      </w:tr>
      <w:tr w:rsidR="00F67915" w:rsidRPr="00B41614" w14:paraId="253241E2" w14:textId="77777777" w:rsidTr="00A361A7">
        <w:trPr>
          <w:tblHeader/>
        </w:trPr>
        <w:tc>
          <w:tcPr>
            <w:tcW w:w="5000" w:type="pct"/>
            <w:gridSpan w:val="3"/>
            <w:vAlign w:val="center"/>
          </w:tcPr>
          <w:p w14:paraId="18703F1F" w14:textId="77777777" w:rsidR="00F67915" w:rsidRPr="00B41614" w:rsidRDefault="00F67915" w:rsidP="00A361A7">
            <w:pPr>
              <w:pStyle w:val="Tableheadingrow"/>
            </w:pPr>
            <w:r>
              <w:t>Chronic GVHD</w:t>
            </w:r>
          </w:p>
        </w:tc>
      </w:tr>
      <w:tr w:rsidR="00F67915" w:rsidRPr="00CB38A8" w14:paraId="62051B41" w14:textId="77777777" w:rsidTr="00A361A7">
        <w:tc>
          <w:tcPr>
            <w:tcW w:w="796" w:type="pct"/>
            <w:vMerge w:val="restart"/>
            <w:vAlign w:val="center"/>
          </w:tcPr>
          <w:p w14:paraId="141648BB" w14:textId="77777777" w:rsidR="00F67915" w:rsidRPr="00CB38A8" w:rsidRDefault="00F67915" w:rsidP="00A361A7">
            <w:pPr>
              <w:pStyle w:val="TableText"/>
            </w:pPr>
            <w:r w:rsidRPr="001F7F00">
              <w:t>REACH</w:t>
            </w:r>
            <w:r>
              <w:t>3 (</w:t>
            </w:r>
            <w:r w:rsidRPr="007C6FE5">
              <w:t>NCT03112603</w:t>
            </w:r>
            <w:r>
              <w:t>)</w:t>
            </w:r>
          </w:p>
        </w:tc>
        <w:tc>
          <w:tcPr>
            <w:tcW w:w="3027" w:type="pct"/>
            <w:tcBorders>
              <w:bottom w:val="nil"/>
            </w:tcBorders>
          </w:tcPr>
          <w:p w14:paraId="35F0E84E" w14:textId="77777777" w:rsidR="00F67915" w:rsidRPr="00CB38A8" w:rsidRDefault="00F67915" w:rsidP="00A361A7">
            <w:pPr>
              <w:pStyle w:val="TableText"/>
            </w:pPr>
            <w:r w:rsidRPr="007C6FE5">
              <w:t xml:space="preserve">A </w:t>
            </w:r>
            <w:r>
              <w:t>P</w:t>
            </w:r>
            <w:r w:rsidRPr="007C6FE5">
              <w:t>hase III randomized open-label multi-center study of ruxolitinib versus best available therapy in patients with corticosteroid-refractory chronic graft vs host disease after allogeneic stem cell transplantation</w:t>
            </w:r>
          </w:p>
        </w:tc>
        <w:tc>
          <w:tcPr>
            <w:tcW w:w="1177" w:type="pct"/>
            <w:tcBorders>
              <w:bottom w:val="nil"/>
            </w:tcBorders>
          </w:tcPr>
          <w:p w14:paraId="760CBEEA" w14:textId="77777777" w:rsidR="00F67915" w:rsidRPr="004A2558" w:rsidRDefault="00F67915" w:rsidP="00A361A7">
            <w:pPr>
              <w:pStyle w:val="TableText"/>
            </w:pPr>
            <w:r w:rsidRPr="007C6FE5">
              <w:t>Clinical study report, March 2020.</w:t>
            </w:r>
          </w:p>
        </w:tc>
      </w:tr>
      <w:tr w:rsidR="00F67915" w:rsidRPr="00CB38A8" w14:paraId="2DCCB9EA" w14:textId="77777777" w:rsidTr="00A361A7">
        <w:tc>
          <w:tcPr>
            <w:tcW w:w="796" w:type="pct"/>
            <w:vMerge/>
            <w:vAlign w:val="center"/>
          </w:tcPr>
          <w:p w14:paraId="78F37D61" w14:textId="77777777" w:rsidR="00F67915" w:rsidRPr="00CB38A8" w:rsidRDefault="00F67915" w:rsidP="00A361A7">
            <w:pPr>
              <w:pStyle w:val="TableText"/>
            </w:pPr>
          </w:p>
        </w:tc>
        <w:tc>
          <w:tcPr>
            <w:tcW w:w="3027" w:type="pct"/>
            <w:tcBorders>
              <w:top w:val="nil"/>
              <w:bottom w:val="nil"/>
            </w:tcBorders>
          </w:tcPr>
          <w:p w14:paraId="301DDA3D" w14:textId="77777777" w:rsidR="00F67915" w:rsidRPr="00E34A35" w:rsidRDefault="00F67915" w:rsidP="00A361A7">
            <w:pPr>
              <w:pStyle w:val="TableText"/>
              <w:rPr>
                <w:szCs w:val="18"/>
              </w:rPr>
            </w:pPr>
            <w:r>
              <w:rPr>
                <w:szCs w:val="18"/>
              </w:rPr>
              <w:t>Zeiser R, Polverelli N, Ram R, Hashmi SK et al. Ruxolitinib for glucocorticoid-refractory chronic graft-versus-host disease.</w:t>
            </w:r>
          </w:p>
        </w:tc>
        <w:tc>
          <w:tcPr>
            <w:tcW w:w="1177" w:type="pct"/>
            <w:tcBorders>
              <w:top w:val="nil"/>
              <w:bottom w:val="nil"/>
            </w:tcBorders>
          </w:tcPr>
          <w:p w14:paraId="044A3480" w14:textId="77777777" w:rsidR="00F67915" w:rsidRPr="00CB38A8" w:rsidRDefault="00F67915" w:rsidP="00A361A7">
            <w:pPr>
              <w:pStyle w:val="TableText"/>
              <w:rPr>
                <w:i/>
              </w:rPr>
            </w:pPr>
            <w:r>
              <w:rPr>
                <w:i/>
                <w:szCs w:val="18"/>
              </w:rPr>
              <w:t>NEJM</w:t>
            </w:r>
            <w:r>
              <w:rPr>
                <w:szCs w:val="18"/>
              </w:rPr>
              <w:t xml:space="preserve"> </w:t>
            </w:r>
            <w:r w:rsidRPr="00E34A35">
              <w:rPr>
                <w:szCs w:val="18"/>
              </w:rPr>
              <w:t xml:space="preserve">2015; </w:t>
            </w:r>
            <w:r w:rsidRPr="00AC1180">
              <w:rPr>
                <w:szCs w:val="18"/>
              </w:rPr>
              <w:t>38</w:t>
            </w:r>
            <w:r>
              <w:rPr>
                <w:szCs w:val="18"/>
              </w:rPr>
              <w:t>5</w:t>
            </w:r>
            <w:r w:rsidRPr="00AC1180">
              <w:rPr>
                <w:szCs w:val="18"/>
              </w:rPr>
              <w:t>(</w:t>
            </w:r>
            <w:r>
              <w:rPr>
                <w:szCs w:val="18"/>
              </w:rPr>
              <w:t>3</w:t>
            </w:r>
            <w:r w:rsidRPr="00AC1180">
              <w:rPr>
                <w:szCs w:val="18"/>
              </w:rPr>
              <w:t xml:space="preserve">): </w:t>
            </w:r>
            <w:r>
              <w:rPr>
                <w:szCs w:val="18"/>
              </w:rPr>
              <w:t>228</w:t>
            </w:r>
            <w:r w:rsidRPr="00AC1180">
              <w:rPr>
                <w:szCs w:val="18"/>
              </w:rPr>
              <w:t>-</w:t>
            </w:r>
            <w:r>
              <w:rPr>
                <w:szCs w:val="18"/>
              </w:rPr>
              <w:t>238.</w:t>
            </w:r>
          </w:p>
        </w:tc>
      </w:tr>
      <w:tr w:rsidR="00F67915" w:rsidRPr="00CB38A8" w14:paraId="69421364" w14:textId="77777777" w:rsidTr="00A361A7">
        <w:tc>
          <w:tcPr>
            <w:tcW w:w="796" w:type="pct"/>
            <w:vMerge/>
            <w:tcBorders>
              <w:bottom w:val="single" w:sz="4" w:space="0" w:color="auto"/>
            </w:tcBorders>
            <w:vAlign w:val="center"/>
          </w:tcPr>
          <w:p w14:paraId="22050E51" w14:textId="77777777" w:rsidR="00F67915" w:rsidRPr="00CB38A8" w:rsidRDefault="00F67915" w:rsidP="00A361A7">
            <w:pPr>
              <w:pStyle w:val="TableText"/>
            </w:pPr>
          </w:p>
        </w:tc>
        <w:tc>
          <w:tcPr>
            <w:tcW w:w="3027" w:type="pct"/>
            <w:tcBorders>
              <w:top w:val="nil"/>
              <w:bottom w:val="single" w:sz="4" w:space="0" w:color="auto"/>
            </w:tcBorders>
          </w:tcPr>
          <w:p w14:paraId="3702F7C4" w14:textId="77777777" w:rsidR="00F67915" w:rsidRPr="00804917" w:rsidRDefault="00F67915" w:rsidP="00A361A7">
            <w:pPr>
              <w:pStyle w:val="TableText"/>
              <w:rPr>
                <w:szCs w:val="18"/>
              </w:rPr>
            </w:pPr>
            <w:r w:rsidRPr="0091053D">
              <w:rPr>
                <w:szCs w:val="18"/>
                <w:lang w:val="en-US"/>
              </w:rPr>
              <w:t>Jagasia</w:t>
            </w:r>
            <w:r>
              <w:rPr>
                <w:szCs w:val="18"/>
                <w:lang w:val="en-US"/>
              </w:rPr>
              <w:t xml:space="preserve"> M, Zeiser R, Arbushites M, Delaite P </w:t>
            </w:r>
            <w:r w:rsidRPr="0091053D">
              <w:rPr>
                <w:szCs w:val="18"/>
                <w:lang w:val="en-US"/>
              </w:rPr>
              <w:t>et al.</w:t>
            </w:r>
            <w:r>
              <w:rPr>
                <w:szCs w:val="18"/>
                <w:lang w:val="en-US"/>
              </w:rPr>
              <w:t xml:space="preserve"> </w:t>
            </w:r>
            <w:r w:rsidRPr="0091053D">
              <w:rPr>
                <w:szCs w:val="18"/>
                <w:lang w:val="en-US"/>
              </w:rPr>
              <w:t xml:space="preserve">Ruxolitinib for the treatment of patients with steroid-refractory GVHD: an introduction to the REACH trials. </w:t>
            </w:r>
          </w:p>
        </w:tc>
        <w:tc>
          <w:tcPr>
            <w:tcW w:w="1177" w:type="pct"/>
            <w:tcBorders>
              <w:top w:val="nil"/>
              <w:bottom w:val="single" w:sz="4" w:space="0" w:color="auto"/>
            </w:tcBorders>
          </w:tcPr>
          <w:p w14:paraId="07E7F8D7" w14:textId="77777777" w:rsidR="00F67915" w:rsidRPr="005C3BD2" w:rsidRDefault="00F67915" w:rsidP="00A361A7">
            <w:pPr>
              <w:pStyle w:val="TableText"/>
            </w:pPr>
            <w:r w:rsidRPr="00AC1180">
              <w:rPr>
                <w:i/>
                <w:iCs/>
                <w:szCs w:val="18"/>
                <w:lang w:val="en-US"/>
              </w:rPr>
              <w:t>Immunotherapy</w:t>
            </w:r>
            <w:r>
              <w:rPr>
                <w:szCs w:val="18"/>
                <w:lang w:val="en-US"/>
              </w:rPr>
              <w:t xml:space="preserve"> 2018</w:t>
            </w:r>
            <w:r w:rsidRPr="0091053D">
              <w:rPr>
                <w:szCs w:val="18"/>
                <w:lang w:val="en-US"/>
              </w:rPr>
              <w:t>: 10(5): 391-402</w:t>
            </w:r>
            <w:r>
              <w:rPr>
                <w:szCs w:val="18"/>
                <w:lang w:val="en-US"/>
              </w:rPr>
              <w:t>.</w:t>
            </w:r>
          </w:p>
        </w:tc>
      </w:tr>
      <w:tr w:rsidR="00F67915" w:rsidRPr="00CB38A8" w14:paraId="3082A4CB" w14:textId="77777777" w:rsidTr="00A361A7">
        <w:tc>
          <w:tcPr>
            <w:tcW w:w="5000" w:type="pct"/>
            <w:gridSpan w:val="3"/>
            <w:tcBorders>
              <w:top w:val="single" w:sz="4" w:space="0" w:color="auto"/>
              <w:bottom w:val="single" w:sz="4" w:space="0" w:color="auto"/>
            </w:tcBorders>
            <w:vAlign w:val="center"/>
          </w:tcPr>
          <w:p w14:paraId="26EEC184" w14:textId="77777777" w:rsidR="00F67915" w:rsidRPr="00777A0E" w:rsidRDefault="00F67915" w:rsidP="00A361A7">
            <w:pPr>
              <w:pStyle w:val="TableText"/>
              <w:rPr>
                <w:b/>
                <w:bCs w:val="0"/>
                <w:i/>
                <w:iCs/>
                <w:szCs w:val="18"/>
                <w:lang w:val="en-US"/>
              </w:rPr>
            </w:pPr>
            <w:r w:rsidRPr="00777A0E">
              <w:rPr>
                <w:b/>
                <w:bCs w:val="0"/>
              </w:rPr>
              <w:t>Acute GVHD</w:t>
            </w:r>
          </w:p>
        </w:tc>
      </w:tr>
      <w:tr w:rsidR="00F67915" w:rsidRPr="00CB38A8" w14:paraId="20B1D264" w14:textId="77777777" w:rsidTr="00A361A7">
        <w:tc>
          <w:tcPr>
            <w:tcW w:w="796" w:type="pct"/>
            <w:vMerge w:val="restart"/>
            <w:vAlign w:val="center"/>
          </w:tcPr>
          <w:p w14:paraId="1EF8D04C" w14:textId="77777777" w:rsidR="00F67915" w:rsidRPr="00CB38A8" w:rsidRDefault="00F67915" w:rsidP="00A361A7">
            <w:pPr>
              <w:pStyle w:val="TableText"/>
            </w:pPr>
            <w:r>
              <w:t>REACH2 (</w:t>
            </w:r>
            <w:r w:rsidRPr="001F7F00">
              <w:t>NCT02913261</w:t>
            </w:r>
            <w:r>
              <w:t>)</w:t>
            </w:r>
          </w:p>
        </w:tc>
        <w:tc>
          <w:tcPr>
            <w:tcW w:w="3027" w:type="pct"/>
            <w:tcBorders>
              <w:bottom w:val="nil"/>
            </w:tcBorders>
          </w:tcPr>
          <w:p w14:paraId="4A5BB133" w14:textId="77777777" w:rsidR="00F67915" w:rsidRPr="00AB6248" w:rsidRDefault="00F67915" w:rsidP="00A361A7">
            <w:pPr>
              <w:pStyle w:val="TableText"/>
              <w:rPr>
                <w:szCs w:val="18"/>
              </w:rPr>
            </w:pPr>
            <w:r w:rsidRPr="00EA4DFA">
              <w:rPr>
                <w:szCs w:val="18"/>
              </w:rPr>
              <w:t xml:space="preserve">A </w:t>
            </w:r>
            <w:r>
              <w:rPr>
                <w:szCs w:val="18"/>
              </w:rPr>
              <w:t>P</w:t>
            </w:r>
            <w:r w:rsidRPr="00EA4DFA">
              <w:rPr>
                <w:szCs w:val="18"/>
              </w:rPr>
              <w:t>hase III randomized open-label multi-center study of ruxolitinib versus best available therapy in patients with corticosteroid-refractory acute graft vs host disease after allogeneic stem cell transplantation.</w:t>
            </w:r>
          </w:p>
        </w:tc>
        <w:tc>
          <w:tcPr>
            <w:tcW w:w="1177" w:type="pct"/>
            <w:tcBorders>
              <w:bottom w:val="nil"/>
            </w:tcBorders>
          </w:tcPr>
          <w:p w14:paraId="3AA9D735" w14:textId="77777777" w:rsidR="00F67915" w:rsidRPr="00CB38A8" w:rsidRDefault="00F67915" w:rsidP="00A361A7">
            <w:pPr>
              <w:pStyle w:val="TableText"/>
            </w:pPr>
            <w:r>
              <w:t>Clinical study report, March 2020. Clinical study report amendment, August 2020.</w:t>
            </w:r>
          </w:p>
        </w:tc>
      </w:tr>
      <w:tr w:rsidR="00F67915" w:rsidRPr="00E34A35" w14:paraId="24E78E3F" w14:textId="77777777" w:rsidTr="00A361A7">
        <w:tc>
          <w:tcPr>
            <w:tcW w:w="796" w:type="pct"/>
            <w:vMerge/>
            <w:vAlign w:val="center"/>
          </w:tcPr>
          <w:p w14:paraId="60E0FA67" w14:textId="77777777" w:rsidR="00F67915" w:rsidRPr="00CB38A8" w:rsidRDefault="00F67915" w:rsidP="00A361A7">
            <w:pPr>
              <w:pStyle w:val="TableText"/>
            </w:pPr>
          </w:p>
        </w:tc>
        <w:tc>
          <w:tcPr>
            <w:tcW w:w="3027" w:type="pct"/>
            <w:tcBorders>
              <w:top w:val="nil"/>
              <w:bottom w:val="nil"/>
            </w:tcBorders>
          </w:tcPr>
          <w:p w14:paraId="31F32479" w14:textId="77777777" w:rsidR="00F67915" w:rsidRPr="00E34A35" w:rsidRDefault="00F67915" w:rsidP="00A361A7">
            <w:pPr>
              <w:pStyle w:val="TableText"/>
              <w:rPr>
                <w:szCs w:val="18"/>
              </w:rPr>
            </w:pPr>
            <w:r w:rsidRPr="0091053D">
              <w:rPr>
                <w:szCs w:val="18"/>
              </w:rPr>
              <w:t xml:space="preserve">Zeiser </w:t>
            </w:r>
            <w:r>
              <w:rPr>
                <w:szCs w:val="18"/>
              </w:rPr>
              <w:t xml:space="preserve">R, von Bubnoff N, Butler J, Mohty M et al. </w:t>
            </w:r>
            <w:r w:rsidRPr="0091053D">
              <w:rPr>
                <w:szCs w:val="18"/>
              </w:rPr>
              <w:t>Ruxolitinib for glucocorticoid-refractory acute graft-versus-host disease.</w:t>
            </w:r>
          </w:p>
        </w:tc>
        <w:tc>
          <w:tcPr>
            <w:tcW w:w="1177" w:type="pct"/>
            <w:tcBorders>
              <w:top w:val="nil"/>
              <w:bottom w:val="nil"/>
            </w:tcBorders>
          </w:tcPr>
          <w:p w14:paraId="57CB14BD" w14:textId="77777777" w:rsidR="00F67915" w:rsidRPr="00E34A35" w:rsidRDefault="00F67915" w:rsidP="00A361A7">
            <w:pPr>
              <w:pStyle w:val="TableText"/>
              <w:rPr>
                <w:szCs w:val="18"/>
              </w:rPr>
            </w:pPr>
            <w:r>
              <w:rPr>
                <w:i/>
                <w:szCs w:val="18"/>
              </w:rPr>
              <w:t>NEJM</w:t>
            </w:r>
            <w:r>
              <w:rPr>
                <w:szCs w:val="18"/>
              </w:rPr>
              <w:t xml:space="preserve"> </w:t>
            </w:r>
            <w:r w:rsidRPr="00E34A35">
              <w:rPr>
                <w:szCs w:val="18"/>
              </w:rPr>
              <w:t xml:space="preserve">2015; </w:t>
            </w:r>
            <w:r w:rsidRPr="00AC1180">
              <w:rPr>
                <w:szCs w:val="18"/>
              </w:rPr>
              <w:t>382(19): 1800-1810</w:t>
            </w:r>
            <w:r>
              <w:rPr>
                <w:szCs w:val="18"/>
              </w:rPr>
              <w:t>.</w:t>
            </w:r>
          </w:p>
        </w:tc>
      </w:tr>
      <w:tr w:rsidR="00F67915" w:rsidRPr="00AB6248" w14:paraId="76F8A4B0" w14:textId="77777777" w:rsidTr="00A361A7">
        <w:tc>
          <w:tcPr>
            <w:tcW w:w="796" w:type="pct"/>
            <w:vMerge/>
            <w:tcBorders>
              <w:bottom w:val="single" w:sz="4" w:space="0" w:color="auto"/>
            </w:tcBorders>
            <w:vAlign w:val="center"/>
          </w:tcPr>
          <w:p w14:paraId="6248DCD4" w14:textId="77777777" w:rsidR="00F67915" w:rsidRPr="00CB38A8" w:rsidRDefault="00F67915" w:rsidP="00A361A7">
            <w:pPr>
              <w:pStyle w:val="TableText"/>
            </w:pPr>
          </w:p>
        </w:tc>
        <w:tc>
          <w:tcPr>
            <w:tcW w:w="3027" w:type="pct"/>
            <w:tcBorders>
              <w:top w:val="nil"/>
              <w:bottom w:val="single" w:sz="4" w:space="0" w:color="auto"/>
            </w:tcBorders>
          </w:tcPr>
          <w:p w14:paraId="204C97F8" w14:textId="77777777" w:rsidR="00F67915" w:rsidRPr="00AB6248" w:rsidRDefault="00F67915" w:rsidP="00A361A7">
            <w:pPr>
              <w:pStyle w:val="TableText"/>
              <w:rPr>
                <w:szCs w:val="18"/>
                <w:lang w:val="en-US"/>
              </w:rPr>
            </w:pPr>
            <w:r w:rsidRPr="0091053D">
              <w:rPr>
                <w:szCs w:val="18"/>
                <w:lang w:val="en-US"/>
              </w:rPr>
              <w:t>Jagasia</w:t>
            </w:r>
            <w:r>
              <w:rPr>
                <w:szCs w:val="18"/>
                <w:lang w:val="en-US"/>
              </w:rPr>
              <w:t xml:space="preserve"> M, Zeiser R, Arbushites M, Delaite P </w:t>
            </w:r>
            <w:r w:rsidRPr="0091053D">
              <w:rPr>
                <w:szCs w:val="18"/>
                <w:lang w:val="en-US"/>
              </w:rPr>
              <w:t>et al.</w:t>
            </w:r>
            <w:r>
              <w:rPr>
                <w:szCs w:val="18"/>
                <w:lang w:val="en-US"/>
              </w:rPr>
              <w:t xml:space="preserve"> </w:t>
            </w:r>
            <w:r w:rsidRPr="0091053D">
              <w:rPr>
                <w:szCs w:val="18"/>
                <w:lang w:val="en-US"/>
              </w:rPr>
              <w:t xml:space="preserve">Ruxolitinib for the treatment of patients with steroid-refractory GVHD: an introduction to the REACH trials. </w:t>
            </w:r>
          </w:p>
        </w:tc>
        <w:tc>
          <w:tcPr>
            <w:tcW w:w="1177" w:type="pct"/>
            <w:tcBorders>
              <w:top w:val="nil"/>
              <w:bottom w:val="single" w:sz="4" w:space="0" w:color="auto"/>
            </w:tcBorders>
          </w:tcPr>
          <w:p w14:paraId="356ECE99" w14:textId="77777777" w:rsidR="00F67915" w:rsidRPr="00AB6248" w:rsidRDefault="00F67915" w:rsidP="00A361A7">
            <w:pPr>
              <w:pStyle w:val="TableText"/>
              <w:rPr>
                <w:i/>
                <w:szCs w:val="18"/>
                <w:lang w:val="en-US"/>
              </w:rPr>
            </w:pPr>
            <w:r w:rsidRPr="00AC1180">
              <w:rPr>
                <w:i/>
                <w:iCs/>
                <w:szCs w:val="18"/>
                <w:lang w:val="en-US"/>
              </w:rPr>
              <w:t>Immunotherapy</w:t>
            </w:r>
            <w:r>
              <w:rPr>
                <w:szCs w:val="18"/>
                <w:lang w:val="en-US"/>
              </w:rPr>
              <w:t xml:space="preserve"> 2018</w:t>
            </w:r>
            <w:r w:rsidRPr="0091053D">
              <w:rPr>
                <w:szCs w:val="18"/>
                <w:lang w:val="en-US"/>
              </w:rPr>
              <w:t>: 10(5): 391-402</w:t>
            </w:r>
            <w:r>
              <w:rPr>
                <w:szCs w:val="18"/>
                <w:lang w:val="en-US"/>
              </w:rPr>
              <w:t>.</w:t>
            </w:r>
          </w:p>
        </w:tc>
      </w:tr>
    </w:tbl>
    <w:p w14:paraId="3BD2DD5D" w14:textId="77777777" w:rsidR="00F67915" w:rsidRDefault="00F67915" w:rsidP="00F67915">
      <w:pPr>
        <w:pStyle w:val="TableFigureFooter"/>
      </w:pPr>
      <w:r>
        <w:t>Source: Table 2.2-2, p48 of the submission.</w:t>
      </w:r>
    </w:p>
    <w:p w14:paraId="23830224" w14:textId="77777777" w:rsidR="00F67915" w:rsidRPr="00284397" w:rsidRDefault="00F67915" w:rsidP="00F67915">
      <w:pPr>
        <w:pStyle w:val="ExecSumBodyText"/>
        <w:numPr>
          <w:ilvl w:val="1"/>
          <w:numId w:val="1"/>
        </w:numPr>
      </w:pPr>
      <w:r w:rsidRPr="00B50DB8">
        <w:t xml:space="preserve">The key features of the </w:t>
      </w:r>
      <w:r>
        <w:t>included trials</w:t>
      </w:r>
      <w:r w:rsidRPr="00B50DB8">
        <w:t xml:space="preserve"> are summarised in the table below.</w:t>
      </w:r>
    </w:p>
    <w:p w14:paraId="73F5F23F" w14:textId="7FE3DC95" w:rsidR="00F67915" w:rsidRPr="00EC5836" w:rsidRDefault="00F67915" w:rsidP="0051143F">
      <w:pPr>
        <w:pStyle w:val="TableHeading"/>
      </w:pPr>
      <w:r w:rsidRPr="00EC5836">
        <w:t xml:space="preserve">Table </w:t>
      </w:r>
      <w:fldSimple w:instr=" SEQ Table \* ARABIC " w:fldLock="1">
        <w:r w:rsidR="005A7A1C">
          <w:rPr>
            <w:noProof/>
          </w:rPr>
          <w:t>3</w:t>
        </w:r>
      </w:fldSimple>
      <w:r w:rsidRPr="00EC5836">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846"/>
        <w:gridCol w:w="442"/>
        <w:gridCol w:w="1434"/>
        <w:gridCol w:w="685"/>
        <w:gridCol w:w="2123"/>
        <w:gridCol w:w="1987"/>
        <w:gridCol w:w="1500"/>
      </w:tblGrid>
      <w:tr w:rsidR="00032F13" w:rsidRPr="00292CB5" w14:paraId="43CB4825" w14:textId="77777777" w:rsidTr="00032F13">
        <w:trPr>
          <w:cantSplit/>
          <w:tblHeader/>
        </w:trPr>
        <w:tc>
          <w:tcPr>
            <w:tcW w:w="469" w:type="pct"/>
            <w:shd w:val="clear" w:color="auto" w:fill="auto"/>
            <w:vAlign w:val="center"/>
          </w:tcPr>
          <w:p w14:paraId="3D5B4C8E" w14:textId="77777777" w:rsidR="00F67915" w:rsidRPr="00292CB5" w:rsidRDefault="00F67915" w:rsidP="00A361A7">
            <w:pPr>
              <w:pStyle w:val="Tableheadingrow"/>
              <w:rPr>
                <w:lang w:val="en-AU"/>
              </w:rPr>
            </w:pPr>
            <w:r w:rsidRPr="00292CB5">
              <w:rPr>
                <w:lang w:val="en-AU"/>
              </w:rPr>
              <w:t>Trial</w:t>
            </w:r>
          </w:p>
        </w:tc>
        <w:tc>
          <w:tcPr>
            <w:tcW w:w="245" w:type="pct"/>
            <w:shd w:val="clear" w:color="auto" w:fill="auto"/>
            <w:vAlign w:val="center"/>
          </w:tcPr>
          <w:p w14:paraId="7294AC30" w14:textId="77777777" w:rsidR="00F67915" w:rsidRPr="00292CB5" w:rsidRDefault="00F67915" w:rsidP="00A361A7">
            <w:pPr>
              <w:pStyle w:val="Tableheadingrow"/>
              <w:jc w:val="center"/>
              <w:rPr>
                <w:lang w:val="en-AU"/>
              </w:rPr>
            </w:pPr>
            <w:r w:rsidRPr="00292CB5">
              <w:rPr>
                <w:lang w:val="en-AU"/>
              </w:rPr>
              <w:t>N</w:t>
            </w:r>
          </w:p>
        </w:tc>
        <w:tc>
          <w:tcPr>
            <w:tcW w:w="795" w:type="pct"/>
            <w:shd w:val="clear" w:color="auto" w:fill="auto"/>
            <w:vAlign w:val="center"/>
          </w:tcPr>
          <w:p w14:paraId="4C9EAE04" w14:textId="77777777" w:rsidR="00F67915" w:rsidRPr="00292CB5" w:rsidRDefault="00F67915" w:rsidP="00A361A7">
            <w:pPr>
              <w:pStyle w:val="Tableheadingrow"/>
              <w:jc w:val="center"/>
              <w:rPr>
                <w:lang w:val="en-AU"/>
              </w:rPr>
            </w:pPr>
            <w:r w:rsidRPr="00292CB5">
              <w:rPr>
                <w:lang w:val="en-AU"/>
              </w:rPr>
              <w:t>Design/duration</w:t>
            </w:r>
          </w:p>
        </w:tc>
        <w:tc>
          <w:tcPr>
            <w:tcW w:w="380" w:type="pct"/>
            <w:shd w:val="clear" w:color="auto" w:fill="auto"/>
            <w:vAlign w:val="center"/>
          </w:tcPr>
          <w:p w14:paraId="7E869D9A" w14:textId="77777777" w:rsidR="00F67915" w:rsidRPr="00292CB5" w:rsidRDefault="00F67915" w:rsidP="00A361A7">
            <w:pPr>
              <w:pStyle w:val="Tableheadingrow"/>
              <w:jc w:val="center"/>
              <w:rPr>
                <w:lang w:val="en-AU"/>
              </w:rPr>
            </w:pPr>
            <w:r w:rsidRPr="00292CB5">
              <w:rPr>
                <w:lang w:val="en-AU"/>
              </w:rPr>
              <w:t>Risk of bias</w:t>
            </w:r>
          </w:p>
        </w:tc>
        <w:tc>
          <w:tcPr>
            <w:tcW w:w="1177" w:type="pct"/>
            <w:shd w:val="clear" w:color="auto" w:fill="auto"/>
            <w:vAlign w:val="center"/>
          </w:tcPr>
          <w:p w14:paraId="0D590819" w14:textId="77777777" w:rsidR="00F67915" w:rsidRPr="00292CB5" w:rsidRDefault="00F67915" w:rsidP="00A361A7">
            <w:pPr>
              <w:pStyle w:val="Tableheadingrow"/>
              <w:jc w:val="center"/>
              <w:rPr>
                <w:lang w:val="en-AU"/>
              </w:rPr>
            </w:pPr>
            <w:r w:rsidRPr="00292CB5">
              <w:rPr>
                <w:lang w:val="en-AU"/>
              </w:rPr>
              <w:t>Patient population</w:t>
            </w:r>
          </w:p>
        </w:tc>
        <w:tc>
          <w:tcPr>
            <w:tcW w:w="1102" w:type="pct"/>
            <w:shd w:val="clear" w:color="auto" w:fill="auto"/>
            <w:vAlign w:val="center"/>
          </w:tcPr>
          <w:p w14:paraId="2B9850F8" w14:textId="77777777" w:rsidR="00F67915" w:rsidRPr="00292CB5" w:rsidRDefault="00F67915" w:rsidP="00A361A7">
            <w:pPr>
              <w:pStyle w:val="Tableheadingrow"/>
              <w:jc w:val="center"/>
              <w:rPr>
                <w:lang w:val="en-AU"/>
              </w:rPr>
            </w:pPr>
            <w:r w:rsidRPr="00292CB5">
              <w:rPr>
                <w:lang w:val="en-AU"/>
              </w:rPr>
              <w:t>Outcomes</w:t>
            </w:r>
          </w:p>
        </w:tc>
        <w:tc>
          <w:tcPr>
            <w:tcW w:w="831" w:type="pct"/>
            <w:shd w:val="clear" w:color="auto" w:fill="auto"/>
            <w:vAlign w:val="center"/>
          </w:tcPr>
          <w:p w14:paraId="0D67022E" w14:textId="46D7979B" w:rsidR="00F67915" w:rsidRPr="00292CB5" w:rsidRDefault="00F67915" w:rsidP="00A361A7">
            <w:pPr>
              <w:pStyle w:val="Tableheadingrow"/>
              <w:jc w:val="center"/>
              <w:rPr>
                <w:lang w:val="en-AU"/>
              </w:rPr>
            </w:pPr>
            <w:r w:rsidRPr="00292CB5">
              <w:rPr>
                <w:lang w:val="en-AU"/>
              </w:rPr>
              <w:t>Use</w:t>
            </w:r>
            <w:r w:rsidR="007E0480">
              <w:rPr>
                <w:lang w:val="en-AU"/>
              </w:rPr>
              <w:t>d</w:t>
            </w:r>
            <w:r w:rsidRPr="00292CB5">
              <w:rPr>
                <w:lang w:val="en-AU"/>
              </w:rPr>
              <w:t xml:space="preserve"> in modelled evaluation</w:t>
            </w:r>
          </w:p>
        </w:tc>
      </w:tr>
      <w:tr w:rsidR="00F67915" w:rsidRPr="00292CB5" w14:paraId="351A1737" w14:textId="77777777" w:rsidTr="00A361A7">
        <w:trPr>
          <w:cantSplit/>
        </w:trPr>
        <w:tc>
          <w:tcPr>
            <w:tcW w:w="5000" w:type="pct"/>
            <w:gridSpan w:val="7"/>
            <w:shd w:val="clear" w:color="auto" w:fill="auto"/>
            <w:vAlign w:val="center"/>
          </w:tcPr>
          <w:p w14:paraId="689B9E70" w14:textId="77777777" w:rsidR="00F67915" w:rsidRPr="00292CB5" w:rsidRDefault="00F67915" w:rsidP="00A361A7">
            <w:pPr>
              <w:pStyle w:val="Tableheadingrow"/>
              <w:rPr>
                <w:lang w:val="en-AU"/>
              </w:rPr>
            </w:pPr>
            <w:r w:rsidRPr="00292CB5">
              <w:rPr>
                <w:lang w:val="en-AU"/>
              </w:rPr>
              <w:t>Chronic GVHD</w:t>
            </w:r>
          </w:p>
        </w:tc>
      </w:tr>
      <w:tr w:rsidR="00032F13" w:rsidRPr="00292CB5" w14:paraId="02CAE73E" w14:textId="77777777" w:rsidTr="00032F13">
        <w:trPr>
          <w:cantSplit/>
        </w:trPr>
        <w:tc>
          <w:tcPr>
            <w:tcW w:w="469" w:type="pct"/>
            <w:shd w:val="clear" w:color="auto" w:fill="auto"/>
            <w:vAlign w:val="center"/>
          </w:tcPr>
          <w:p w14:paraId="44F95B5E" w14:textId="77777777" w:rsidR="00C35A23" w:rsidRPr="00292CB5" w:rsidRDefault="00C35A23" w:rsidP="00C35A23">
            <w:pPr>
              <w:pStyle w:val="TableText"/>
            </w:pPr>
            <w:r w:rsidRPr="00292CB5">
              <w:t>REACH3</w:t>
            </w:r>
          </w:p>
        </w:tc>
        <w:tc>
          <w:tcPr>
            <w:tcW w:w="245" w:type="pct"/>
            <w:shd w:val="clear" w:color="auto" w:fill="auto"/>
            <w:vAlign w:val="center"/>
          </w:tcPr>
          <w:p w14:paraId="2D32FC71" w14:textId="77777777" w:rsidR="00C35A23" w:rsidRPr="00292CB5" w:rsidRDefault="00C35A23" w:rsidP="00C35A23">
            <w:pPr>
              <w:pStyle w:val="TableText"/>
              <w:jc w:val="center"/>
            </w:pPr>
            <w:r w:rsidRPr="00292CB5">
              <w:t>329</w:t>
            </w:r>
          </w:p>
        </w:tc>
        <w:tc>
          <w:tcPr>
            <w:tcW w:w="795" w:type="pct"/>
            <w:shd w:val="clear" w:color="auto" w:fill="auto"/>
            <w:vAlign w:val="center"/>
          </w:tcPr>
          <w:p w14:paraId="180B45FB" w14:textId="520F3F34" w:rsidR="00C35A23" w:rsidRDefault="00C35A23" w:rsidP="00C35A23">
            <w:pPr>
              <w:pStyle w:val="TableText"/>
              <w:jc w:val="center"/>
            </w:pPr>
            <w:r w:rsidRPr="00292CB5">
              <w:t>Phase 3, multicentre, randomi</w:t>
            </w:r>
            <w:r>
              <w:t>sed, open-label trial</w:t>
            </w:r>
          </w:p>
          <w:p w14:paraId="03887A3D" w14:textId="2C4CA77C" w:rsidR="00C35A23" w:rsidRPr="00F95ED0" w:rsidRDefault="00C35A23" w:rsidP="00C35A23">
            <w:pPr>
              <w:pStyle w:val="TableText"/>
              <w:jc w:val="center"/>
              <w:rPr>
                <w:vertAlign w:val="superscript"/>
              </w:rPr>
            </w:pPr>
            <w:r>
              <w:t>(median duration of follow-up 42.6 weeks for ruxolitinib; 25.2 weeks for BAT)</w:t>
            </w:r>
            <w:r>
              <w:rPr>
                <w:vertAlign w:val="superscript"/>
              </w:rPr>
              <w:t>1</w:t>
            </w:r>
          </w:p>
        </w:tc>
        <w:tc>
          <w:tcPr>
            <w:tcW w:w="380" w:type="pct"/>
            <w:shd w:val="clear" w:color="auto" w:fill="auto"/>
            <w:vAlign w:val="center"/>
          </w:tcPr>
          <w:p w14:paraId="25C637A6" w14:textId="4B8D6662" w:rsidR="00C35A23" w:rsidRPr="00A6154D" w:rsidRDefault="00BB532A" w:rsidP="00C35A23">
            <w:pPr>
              <w:pStyle w:val="TableText"/>
              <w:jc w:val="center"/>
              <w:rPr>
                <w:iCs/>
              </w:rPr>
            </w:pPr>
            <w:r>
              <w:rPr>
                <w:iCs/>
              </w:rPr>
              <w:t xml:space="preserve"> </w:t>
            </w:r>
            <w:r w:rsidRPr="00A6154D">
              <w:rPr>
                <w:iCs/>
              </w:rPr>
              <w:t>Low</w:t>
            </w:r>
          </w:p>
        </w:tc>
        <w:tc>
          <w:tcPr>
            <w:tcW w:w="1177" w:type="pct"/>
            <w:shd w:val="clear" w:color="auto" w:fill="auto"/>
            <w:vAlign w:val="center"/>
          </w:tcPr>
          <w:p w14:paraId="52AE7CE1" w14:textId="04453F23" w:rsidR="00C35A23" w:rsidRDefault="00C35A23" w:rsidP="00A2582A">
            <w:pPr>
              <w:pStyle w:val="TableText"/>
              <w:numPr>
                <w:ilvl w:val="1"/>
                <w:numId w:val="13"/>
              </w:numPr>
              <w:ind w:left="113" w:hanging="113"/>
            </w:pPr>
            <w:r>
              <w:t>A</w:t>
            </w:r>
            <w:r w:rsidRPr="002B5650">
              <w:t xml:space="preserve">ge ≥12 years </w:t>
            </w:r>
          </w:p>
          <w:p w14:paraId="4051ABB4" w14:textId="2C407D2C" w:rsidR="00C35A23" w:rsidRDefault="00C35A23" w:rsidP="00A2582A">
            <w:pPr>
              <w:pStyle w:val="TableText"/>
              <w:numPr>
                <w:ilvl w:val="1"/>
                <w:numId w:val="13"/>
              </w:numPr>
              <w:ind w:left="113" w:hanging="113"/>
            </w:pPr>
            <w:r>
              <w:t>P</w:t>
            </w:r>
            <w:r w:rsidRPr="002B5650">
              <w:t>revious a</w:t>
            </w:r>
            <w:r>
              <w:t xml:space="preserve">lloSCT with </w:t>
            </w:r>
            <w:r w:rsidRPr="002B5650">
              <w:t>evidence of myeloid and platelet engraftment</w:t>
            </w:r>
          </w:p>
          <w:p w14:paraId="1834EE69" w14:textId="19DB1D80" w:rsidR="00C35A23" w:rsidRDefault="00C35A23" w:rsidP="00A2582A">
            <w:pPr>
              <w:pStyle w:val="TableText"/>
              <w:numPr>
                <w:ilvl w:val="1"/>
                <w:numId w:val="13"/>
              </w:numPr>
              <w:ind w:left="113" w:hanging="113"/>
            </w:pPr>
            <w:r>
              <w:t>M</w:t>
            </w:r>
            <w:r w:rsidRPr="002B5650">
              <w:t>oderate to severe cGVHD</w:t>
            </w:r>
          </w:p>
          <w:p w14:paraId="41AAF9B4" w14:textId="65F8E67B" w:rsidR="00C35A23" w:rsidRDefault="00C35A23" w:rsidP="00A2582A">
            <w:pPr>
              <w:pStyle w:val="TableText"/>
              <w:numPr>
                <w:ilvl w:val="1"/>
                <w:numId w:val="13"/>
              </w:numPr>
              <w:ind w:left="113" w:hanging="113"/>
            </w:pPr>
            <w:r>
              <w:t>C</w:t>
            </w:r>
            <w:r w:rsidRPr="002B5650">
              <w:t>onfirmed diagnosis of corticosteroid refractory/</w:t>
            </w:r>
            <w:r>
              <w:t xml:space="preserve"> </w:t>
            </w:r>
            <w:r w:rsidRPr="002B5650">
              <w:t>dependent cGVHD;</w:t>
            </w:r>
          </w:p>
          <w:p w14:paraId="573A33C6" w14:textId="3609DD8C" w:rsidR="00C35A23" w:rsidRPr="00292CB5" w:rsidRDefault="00C35A23" w:rsidP="00A2582A">
            <w:pPr>
              <w:pStyle w:val="TableText"/>
              <w:numPr>
                <w:ilvl w:val="1"/>
                <w:numId w:val="13"/>
              </w:numPr>
              <w:ind w:left="113" w:hanging="113"/>
            </w:pPr>
            <w:r w:rsidRPr="002B5650">
              <w:t>ECOG performance status 0-2</w:t>
            </w:r>
            <w:r>
              <w:t xml:space="preserve"> (or equivalent)</w:t>
            </w:r>
          </w:p>
        </w:tc>
        <w:tc>
          <w:tcPr>
            <w:tcW w:w="1102" w:type="pct"/>
            <w:shd w:val="clear" w:color="auto" w:fill="auto"/>
          </w:tcPr>
          <w:p w14:paraId="6EE11469" w14:textId="2911CB17" w:rsidR="00C35A23" w:rsidRDefault="00C35A23" w:rsidP="00A2582A">
            <w:pPr>
              <w:pStyle w:val="TableText"/>
              <w:numPr>
                <w:ilvl w:val="1"/>
                <w:numId w:val="13"/>
              </w:numPr>
              <w:ind w:left="113" w:hanging="113"/>
            </w:pPr>
            <w:r>
              <w:t>ORR at Week 24 (primary)</w:t>
            </w:r>
          </w:p>
          <w:p w14:paraId="4BD8E60C" w14:textId="77777777" w:rsidR="00C35A23" w:rsidRDefault="00C35A23" w:rsidP="00A2582A">
            <w:pPr>
              <w:pStyle w:val="TableText"/>
              <w:numPr>
                <w:ilvl w:val="1"/>
                <w:numId w:val="13"/>
              </w:numPr>
              <w:ind w:left="113" w:hanging="113"/>
            </w:pPr>
            <w:r>
              <w:t>Failure-free survival</w:t>
            </w:r>
          </w:p>
          <w:p w14:paraId="5AFE3565" w14:textId="77777777" w:rsidR="00C35A23" w:rsidRDefault="00C35A23" w:rsidP="00A2582A">
            <w:pPr>
              <w:pStyle w:val="TableText"/>
              <w:numPr>
                <w:ilvl w:val="1"/>
                <w:numId w:val="13"/>
              </w:numPr>
              <w:ind w:left="113" w:hanging="113"/>
            </w:pPr>
            <w:r>
              <w:t>Change in Lee symptom score</w:t>
            </w:r>
          </w:p>
          <w:p w14:paraId="65535821" w14:textId="77777777" w:rsidR="00C35A23" w:rsidRDefault="00C35A23" w:rsidP="00A2582A">
            <w:pPr>
              <w:pStyle w:val="TableText"/>
              <w:numPr>
                <w:ilvl w:val="1"/>
                <w:numId w:val="13"/>
              </w:numPr>
              <w:ind w:left="113" w:hanging="113"/>
            </w:pPr>
            <w:r>
              <w:t>Duration of response</w:t>
            </w:r>
          </w:p>
          <w:p w14:paraId="59BC3D1A" w14:textId="77777777" w:rsidR="00C35A23" w:rsidRDefault="00C35A23" w:rsidP="00A2582A">
            <w:pPr>
              <w:pStyle w:val="TableText"/>
              <w:numPr>
                <w:ilvl w:val="1"/>
                <w:numId w:val="13"/>
              </w:numPr>
              <w:ind w:left="113" w:hanging="113"/>
            </w:pPr>
            <w:r>
              <w:t>Overall survival</w:t>
            </w:r>
          </w:p>
          <w:p w14:paraId="5650358B" w14:textId="77777777" w:rsidR="002110BE" w:rsidRDefault="002110BE" w:rsidP="00A2582A">
            <w:pPr>
              <w:pStyle w:val="TableText"/>
              <w:numPr>
                <w:ilvl w:val="1"/>
                <w:numId w:val="13"/>
              </w:numPr>
              <w:ind w:left="113" w:hanging="113"/>
            </w:pPr>
            <w:r>
              <w:t>Adverse events</w:t>
            </w:r>
          </w:p>
          <w:p w14:paraId="4968CE2B" w14:textId="4CB1F87D" w:rsidR="002110BE" w:rsidRPr="00292CB5" w:rsidRDefault="002110BE" w:rsidP="00A2582A">
            <w:pPr>
              <w:pStyle w:val="TableText"/>
              <w:numPr>
                <w:ilvl w:val="1"/>
                <w:numId w:val="13"/>
              </w:numPr>
              <w:ind w:left="113" w:hanging="113"/>
            </w:pPr>
            <w:r>
              <w:t>H</w:t>
            </w:r>
            <w:r w:rsidRPr="002110BE">
              <w:t>ealth-related quality of life (FACT-BMT, EQ-5D-5L, PGIC, PGIS).</w:t>
            </w:r>
          </w:p>
        </w:tc>
        <w:tc>
          <w:tcPr>
            <w:tcW w:w="831" w:type="pct"/>
            <w:shd w:val="clear" w:color="auto" w:fill="auto"/>
          </w:tcPr>
          <w:p w14:paraId="23B73EF3" w14:textId="1A0D744A" w:rsidR="00C35A23" w:rsidRDefault="00C35A23" w:rsidP="00A2582A">
            <w:pPr>
              <w:pStyle w:val="TableText"/>
              <w:numPr>
                <w:ilvl w:val="1"/>
                <w:numId w:val="13"/>
              </w:numPr>
              <w:ind w:left="113" w:hanging="113"/>
            </w:pPr>
            <w:r>
              <w:t xml:space="preserve">ORR at </w:t>
            </w:r>
            <w:r w:rsidR="002110BE">
              <w:t>Week 24</w:t>
            </w:r>
          </w:p>
          <w:p w14:paraId="18BA30E5" w14:textId="1766AA15" w:rsidR="00411DC1" w:rsidRDefault="00411DC1" w:rsidP="00A2582A">
            <w:pPr>
              <w:pStyle w:val="TableText"/>
              <w:numPr>
                <w:ilvl w:val="1"/>
                <w:numId w:val="13"/>
              </w:numPr>
              <w:ind w:left="113" w:hanging="113"/>
            </w:pPr>
            <w:r>
              <w:t>Duration of response</w:t>
            </w:r>
          </w:p>
          <w:p w14:paraId="47F6A88C" w14:textId="4921443F" w:rsidR="00C35A23" w:rsidRDefault="00C35A23" w:rsidP="00A2582A">
            <w:pPr>
              <w:pStyle w:val="TableText"/>
              <w:numPr>
                <w:ilvl w:val="1"/>
                <w:numId w:val="13"/>
              </w:numPr>
              <w:ind w:left="113" w:hanging="113"/>
            </w:pPr>
            <w:r>
              <w:t>Overall survival</w:t>
            </w:r>
            <w:r w:rsidR="00411DC1">
              <w:t xml:space="preserve"> </w:t>
            </w:r>
            <w:r w:rsidR="00620790">
              <w:t>(</w:t>
            </w:r>
            <w:r w:rsidR="00411DC1">
              <w:t>by response status</w:t>
            </w:r>
            <w:r w:rsidR="00620790">
              <w:t>)</w:t>
            </w:r>
          </w:p>
          <w:p w14:paraId="70A37480" w14:textId="28058524" w:rsidR="00411DC1" w:rsidRDefault="00411DC1" w:rsidP="00A2582A">
            <w:pPr>
              <w:pStyle w:val="TableText"/>
              <w:numPr>
                <w:ilvl w:val="1"/>
                <w:numId w:val="13"/>
              </w:numPr>
              <w:ind w:left="113" w:hanging="113"/>
            </w:pPr>
            <w:r>
              <w:t>Time to treatment discontinuation</w:t>
            </w:r>
          </w:p>
          <w:p w14:paraId="4AC6134F" w14:textId="3B2AA59F" w:rsidR="002110BE" w:rsidRDefault="002110BE" w:rsidP="00A2582A">
            <w:pPr>
              <w:pStyle w:val="TableText"/>
              <w:numPr>
                <w:ilvl w:val="1"/>
                <w:numId w:val="13"/>
              </w:numPr>
              <w:ind w:left="113" w:hanging="113"/>
            </w:pPr>
            <w:r>
              <w:t>Adverse events</w:t>
            </w:r>
          </w:p>
          <w:p w14:paraId="54BA1BD7" w14:textId="6296B5B7" w:rsidR="00C35A23" w:rsidRPr="00292CB5" w:rsidRDefault="00620790" w:rsidP="00A2582A">
            <w:pPr>
              <w:pStyle w:val="TableText"/>
              <w:numPr>
                <w:ilvl w:val="1"/>
                <w:numId w:val="13"/>
              </w:numPr>
              <w:ind w:left="113" w:hanging="113"/>
            </w:pPr>
            <w:r>
              <w:t>EQ-5D-5L</w:t>
            </w:r>
          </w:p>
        </w:tc>
      </w:tr>
      <w:tr w:rsidR="00C35A23" w:rsidRPr="00292CB5" w14:paraId="0CDA93B4" w14:textId="77777777" w:rsidTr="00A361A7">
        <w:trPr>
          <w:cantSplit/>
        </w:trPr>
        <w:tc>
          <w:tcPr>
            <w:tcW w:w="5000" w:type="pct"/>
            <w:gridSpan w:val="7"/>
            <w:shd w:val="clear" w:color="auto" w:fill="auto"/>
            <w:vAlign w:val="center"/>
          </w:tcPr>
          <w:p w14:paraId="3D15EAB9" w14:textId="77777777" w:rsidR="00C35A23" w:rsidRPr="00292CB5" w:rsidRDefault="00C35A23" w:rsidP="00C35A23">
            <w:pPr>
              <w:pStyle w:val="TableText"/>
              <w:rPr>
                <w:b/>
                <w:bCs w:val="0"/>
              </w:rPr>
            </w:pPr>
            <w:r w:rsidRPr="00292CB5">
              <w:rPr>
                <w:b/>
                <w:bCs w:val="0"/>
              </w:rPr>
              <w:t>Acute GVHD</w:t>
            </w:r>
          </w:p>
        </w:tc>
      </w:tr>
      <w:tr w:rsidR="00032F13" w:rsidRPr="00292CB5" w14:paraId="21D98B8E" w14:textId="77777777" w:rsidTr="00032F13">
        <w:trPr>
          <w:cantSplit/>
        </w:trPr>
        <w:tc>
          <w:tcPr>
            <w:tcW w:w="469" w:type="pct"/>
            <w:shd w:val="clear" w:color="auto" w:fill="auto"/>
            <w:vAlign w:val="center"/>
          </w:tcPr>
          <w:p w14:paraId="3861185D" w14:textId="77777777" w:rsidR="00C35A23" w:rsidRPr="00292CB5" w:rsidRDefault="00C35A23" w:rsidP="00C35A23">
            <w:pPr>
              <w:pStyle w:val="TableText"/>
            </w:pPr>
            <w:r w:rsidRPr="00292CB5">
              <w:t>REACH2</w:t>
            </w:r>
          </w:p>
        </w:tc>
        <w:tc>
          <w:tcPr>
            <w:tcW w:w="245" w:type="pct"/>
            <w:shd w:val="clear" w:color="auto" w:fill="auto"/>
            <w:vAlign w:val="center"/>
          </w:tcPr>
          <w:p w14:paraId="7FF0758F" w14:textId="77777777" w:rsidR="00C35A23" w:rsidRPr="00292CB5" w:rsidRDefault="00C35A23" w:rsidP="00C35A23">
            <w:pPr>
              <w:pStyle w:val="TableText"/>
              <w:jc w:val="center"/>
            </w:pPr>
            <w:r w:rsidRPr="00292CB5">
              <w:t>309</w:t>
            </w:r>
          </w:p>
        </w:tc>
        <w:tc>
          <w:tcPr>
            <w:tcW w:w="795" w:type="pct"/>
            <w:shd w:val="clear" w:color="auto" w:fill="auto"/>
            <w:vAlign w:val="center"/>
          </w:tcPr>
          <w:p w14:paraId="46DADD9E" w14:textId="3C9156AD" w:rsidR="00C35A23" w:rsidRDefault="00C35A23" w:rsidP="00C35A23">
            <w:pPr>
              <w:pStyle w:val="TableText"/>
              <w:jc w:val="center"/>
            </w:pPr>
            <w:r w:rsidRPr="00292CB5">
              <w:t>Phase 3, multicentre, randomi</w:t>
            </w:r>
            <w:r>
              <w:t>sed, open-label trial</w:t>
            </w:r>
          </w:p>
          <w:p w14:paraId="5574DB2D" w14:textId="72417953" w:rsidR="00C35A23" w:rsidRPr="00B53E1B" w:rsidRDefault="00C35A23" w:rsidP="00C35A23">
            <w:pPr>
              <w:pStyle w:val="TableText"/>
              <w:jc w:val="center"/>
              <w:rPr>
                <w:vertAlign w:val="superscript"/>
              </w:rPr>
            </w:pPr>
            <w:r>
              <w:t>(median duration of follow-up 7.34 months for ruxolitinib; 3.81 months for BAT)</w:t>
            </w:r>
            <w:r>
              <w:rPr>
                <w:vertAlign w:val="superscript"/>
              </w:rPr>
              <w:t>2</w:t>
            </w:r>
          </w:p>
        </w:tc>
        <w:tc>
          <w:tcPr>
            <w:tcW w:w="380" w:type="pct"/>
            <w:shd w:val="clear" w:color="auto" w:fill="auto"/>
            <w:vAlign w:val="center"/>
          </w:tcPr>
          <w:p w14:paraId="7F0932F2" w14:textId="0A9D9EB6" w:rsidR="00C35A23" w:rsidRPr="00A6154D" w:rsidRDefault="00BB532A" w:rsidP="00C35A23">
            <w:pPr>
              <w:pStyle w:val="TableText"/>
              <w:jc w:val="center"/>
              <w:rPr>
                <w:iCs/>
              </w:rPr>
            </w:pPr>
            <w:r>
              <w:rPr>
                <w:iCs/>
              </w:rPr>
              <w:t xml:space="preserve"> </w:t>
            </w:r>
            <w:r w:rsidRPr="00A6154D">
              <w:rPr>
                <w:iCs/>
              </w:rPr>
              <w:t>Low</w:t>
            </w:r>
          </w:p>
        </w:tc>
        <w:tc>
          <w:tcPr>
            <w:tcW w:w="1177" w:type="pct"/>
            <w:shd w:val="clear" w:color="auto" w:fill="auto"/>
          </w:tcPr>
          <w:p w14:paraId="11380628" w14:textId="77777777" w:rsidR="00C35A23" w:rsidRDefault="00C35A23" w:rsidP="00A2582A">
            <w:pPr>
              <w:pStyle w:val="TableText"/>
              <w:numPr>
                <w:ilvl w:val="1"/>
                <w:numId w:val="13"/>
              </w:numPr>
              <w:ind w:left="113" w:hanging="113"/>
            </w:pPr>
            <w:r>
              <w:t>A</w:t>
            </w:r>
            <w:r w:rsidRPr="002B5650">
              <w:t>ge ≥12 years</w:t>
            </w:r>
          </w:p>
          <w:p w14:paraId="1EF479CF" w14:textId="31EDF543" w:rsidR="00C35A23" w:rsidRDefault="00C35A23" w:rsidP="00A2582A">
            <w:pPr>
              <w:pStyle w:val="TableText"/>
              <w:numPr>
                <w:ilvl w:val="1"/>
                <w:numId w:val="13"/>
              </w:numPr>
              <w:ind w:left="113" w:hanging="113"/>
            </w:pPr>
            <w:r>
              <w:t>P</w:t>
            </w:r>
            <w:r w:rsidRPr="002B5650">
              <w:t>revious a</w:t>
            </w:r>
            <w:r>
              <w:t xml:space="preserve">lloSCT with </w:t>
            </w:r>
            <w:r w:rsidRPr="002B5650">
              <w:t>evidence of myeloid and platelet engraftment</w:t>
            </w:r>
          </w:p>
          <w:p w14:paraId="23F1B279" w14:textId="10E6E8EE" w:rsidR="00C35A23" w:rsidRDefault="00C35A23" w:rsidP="00A2582A">
            <w:pPr>
              <w:pStyle w:val="TableText"/>
              <w:numPr>
                <w:ilvl w:val="1"/>
                <w:numId w:val="13"/>
              </w:numPr>
              <w:ind w:left="113" w:hanging="113"/>
            </w:pPr>
            <w:r>
              <w:t>Grade II to IV a</w:t>
            </w:r>
            <w:r w:rsidRPr="002B5650">
              <w:t>GVHD</w:t>
            </w:r>
          </w:p>
          <w:p w14:paraId="0A588F3F" w14:textId="7F642285" w:rsidR="00C35A23" w:rsidRPr="00292CB5" w:rsidRDefault="00032F13" w:rsidP="00A2582A">
            <w:pPr>
              <w:pStyle w:val="TableText"/>
              <w:numPr>
                <w:ilvl w:val="1"/>
                <w:numId w:val="13"/>
              </w:numPr>
              <w:ind w:left="113" w:hanging="113"/>
            </w:pPr>
            <w:r>
              <w:t>C</w:t>
            </w:r>
            <w:r w:rsidR="00C35A23" w:rsidRPr="002B5650">
              <w:t>onfirmed diagnosis of corticosteroid refractory/</w:t>
            </w:r>
            <w:r w:rsidR="00C35A23">
              <w:t xml:space="preserve"> </w:t>
            </w:r>
            <w:r w:rsidR="00C35A23" w:rsidRPr="002B5650">
              <w:t xml:space="preserve">dependent </w:t>
            </w:r>
            <w:r w:rsidR="00C35A23">
              <w:t>a</w:t>
            </w:r>
            <w:r w:rsidR="00C35A23" w:rsidRPr="002B5650">
              <w:t>GVHD</w:t>
            </w:r>
            <w:r w:rsidR="00C35A23">
              <w:t>.</w:t>
            </w:r>
          </w:p>
        </w:tc>
        <w:tc>
          <w:tcPr>
            <w:tcW w:w="1102" w:type="pct"/>
            <w:shd w:val="clear" w:color="auto" w:fill="auto"/>
          </w:tcPr>
          <w:p w14:paraId="42D9EA19" w14:textId="03E2D2FA" w:rsidR="00C35A23" w:rsidRDefault="00C35A23" w:rsidP="00A2582A">
            <w:pPr>
              <w:pStyle w:val="TableText"/>
              <w:numPr>
                <w:ilvl w:val="1"/>
                <w:numId w:val="13"/>
              </w:numPr>
              <w:ind w:left="113" w:hanging="113"/>
            </w:pPr>
            <w:r>
              <w:t>ORR at Day 28 (primary)</w:t>
            </w:r>
          </w:p>
          <w:p w14:paraId="3CF6A76F" w14:textId="75CC50A3" w:rsidR="00C35A23" w:rsidRDefault="002110BE" w:rsidP="00A2582A">
            <w:pPr>
              <w:pStyle w:val="TableText"/>
              <w:numPr>
                <w:ilvl w:val="1"/>
                <w:numId w:val="13"/>
              </w:numPr>
              <w:ind w:left="113" w:hanging="113"/>
            </w:pPr>
            <w:r>
              <w:t>Durable ORR at Day 56</w:t>
            </w:r>
          </w:p>
          <w:p w14:paraId="3A3E83B6" w14:textId="442E73FB" w:rsidR="006D0697" w:rsidRDefault="006D0697" w:rsidP="00A2582A">
            <w:pPr>
              <w:pStyle w:val="TableText"/>
              <w:numPr>
                <w:ilvl w:val="1"/>
                <w:numId w:val="13"/>
              </w:numPr>
              <w:ind w:left="113" w:hanging="113"/>
            </w:pPr>
            <w:r>
              <w:t>Failure free survival</w:t>
            </w:r>
          </w:p>
          <w:p w14:paraId="6E012086" w14:textId="562CF6C2" w:rsidR="002110BE" w:rsidRDefault="002110BE" w:rsidP="00A2582A">
            <w:pPr>
              <w:pStyle w:val="TableText"/>
              <w:numPr>
                <w:ilvl w:val="1"/>
                <w:numId w:val="13"/>
              </w:numPr>
              <w:ind w:left="113" w:hanging="113"/>
            </w:pPr>
            <w:r>
              <w:t>Duration of response</w:t>
            </w:r>
          </w:p>
          <w:p w14:paraId="16034885" w14:textId="305DF32B" w:rsidR="006D0697" w:rsidRDefault="006D0697" w:rsidP="00A2582A">
            <w:pPr>
              <w:pStyle w:val="TableText"/>
              <w:numPr>
                <w:ilvl w:val="1"/>
                <w:numId w:val="13"/>
              </w:numPr>
              <w:ind w:left="113" w:hanging="113"/>
            </w:pPr>
            <w:r>
              <w:t>Overall survival</w:t>
            </w:r>
          </w:p>
          <w:p w14:paraId="22E8768D" w14:textId="172A8B41" w:rsidR="002110BE" w:rsidRDefault="006D0697" w:rsidP="00A2582A">
            <w:pPr>
              <w:pStyle w:val="TableText"/>
              <w:numPr>
                <w:ilvl w:val="1"/>
                <w:numId w:val="13"/>
              </w:numPr>
              <w:ind w:left="113" w:hanging="113"/>
            </w:pPr>
            <w:r>
              <w:t>Adverse events</w:t>
            </w:r>
          </w:p>
          <w:p w14:paraId="04863C0C" w14:textId="77777777" w:rsidR="00C35A23" w:rsidRDefault="00C35A23" w:rsidP="00A2582A">
            <w:pPr>
              <w:pStyle w:val="TableText"/>
              <w:numPr>
                <w:ilvl w:val="1"/>
                <w:numId w:val="13"/>
              </w:numPr>
              <w:ind w:left="113" w:hanging="113"/>
            </w:pPr>
            <w:r>
              <w:t>Duration of response</w:t>
            </w:r>
          </w:p>
          <w:p w14:paraId="027C1BB6" w14:textId="6593C3A9" w:rsidR="006D0697" w:rsidRPr="00386AE7" w:rsidRDefault="006D0697" w:rsidP="00A2582A">
            <w:pPr>
              <w:pStyle w:val="TableText"/>
              <w:numPr>
                <w:ilvl w:val="1"/>
                <w:numId w:val="13"/>
              </w:numPr>
              <w:ind w:left="113" w:hanging="113"/>
            </w:pPr>
            <w:r>
              <w:t>H</w:t>
            </w:r>
            <w:r w:rsidRPr="002110BE">
              <w:t>ealth-related quality of life (FACT-BMT, EQ-5D-5L</w:t>
            </w:r>
            <w:r>
              <w:t>)</w:t>
            </w:r>
          </w:p>
        </w:tc>
        <w:tc>
          <w:tcPr>
            <w:tcW w:w="831" w:type="pct"/>
            <w:shd w:val="clear" w:color="auto" w:fill="auto"/>
          </w:tcPr>
          <w:p w14:paraId="2527CE51" w14:textId="77777777" w:rsidR="00C35A23" w:rsidRDefault="00C35A23" w:rsidP="00A2582A">
            <w:pPr>
              <w:pStyle w:val="TableText"/>
              <w:numPr>
                <w:ilvl w:val="1"/>
                <w:numId w:val="13"/>
              </w:numPr>
              <w:ind w:left="113" w:hanging="113"/>
            </w:pPr>
            <w:r>
              <w:t>ORR at Day 28</w:t>
            </w:r>
          </w:p>
          <w:p w14:paraId="0322B286" w14:textId="77777777" w:rsidR="002110BE" w:rsidRDefault="002110BE" w:rsidP="00A2582A">
            <w:pPr>
              <w:pStyle w:val="TableText"/>
              <w:numPr>
                <w:ilvl w:val="1"/>
                <w:numId w:val="13"/>
              </w:numPr>
              <w:ind w:left="113" w:hanging="113"/>
            </w:pPr>
            <w:r>
              <w:t>Duration of response</w:t>
            </w:r>
          </w:p>
          <w:p w14:paraId="652781E3" w14:textId="77777777" w:rsidR="002110BE" w:rsidRDefault="002110BE" w:rsidP="00A2582A">
            <w:pPr>
              <w:pStyle w:val="TableText"/>
              <w:numPr>
                <w:ilvl w:val="1"/>
                <w:numId w:val="13"/>
              </w:numPr>
              <w:ind w:left="113" w:hanging="113"/>
            </w:pPr>
            <w:r>
              <w:t>Overall survival (by response status)</w:t>
            </w:r>
          </w:p>
          <w:p w14:paraId="37AEDF0C" w14:textId="77777777" w:rsidR="002110BE" w:rsidRDefault="002110BE" w:rsidP="00A2582A">
            <w:pPr>
              <w:pStyle w:val="TableText"/>
              <w:numPr>
                <w:ilvl w:val="1"/>
                <w:numId w:val="13"/>
              </w:numPr>
              <w:ind w:left="113" w:hanging="113"/>
            </w:pPr>
            <w:r>
              <w:t>Time to treatment discontinuation</w:t>
            </w:r>
          </w:p>
          <w:p w14:paraId="4AAFAA52" w14:textId="77777777" w:rsidR="002110BE" w:rsidRDefault="002110BE" w:rsidP="00A2582A">
            <w:pPr>
              <w:pStyle w:val="TableText"/>
              <w:numPr>
                <w:ilvl w:val="1"/>
                <w:numId w:val="13"/>
              </w:numPr>
              <w:ind w:left="113" w:hanging="113"/>
            </w:pPr>
            <w:r>
              <w:t>Adverse events</w:t>
            </w:r>
          </w:p>
          <w:p w14:paraId="6E3FD4F4" w14:textId="5025F942" w:rsidR="002110BE" w:rsidRPr="00292CB5" w:rsidRDefault="002110BE" w:rsidP="00A2582A">
            <w:pPr>
              <w:pStyle w:val="TableText"/>
              <w:numPr>
                <w:ilvl w:val="1"/>
                <w:numId w:val="13"/>
              </w:numPr>
              <w:ind w:left="113" w:hanging="113"/>
            </w:pPr>
            <w:r>
              <w:t>EQ-5D-5L</w:t>
            </w:r>
          </w:p>
        </w:tc>
      </w:tr>
    </w:tbl>
    <w:p w14:paraId="31CB9B2E" w14:textId="77777777" w:rsidR="00F67915" w:rsidRDefault="00F67915" w:rsidP="00F67915">
      <w:pPr>
        <w:pStyle w:val="TableFigureFooter"/>
      </w:pPr>
      <w:r>
        <w:t>Source: Table 2.3-1, p51 and Table 2(a).2-1, p124 of the submission.</w:t>
      </w:r>
    </w:p>
    <w:p w14:paraId="73EDD5FB" w14:textId="1A07616B" w:rsidR="00F926D3" w:rsidRDefault="00F67915" w:rsidP="00F926D3">
      <w:pPr>
        <w:pStyle w:val="TableFigureFooter"/>
      </w:pPr>
      <w:r>
        <w:t xml:space="preserve">Abbreviations: aGVHD, acute </w:t>
      </w:r>
      <w:r w:rsidR="005553CE">
        <w:t>graft-versus-host</w:t>
      </w:r>
      <w:r>
        <w:t xml:space="preserve"> disease; alloSCT, allogeneic stem cell transplant; BAT, best available therapy; cGVHD, chronic </w:t>
      </w:r>
      <w:r w:rsidR="005553CE">
        <w:t>graft-versus-host</w:t>
      </w:r>
      <w:r>
        <w:t xml:space="preserve"> disease; ECOG, </w:t>
      </w:r>
      <w:r w:rsidRPr="00D03762">
        <w:t>Eastern Cooperative Oncology Group</w:t>
      </w:r>
      <w:r w:rsidR="006D0697">
        <w:t xml:space="preserve">; </w:t>
      </w:r>
      <w:r w:rsidR="006D0697" w:rsidRPr="006D0697">
        <w:t>EQ-5D-5L, EuroQol 5-Dimension 5-Level; FACT-BMT, Functional Assessment of Cancer Therapy - Bone Marrow Transplantation</w:t>
      </w:r>
      <w:r w:rsidR="006D0697">
        <w:t>; ORR, overall response rate</w:t>
      </w:r>
      <w:r w:rsidR="00032F13">
        <w:t xml:space="preserve">; </w:t>
      </w:r>
      <w:r w:rsidR="00032F13" w:rsidRPr="00032F13">
        <w:t>PGIC, Patients' Global Impression of Change; PGIS, Patient Global Impression of Severity</w:t>
      </w:r>
      <w:r w:rsidR="00032F13">
        <w:t>.</w:t>
      </w:r>
    </w:p>
    <w:p w14:paraId="10DDF806" w14:textId="77777777" w:rsidR="00F926D3" w:rsidRDefault="00F926D3" w:rsidP="00F926D3">
      <w:pPr>
        <w:pStyle w:val="TableFigureFooter"/>
      </w:pPr>
      <w:r>
        <w:rPr>
          <w:vertAlign w:val="superscript"/>
        </w:rPr>
        <w:t>1</w:t>
      </w:r>
      <w:r>
        <w:t xml:space="preserve"> </w:t>
      </w:r>
      <w:r w:rsidR="00B53E1B">
        <w:t>Median duration of follow-up at primary analysis.</w:t>
      </w:r>
    </w:p>
    <w:p w14:paraId="0CAAD246" w14:textId="18634045" w:rsidR="00B53E1B" w:rsidRPr="00F926D3" w:rsidRDefault="00F926D3" w:rsidP="00F926D3">
      <w:pPr>
        <w:pStyle w:val="TableFigureFooter"/>
      </w:pPr>
      <w:r>
        <w:rPr>
          <w:vertAlign w:val="superscript"/>
        </w:rPr>
        <w:t>2</w:t>
      </w:r>
      <w:r>
        <w:t xml:space="preserve"> </w:t>
      </w:r>
      <w:r w:rsidR="00B53E1B">
        <w:t>Median duration of follow-up at January 2020 data cut.</w:t>
      </w:r>
    </w:p>
    <w:p w14:paraId="5AD1448B" w14:textId="4F56C131" w:rsidR="00F46C3E" w:rsidRDefault="00154E83" w:rsidP="00F46C3E">
      <w:pPr>
        <w:pStyle w:val="4-SubsectSubhead"/>
      </w:pPr>
      <w:r>
        <w:t>Chronic GVHD</w:t>
      </w:r>
    </w:p>
    <w:p w14:paraId="73F7005D" w14:textId="51B21D3E" w:rsidR="00F46C3E" w:rsidRPr="00284397" w:rsidRDefault="00F46C3E" w:rsidP="00F926D3">
      <w:pPr>
        <w:pStyle w:val="ExecSumBodyText"/>
        <w:numPr>
          <w:ilvl w:val="1"/>
          <w:numId w:val="1"/>
        </w:numPr>
      </w:pPr>
      <w:r w:rsidRPr="00A6154D">
        <w:t xml:space="preserve">The </w:t>
      </w:r>
      <w:r w:rsidR="001E2DD6" w:rsidRPr="00A6154D">
        <w:t xml:space="preserve">evaluators </w:t>
      </w:r>
      <w:r w:rsidR="00CC4997" w:rsidRPr="00A6154D">
        <w:t>consider</w:t>
      </w:r>
      <w:r w:rsidR="001E2DD6" w:rsidRPr="00A6154D">
        <w:t xml:space="preserve">ed that the </w:t>
      </w:r>
      <w:r w:rsidRPr="00A6154D">
        <w:t>REACH3 trial had a high risk of bias. The trial was open-label, and investigators, patients, and study personnel were not blinded to treatment assignment, which may have influenced the treatment of patients in the trial. The primary outcome (overall response at Week 24) was assessed by investigators who were not blinded to treatment assignment.</w:t>
      </w:r>
      <w:r w:rsidR="00B83C02" w:rsidRPr="00A6154D">
        <w:t xml:space="preserve"> The PSCR noted that blinding was not possible due to the different modes of administration and the variety of treatment</w:t>
      </w:r>
      <w:r w:rsidR="001E2DD6" w:rsidRPr="00A6154D">
        <w:t>s</w:t>
      </w:r>
      <w:r w:rsidR="00B83C02" w:rsidRPr="00A6154D">
        <w:t xml:space="preserve"> in the BAT arm. The PSCR stated that although investigators were not blinded, patients were only categorised as responders after fulfilling detailed criteria.</w:t>
      </w:r>
      <w:r w:rsidR="00BB532A" w:rsidRPr="00A6154D">
        <w:t xml:space="preserve"> The ESC noted that although the open label nature of the trial is inherently associated with bias, the trial was a large, randomised study with clear</w:t>
      </w:r>
      <w:r w:rsidR="009647B0" w:rsidRPr="00A6154D">
        <w:t>,</w:t>
      </w:r>
      <w:r w:rsidR="00BB532A" w:rsidRPr="00A6154D">
        <w:t xml:space="preserve"> pre-defined response</w:t>
      </w:r>
      <w:r w:rsidR="00973CB5" w:rsidRPr="00A6154D">
        <w:t xml:space="preserve"> criteria</w:t>
      </w:r>
      <w:r w:rsidR="00BB532A" w:rsidRPr="00A6154D">
        <w:t xml:space="preserve">. The ESC agreed </w:t>
      </w:r>
      <w:r w:rsidR="00CC4997" w:rsidRPr="00A6154D">
        <w:t xml:space="preserve">with the PSCR </w:t>
      </w:r>
      <w:r w:rsidR="00BB532A" w:rsidRPr="00A6154D">
        <w:t>that it w</w:t>
      </w:r>
      <w:r w:rsidR="00BB532A" w:rsidRPr="00284397">
        <w:t>ould not be possible to blind a trial in this disease setting and considered that overall, the risk of bias was likely to be low.</w:t>
      </w:r>
    </w:p>
    <w:p w14:paraId="0860ACF9" w14:textId="13183CB9" w:rsidR="00F926D3" w:rsidRPr="00284397" w:rsidRDefault="00F926D3" w:rsidP="00F926D3">
      <w:pPr>
        <w:pStyle w:val="ExecSumBodyText"/>
        <w:numPr>
          <w:ilvl w:val="1"/>
          <w:numId w:val="1"/>
        </w:numPr>
      </w:pPr>
      <w:r w:rsidRPr="00284397">
        <w:t>Patients</w:t>
      </w:r>
      <w:r w:rsidR="004626EA" w:rsidRPr="00284397">
        <w:t xml:space="preserve"> </w:t>
      </w:r>
      <w:r w:rsidRPr="00284397">
        <w:t>were required to have a confirmed diagnosis of corticosteroid refractory/dependent cGVHD defined per 2014 NIH consensus criteria (irrespective of the concomitant use of a calcineurin inhibitor):</w:t>
      </w:r>
    </w:p>
    <w:p w14:paraId="53EB7E1E" w14:textId="77777777" w:rsidR="00F926D3" w:rsidRPr="00A6154D" w:rsidRDefault="00F926D3" w:rsidP="00A2582A">
      <w:pPr>
        <w:pStyle w:val="ExecSumBodyText"/>
        <w:numPr>
          <w:ilvl w:val="1"/>
          <w:numId w:val="21"/>
        </w:numPr>
        <w:spacing w:after="0"/>
        <w:ind w:left="1077" w:hanging="357"/>
      </w:pPr>
      <w:r w:rsidRPr="00284397">
        <w:t>A lack of response or disease progressi</w:t>
      </w:r>
      <w:r w:rsidRPr="00A6154D">
        <w:t>on after administration of minimum prednisone 1 mg/kg/day for at least 1 week (or equivalent); or</w:t>
      </w:r>
    </w:p>
    <w:p w14:paraId="11CEE46B" w14:textId="0DCD61E4" w:rsidR="00F926D3" w:rsidRPr="00A6154D" w:rsidRDefault="00F926D3" w:rsidP="00A2582A">
      <w:pPr>
        <w:pStyle w:val="ExecSumBodyText"/>
        <w:numPr>
          <w:ilvl w:val="1"/>
          <w:numId w:val="21"/>
        </w:numPr>
        <w:spacing w:after="0"/>
        <w:ind w:left="1077" w:hanging="357"/>
      </w:pPr>
      <w:r w:rsidRPr="00A6154D">
        <w:t>Disease persistence without improvement despite continued treatment with prednisone at &gt;</w:t>
      </w:r>
      <w:r w:rsidR="009647B0" w:rsidRPr="00A6154D">
        <w:t xml:space="preserve"> </w:t>
      </w:r>
      <w:r w:rsidRPr="00A6154D">
        <w:t>0.5 mg/kg/day or 1 mg/kg/every other day for at least 4 weeks (or equivalent); or</w:t>
      </w:r>
    </w:p>
    <w:p w14:paraId="7B2E72C9" w14:textId="1B311B02" w:rsidR="00F926D3" w:rsidRPr="00A6154D" w:rsidRDefault="00F926D3" w:rsidP="00A2582A">
      <w:pPr>
        <w:pStyle w:val="ExecSumBodyText"/>
        <w:numPr>
          <w:ilvl w:val="1"/>
          <w:numId w:val="21"/>
        </w:numPr>
        <w:ind w:left="1077" w:hanging="357"/>
      </w:pPr>
      <w:r w:rsidRPr="00A6154D">
        <w:t>Increased prednisone dose to &gt;</w:t>
      </w:r>
      <w:r w:rsidR="009647B0" w:rsidRPr="00A6154D">
        <w:t xml:space="preserve"> </w:t>
      </w:r>
      <w:r w:rsidRPr="00A6154D">
        <w:t>0.25 mg/kg/day after two unsuccessful attempts to taper the dose (or equivalent) (criteria corresponding to steroid dependency).</w:t>
      </w:r>
    </w:p>
    <w:p w14:paraId="3F00384D" w14:textId="23DE3C5B" w:rsidR="005E292F" w:rsidRPr="00A6154D" w:rsidRDefault="00927FA9" w:rsidP="00CC4997">
      <w:pPr>
        <w:pStyle w:val="ExecSumBodyText"/>
      </w:pPr>
      <w:r w:rsidRPr="00A6154D">
        <w:t xml:space="preserve">The REACH3 trial did not </w:t>
      </w:r>
      <w:r w:rsidR="005C02C2" w:rsidRPr="00A6154D">
        <w:t>include patients who were steroid intolerant.</w:t>
      </w:r>
      <w:r w:rsidR="00EC3A0B" w:rsidRPr="00A6154D">
        <w:t xml:space="preserve"> The PSCR acknowledged that these patients were not included in the REACH3 trial but noted that in patients with severe intolerance it is impossible to sustain steroid therapy long enough to meet the criteria for steroid refractory or dependent.</w:t>
      </w:r>
      <w:r w:rsidR="004A2499" w:rsidRPr="00A6154D">
        <w:t xml:space="preserve"> </w:t>
      </w:r>
      <w:r w:rsidR="00CC4997" w:rsidRPr="00A6154D">
        <w:t>The ESC noted that MSAC described the steroid intolerant population as ‘relatively small’ (</w:t>
      </w:r>
      <w:r w:rsidR="001B034A">
        <w:t>E</w:t>
      </w:r>
      <w:r w:rsidR="001B034A" w:rsidRPr="00A6154D">
        <w:t xml:space="preserve">xtracorporeal photopheresis </w:t>
      </w:r>
      <w:r w:rsidR="001B034A">
        <w:t xml:space="preserve">(Application 1651) </w:t>
      </w:r>
      <w:r w:rsidR="001B034A" w:rsidRPr="00A6154D">
        <w:t>PSD, July 2021 MSAC meeting</w:t>
      </w:r>
      <w:r w:rsidR="00CC4997" w:rsidRPr="00A6154D">
        <w:t>) and noted that the steroid intolerant population was included in the restrictions for methoxsalen and extracorporeal photopheresis (ECP) on the PBS and MBS respectively.</w:t>
      </w:r>
    </w:p>
    <w:p w14:paraId="40873898" w14:textId="1FBE3CE9" w:rsidR="00F926D3" w:rsidRPr="00A6154D" w:rsidRDefault="00B32812" w:rsidP="00F67915">
      <w:pPr>
        <w:pStyle w:val="ExecSumBodyText"/>
        <w:numPr>
          <w:ilvl w:val="1"/>
          <w:numId w:val="1"/>
        </w:numPr>
      </w:pPr>
      <w:r w:rsidRPr="00A6154D">
        <w:t>At study entry, 41.2% and 44.5% of patients had moderate, and 58.8% and 54.9% of patients had severe cGVHD in the ruxolitinib and BAT arms, respectively.</w:t>
      </w:r>
    </w:p>
    <w:p w14:paraId="2D6FAABB" w14:textId="50D17D46" w:rsidR="00B32812" w:rsidRPr="00A6154D" w:rsidRDefault="00B32812" w:rsidP="00A361A7">
      <w:pPr>
        <w:pStyle w:val="ExecSumBodyText"/>
        <w:numPr>
          <w:ilvl w:val="1"/>
          <w:numId w:val="1"/>
        </w:numPr>
      </w:pPr>
      <w:r w:rsidRPr="00A6154D">
        <w:t xml:space="preserve">The initial BAT treatment administered to each patient in the </w:t>
      </w:r>
      <w:r w:rsidR="005C02C2" w:rsidRPr="00A6154D">
        <w:t>REACH3 trial</w:t>
      </w:r>
      <w:r w:rsidRPr="00A6154D">
        <w:t xml:space="preserve"> was chosen by the investigator prior to patient randomisation from the following list of treatments: </w:t>
      </w:r>
      <w:r w:rsidR="009647B0" w:rsidRPr="00A6154D">
        <w:t>ECP</w:t>
      </w:r>
      <w:r w:rsidRPr="00A6154D">
        <w:t>, low-dose methotrexate, mycophenolate mofetil, mTOR inhibitors (everolimus or sirolimus), infliximab, rituximab, pentostatin, imatinib, or ibrutinib. The most commonly used initial treatments in the BAT arm were ECP (34.8%), mycophenolate mofetil (22.2%) and ibrutinib (17.1%).</w:t>
      </w:r>
    </w:p>
    <w:p w14:paraId="40EAA706" w14:textId="5957DF95" w:rsidR="00592D96" w:rsidRPr="00A6154D" w:rsidRDefault="00592D96" w:rsidP="00F67915">
      <w:pPr>
        <w:pStyle w:val="ExecSumBodyText"/>
        <w:numPr>
          <w:ilvl w:val="1"/>
          <w:numId w:val="1"/>
        </w:numPr>
      </w:pPr>
      <w:r w:rsidRPr="00A6154D">
        <w:t xml:space="preserve">Patients in the BAT arm </w:t>
      </w:r>
      <w:r w:rsidR="005C02C2" w:rsidRPr="00A6154D">
        <w:t xml:space="preserve">of the REACH3 trial </w:t>
      </w:r>
      <w:r w:rsidRPr="00A6154D">
        <w:t xml:space="preserve">who did not achieve a partial or complete response prior to Week 24 were eligible to add or initiate a new systemic BAT treatment. After Week 24, patients </w:t>
      </w:r>
      <w:r w:rsidR="009647B0" w:rsidRPr="00A6154D">
        <w:t xml:space="preserve">in the BAT arm </w:t>
      </w:r>
      <w:r w:rsidRPr="00A6154D">
        <w:t>who were not in partial or complete response were eligible to crossover to receive treatment with ruxolitinib.</w:t>
      </w:r>
    </w:p>
    <w:p w14:paraId="2A265BDF" w14:textId="566917D4" w:rsidR="00592D96" w:rsidRPr="00A6154D" w:rsidRDefault="00592D96" w:rsidP="00F67915">
      <w:pPr>
        <w:pStyle w:val="ExecSumBodyText"/>
        <w:numPr>
          <w:ilvl w:val="1"/>
          <w:numId w:val="1"/>
        </w:numPr>
      </w:pPr>
      <w:r w:rsidRPr="00A6154D">
        <w:t>In responding patients, tapering of immunosuppression therapy was performed in two steps. Taper of corticosteroids was attempted approximately two weeks after achieving a complete response. Taper of calcineurin inhibitor and/or ruxolitinib was not initiated until the patient was off corticosteroids and completed assessments for Week 24.</w:t>
      </w:r>
    </w:p>
    <w:p w14:paraId="70BB5057" w14:textId="3E43A0A8" w:rsidR="004626EA" w:rsidRDefault="00154E83" w:rsidP="004626EA">
      <w:pPr>
        <w:pStyle w:val="4-SubsectSubhead"/>
      </w:pPr>
      <w:r>
        <w:t>Acute GVHD</w:t>
      </w:r>
    </w:p>
    <w:p w14:paraId="40D4D94C" w14:textId="6C83C0F8" w:rsidR="004626EA" w:rsidRPr="00A6154D" w:rsidRDefault="004626EA" w:rsidP="005E292F">
      <w:pPr>
        <w:pStyle w:val="ExecSumBodyText"/>
        <w:numPr>
          <w:ilvl w:val="1"/>
          <w:numId w:val="1"/>
        </w:numPr>
      </w:pPr>
      <w:r w:rsidRPr="00A6154D">
        <w:t xml:space="preserve">The </w:t>
      </w:r>
      <w:r w:rsidR="009647B0" w:rsidRPr="00A6154D">
        <w:t xml:space="preserve">evaluators </w:t>
      </w:r>
      <w:r w:rsidR="00E51DDE" w:rsidRPr="00A6154D">
        <w:t>consider</w:t>
      </w:r>
      <w:r w:rsidR="009647B0" w:rsidRPr="00A6154D">
        <w:t xml:space="preserve">ed that the </w:t>
      </w:r>
      <w:r w:rsidRPr="00A6154D">
        <w:t>REACH2 trial had a high risk of bias. The trial was an open-label trial, and investigators, patients, and study personnel were not blinded to treatment assignment, which may have influenced the treatment of patients in the trial. The primary outcome (overall response at Day 28) was assessed by investigators who were not blinded to treatment assignment.</w:t>
      </w:r>
      <w:r w:rsidR="00BB532A" w:rsidRPr="00A6154D">
        <w:t xml:space="preserve"> The PSCR noted that blinding was not possible due to the different modes of administration and the variety of treatment</w:t>
      </w:r>
      <w:r w:rsidR="009647B0" w:rsidRPr="00A6154D">
        <w:t>s</w:t>
      </w:r>
      <w:r w:rsidR="00BB532A" w:rsidRPr="00A6154D">
        <w:t xml:space="preserve"> in the BAT arm. The PSCR stated that although investigators were not blinded, patients were only categorised as responders after fulfilling detailed criteria. The ESC noted that although the open label nature of the trial is inherently associated with bias, the trial was a large, randomised study with clear</w:t>
      </w:r>
      <w:r w:rsidR="009647B0" w:rsidRPr="00A6154D">
        <w:t>,</w:t>
      </w:r>
      <w:r w:rsidR="00BB532A" w:rsidRPr="00A6154D">
        <w:t xml:space="preserve"> pre-defined response</w:t>
      </w:r>
      <w:r w:rsidR="00973CB5" w:rsidRPr="00A6154D">
        <w:t xml:space="preserve"> criteria</w:t>
      </w:r>
      <w:r w:rsidR="00BB532A" w:rsidRPr="00A6154D">
        <w:t>. The ESC agreed that it would not be possible to blind a trial in this disease setting and considered that overall, the risk of bias was likely to be low.</w:t>
      </w:r>
    </w:p>
    <w:p w14:paraId="392D4BAE" w14:textId="5450F506" w:rsidR="005E292F" w:rsidRPr="00A6154D" w:rsidRDefault="005E292F" w:rsidP="005E292F">
      <w:pPr>
        <w:pStyle w:val="ExecSumBodyText"/>
        <w:numPr>
          <w:ilvl w:val="1"/>
          <w:numId w:val="1"/>
        </w:numPr>
      </w:pPr>
      <w:r w:rsidRPr="00A6154D">
        <w:t xml:space="preserve">Patients </w:t>
      </w:r>
      <w:r w:rsidR="00C2236B" w:rsidRPr="00A6154D">
        <w:t xml:space="preserve">in the REACH2 trial </w:t>
      </w:r>
      <w:r w:rsidRPr="00A6154D">
        <w:t>were considered to have steroid-refractory/dependent aGVHD if they had received high-dose systemic corticosteroids (methylprednisolone 2 mg/kg/day or prednisone equivalent; either alone or combined with a calcineurin inhibitor) and met one of the following criteria:</w:t>
      </w:r>
    </w:p>
    <w:p w14:paraId="7BD71D67" w14:textId="0106D10D" w:rsidR="00592D96" w:rsidRPr="00A6154D" w:rsidRDefault="00592D96" w:rsidP="00A2582A">
      <w:pPr>
        <w:pStyle w:val="ExecSumBodyText"/>
        <w:numPr>
          <w:ilvl w:val="1"/>
          <w:numId w:val="22"/>
        </w:numPr>
        <w:spacing w:after="0"/>
        <w:ind w:left="1077" w:hanging="357"/>
      </w:pPr>
      <w:r w:rsidRPr="00A6154D">
        <w:t>Progressed based on organ assessment after at least 3 days compared to organ stage at the time of initiation of high-dose systemic corticosteroid +/- calcineurin inhibitor for the treatment of Grade II-IV aGVHD; or</w:t>
      </w:r>
    </w:p>
    <w:p w14:paraId="068FF387" w14:textId="5AA0AB41" w:rsidR="00592D96" w:rsidRPr="00A6154D" w:rsidRDefault="00592D96" w:rsidP="00A2582A">
      <w:pPr>
        <w:pStyle w:val="ExecSumBodyText"/>
        <w:numPr>
          <w:ilvl w:val="1"/>
          <w:numId w:val="22"/>
        </w:numPr>
        <w:spacing w:after="0"/>
        <w:ind w:left="1077" w:hanging="357"/>
      </w:pPr>
      <w:r w:rsidRPr="00A6154D">
        <w:t>Failed to achieve at a minimum a partial response based on organ assessment after 7 days compared to organ stage at the time of initiation of high-dose systemic corticosteroid +/- calcineurin inhibitor for the treatment of Grade II-IV aGVHD; or</w:t>
      </w:r>
    </w:p>
    <w:p w14:paraId="5B7E464D" w14:textId="1BA1CCA0" w:rsidR="00592D96" w:rsidRPr="00A6154D" w:rsidRDefault="00592D96" w:rsidP="00A2582A">
      <w:pPr>
        <w:pStyle w:val="ExecSumBodyText"/>
        <w:numPr>
          <w:ilvl w:val="1"/>
          <w:numId w:val="22"/>
        </w:numPr>
        <w:spacing w:after="0"/>
        <w:ind w:left="1077" w:hanging="357"/>
      </w:pPr>
      <w:r w:rsidRPr="00A6154D">
        <w:t>Failed corticosteroid taper defined as fulfilling either one of the following criteria:</w:t>
      </w:r>
    </w:p>
    <w:p w14:paraId="165BE406" w14:textId="0FF6D908" w:rsidR="00592D96" w:rsidRPr="00A6154D" w:rsidRDefault="00592D96" w:rsidP="00A2582A">
      <w:pPr>
        <w:pStyle w:val="ExecSumBodyText"/>
        <w:numPr>
          <w:ilvl w:val="1"/>
          <w:numId w:val="23"/>
        </w:numPr>
        <w:spacing w:after="0"/>
        <w:ind w:left="1434" w:hanging="357"/>
      </w:pPr>
      <w:r w:rsidRPr="00A6154D">
        <w:t>Requirement for an increase in the corticosteroid dose to methylprednisolone ≥2 mg/kg/day (or equivalent prednisone dose ≥2.5 mg/kg/day); or</w:t>
      </w:r>
    </w:p>
    <w:p w14:paraId="5E476ACE" w14:textId="395E1EF7" w:rsidR="00592D96" w:rsidRPr="00A6154D" w:rsidRDefault="00592D96" w:rsidP="00A2582A">
      <w:pPr>
        <w:pStyle w:val="ExecSumBodyText"/>
        <w:numPr>
          <w:ilvl w:val="1"/>
          <w:numId w:val="23"/>
        </w:numPr>
        <w:ind w:left="1434" w:hanging="357"/>
      </w:pPr>
      <w:r w:rsidRPr="00A6154D">
        <w:t>Failure to taper the methylprednisolone dose to &lt;0.5 mg/kg/day (or equivalent prednisone dose &lt;0.6 mg/kg/day) for a minimum 7 days.</w:t>
      </w:r>
    </w:p>
    <w:p w14:paraId="45F9FC6F" w14:textId="36617E3B" w:rsidR="00EC3A0B" w:rsidRPr="00A6154D" w:rsidRDefault="00624F07" w:rsidP="00EC3A0B">
      <w:pPr>
        <w:pStyle w:val="ExecSumBodyText"/>
      </w:pPr>
      <w:r w:rsidRPr="00A6154D">
        <w:t>The REACH2 trial did not include patients who were steroid intolerant.</w:t>
      </w:r>
      <w:r w:rsidR="00EC3A0B" w:rsidRPr="00A6154D">
        <w:t xml:space="preserve"> The PSCR acknowledged that these patients were not included in the REACH2 trial but noted that in patients with severe intolerance it is impossible to sustain steroid therapy long enough to meet the criteria for steroid refractory or dependent.</w:t>
      </w:r>
      <w:r w:rsidR="00914CAE" w:rsidRPr="00A6154D">
        <w:t xml:space="preserve"> The ESC noted that MSAC described the steroid intolerant population as ‘relatively small’ (</w:t>
      </w:r>
      <w:r w:rsidR="001B034A">
        <w:t>E</w:t>
      </w:r>
      <w:r w:rsidR="001B034A" w:rsidRPr="00A6154D">
        <w:t xml:space="preserve">xtracorporeal photopheresis </w:t>
      </w:r>
      <w:r w:rsidR="001B034A">
        <w:t xml:space="preserve">(Application 1651) </w:t>
      </w:r>
      <w:r w:rsidR="001B034A" w:rsidRPr="00A6154D">
        <w:t>PSD, July 2021 MSAC meeting</w:t>
      </w:r>
      <w:r w:rsidR="00914CAE" w:rsidRPr="00A6154D">
        <w:t>) and noted that the steroid intolerant population was included in the restrictions for methoxsalen and extracorporeal photopheresis (ECP) on the PBS and MBS respectively.</w:t>
      </w:r>
    </w:p>
    <w:p w14:paraId="3DE2A5D7" w14:textId="603385EB" w:rsidR="00592D96" w:rsidRPr="00A6154D" w:rsidRDefault="00F12214" w:rsidP="00F67915">
      <w:pPr>
        <w:pStyle w:val="ExecSumBodyText"/>
        <w:numPr>
          <w:ilvl w:val="1"/>
          <w:numId w:val="1"/>
        </w:numPr>
      </w:pPr>
      <w:r w:rsidRPr="00A6154D">
        <w:t>At study entry, approximately 34% of patients had Grade II, 44% of patients had Grade III, and 20% of patients had Grade IV aGVHD.</w:t>
      </w:r>
    </w:p>
    <w:p w14:paraId="7196FC89" w14:textId="3884DB97" w:rsidR="00715517" w:rsidRPr="00A6154D" w:rsidRDefault="00715517" w:rsidP="00F67915">
      <w:pPr>
        <w:pStyle w:val="ExecSumBodyText"/>
        <w:numPr>
          <w:ilvl w:val="1"/>
          <w:numId w:val="1"/>
        </w:numPr>
      </w:pPr>
      <w:r w:rsidRPr="00A6154D">
        <w:t xml:space="preserve">The initial BAT treatment administered to each patient in the study was chosen by the investigator prior to patient randomisation from the following list of treatments: anti-thymocyte globulin, </w:t>
      </w:r>
      <w:r w:rsidR="009647B0" w:rsidRPr="00A6154D">
        <w:t>ECP</w:t>
      </w:r>
      <w:r w:rsidRPr="00A6154D">
        <w:t>, mesenchymal stromal cells, low-dose methotrexate, mycophenolate mofetil, mTOR inhibitors (everolimus or sirolimus), etanercept, or infliximab. The most commonly used initial treatments in the BAT arm were ECP (27.3%), mycophenolate mofetil (16.7%) and etanercept (14.7%).</w:t>
      </w:r>
    </w:p>
    <w:p w14:paraId="59800990" w14:textId="33A568F4" w:rsidR="00715517" w:rsidRPr="00A6154D" w:rsidRDefault="00D27ACD" w:rsidP="00F67915">
      <w:pPr>
        <w:pStyle w:val="ExecSumBodyText"/>
        <w:numPr>
          <w:ilvl w:val="1"/>
          <w:numId w:val="1"/>
        </w:numPr>
      </w:pPr>
      <w:r w:rsidRPr="00A6154D">
        <w:t>Within the first 28 days, patients meeting the criteria for disease progression, mixed response, or no response could move onto treatment with a second BAT. The patient could be switched to the second BAT, or the second BAT could be used in combination with the initial BAT. The requirement to initiate a second BAT was considered a failure of the first BAT.</w:t>
      </w:r>
    </w:p>
    <w:p w14:paraId="69342221" w14:textId="7917693E" w:rsidR="00F12214" w:rsidRPr="00A6154D" w:rsidRDefault="00D27ACD" w:rsidP="00F67915">
      <w:pPr>
        <w:pStyle w:val="ExecSumBodyText"/>
        <w:numPr>
          <w:ilvl w:val="1"/>
          <w:numId w:val="1"/>
        </w:numPr>
      </w:pPr>
      <w:r w:rsidRPr="00A6154D">
        <w:t>Patients randomised to BAT were eligible to cross over to ruxolitinib between Day 28 and Week 24 if they failed to meet the primary endpoint response definition (CR or PR) at Day 28, lost the response thereafter and met criteria for progression, mixed response, or no response, necessitating new additional systemic immunosuppressive treatment for aGVHD. Patients must not have had signs/symptoms of cGVHD (overlap syndrome, progressive, or de novo cGVHD)</w:t>
      </w:r>
      <w:r w:rsidR="00715517" w:rsidRPr="00A6154D">
        <w:t>.</w:t>
      </w:r>
    </w:p>
    <w:p w14:paraId="122D591A" w14:textId="1F876ACB" w:rsidR="00715517" w:rsidRPr="00A6154D" w:rsidRDefault="00715517" w:rsidP="00F67915">
      <w:pPr>
        <w:pStyle w:val="ExecSumBodyText"/>
        <w:numPr>
          <w:ilvl w:val="1"/>
          <w:numId w:val="1"/>
        </w:numPr>
      </w:pPr>
      <w:r w:rsidRPr="00A6154D">
        <w:t>Tapering of immunosuppression therapy in responding patients was performed in two steps. Corticosteroid tapering was initiated no earlier than Day 7 and performed as per institutional guidelines. Taper of calcineurin inhibitor and/or ruxolitinib was initiated once the patient’s corticosteroids were ceased. Ruxolitinib taper was initiated after Day 56, and performed according on the condition of the patient, current dosing regimen and the clinical judgement of the investigator.</w:t>
      </w:r>
    </w:p>
    <w:p w14:paraId="61461ECD" w14:textId="77777777" w:rsidR="00F67915" w:rsidRPr="00C9624D" w:rsidRDefault="00F67915" w:rsidP="00F67915">
      <w:pPr>
        <w:pStyle w:val="3-SubsectionHeading"/>
      </w:pPr>
      <w:bookmarkStart w:id="28" w:name="_Toc22897641"/>
      <w:bookmarkStart w:id="29" w:name="_Toc22898853"/>
      <w:bookmarkStart w:id="30" w:name="_Toc103614216"/>
      <w:r w:rsidRPr="00C9624D">
        <w:t>Comparative effectiveness</w:t>
      </w:r>
      <w:bookmarkEnd w:id="28"/>
      <w:bookmarkEnd w:id="29"/>
      <w:bookmarkEnd w:id="30"/>
    </w:p>
    <w:p w14:paraId="5A188439" w14:textId="77777777" w:rsidR="00F67915" w:rsidRDefault="00F67915" w:rsidP="00F67915">
      <w:pPr>
        <w:pStyle w:val="4-SubsectSubhead"/>
      </w:pPr>
      <w:r>
        <w:t>Chronic GVHD</w:t>
      </w:r>
    </w:p>
    <w:p w14:paraId="7995722B" w14:textId="6362F8EC" w:rsidR="00F67915" w:rsidRPr="00284397" w:rsidRDefault="00160B82" w:rsidP="00F67915">
      <w:pPr>
        <w:pStyle w:val="ExecSumBodyText"/>
        <w:numPr>
          <w:ilvl w:val="1"/>
          <w:numId w:val="1"/>
        </w:numPr>
      </w:pPr>
      <w:r>
        <w:rPr>
          <w:snapToGrid/>
          <w:lang w:val="en-US"/>
        </w:rPr>
        <w:t>R</w:t>
      </w:r>
      <w:r w:rsidR="00F67915" w:rsidRPr="00854630">
        <w:rPr>
          <w:snapToGrid/>
          <w:lang w:val="en-US"/>
        </w:rPr>
        <w:t xml:space="preserve">esults for the </w:t>
      </w:r>
      <w:r w:rsidR="00F67915">
        <w:rPr>
          <w:snapToGrid/>
          <w:lang w:val="en-US"/>
        </w:rPr>
        <w:t xml:space="preserve">REACH3 </w:t>
      </w:r>
      <w:r w:rsidR="00F67915" w:rsidRPr="00854630">
        <w:rPr>
          <w:snapToGrid/>
          <w:lang w:val="en-US"/>
        </w:rPr>
        <w:t>primary outcome of overall response rate at Week 24</w:t>
      </w:r>
      <w:r w:rsidR="00154E83">
        <w:rPr>
          <w:snapToGrid/>
          <w:lang w:val="en-US"/>
        </w:rPr>
        <w:t xml:space="preserve"> are presented in the table below</w:t>
      </w:r>
      <w:r w:rsidR="00F67915" w:rsidRPr="00854630">
        <w:rPr>
          <w:snapToGrid/>
          <w:lang w:val="en-US"/>
        </w:rPr>
        <w:t>.</w:t>
      </w:r>
    </w:p>
    <w:p w14:paraId="7549D84D" w14:textId="13ED99C6" w:rsidR="00F67915" w:rsidRPr="0042047F" w:rsidRDefault="00F67915" w:rsidP="008504E2">
      <w:pPr>
        <w:pStyle w:val="TableHeading"/>
      </w:pPr>
      <w:r w:rsidRPr="0042047F">
        <w:t xml:space="preserve">Table </w:t>
      </w:r>
      <w:fldSimple w:instr=" SEQ Table \* ARABIC " w:fldLock="1">
        <w:r w:rsidR="005A7A1C">
          <w:rPr>
            <w:noProof/>
          </w:rPr>
          <w:t>4</w:t>
        </w:r>
      </w:fldSimple>
      <w:r w:rsidRPr="0042047F">
        <w:t xml:space="preserve">: </w:t>
      </w:r>
      <w:r>
        <w:t>O</w:t>
      </w:r>
      <w:r w:rsidRPr="00C61F6F">
        <w:t>verall response rate at Week 24</w:t>
      </w:r>
      <w:r>
        <w:t xml:space="preserve"> in REACH3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Overall response rate at Week 24 in REACH3"/>
      </w:tblPr>
      <w:tblGrid>
        <w:gridCol w:w="2546"/>
        <w:gridCol w:w="2157"/>
        <w:gridCol w:w="2157"/>
        <w:gridCol w:w="2157"/>
      </w:tblGrid>
      <w:tr w:rsidR="00F67915" w:rsidRPr="00B84117" w14:paraId="7E599BC7" w14:textId="77777777" w:rsidTr="00A361A7">
        <w:trPr>
          <w:tblHeader/>
        </w:trPr>
        <w:tc>
          <w:tcPr>
            <w:tcW w:w="1412" w:type="pct"/>
            <w:vAlign w:val="center"/>
          </w:tcPr>
          <w:p w14:paraId="2CFBE567" w14:textId="77777777" w:rsidR="00F67915" w:rsidRPr="00B84117" w:rsidRDefault="00F67915" w:rsidP="00A361A7">
            <w:pPr>
              <w:pStyle w:val="Tableheadingrow"/>
            </w:pPr>
          </w:p>
        </w:tc>
        <w:tc>
          <w:tcPr>
            <w:tcW w:w="1196" w:type="pct"/>
          </w:tcPr>
          <w:p w14:paraId="569C7BC1" w14:textId="77777777" w:rsidR="00F67915" w:rsidRDefault="00F67915" w:rsidP="00A361A7">
            <w:pPr>
              <w:pStyle w:val="Tableheadingrow"/>
              <w:jc w:val="center"/>
            </w:pPr>
            <w:r w:rsidRPr="00F96626">
              <w:t xml:space="preserve">Ruxolitinib </w:t>
            </w:r>
          </w:p>
          <w:p w14:paraId="4C448510" w14:textId="77777777" w:rsidR="00F67915" w:rsidRPr="00B84117" w:rsidRDefault="00F67915" w:rsidP="00A361A7">
            <w:pPr>
              <w:pStyle w:val="Tableheadingrow"/>
              <w:jc w:val="center"/>
            </w:pPr>
            <w:r w:rsidRPr="00F96626">
              <w:t>(N = 165)</w:t>
            </w:r>
          </w:p>
        </w:tc>
        <w:tc>
          <w:tcPr>
            <w:tcW w:w="1196" w:type="pct"/>
          </w:tcPr>
          <w:p w14:paraId="7BB18A81" w14:textId="77777777" w:rsidR="00F67915" w:rsidRDefault="00F67915" w:rsidP="00A361A7">
            <w:pPr>
              <w:pStyle w:val="Tableheadingrow"/>
              <w:jc w:val="center"/>
            </w:pPr>
            <w:r w:rsidRPr="00F96626">
              <w:t xml:space="preserve">BAT </w:t>
            </w:r>
          </w:p>
          <w:p w14:paraId="651B72F1" w14:textId="77777777" w:rsidR="00F67915" w:rsidRPr="00B84117" w:rsidRDefault="00F67915" w:rsidP="00A361A7">
            <w:pPr>
              <w:pStyle w:val="Tableheadingrow"/>
              <w:jc w:val="center"/>
            </w:pPr>
            <w:r w:rsidRPr="00F96626">
              <w:t>(N = 164)</w:t>
            </w:r>
          </w:p>
        </w:tc>
        <w:tc>
          <w:tcPr>
            <w:tcW w:w="1196" w:type="pct"/>
          </w:tcPr>
          <w:p w14:paraId="69157FF5" w14:textId="1456B82C" w:rsidR="00F67915" w:rsidRDefault="003819E8" w:rsidP="00A361A7">
            <w:pPr>
              <w:pStyle w:val="Tableheadingrow"/>
              <w:jc w:val="center"/>
            </w:pPr>
            <w:r>
              <w:t>Risk d</w:t>
            </w:r>
            <w:r w:rsidR="00F67915">
              <w:t>ifference</w:t>
            </w:r>
          </w:p>
          <w:p w14:paraId="78DAD63B" w14:textId="77777777" w:rsidR="00F67915" w:rsidRPr="00F96626" w:rsidRDefault="00F67915" w:rsidP="00A361A7">
            <w:pPr>
              <w:pStyle w:val="Tableheadingrow"/>
              <w:jc w:val="center"/>
            </w:pPr>
            <w:r>
              <w:t>(95% CI)</w:t>
            </w:r>
          </w:p>
        </w:tc>
      </w:tr>
      <w:tr w:rsidR="00F67915" w:rsidRPr="00B1011F" w14:paraId="72A7C6CE" w14:textId="77777777" w:rsidTr="00A361A7">
        <w:trPr>
          <w:trHeight w:val="62"/>
        </w:trPr>
        <w:tc>
          <w:tcPr>
            <w:tcW w:w="1412" w:type="pct"/>
          </w:tcPr>
          <w:p w14:paraId="4EBA155B" w14:textId="77777777" w:rsidR="00F67915" w:rsidRPr="00B1011F" w:rsidRDefault="00F67915" w:rsidP="00A361A7">
            <w:pPr>
              <w:pStyle w:val="TableText"/>
            </w:pPr>
            <w:r>
              <w:t>Overall response rate</w:t>
            </w:r>
            <w:r w:rsidRPr="006813BC">
              <w:t>, n (%</w:t>
            </w:r>
            <w:r>
              <w:t>)</w:t>
            </w:r>
          </w:p>
        </w:tc>
        <w:tc>
          <w:tcPr>
            <w:tcW w:w="1196" w:type="pct"/>
          </w:tcPr>
          <w:p w14:paraId="53D22BD5" w14:textId="77777777" w:rsidR="00F67915" w:rsidRPr="00B1011F" w:rsidRDefault="00F67915" w:rsidP="00A361A7">
            <w:pPr>
              <w:pStyle w:val="TableText"/>
              <w:jc w:val="center"/>
            </w:pPr>
            <w:r>
              <w:t>82 (49.7)</w:t>
            </w:r>
          </w:p>
        </w:tc>
        <w:tc>
          <w:tcPr>
            <w:tcW w:w="1196" w:type="pct"/>
          </w:tcPr>
          <w:p w14:paraId="40E87A2C" w14:textId="77777777" w:rsidR="00F67915" w:rsidRPr="00B1011F" w:rsidRDefault="00F67915" w:rsidP="00A361A7">
            <w:pPr>
              <w:pStyle w:val="TableText"/>
              <w:jc w:val="center"/>
            </w:pPr>
            <w:r>
              <w:t>42 (25.6)</w:t>
            </w:r>
          </w:p>
        </w:tc>
        <w:tc>
          <w:tcPr>
            <w:tcW w:w="1196" w:type="pct"/>
          </w:tcPr>
          <w:p w14:paraId="31A3C420" w14:textId="77777777" w:rsidR="00F67915" w:rsidRPr="009B7488" w:rsidRDefault="00F67915" w:rsidP="00A361A7">
            <w:pPr>
              <w:pStyle w:val="TableText"/>
              <w:jc w:val="center"/>
              <w:rPr>
                <w:highlight w:val="yellow"/>
              </w:rPr>
            </w:pPr>
            <w:r w:rsidRPr="00071152">
              <w:t>0.24 (0.14, 0.34)</w:t>
            </w:r>
          </w:p>
        </w:tc>
      </w:tr>
      <w:tr w:rsidR="00F67915" w:rsidRPr="00B1011F" w14:paraId="5D54824F" w14:textId="77777777" w:rsidTr="00A361A7">
        <w:trPr>
          <w:trHeight w:val="708"/>
        </w:trPr>
        <w:tc>
          <w:tcPr>
            <w:tcW w:w="1412" w:type="pct"/>
          </w:tcPr>
          <w:p w14:paraId="2982BC1B" w14:textId="77777777" w:rsidR="00F67915" w:rsidRDefault="00F67915" w:rsidP="00A361A7">
            <w:pPr>
              <w:pStyle w:val="TableText"/>
            </w:pPr>
            <w:r>
              <w:t>Overall response components:</w:t>
            </w:r>
          </w:p>
          <w:p w14:paraId="1777279C" w14:textId="77777777" w:rsidR="00F67915" w:rsidRPr="00B1011F" w:rsidRDefault="00F67915" w:rsidP="00A361A7">
            <w:pPr>
              <w:pStyle w:val="TableText"/>
            </w:pPr>
            <w:r>
              <w:t xml:space="preserve">- </w:t>
            </w:r>
            <w:r w:rsidRPr="006813BC">
              <w:t>Complete response, n (%</w:t>
            </w:r>
            <w:r>
              <w:t>)</w:t>
            </w:r>
          </w:p>
          <w:p w14:paraId="5137504E" w14:textId="77777777" w:rsidR="00F67915" w:rsidRDefault="00F67915" w:rsidP="00A361A7">
            <w:pPr>
              <w:pStyle w:val="TableText"/>
            </w:pPr>
            <w:r>
              <w:t xml:space="preserve">- </w:t>
            </w:r>
            <w:r w:rsidRPr="006813BC">
              <w:t>Partial response, n (%</w:t>
            </w:r>
            <w:r>
              <w:t>)</w:t>
            </w:r>
          </w:p>
        </w:tc>
        <w:tc>
          <w:tcPr>
            <w:tcW w:w="1196" w:type="pct"/>
          </w:tcPr>
          <w:p w14:paraId="5210A8DC" w14:textId="77777777" w:rsidR="00F67915" w:rsidRDefault="00F67915" w:rsidP="00A361A7">
            <w:pPr>
              <w:pStyle w:val="TableText"/>
              <w:jc w:val="center"/>
            </w:pPr>
          </w:p>
          <w:p w14:paraId="642AE8AB" w14:textId="77777777" w:rsidR="00F67915" w:rsidRPr="00B1011F" w:rsidRDefault="00F67915" w:rsidP="00A361A7">
            <w:pPr>
              <w:pStyle w:val="TableText"/>
              <w:jc w:val="center"/>
            </w:pPr>
            <w:r w:rsidRPr="0089603A">
              <w:t>11 (6.7)</w:t>
            </w:r>
          </w:p>
          <w:p w14:paraId="5D2CE5C6" w14:textId="77777777" w:rsidR="00F67915" w:rsidRDefault="00F67915" w:rsidP="00A361A7">
            <w:pPr>
              <w:pStyle w:val="TableText"/>
              <w:jc w:val="center"/>
            </w:pPr>
            <w:r w:rsidRPr="0089603A">
              <w:t>71 (43.0)</w:t>
            </w:r>
          </w:p>
        </w:tc>
        <w:tc>
          <w:tcPr>
            <w:tcW w:w="1196" w:type="pct"/>
          </w:tcPr>
          <w:p w14:paraId="1E77CE39" w14:textId="77777777" w:rsidR="00F67915" w:rsidRDefault="00F67915" w:rsidP="00A361A7">
            <w:pPr>
              <w:pStyle w:val="TableText"/>
              <w:jc w:val="center"/>
            </w:pPr>
          </w:p>
          <w:p w14:paraId="752F2CC2" w14:textId="77777777" w:rsidR="00F67915" w:rsidRPr="00B1011F" w:rsidRDefault="00F67915" w:rsidP="00A361A7">
            <w:pPr>
              <w:pStyle w:val="TableText"/>
              <w:jc w:val="center"/>
            </w:pPr>
            <w:r w:rsidRPr="0039143A">
              <w:t>5 (3.0)</w:t>
            </w:r>
          </w:p>
          <w:p w14:paraId="2DD4F654" w14:textId="77777777" w:rsidR="00F67915" w:rsidRDefault="00F67915" w:rsidP="00A361A7">
            <w:pPr>
              <w:pStyle w:val="TableText"/>
              <w:jc w:val="center"/>
            </w:pPr>
            <w:r w:rsidRPr="0039143A">
              <w:t>37 (22.6)</w:t>
            </w:r>
          </w:p>
        </w:tc>
        <w:tc>
          <w:tcPr>
            <w:tcW w:w="1196" w:type="pct"/>
          </w:tcPr>
          <w:p w14:paraId="02AAEEAE" w14:textId="77777777" w:rsidR="00282AAF" w:rsidRPr="00282AAF" w:rsidRDefault="00282AAF" w:rsidP="00A361A7">
            <w:pPr>
              <w:pStyle w:val="TableText"/>
              <w:jc w:val="center"/>
            </w:pPr>
          </w:p>
          <w:p w14:paraId="7866DAC4" w14:textId="77777777" w:rsidR="00F67915" w:rsidRPr="00071152" w:rsidRDefault="00F67915" w:rsidP="00A361A7">
            <w:pPr>
              <w:pStyle w:val="TableText"/>
              <w:jc w:val="center"/>
            </w:pPr>
            <w:r w:rsidRPr="00071152">
              <w:t>0.04 (NR)</w:t>
            </w:r>
          </w:p>
          <w:p w14:paraId="1CE376E2" w14:textId="77777777" w:rsidR="00F67915" w:rsidRPr="009B7488" w:rsidRDefault="00F67915" w:rsidP="00A361A7">
            <w:pPr>
              <w:pStyle w:val="TableText"/>
              <w:jc w:val="center"/>
              <w:rPr>
                <w:highlight w:val="yellow"/>
              </w:rPr>
            </w:pPr>
            <w:r w:rsidRPr="00071152">
              <w:t>0.20 (NR)</w:t>
            </w:r>
          </w:p>
        </w:tc>
      </w:tr>
    </w:tbl>
    <w:p w14:paraId="0E17F21C" w14:textId="77777777" w:rsidR="00F67915" w:rsidRDefault="00F67915" w:rsidP="00F67915">
      <w:pPr>
        <w:pStyle w:val="TableFigureFooter"/>
      </w:pPr>
      <w:r>
        <w:t xml:space="preserve">Source: </w:t>
      </w:r>
      <w:bookmarkStart w:id="31" w:name="_Hlk103605941"/>
      <w:bookmarkStart w:id="32" w:name="_Hlk103605143"/>
      <w:r>
        <w:t xml:space="preserve">Table 2.5.1, p80 </w:t>
      </w:r>
      <w:bookmarkEnd w:id="31"/>
      <w:r>
        <w:t>of the submission</w:t>
      </w:r>
      <w:bookmarkEnd w:id="32"/>
      <w:r>
        <w:t>.</w:t>
      </w:r>
    </w:p>
    <w:p w14:paraId="47AFD4BE" w14:textId="3D0F45A1" w:rsidR="00F67915" w:rsidRDefault="00F67915" w:rsidP="00F67915">
      <w:pPr>
        <w:pStyle w:val="TableFigureFooter"/>
      </w:pPr>
      <w:r>
        <w:t>Abbreviations: BAT, best available therapy; CI, confidence interval; NR, note reported</w:t>
      </w:r>
      <w:r w:rsidR="00802360">
        <w:t>.</w:t>
      </w:r>
    </w:p>
    <w:p w14:paraId="0DEF10A7" w14:textId="4967BFA6" w:rsidR="00802360" w:rsidRPr="00802360" w:rsidRDefault="00802360" w:rsidP="00F67915">
      <w:pPr>
        <w:pStyle w:val="TableFigureFooter"/>
      </w:pPr>
      <w:r w:rsidRPr="00802360">
        <w:t>Note: Complete response was defined as complete resolution of all signs and symptoms of cGVHD in all evaluable organs without initiation or addition of new systemic therapy. Partial response was defined as an improvement in at least one organ (e.g., improvement of 1 or more points on a 4 to 7-point scale, or an improvement of 2 or more points on a 10 to 12-point scale) without progression in other organs or sites, initiation or addition of new systemic therapy.</w:t>
      </w:r>
    </w:p>
    <w:p w14:paraId="66AF40CF" w14:textId="2523FF0A" w:rsidR="009B4C64" w:rsidRPr="00284397" w:rsidRDefault="009B4C64" w:rsidP="009B4C64">
      <w:pPr>
        <w:pStyle w:val="ExecSumBodyText"/>
        <w:numPr>
          <w:ilvl w:val="1"/>
          <w:numId w:val="1"/>
        </w:numPr>
      </w:pPr>
      <w:r w:rsidRPr="009B4C64">
        <w:rPr>
          <w:snapToGrid/>
          <w:lang w:val="en-US"/>
        </w:rPr>
        <w:t xml:space="preserve">Treatment with ruxolitinib was associated with a statistically significantly higher overall response rate compared to treatment </w:t>
      </w:r>
      <w:r w:rsidRPr="00284397">
        <w:rPr>
          <w:snapToGrid/>
          <w:lang w:val="en-US"/>
        </w:rPr>
        <w:t>with BAT</w:t>
      </w:r>
      <w:r w:rsidR="00802360" w:rsidRPr="00284397">
        <w:rPr>
          <w:snapToGrid/>
          <w:lang w:val="en-US"/>
        </w:rPr>
        <w:t>.</w:t>
      </w:r>
    </w:p>
    <w:p w14:paraId="7C45A99F" w14:textId="0B98739D" w:rsidR="00F41D1F" w:rsidRPr="00284397" w:rsidRDefault="00F41D1F" w:rsidP="00F41D1F">
      <w:pPr>
        <w:pStyle w:val="ExecSumBodyText"/>
        <w:numPr>
          <w:ilvl w:val="1"/>
          <w:numId w:val="1"/>
        </w:numPr>
      </w:pPr>
      <w:r w:rsidRPr="00284397">
        <w:t xml:space="preserve">The Kaplan-Meier plot </w:t>
      </w:r>
      <w:r w:rsidR="004E3EED" w:rsidRPr="00284397">
        <w:t>for the key secondary outcome of failure-free survival in</w:t>
      </w:r>
      <w:r w:rsidRPr="00284397">
        <w:t xml:space="preserve"> the REACH3 trial is presented in the figure below.</w:t>
      </w:r>
    </w:p>
    <w:p w14:paraId="30DCF96C" w14:textId="11C21ADA" w:rsidR="00F41D1F" w:rsidRDefault="00513C76" w:rsidP="00513C76">
      <w:pPr>
        <w:pStyle w:val="TableHeading"/>
      </w:pPr>
      <w:r>
        <w:t xml:space="preserve">Figure </w:t>
      </w:r>
      <w:fldSimple w:instr=" SEQ Figure \* ARABIC " w:fldLock="1">
        <w:r w:rsidR="005A7A1C">
          <w:rPr>
            <w:noProof/>
          </w:rPr>
          <w:t>1</w:t>
        </w:r>
      </w:fldSimple>
      <w:r w:rsidR="00F41D1F">
        <w:t>: Kaplan-Meier plot of failure-free survival</w:t>
      </w:r>
    </w:p>
    <w:p w14:paraId="2859644D" w14:textId="77777777" w:rsidR="00F41D1F" w:rsidRDefault="00F41D1F" w:rsidP="00F41D1F">
      <w:pPr>
        <w:pStyle w:val="Tableheadingrow"/>
        <w:rPr>
          <w:lang w:val="en-AU"/>
        </w:rPr>
      </w:pPr>
      <w:r w:rsidRPr="00BE20A6">
        <w:rPr>
          <w:noProof/>
          <w:lang w:val="en-AU"/>
        </w:rPr>
        <w:drawing>
          <wp:inline distT="0" distB="0" distL="0" distR="0" wp14:anchorId="3EDC7A47" wp14:editId="05741CCB">
            <wp:extent cx="5731510" cy="3026410"/>
            <wp:effectExtent l="0" t="0" r="2540" b="2540"/>
            <wp:docPr id="16" name="Picture 16" descr="Figure 1: Kaplan-Meier plot of failure-free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1: Kaplan-Meier plot of failure-free survival"/>
                    <pic:cNvPicPr/>
                  </pic:nvPicPr>
                  <pic:blipFill>
                    <a:blip r:embed="rId15"/>
                    <a:stretch>
                      <a:fillRect/>
                    </a:stretch>
                  </pic:blipFill>
                  <pic:spPr>
                    <a:xfrm>
                      <a:off x="0" y="0"/>
                      <a:ext cx="5731510" cy="3026410"/>
                    </a:xfrm>
                    <a:prstGeom prst="rect">
                      <a:avLst/>
                    </a:prstGeom>
                  </pic:spPr>
                </pic:pic>
              </a:graphicData>
            </a:graphic>
          </wp:inline>
        </w:drawing>
      </w:r>
    </w:p>
    <w:p w14:paraId="08699D11" w14:textId="77777777" w:rsidR="00F41D1F" w:rsidRDefault="00F41D1F" w:rsidP="00F41D1F">
      <w:pPr>
        <w:pStyle w:val="TableFigureFooter"/>
      </w:pPr>
      <w:r>
        <w:t>Source: Figure 2.5-1, p81 of the submission.</w:t>
      </w:r>
    </w:p>
    <w:p w14:paraId="56BB4667" w14:textId="729808DA" w:rsidR="00F41D1F" w:rsidRDefault="00F41D1F" w:rsidP="00F41D1F">
      <w:pPr>
        <w:pStyle w:val="TableFigureFooter"/>
      </w:pPr>
      <w:r>
        <w:t>Abbreviations: BAT, best available therapy; BID, twice daily; CI, confidence interval; FFS, failure-free survival; RUX, ruxolitinib.</w:t>
      </w:r>
    </w:p>
    <w:p w14:paraId="4D988396" w14:textId="7A7CDA87" w:rsidR="00082014" w:rsidRPr="00CA2166" w:rsidRDefault="00082014" w:rsidP="00F41D1F">
      <w:pPr>
        <w:pStyle w:val="TableFigureFooter"/>
      </w:pPr>
      <w:r>
        <w:t xml:space="preserve">Note: </w:t>
      </w:r>
      <w:r w:rsidRPr="00082014">
        <w:t>Failure-free survival was a composite time to event endpoint incorporating the following failure-free survival events: relapse or recurrence of underlying disease or death due to underlying disease; non-relapse mortality; or addition or initiation of another systemic therapy for cGVHD.</w:t>
      </w:r>
    </w:p>
    <w:p w14:paraId="1F4F4F64" w14:textId="481EB7FC" w:rsidR="00F41D1F" w:rsidRDefault="00F41D1F" w:rsidP="00A361A7">
      <w:pPr>
        <w:pStyle w:val="ExecSumBodyText"/>
        <w:numPr>
          <w:ilvl w:val="1"/>
          <w:numId w:val="1"/>
        </w:numPr>
      </w:pPr>
      <w:r>
        <w:t xml:space="preserve">Kaplan-Meier estimates </w:t>
      </w:r>
      <w:r w:rsidR="004E3EED">
        <w:t>for the key secondary outcome of</w:t>
      </w:r>
      <w:r>
        <w:t xml:space="preserve"> failure-free survival </w:t>
      </w:r>
      <w:r w:rsidR="004E3EED">
        <w:t>in</w:t>
      </w:r>
      <w:r w:rsidR="005016EE">
        <w:t xml:space="preserve"> the REACH3 trial </w:t>
      </w:r>
      <w:r>
        <w:t>are presented in the table below.</w:t>
      </w:r>
    </w:p>
    <w:p w14:paraId="172FCAEB" w14:textId="1898EBC6" w:rsidR="00F41D1F" w:rsidRPr="0042047F" w:rsidRDefault="00CF7791" w:rsidP="00F41D1F">
      <w:pPr>
        <w:pStyle w:val="TableFigureCaption"/>
      </w:pPr>
      <w:r w:rsidRPr="0042047F">
        <w:t xml:space="preserve">Table </w:t>
      </w:r>
      <w:fldSimple w:instr=" SEQ Table \* ARABIC " w:fldLock="1">
        <w:r w:rsidR="005A7A1C">
          <w:rPr>
            <w:noProof/>
          </w:rPr>
          <w:t>5</w:t>
        </w:r>
      </w:fldSimple>
      <w:r w:rsidR="00F41D1F" w:rsidRPr="0042047F">
        <w:t xml:space="preserve">: </w:t>
      </w:r>
      <w:r w:rsidR="00F41D1F">
        <w:t>Kaplan-Meier estimate of failure-free survival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Kaplan-Meier estimate of failure-free survival"/>
      </w:tblPr>
      <w:tblGrid>
        <w:gridCol w:w="3347"/>
        <w:gridCol w:w="2835"/>
        <w:gridCol w:w="2835"/>
      </w:tblGrid>
      <w:tr w:rsidR="00F41D1F" w:rsidRPr="00B84117" w14:paraId="6893ACB6" w14:textId="77777777" w:rsidTr="00A361A7">
        <w:trPr>
          <w:tblHeader/>
        </w:trPr>
        <w:tc>
          <w:tcPr>
            <w:tcW w:w="1856" w:type="pct"/>
            <w:vAlign w:val="center"/>
          </w:tcPr>
          <w:p w14:paraId="1F8859D0" w14:textId="77777777" w:rsidR="00F41D1F" w:rsidRPr="00B84117" w:rsidRDefault="00F41D1F" w:rsidP="00A361A7">
            <w:pPr>
              <w:pStyle w:val="Tableheadingrow"/>
            </w:pPr>
          </w:p>
        </w:tc>
        <w:tc>
          <w:tcPr>
            <w:tcW w:w="1572" w:type="pct"/>
          </w:tcPr>
          <w:p w14:paraId="4CEA3C21" w14:textId="77777777" w:rsidR="00F41D1F" w:rsidRDefault="00F41D1F" w:rsidP="00A361A7">
            <w:pPr>
              <w:pStyle w:val="Tableheadingrow"/>
              <w:jc w:val="center"/>
            </w:pPr>
            <w:r w:rsidRPr="00F96626">
              <w:t xml:space="preserve">Ruxolitinib </w:t>
            </w:r>
          </w:p>
          <w:p w14:paraId="5111A756" w14:textId="77777777" w:rsidR="00F41D1F" w:rsidRPr="00B84117" w:rsidRDefault="00F41D1F" w:rsidP="00A361A7">
            <w:pPr>
              <w:pStyle w:val="Tableheadingrow"/>
              <w:jc w:val="center"/>
            </w:pPr>
            <w:r w:rsidRPr="00F96626">
              <w:t>(N = 165)</w:t>
            </w:r>
          </w:p>
        </w:tc>
        <w:tc>
          <w:tcPr>
            <w:tcW w:w="1572" w:type="pct"/>
          </w:tcPr>
          <w:p w14:paraId="2D4D76EB" w14:textId="77777777" w:rsidR="00F41D1F" w:rsidRDefault="00F41D1F" w:rsidP="00A361A7">
            <w:pPr>
              <w:pStyle w:val="Tableheadingrow"/>
              <w:jc w:val="center"/>
            </w:pPr>
            <w:r w:rsidRPr="00F96626">
              <w:t xml:space="preserve">BAT </w:t>
            </w:r>
          </w:p>
          <w:p w14:paraId="0FD7E5B3" w14:textId="77777777" w:rsidR="00F41D1F" w:rsidRPr="00B84117" w:rsidRDefault="00F41D1F" w:rsidP="00A361A7">
            <w:pPr>
              <w:pStyle w:val="Tableheadingrow"/>
              <w:jc w:val="center"/>
            </w:pPr>
            <w:r w:rsidRPr="00F96626">
              <w:t>(N = 164)</w:t>
            </w:r>
          </w:p>
        </w:tc>
      </w:tr>
      <w:tr w:rsidR="00F41D1F" w:rsidRPr="00B1011F" w14:paraId="7DE8E0E0" w14:textId="77777777" w:rsidTr="00A361A7">
        <w:trPr>
          <w:trHeight w:val="62"/>
        </w:trPr>
        <w:tc>
          <w:tcPr>
            <w:tcW w:w="1856" w:type="pct"/>
          </w:tcPr>
          <w:p w14:paraId="0455B429" w14:textId="77777777" w:rsidR="00F41D1F" w:rsidRPr="00B1011F" w:rsidRDefault="00F41D1F" w:rsidP="00A361A7">
            <w:pPr>
              <w:pStyle w:val="TableText"/>
            </w:pPr>
            <w:r w:rsidRPr="00BE72CE">
              <w:t>Number of events</w:t>
            </w:r>
            <w:r>
              <w:t>, n (%)</w:t>
            </w:r>
          </w:p>
        </w:tc>
        <w:tc>
          <w:tcPr>
            <w:tcW w:w="1572" w:type="pct"/>
          </w:tcPr>
          <w:p w14:paraId="66ED4DE7" w14:textId="77777777" w:rsidR="00F41D1F" w:rsidRPr="00B1011F" w:rsidRDefault="00F41D1F" w:rsidP="00A361A7">
            <w:pPr>
              <w:pStyle w:val="TableText"/>
              <w:jc w:val="center"/>
            </w:pPr>
            <w:r w:rsidRPr="00DA7D6D">
              <w:t>60 (36.4)</w:t>
            </w:r>
          </w:p>
        </w:tc>
        <w:tc>
          <w:tcPr>
            <w:tcW w:w="1572" w:type="pct"/>
          </w:tcPr>
          <w:p w14:paraId="38D27BEC" w14:textId="77777777" w:rsidR="00F41D1F" w:rsidRPr="00B1011F" w:rsidRDefault="00F41D1F" w:rsidP="00A361A7">
            <w:pPr>
              <w:pStyle w:val="TableText"/>
              <w:jc w:val="center"/>
            </w:pPr>
            <w:r w:rsidRPr="00C53A51">
              <w:t>109 (66.5)</w:t>
            </w:r>
          </w:p>
        </w:tc>
      </w:tr>
      <w:tr w:rsidR="00F41D1F" w:rsidRPr="00B1011F" w14:paraId="68EA9572" w14:textId="77777777" w:rsidTr="00A361A7">
        <w:trPr>
          <w:trHeight w:val="62"/>
        </w:trPr>
        <w:tc>
          <w:tcPr>
            <w:tcW w:w="1856" w:type="pct"/>
          </w:tcPr>
          <w:p w14:paraId="6A07F0E7" w14:textId="77777777" w:rsidR="00F41D1F" w:rsidRPr="007F72F7" w:rsidRDefault="00F41D1F" w:rsidP="00A361A7">
            <w:pPr>
              <w:pStyle w:val="TableText"/>
            </w:pPr>
            <w:r w:rsidRPr="00BE72CE">
              <w:t>Number censored</w:t>
            </w:r>
            <w:r>
              <w:t>, n (%)</w:t>
            </w:r>
          </w:p>
        </w:tc>
        <w:tc>
          <w:tcPr>
            <w:tcW w:w="1572" w:type="pct"/>
          </w:tcPr>
          <w:p w14:paraId="4DB1ADC0" w14:textId="77777777" w:rsidR="00F41D1F" w:rsidRPr="00B1011F" w:rsidRDefault="00F41D1F" w:rsidP="00A361A7">
            <w:pPr>
              <w:pStyle w:val="TableText"/>
              <w:jc w:val="center"/>
            </w:pPr>
            <w:r w:rsidRPr="00DA7D6D">
              <w:t>105 (63.6)</w:t>
            </w:r>
          </w:p>
        </w:tc>
        <w:tc>
          <w:tcPr>
            <w:tcW w:w="1572" w:type="pct"/>
          </w:tcPr>
          <w:p w14:paraId="346384CE" w14:textId="77777777" w:rsidR="00F41D1F" w:rsidRPr="007F72F7" w:rsidRDefault="00F41D1F" w:rsidP="00A361A7">
            <w:pPr>
              <w:pStyle w:val="TableText"/>
              <w:jc w:val="center"/>
            </w:pPr>
            <w:r w:rsidRPr="00C53A51">
              <w:t>55 (33.5)</w:t>
            </w:r>
          </w:p>
        </w:tc>
      </w:tr>
      <w:tr w:rsidR="00F41D1F" w:rsidRPr="00B1011F" w14:paraId="29D7A420" w14:textId="77777777" w:rsidTr="003E2377">
        <w:trPr>
          <w:trHeight w:val="146"/>
        </w:trPr>
        <w:tc>
          <w:tcPr>
            <w:tcW w:w="1856" w:type="pct"/>
          </w:tcPr>
          <w:p w14:paraId="0A74229D" w14:textId="77777777" w:rsidR="00F41D1F" w:rsidRPr="007F72F7" w:rsidRDefault="00F41D1F" w:rsidP="00A361A7">
            <w:pPr>
              <w:pStyle w:val="TableText"/>
            </w:pPr>
            <w:r w:rsidRPr="00BE72CE">
              <w:t>Hazard ratio</w:t>
            </w:r>
            <w:r>
              <w:t xml:space="preserve"> (95% CI)</w:t>
            </w:r>
          </w:p>
        </w:tc>
        <w:tc>
          <w:tcPr>
            <w:tcW w:w="3144" w:type="pct"/>
            <w:gridSpan w:val="2"/>
          </w:tcPr>
          <w:p w14:paraId="24609F9A" w14:textId="77777777" w:rsidR="00F41D1F" w:rsidRPr="007F72F7" w:rsidRDefault="00F41D1F" w:rsidP="00A361A7">
            <w:pPr>
              <w:pStyle w:val="TableText"/>
              <w:jc w:val="center"/>
            </w:pPr>
            <w:r w:rsidRPr="001745F1">
              <w:t>0.37 (0.2</w:t>
            </w:r>
            <w:r>
              <w:t>7</w:t>
            </w:r>
            <w:r w:rsidRPr="001745F1">
              <w:t>, 0.51)</w:t>
            </w:r>
          </w:p>
        </w:tc>
      </w:tr>
      <w:tr w:rsidR="00F41D1F" w:rsidRPr="00B1011F" w14:paraId="06FE5484" w14:textId="77777777" w:rsidTr="00A361A7">
        <w:trPr>
          <w:trHeight w:val="62"/>
        </w:trPr>
        <w:tc>
          <w:tcPr>
            <w:tcW w:w="1856" w:type="pct"/>
          </w:tcPr>
          <w:p w14:paraId="50C0168C" w14:textId="77777777" w:rsidR="00F41D1F" w:rsidRPr="007F72F7" w:rsidRDefault="00F41D1F" w:rsidP="00A361A7">
            <w:pPr>
              <w:pStyle w:val="TableText"/>
            </w:pPr>
            <w:r w:rsidRPr="00BE72CE">
              <w:t>Median FFS</w:t>
            </w:r>
            <w:r>
              <w:t>,</w:t>
            </w:r>
            <w:r w:rsidRPr="00BE72CE">
              <w:t xml:space="preserve"> (95% CI)</w:t>
            </w:r>
          </w:p>
        </w:tc>
        <w:tc>
          <w:tcPr>
            <w:tcW w:w="1572" w:type="pct"/>
          </w:tcPr>
          <w:p w14:paraId="742DD82A" w14:textId="77777777" w:rsidR="00F41D1F" w:rsidRPr="00B1011F" w:rsidRDefault="00F41D1F" w:rsidP="00A361A7">
            <w:pPr>
              <w:pStyle w:val="TableText"/>
              <w:jc w:val="center"/>
            </w:pPr>
            <w:r w:rsidRPr="004042E4">
              <w:t>NE (18.6, NE)</w:t>
            </w:r>
          </w:p>
        </w:tc>
        <w:tc>
          <w:tcPr>
            <w:tcW w:w="1572" w:type="pct"/>
          </w:tcPr>
          <w:p w14:paraId="1DCAC543" w14:textId="77777777" w:rsidR="00F41D1F" w:rsidRPr="007F72F7" w:rsidRDefault="00F41D1F" w:rsidP="00A361A7">
            <w:pPr>
              <w:pStyle w:val="TableText"/>
              <w:jc w:val="center"/>
            </w:pPr>
            <w:r w:rsidRPr="004042E4">
              <w:t>5.7 (5.6, 6.5)</w:t>
            </w:r>
          </w:p>
        </w:tc>
      </w:tr>
      <w:tr w:rsidR="00F41D1F" w:rsidRPr="00B1011F" w14:paraId="2C18B1BD" w14:textId="77777777" w:rsidTr="00A361A7">
        <w:trPr>
          <w:trHeight w:val="62"/>
        </w:trPr>
        <w:tc>
          <w:tcPr>
            <w:tcW w:w="1856" w:type="pct"/>
          </w:tcPr>
          <w:p w14:paraId="65FCEFC4" w14:textId="77777777" w:rsidR="00F41D1F" w:rsidRDefault="00F41D1F" w:rsidP="00A361A7">
            <w:pPr>
              <w:pStyle w:val="TableText"/>
            </w:pPr>
            <w:r>
              <w:t>Kaplan Meier of FFS, % (95% CI)</w:t>
            </w:r>
          </w:p>
          <w:p w14:paraId="33872BAA" w14:textId="77777777" w:rsidR="00F41D1F" w:rsidRDefault="00F41D1F" w:rsidP="00A361A7">
            <w:pPr>
              <w:pStyle w:val="TableText"/>
            </w:pPr>
            <w:r>
              <w:t>- 6 months</w:t>
            </w:r>
          </w:p>
          <w:p w14:paraId="63A2DD17" w14:textId="77777777" w:rsidR="00F41D1F" w:rsidRDefault="00F41D1F" w:rsidP="00A361A7">
            <w:pPr>
              <w:pStyle w:val="TableText"/>
            </w:pPr>
            <w:r>
              <w:t>- 12 months</w:t>
            </w:r>
          </w:p>
          <w:p w14:paraId="7A08AE5E" w14:textId="77777777" w:rsidR="00F41D1F" w:rsidRDefault="00F41D1F" w:rsidP="00A361A7">
            <w:pPr>
              <w:pStyle w:val="TableText"/>
            </w:pPr>
            <w:r>
              <w:t>- 18 months</w:t>
            </w:r>
          </w:p>
          <w:p w14:paraId="3A164562" w14:textId="77777777" w:rsidR="00F41D1F" w:rsidRPr="007F72F7" w:rsidRDefault="00F41D1F" w:rsidP="00A361A7">
            <w:pPr>
              <w:pStyle w:val="TableText"/>
            </w:pPr>
            <w:r>
              <w:t>- 24 months</w:t>
            </w:r>
          </w:p>
        </w:tc>
        <w:tc>
          <w:tcPr>
            <w:tcW w:w="1572" w:type="pct"/>
          </w:tcPr>
          <w:p w14:paraId="0370968C" w14:textId="77777777" w:rsidR="00F41D1F" w:rsidRDefault="00F41D1F" w:rsidP="00A361A7">
            <w:pPr>
              <w:pStyle w:val="TableText"/>
              <w:jc w:val="center"/>
            </w:pPr>
          </w:p>
          <w:p w14:paraId="114C3973" w14:textId="77777777" w:rsidR="00F41D1F" w:rsidRDefault="00F41D1F" w:rsidP="00A361A7">
            <w:pPr>
              <w:pStyle w:val="TableText"/>
              <w:jc w:val="center"/>
            </w:pPr>
            <w:r>
              <w:t>74.9 (67.5, 80.9)</w:t>
            </w:r>
          </w:p>
          <w:p w14:paraId="3444BA48" w14:textId="0A97BE70" w:rsidR="00F41D1F" w:rsidRDefault="00F41D1F" w:rsidP="00A361A7">
            <w:pPr>
              <w:pStyle w:val="TableText"/>
              <w:jc w:val="center"/>
            </w:pPr>
            <w:r>
              <w:t>64.0 (55.8, 71.1)</w:t>
            </w:r>
          </w:p>
          <w:p w14:paraId="4BAB3D43" w14:textId="7A718D06" w:rsidR="00F41D1F" w:rsidRDefault="00F41D1F" w:rsidP="00A361A7">
            <w:pPr>
              <w:pStyle w:val="TableText"/>
              <w:jc w:val="center"/>
            </w:pPr>
            <w:r>
              <w:t>60.7 (52.1, 68.3)</w:t>
            </w:r>
          </w:p>
          <w:p w14:paraId="035A1CC5" w14:textId="713C242D" w:rsidR="00F41D1F" w:rsidRPr="00B1011F" w:rsidRDefault="00F41D1F" w:rsidP="00A361A7">
            <w:pPr>
              <w:pStyle w:val="TableText"/>
              <w:jc w:val="center"/>
            </w:pPr>
            <w:r>
              <w:t>58.9 (49.8, 67.0)</w:t>
            </w:r>
          </w:p>
        </w:tc>
        <w:tc>
          <w:tcPr>
            <w:tcW w:w="1572" w:type="pct"/>
          </w:tcPr>
          <w:p w14:paraId="330E547C" w14:textId="77777777" w:rsidR="00F41D1F" w:rsidRDefault="00F41D1F" w:rsidP="00A361A7">
            <w:pPr>
              <w:pStyle w:val="TableText"/>
              <w:jc w:val="center"/>
            </w:pPr>
          </w:p>
          <w:p w14:paraId="47CBE540" w14:textId="0CAE84AC" w:rsidR="00F41D1F" w:rsidRDefault="00F41D1F" w:rsidP="00A361A7">
            <w:pPr>
              <w:pStyle w:val="TableText"/>
              <w:jc w:val="center"/>
            </w:pPr>
            <w:r>
              <w:t>44.</w:t>
            </w:r>
            <w:r w:rsidR="00F403C5">
              <w:t>5</w:t>
            </w:r>
            <w:r>
              <w:t xml:space="preserve"> (36.5, 52.1)</w:t>
            </w:r>
          </w:p>
          <w:p w14:paraId="742697AC" w14:textId="1E24814B" w:rsidR="00F41D1F" w:rsidRDefault="00F41D1F" w:rsidP="00A361A7">
            <w:pPr>
              <w:pStyle w:val="TableText"/>
              <w:jc w:val="center"/>
            </w:pPr>
            <w:r>
              <w:t>29.6 (22.3, 37.2)</w:t>
            </w:r>
          </w:p>
          <w:p w14:paraId="07959002" w14:textId="7980E6AB" w:rsidR="00F41D1F" w:rsidRDefault="00F41D1F" w:rsidP="00A361A7">
            <w:pPr>
              <w:pStyle w:val="TableText"/>
              <w:jc w:val="center"/>
            </w:pPr>
            <w:r>
              <w:t>27.0 (19.7, 34.9)</w:t>
            </w:r>
          </w:p>
          <w:p w14:paraId="0FC24D35" w14:textId="5C2BFB9B" w:rsidR="00F41D1F" w:rsidRPr="007F72F7" w:rsidRDefault="00F41D1F" w:rsidP="00A361A7">
            <w:pPr>
              <w:pStyle w:val="TableText"/>
              <w:jc w:val="center"/>
            </w:pPr>
            <w:r>
              <w:t>20.</w:t>
            </w:r>
            <w:r w:rsidR="00F403C5">
              <w:t>3</w:t>
            </w:r>
            <w:r>
              <w:t xml:space="preserve"> (9.3, 34.2)</w:t>
            </w:r>
          </w:p>
        </w:tc>
      </w:tr>
    </w:tbl>
    <w:p w14:paraId="4A675E13" w14:textId="77777777" w:rsidR="00F41D1F" w:rsidRDefault="00F41D1F" w:rsidP="00F41D1F">
      <w:pPr>
        <w:pStyle w:val="TableFooter"/>
      </w:pPr>
      <w:r>
        <w:t xml:space="preserve">Source: </w:t>
      </w:r>
      <w:bookmarkStart w:id="33" w:name="_Hlk103605968"/>
      <w:r>
        <w:t xml:space="preserve">Table 2.5-2, p81 </w:t>
      </w:r>
      <w:bookmarkEnd w:id="33"/>
      <w:r>
        <w:t>of the submission.</w:t>
      </w:r>
    </w:p>
    <w:p w14:paraId="4CD4B76D" w14:textId="77777777" w:rsidR="000F0EE1" w:rsidRDefault="00F41D1F" w:rsidP="000F0EE1">
      <w:pPr>
        <w:pStyle w:val="TableFooter"/>
      </w:pPr>
      <w:r w:rsidRPr="00082014">
        <w:t>Abbreviations: BAT, best available therapy; CI, confidence interval; FFS, failure-free survival; NE, not estimable.</w:t>
      </w:r>
    </w:p>
    <w:p w14:paraId="09B45151" w14:textId="4DF86202" w:rsidR="000F0EE1" w:rsidRPr="00CA2166" w:rsidRDefault="000F0EE1" w:rsidP="000F0EE1">
      <w:pPr>
        <w:pStyle w:val="TableFooter"/>
      </w:pPr>
      <w:r>
        <w:t xml:space="preserve">Note: </w:t>
      </w:r>
      <w:r w:rsidRPr="00082014">
        <w:t>Failure-free survival was a composite time to event endpoint incorporating the following failure-free survival events: relapse or recurrence of underlying disease or death due to underlying disease; non-relapse mortality; or addition or initiation of another systemic therapy for cGVHD.</w:t>
      </w:r>
    </w:p>
    <w:p w14:paraId="239B0E65" w14:textId="1B66202D" w:rsidR="00F41D1F" w:rsidRDefault="00F41D1F" w:rsidP="005016EE">
      <w:pPr>
        <w:pStyle w:val="ExecSumBodyText"/>
        <w:numPr>
          <w:ilvl w:val="1"/>
          <w:numId w:val="1"/>
        </w:numPr>
      </w:pPr>
      <w:r>
        <w:t>Treatment with ruxolitinib was associated with a statistically significant improvement in failure-free survival compared to BAT</w:t>
      </w:r>
      <w:r w:rsidR="00082014">
        <w:t>.</w:t>
      </w:r>
    </w:p>
    <w:p w14:paraId="590D7CB8" w14:textId="5DE424A8" w:rsidR="004E3EED" w:rsidRDefault="004E3EED" w:rsidP="005016EE">
      <w:pPr>
        <w:pStyle w:val="ExecSumBodyText"/>
        <w:numPr>
          <w:ilvl w:val="1"/>
          <w:numId w:val="1"/>
        </w:numPr>
      </w:pPr>
      <w:r>
        <w:t xml:space="preserve">Results for the key secondary outcome of response at Week 24 based on the modified Lee symptom scale total symptom score </w:t>
      </w:r>
      <w:r w:rsidR="003819E8">
        <w:t xml:space="preserve">are </w:t>
      </w:r>
      <w:r>
        <w:t>presented in the table below.</w:t>
      </w:r>
    </w:p>
    <w:p w14:paraId="54B4BBF4" w14:textId="3E6AA785" w:rsidR="00261CAB" w:rsidRDefault="00CF7791" w:rsidP="00261CAB">
      <w:pPr>
        <w:pStyle w:val="TableFigureCaption"/>
      </w:pPr>
      <w:r w:rsidRPr="0042047F">
        <w:t xml:space="preserve">Table </w:t>
      </w:r>
      <w:fldSimple w:instr=" SEQ Table \* ARABIC " w:fldLock="1">
        <w:r w:rsidR="005A7A1C">
          <w:rPr>
            <w:noProof/>
          </w:rPr>
          <w:t>6</w:t>
        </w:r>
      </w:fldSimple>
      <w:r w:rsidR="00261CAB" w:rsidRPr="0042047F">
        <w:t>:</w:t>
      </w:r>
      <w:r w:rsidR="00261CAB" w:rsidRPr="00C273D0">
        <w:t xml:space="preserve"> Responders at Week 24 based on the modified Lee symptom scale</w:t>
      </w:r>
      <w:r w:rsidR="00261CAB">
        <w:t xml:space="preserve"> total symptom score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Responders at Week 24 based on the modified Lee symptom scale total symptom score"/>
      </w:tblPr>
      <w:tblGrid>
        <w:gridCol w:w="3824"/>
        <w:gridCol w:w="1731"/>
        <w:gridCol w:w="1731"/>
        <w:gridCol w:w="1731"/>
      </w:tblGrid>
      <w:tr w:rsidR="00261CAB" w:rsidRPr="00A342F6" w14:paraId="423467A8" w14:textId="77777777" w:rsidTr="00A361A7">
        <w:trPr>
          <w:tblHeader/>
        </w:trPr>
        <w:tc>
          <w:tcPr>
            <w:tcW w:w="2120" w:type="pct"/>
            <w:vAlign w:val="center"/>
          </w:tcPr>
          <w:p w14:paraId="349B69E4" w14:textId="77777777" w:rsidR="00261CAB" w:rsidRPr="00A342F6" w:rsidRDefault="00261CAB" w:rsidP="00A361A7">
            <w:pPr>
              <w:pStyle w:val="Tableheadingrow"/>
            </w:pPr>
          </w:p>
        </w:tc>
        <w:tc>
          <w:tcPr>
            <w:tcW w:w="960" w:type="pct"/>
          </w:tcPr>
          <w:p w14:paraId="493A1908" w14:textId="77777777" w:rsidR="00261CAB" w:rsidRPr="00A342F6" w:rsidRDefault="00261CAB" w:rsidP="00A361A7">
            <w:pPr>
              <w:pStyle w:val="Tableheadingrow"/>
              <w:jc w:val="center"/>
            </w:pPr>
            <w:r w:rsidRPr="00A342F6">
              <w:t xml:space="preserve">Ruxolitinib </w:t>
            </w:r>
          </w:p>
          <w:p w14:paraId="54DF3381" w14:textId="77777777" w:rsidR="00261CAB" w:rsidRPr="00A342F6" w:rsidRDefault="00261CAB" w:rsidP="00A361A7">
            <w:pPr>
              <w:pStyle w:val="Tableheadingrow"/>
              <w:jc w:val="center"/>
            </w:pPr>
            <w:r w:rsidRPr="00A342F6">
              <w:t>(N = 165)</w:t>
            </w:r>
          </w:p>
        </w:tc>
        <w:tc>
          <w:tcPr>
            <w:tcW w:w="960" w:type="pct"/>
          </w:tcPr>
          <w:p w14:paraId="11C7AF69" w14:textId="77777777" w:rsidR="00261CAB" w:rsidRPr="00A342F6" w:rsidRDefault="00261CAB" w:rsidP="00A361A7">
            <w:pPr>
              <w:pStyle w:val="Tableheadingrow"/>
              <w:jc w:val="center"/>
            </w:pPr>
            <w:r w:rsidRPr="00A342F6">
              <w:t xml:space="preserve">BAT </w:t>
            </w:r>
          </w:p>
          <w:p w14:paraId="34A116ED" w14:textId="77777777" w:rsidR="00261CAB" w:rsidRPr="00A342F6" w:rsidRDefault="00261CAB" w:rsidP="00A361A7">
            <w:pPr>
              <w:pStyle w:val="Tableheadingrow"/>
              <w:jc w:val="center"/>
            </w:pPr>
            <w:r w:rsidRPr="00A342F6">
              <w:t>(N = 164)</w:t>
            </w:r>
          </w:p>
        </w:tc>
        <w:tc>
          <w:tcPr>
            <w:tcW w:w="960" w:type="pct"/>
          </w:tcPr>
          <w:p w14:paraId="22F95C63" w14:textId="77777777" w:rsidR="00261CAB" w:rsidRPr="00A342F6" w:rsidRDefault="00261CAB" w:rsidP="00A361A7">
            <w:pPr>
              <w:pStyle w:val="Tableheadingrow"/>
              <w:jc w:val="center"/>
            </w:pPr>
            <w:r w:rsidRPr="00A342F6">
              <w:t>Risk difference</w:t>
            </w:r>
          </w:p>
          <w:p w14:paraId="535A1715" w14:textId="77777777" w:rsidR="00261CAB" w:rsidRPr="00A342F6" w:rsidRDefault="00261CAB" w:rsidP="00A361A7">
            <w:pPr>
              <w:pStyle w:val="Tableheadingrow"/>
              <w:jc w:val="center"/>
            </w:pPr>
            <w:r w:rsidRPr="00A342F6">
              <w:t>(95% CI)</w:t>
            </w:r>
          </w:p>
        </w:tc>
      </w:tr>
      <w:tr w:rsidR="00261CAB" w:rsidRPr="00A342F6" w14:paraId="44683F86" w14:textId="77777777" w:rsidTr="00A361A7">
        <w:trPr>
          <w:trHeight w:val="62"/>
        </w:trPr>
        <w:tc>
          <w:tcPr>
            <w:tcW w:w="2120" w:type="pct"/>
          </w:tcPr>
          <w:p w14:paraId="6F796880" w14:textId="77777777" w:rsidR="00261CAB" w:rsidRPr="00A342F6" w:rsidRDefault="00261CAB" w:rsidP="00A361A7">
            <w:pPr>
              <w:pStyle w:val="TableText"/>
            </w:pPr>
            <w:r w:rsidRPr="00A342F6">
              <w:t>Patients with a valid TSS at baseline, n (%)</w:t>
            </w:r>
          </w:p>
        </w:tc>
        <w:tc>
          <w:tcPr>
            <w:tcW w:w="960" w:type="pct"/>
          </w:tcPr>
          <w:p w14:paraId="1FAAF9DA" w14:textId="77777777" w:rsidR="00261CAB" w:rsidRPr="00A342F6" w:rsidRDefault="00261CAB" w:rsidP="00A361A7">
            <w:pPr>
              <w:pStyle w:val="TableText"/>
              <w:jc w:val="center"/>
            </w:pPr>
            <w:r w:rsidRPr="00A342F6">
              <w:t>149 (90.3)</w:t>
            </w:r>
          </w:p>
        </w:tc>
        <w:tc>
          <w:tcPr>
            <w:tcW w:w="960" w:type="pct"/>
          </w:tcPr>
          <w:p w14:paraId="7D3FE3B4" w14:textId="77777777" w:rsidR="00261CAB" w:rsidRPr="00A342F6" w:rsidRDefault="00261CAB" w:rsidP="00A361A7">
            <w:pPr>
              <w:pStyle w:val="TableText"/>
              <w:jc w:val="center"/>
            </w:pPr>
            <w:r w:rsidRPr="00A342F6">
              <w:t>141 (86.0)</w:t>
            </w:r>
          </w:p>
        </w:tc>
        <w:tc>
          <w:tcPr>
            <w:tcW w:w="960" w:type="pct"/>
          </w:tcPr>
          <w:p w14:paraId="170F637C" w14:textId="77777777" w:rsidR="00261CAB" w:rsidRPr="00A342F6" w:rsidRDefault="00261CAB" w:rsidP="00A361A7">
            <w:pPr>
              <w:pStyle w:val="TableText"/>
              <w:jc w:val="center"/>
            </w:pPr>
            <w:r w:rsidRPr="00A342F6">
              <w:t>-</w:t>
            </w:r>
          </w:p>
        </w:tc>
      </w:tr>
      <w:tr w:rsidR="00261CAB" w:rsidRPr="00A342F6" w14:paraId="4C9D186F" w14:textId="77777777" w:rsidTr="00A361A7">
        <w:trPr>
          <w:trHeight w:val="62"/>
        </w:trPr>
        <w:tc>
          <w:tcPr>
            <w:tcW w:w="2120" w:type="pct"/>
          </w:tcPr>
          <w:p w14:paraId="6E59C959" w14:textId="77777777" w:rsidR="00261CAB" w:rsidRPr="00A342F6" w:rsidRDefault="00261CAB" w:rsidP="00A361A7">
            <w:pPr>
              <w:pStyle w:val="TableText"/>
            </w:pPr>
            <w:r w:rsidRPr="00A342F6">
              <w:t>Patients with a valid TSS at Cycle 7 Day 1, n (%)</w:t>
            </w:r>
          </w:p>
          <w:p w14:paraId="058E5B17" w14:textId="77777777" w:rsidR="00261CAB" w:rsidRPr="00A342F6" w:rsidRDefault="00261CAB" w:rsidP="00A361A7">
            <w:pPr>
              <w:pStyle w:val="TableText"/>
            </w:pPr>
            <w:r w:rsidRPr="00A342F6">
              <w:t>- All patients</w:t>
            </w:r>
          </w:p>
          <w:p w14:paraId="4149294B" w14:textId="77777777" w:rsidR="00261CAB" w:rsidRPr="00A342F6" w:rsidRDefault="00261CAB" w:rsidP="00A361A7">
            <w:pPr>
              <w:pStyle w:val="TableText"/>
            </w:pPr>
            <w:r w:rsidRPr="00A342F6">
              <w:t>- No prior change of systemic cGVHD treatment</w:t>
            </w:r>
          </w:p>
        </w:tc>
        <w:tc>
          <w:tcPr>
            <w:tcW w:w="960" w:type="pct"/>
          </w:tcPr>
          <w:p w14:paraId="2EC1F4F8" w14:textId="77777777" w:rsidR="00261CAB" w:rsidRPr="00A342F6" w:rsidRDefault="00261CAB" w:rsidP="00A361A7">
            <w:pPr>
              <w:pStyle w:val="TableText"/>
              <w:jc w:val="center"/>
            </w:pPr>
          </w:p>
          <w:p w14:paraId="61DF95F3" w14:textId="77777777" w:rsidR="00261CAB" w:rsidRPr="00A342F6" w:rsidRDefault="00261CAB" w:rsidP="00A361A7">
            <w:pPr>
              <w:pStyle w:val="TableText"/>
              <w:jc w:val="center"/>
            </w:pPr>
            <w:r w:rsidRPr="00A342F6">
              <w:t>92 (55.8)</w:t>
            </w:r>
          </w:p>
          <w:p w14:paraId="59886C88" w14:textId="77777777" w:rsidR="00261CAB" w:rsidRPr="00A342F6" w:rsidRDefault="00261CAB" w:rsidP="00A361A7">
            <w:pPr>
              <w:pStyle w:val="TableText"/>
              <w:jc w:val="center"/>
            </w:pPr>
            <w:r w:rsidRPr="00A342F6">
              <w:t>89 (53.9)</w:t>
            </w:r>
          </w:p>
        </w:tc>
        <w:tc>
          <w:tcPr>
            <w:tcW w:w="960" w:type="pct"/>
          </w:tcPr>
          <w:p w14:paraId="61B894C4" w14:textId="77777777" w:rsidR="00261CAB" w:rsidRPr="00A342F6" w:rsidRDefault="00261CAB" w:rsidP="00A361A7">
            <w:pPr>
              <w:pStyle w:val="TableText"/>
              <w:jc w:val="center"/>
            </w:pPr>
          </w:p>
          <w:p w14:paraId="01300A9C" w14:textId="77777777" w:rsidR="00261CAB" w:rsidRPr="00A342F6" w:rsidRDefault="00261CAB" w:rsidP="00A361A7">
            <w:pPr>
              <w:pStyle w:val="Tablecentre"/>
              <w:rPr>
                <w:rFonts w:ascii="Arial Narrow" w:hAnsi="Arial Narrow"/>
              </w:rPr>
            </w:pPr>
            <w:r w:rsidRPr="00A342F6">
              <w:rPr>
                <w:rFonts w:ascii="Arial Narrow" w:hAnsi="Arial Narrow"/>
              </w:rPr>
              <w:t>87 (53.0)</w:t>
            </w:r>
          </w:p>
          <w:p w14:paraId="2B13A943" w14:textId="77777777" w:rsidR="00261CAB" w:rsidRPr="00A342F6" w:rsidRDefault="00261CAB" w:rsidP="00A361A7">
            <w:pPr>
              <w:pStyle w:val="TableText"/>
              <w:jc w:val="center"/>
            </w:pPr>
            <w:r w:rsidRPr="00A342F6">
              <w:t>64 (39.0)</w:t>
            </w:r>
          </w:p>
        </w:tc>
        <w:tc>
          <w:tcPr>
            <w:tcW w:w="960" w:type="pct"/>
          </w:tcPr>
          <w:p w14:paraId="2C5137B9" w14:textId="77777777" w:rsidR="00261CAB" w:rsidRPr="00A342F6" w:rsidRDefault="00261CAB" w:rsidP="00A361A7">
            <w:pPr>
              <w:pStyle w:val="TableText"/>
              <w:jc w:val="center"/>
            </w:pPr>
          </w:p>
          <w:p w14:paraId="42D38504" w14:textId="77777777" w:rsidR="00261CAB" w:rsidRDefault="00261CAB" w:rsidP="00A361A7">
            <w:pPr>
              <w:pStyle w:val="TableText"/>
              <w:jc w:val="center"/>
            </w:pPr>
            <w:r>
              <w:t>-</w:t>
            </w:r>
          </w:p>
          <w:p w14:paraId="47A2D39D" w14:textId="77777777" w:rsidR="00261CAB" w:rsidRPr="00A342F6" w:rsidRDefault="00261CAB" w:rsidP="00A361A7">
            <w:pPr>
              <w:pStyle w:val="TableText"/>
              <w:jc w:val="center"/>
            </w:pPr>
            <w:r>
              <w:t>-</w:t>
            </w:r>
          </w:p>
        </w:tc>
      </w:tr>
      <w:tr w:rsidR="00261CAB" w:rsidRPr="00A342F6" w14:paraId="570C81B4" w14:textId="77777777" w:rsidTr="00A361A7">
        <w:trPr>
          <w:trHeight w:val="62"/>
        </w:trPr>
        <w:tc>
          <w:tcPr>
            <w:tcW w:w="2120" w:type="pct"/>
          </w:tcPr>
          <w:p w14:paraId="41BF3177" w14:textId="77777777" w:rsidR="00261CAB" w:rsidRPr="00A342F6" w:rsidRDefault="00261CAB" w:rsidP="00A361A7">
            <w:pPr>
              <w:pStyle w:val="TableText"/>
            </w:pPr>
            <w:r w:rsidRPr="00A342F6">
              <w:t>Responders (TSS reduction ≥7 points), n (%)</w:t>
            </w:r>
          </w:p>
        </w:tc>
        <w:tc>
          <w:tcPr>
            <w:tcW w:w="960" w:type="pct"/>
          </w:tcPr>
          <w:p w14:paraId="5ED98595" w14:textId="77777777" w:rsidR="00261CAB" w:rsidRPr="00A342F6" w:rsidRDefault="00261CAB" w:rsidP="00A361A7">
            <w:pPr>
              <w:pStyle w:val="TableText"/>
              <w:jc w:val="center"/>
            </w:pPr>
            <w:r w:rsidRPr="00A342F6">
              <w:t>40 (24.2)</w:t>
            </w:r>
          </w:p>
        </w:tc>
        <w:tc>
          <w:tcPr>
            <w:tcW w:w="960" w:type="pct"/>
          </w:tcPr>
          <w:p w14:paraId="59E69FC9" w14:textId="77777777" w:rsidR="00261CAB" w:rsidRPr="00A342F6" w:rsidRDefault="00261CAB" w:rsidP="00A361A7">
            <w:pPr>
              <w:pStyle w:val="TableText"/>
              <w:jc w:val="center"/>
            </w:pPr>
            <w:r w:rsidRPr="00A342F6">
              <w:t>18 (11.0)</w:t>
            </w:r>
          </w:p>
        </w:tc>
        <w:tc>
          <w:tcPr>
            <w:tcW w:w="960" w:type="pct"/>
          </w:tcPr>
          <w:p w14:paraId="7F8CC91E" w14:textId="77777777" w:rsidR="00261CAB" w:rsidRPr="00A342F6" w:rsidRDefault="00261CAB" w:rsidP="00A361A7">
            <w:pPr>
              <w:pStyle w:val="TableText"/>
              <w:jc w:val="center"/>
            </w:pPr>
            <w:r w:rsidRPr="00A342F6">
              <w:t>0.13 (0.05, 0.21)</w:t>
            </w:r>
          </w:p>
        </w:tc>
      </w:tr>
    </w:tbl>
    <w:p w14:paraId="15D8AF55" w14:textId="77777777" w:rsidR="00261CAB" w:rsidRDefault="00261CAB" w:rsidP="00261CAB">
      <w:pPr>
        <w:pStyle w:val="TableFooter"/>
      </w:pPr>
      <w:r>
        <w:t>Source: Table 2.5-3, p82 of the submission.</w:t>
      </w:r>
    </w:p>
    <w:p w14:paraId="34CB1AA9" w14:textId="2EAB5510" w:rsidR="00261CAB" w:rsidRDefault="00261CAB" w:rsidP="00261CAB">
      <w:pPr>
        <w:pStyle w:val="TableFooter"/>
      </w:pPr>
      <w:r>
        <w:t>Abbreviations: BAT, best available therapy; cGVHD, chronic graft-versus-host-disease; CI, confidence interval; TSS, total symptom score.</w:t>
      </w:r>
    </w:p>
    <w:p w14:paraId="3D79390F" w14:textId="5F6A4566" w:rsidR="000F0EE1" w:rsidRPr="00082014" w:rsidRDefault="000F0EE1" w:rsidP="00A900CE">
      <w:pPr>
        <w:pStyle w:val="TableFooter"/>
      </w:pPr>
      <w:r w:rsidRPr="00082014">
        <w:t>Note: The Modified Lee cGVHD Symptom Scale consists of 30 items in 7 subscales (skin, eye, mouth, lung, nutrition, energy, and psychological). A reduction of 7 or more points in the total symptom score was considered to be a response.</w:t>
      </w:r>
      <w:r w:rsidR="00A900CE" w:rsidRPr="00A900CE">
        <w:t xml:space="preserve"> </w:t>
      </w:r>
      <w:r w:rsidR="00A900CE">
        <w:t xml:space="preserve">Subjects with change of or addition of new systemic </w:t>
      </w:r>
      <w:r w:rsidR="00A73C4B">
        <w:t>cGVHD</w:t>
      </w:r>
      <w:r w:rsidR="00A900CE">
        <w:t xml:space="preserve"> treatment are counted as non-responders irrespective of the TSS value.</w:t>
      </w:r>
    </w:p>
    <w:p w14:paraId="18D55B31" w14:textId="7883F36E" w:rsidR="00261CAB" w:rsidRDefault="00261CAB" w:rsidP="00261CAB">
      <w:pPr>
        <w:pStyle w:val="ExecSumBodyText"/>
      </w:pPr>
      <w:r w:rsidRPr="00261CAB">
        <w:t>Treatment with ruxolitinib was associated with a higher proportion of responders (total symptom score reduction ≥7 points) compared to BAT</w:t>
      </w:r>
      <w:r w:rsidR="000F0EE1">
        <w:t>.</w:t>
      </w:r>
    </w:p>
    <w:p w14:paraId="34BDD589" w14:textId="27421398" w:rsidR="009B4C64" w:rsidRPr="005016EE" w:rsidRDefault="009B4C64" w:rsidP="005016EE">
      <w:pPr>
        <w:pStyle w:val="ExecSumBodyText"/>
        <w:numPr>
          <w:ilvl w:val="1"/>
          <w:numId w:val="1"/>
        </w:numPr>
      </w:pPr>
      <w:r>
        <w:t>The Kaplan-Meier plot of overall</w:t>
      </w:r>
      <w:r w:rsidR="00A92881">
        <w:t xml:space="preserve"> </w:t>
      </w:r>
      <w:r w:rsidR="00F41D1F">
        <w:t xml:space="preserve">survival </w:t>
      </w:r>
      <w:r w:rsidR="00A92881">
        <w:t xml:space="preserve">for the </w:t>
      </w:r>
      <w:r>
        <w:t>REACH3 trial</w:t>
      </w:r>
      <w:r w:rsidR="00A92881">
        <w:t xml:space="preserve"> is presented in the figure below.</w:t>
      </w:r>
    </w:p>
    <w:p w14:paraId="630679B8" w14:textId="1B257354" w:rsidR="009B4C64" w:rsidRDefault="00513C76" w:rsidP="009B4C64">
      <w:pPr>
        <w:pStyle w:val="TableFigureCaption"/>
      </w:pPr>
      <w:r>
        <w:t xml:space="preserve">Figure </w:t>
      </w:r>
      <w:fldSimple w:instr=" SEQ Figure \* ARABIC " w:fldLock="1">
        <w:r w:rsidR="005A7A1C">
          <w:rPr>
            <w:noProof/>
          </w:rPr>
          <w:t>2</w:t>
        </w:r>
      </w:fldSimple>
      <w:r w:rsidR="009B4C64">
        <w:t>: Kaplan-Meier plot of overall survival</w:t>
      </w:r>
    </w:p>
    <w:p w14:paraId="0A786E93" w14:textId="77777777" w:rsidR="009B4C64" w:rsidRDefault="009B4C64" w:rsidP="009B4C64">
      <w:r w:rsidRPr="00BE20A6">
        <w:rPr>
          <w:noProof/>
        </w:rPr>
        <w:drawing>
          <wp:inline distT="0" distB="0" distL="0" distR="0" wp14:anchorId="623AD877" wp14:editId="5E5E474A">
            <wp:extent cx="5200012" cy="3733800"/>
            <wp:effectExtent l="0" t="0" r="1270" b="0"/>
            <wp:docPr id="14" name="Picture 14" descr="Figure 2: Kaplan-Meier plot of overall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2: Kaplan-Meier plot of overall survival"/>
                    <pic:cNvPicPr/>
                  </pic:nvPicPr>
                  <pic:blipFill>
                    <a:blip r:embed="rId16"/>
                    <a:stretch>
                      <a:fillRect/>
                    </a:stretch>
                  </pic:blipFill>
                  <pic:spPr>
                    <a:xfrm>
                      <a:off x="0" y="0"/>
                      <a:ext cx="5205086" cy="3737443"/>
                    </a:xfrm>
                    <a:prstGeom prst="rect">
                      <a:avLst/>
                    </a:prstGeom>
                  </pic:spPr>
                </pic:pic>
              </a:graphicData>
            </a:graphic>
          </wp:inline>
        </w:drawing>
      </w:r>
    </w:p>
    <w:p w14:paraId="4936B200" w14:textId="77777777" w:rsidR="009B4C64" w:rsidRDefault="009B4C64" w:rsidP="009B4C64">
      <w:pPr>
        <w:pStyle w:val="TableFigureFooter"/>
      </w:pPr>
      <w:r>
        <w:t>Source: Figure 2.5-2, p85 of the submission.</w:t>
      </w:r>
    </w:p>
    <w:p w14:paraId="52579778" w14:textId="3EE5163D" w:rsidR="009B4C64" w:rsidRDefault="009B4C64" w:rsidP="009B4C64">
      <w:pPr>
        <w:pStyle w:val="TableFigureFooter"/>
      </w:pPr>
      <w:r>
        <w:t>Abbreviations: BAT, best available therapy; BID, twice daily; CI, confidence interval; NE, not estimable; OS, overall survival; RUX, ruxolitinib.</w:t>
      </w:r>
    </w:p>
    <w:p w14:paraId="77DF0CD5" w14:textId="39F9108C" w:rsidR="005016EE" w:rsidRDefault="005016EE" w:rsidP="005016EE">
      <w:pPr>
        <w:pStyle w:val="ExecSumBodyText"/>
        <w:numPr>
          <w:ilvl w:val="1"/>
          <w:numId w:val="1"/>
        </w:numPr>
      </w:pPr>
      <w:r>
        <w:t>Kaplan-Meier estimates of overall survival for the REACH3 trial are presented in the table below.</w:t>
      </w:r>
    </w:p>
    <w:p w14:paraId="055ABEE6" w14:textId="40BC59D1" w:rsidR="009B4C64" w:rsidRPr="0042047F" w:rsidRDefault="00CF7791" w:rsidP="009B4C64">
      <w:pPr>
        <w:pStyle w:val="TableFigureCaption"/>
      </w:pPr>
      <w:r w:rsidRPr="0042047F">
        <w:t xml:space="preserve">Table </w:t>
      </w:r>
      <w:fldSimple w:instr=" SEQ Table \* ARABIC " w:fldLock="1">
        <w:r w:rsidR="005A7A1C">
          <w:rPr>
            <w:noProof/>
          </w:rPr>
          <w:t>7</w:t>
        </w:r>
      </w:fldSimple>
      <w:r w:rsidR="009B4C64" w:rsidRPr="0042047F">
        <w:t xml:space="preserve">: </w:t>
      </w:r>
      <w:r w:rsidR="009B4C64">
        <w:t>Kaplan-Meier estimate of overall survival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Kaplan-Meier estimate of overall survival"/>
      </w:tblPr>
      <w:tblGrid>
        <w:gridCol w:w="3347"/>
        <w:gridCol w:w="2835"/>
        <w:gridCol w:w="2835"/>
      </w:tblGrid>
      <w:tr w:rsidR="009B4C64" w:rsidRPr="00B84117" w14:paraId="379EBACA" w14:textId="77777777" w:rsidTr="00A361A7">
        <w:trPr>
          <w:tblHeader/>
        </w:trPr>
        <w:tc>
          <w:tcPr>
            <w:tcW w:w="1856" w:type="pct"/>
            <w:vAlign w:val="center"/>
          </w:tcPr>
          <w:p w14:paraId="055A2B0A" w14:textId="77777777" w:rsidR="009B4C64" w:rsidRPr="00B84117" w:rsidRDefault="009B4C64" w:rsidP="00A361A7">
            <w:pPr>
              <w:pStyle w:val="Tableheadingrow"/>
            </w:pPr>
          </w:p>
        </w:tc>
        <w:tc>
          <w:tcPr>
            <w:tcW w:w="1572" w:type="pct"/>
          </w:tcPr>
          <w:p w14:paraId="6F31DBEC" w14:textId="77777777" w:rsidR="009B4C64" w:rsidRDefault="009B4C64" w:rsidP="00A361A7">
            <w:pPr>
              <w:pStyle w:val="Tableheadingrow"/>
              <w:jc w:val="center"/>
            </w:pPr>
            <w:r w:rsidRPr="00F96626">
              <w:t xml:space="preserve">Ruxolitinib </w:t>
            </w:r>
          </w:p>
          <w:p w14:paraId="66CEDCE6" w14:textId="77777777" w:rsidR="009B4C64" w:rsidRPr="00B84117" w:rsidRDefault="009B4C64" w:rsidP="00A361A7">
            <w:pPr>
              <w:pStyle w:val="Tableheadingrow"/>
              <w:jc w:val="center"/>
            </w:pPr>
            <w:r w:rsidRPr="00F96626">
              <w:t>(N = 165)</w:t>
            </w:r>
          </w:p>
        </w:tc>
        <w:tc>
          <w:tcPr>
            <w:tcW w:w="1572" w:type="pct"/>
          </w:tcPr>
          <w:p w14:paraId="28FD609D" w14:textId="77777777" w:rsidR="009B4C64" w:rsidRDefault="009B4C64" w:rsidP="00A361A7">
            <w:pPr>
              <w:pStyle w:val="Tableheadingrow"/>
              <w:jc w:val="center"/>
            </w:pPr>
            <w:r w:rsidRPr="00F96626">
              <w:t xml:space="preserve">BAT </w:t>
            </w:r>
          </w:p>
          <w:p w14:paraId="1B702095" w14:textId="77777777" w:rsidR="009B4C64" w:rsidRPr="00B84117" w:rsidRDefault="009B4C64" w:rsidP="00A361A7">
            <w:pPr>
              <w:pStyle w:val="Tableheadingrow"/>
              <w:jc w:val="center"/>
            </w:pPr>
            <w:r w:rsidRPr="00F96626">
              <w:t>(N = 164)</w:t>
            </w:r>
          </w:p>
        </w:tc>
      </w:tr>
      <w:tr w:rsidR="009B4C64" w:rsidRPr="00B1011F" w14:paraId="7D327894" w14:textId="77777777" w:rsidTr="00A361A7">
        <w:trPr>
          <w:trHeight w:val="62"/>
        </w:trPr>
        <w:tc>
          <w:tcPr>
            <w:tcW w:w="5000" w:type="pct"/>
            <w:gridSpan w:val="3"/>
          </w:tcPr>
          <w:p w14:paraId="5F7095DF" w14:textId="77777777" w:rsidR="009B4C64" w:rsidRPr="009163F3" w:rsidRDefault="009B4C64" w:rsidP="00A361A7">
            <w:pPr>
              <w:pStyle w:val="TableText"/>
              <w:rPr>
                <w:b/>
                <w:bCs w:val="0"/>
              </w:rPr>
            </w:pPr>
            <w:r>
              <w:rPr>
                <w:b/>
                <w:bCs w:val="0"/>
              </w:rPr>
              <w:t>Overall survival</w:t>
            </w:r>
          </w:p>
        </w:tc>
      </w:tr>
      <w:tr w:rsidR="009B4C64" w:rsidRPr="00B1011F" w14:paraId="2EC67DED" w14:textId="77777777" w:rsidTr="00A361A7">
        <w:trPr>
          <w:trHeight w:val="62"/>
        </w:trPr>
        <w:tc>
          <w:tcPr>
            <w:tcW w:w="1856" w:type="pct"/>
          </w:tcPr>
          <w:p w14:paraId="1448CD8A" w14:textId="77777777" w:rsidR="009B4C64" w:rsidRPr="00B1011F" w:rsidRDefault="009B4C64" w:rsidP="00A361A7">
            <w:pPr>
              <w:pStyle w:val="TableText"/>
            </w:pPr>
            <w:r w:rsidRPr="00BE72CE">
              <w:t>Number of events</w:t>
            </w:r>
            <w:r>
              <w:t>, n (%)</w:t>
            </w:r>
          </w:p>
        </w:tc>
        <w:tc>
          <w:tcPr>
            <w:tcW w:w="1572" w:type="pct"/>
          </w:tcPr>
          <w:p w14:paraId="4801DFB4" w14:textId="77777777" w:rsidR="009B4C64" w:rsidRPr="00B1011F" w:rsidRDefault="009B4C64" w:rsidP="00A361A7">
            <w:pPr>
              <w:pStyle w:val="TableText"/>
              <w:jc w:val="center"/>
            </w:pPr>
            <w:r w:rsidRPr="00AE3CCA">
              <w:t>31 (18.8)</w:t>
            </w:r>
          </w:p>
        </w:tc>
        <w:tc>
          <w:tcPr>
            <w:tcW w:w="1572" w:type="pct"/>
          </w:tcPr>
          <w:p w14:paraId="0AEFDB8E" w14:textId="77777777" w:rsidR="009B4C64" w:rsidRPr="00B1011F" w:rsidRDefault="009B4C64" w:rsidP="00A361A7">
            <w:pPr>
              <w:pStyle w:val="TableText"/>
              <w:jc w:val="center"/>
            </w:pPr>
            <w:r w:rsidRPr="00ED286E">
              <w:t>27 (16.5)</w:t>
            </w:r>
          </w:p>
        </w:tc>
      </w:tr>
      <w:tr w:rsidR="009B4C64" w:rsidRPr="00B1011F" w14:paraId="4A2F2BFC" w14:textId="77777777" w:rsidTr="00A361A7">
        <w:trPr>
          <w:trHeight w:val="62"/>
        </w:trPr>
        <w:tc>
          <w:tcPr>
            <w:tcW w:w="1856" w:type="pct"/>
          </w:tcPr>
          <w:p w14:paraId="0FD9AE70" w14:textId="77777777" w:rsidR="009B4C64" w:rsidRPr="007F72F7" w:rsidRDefault="009B4C64" w:rsidP="00A361A7">
            <w:pPr>
              <w:pStyle w:val="TableText"/>
            </w:pPr>
            <w:r w:rsidRPr="00BE72CE">
              <w:t>Number censored</w:t>
            </w:r>
            <w:r>
              <w:t>, n (%)</w:t>
            </w:r>
          </w:p>
        </w:tc>
        <w:tc>
          <w:tcPr>
            <w:tcW w:w="1572" w:type="pct"/>
          </w:tcPr>
          <w:p w14:paraId="2D05C126" w14:textId="77777777" w:rsidR="009B4C64" w:rsidRPr="00B1011F" w:rsidRDefault="009B4C64" w:rsidP="00A361A7">
            <w:pPr>
              <w:pStyle w:val="TableText"/>
              <w:jc w:val="center"/>
            </w:pPr>
            <w:r w:rsidRPr="00AE3CCA">
              <w:t>134 (81.2)</w:t>
            </w:r>
          </w:p>
        </w:tc>
        <w:tc>
          <w:tcPr>
            <w:tcW w:w="1572" w:type="pct"/>
          </w:tcPr>
          <w:p w14:paraId="50CFAD10" w14:textId="77777777" w:rsidR="009B4C64" w:rsidRPr="007F72F7" w:rsidRDefault="009B4C64" w:rsidP="00A361A7">
            <w:pPr>
              <w:pStyle w:val="TableText"/>
              <w:jc w:val="center"/>
            </w:pPr>
            <w:r w:rsidRPr="00ED286E">
              <w:t>137 (83.5)</w:t>
            </w:r>
          </w:p>
        </w:tc>
      </w:tr>
      <w:tr w:rsidR="009B4C64" w:rsidRPr="00B1011F" w14:paraId="0CE9032E" w14:textId="77777777" w:rsidTr="00A361A7">
        <w:trPr>
          <w:trHeight w:val="62"/>
        </w:trPr>
        <w:tc>
          <w:tcPr>
            <w:tcW w:w="1856" w:type="pct"/>
          </w:tcPr>
          <w:p w14:paraId="0EB72EFA" w14:textId="77777777" w:rsidR="009B4C64" w:rsidRPr="007F72F7" w:rsidRDefault="009B4C64" w:rsidP="00A361A7">
            <w:pPr>
              <w:pStyle w:val="TableText"/>
            </w:pPr>
            <w:r w:rsidRPr="00BE72CE">
              <w:t>Hazard ratio</w:t>
            </w:r>
            <w:r>
              <w:t xml:space="preserve"> (95% CI)</w:t>
            </w:r>
          </w:p>
        </w:tc>
        <w:tc>
          <w:tcPr>
            <w:tcW w:w="3144" w:type="pct"/>
            <w:gridSpan w:val="2"/>
          </w:tcPr>
          <w:p w14:paraId="2491EACA" w14:textId="77777777" w:rsidR="009B4C64" w:rsidRPr="007F72F7" w:rsidRDefault="009B4C64" w:rsidP="00A361A7">
            <w:pPr>
              <w:pStyle w:val="TableText"/>
              <w:jc w:val="center"/>
            </w:pPr>
            <w:r w:rsidRPr="00D137F4">
              <w:t>1.0</w:t>
            </w:r>
            <w:r>
              <w:t>9</w:t>
            </w:r>
            <w:r w:rsidRPr="00D137F4">
              <w:t xml:space="preserve"> (0.6</w:t>
            </w:r>
            <w:r>
              <w:t>5</w:t>
            </w:r>
            <w:r w:rsidRPr="00D137F4">
              <w:t>, 1.82)</w:t>
            </w:r>
          </w:p>
        </w:tc>
      </w:tr>
      <w:tr w:rsidR="009B4C64" w:rsidRPr="00B1011F" w14:paraId="30B50244" w14:textId="77777777" w:rsidTr="00A361A7">
        <w:trPr>
          <w:trHeight w:val="62"/>
        </w:trPr>
        <w:tc>
          <w:tcPr>
            <w:tcW w:w="1856" w:type="pct"/>
          </w:tcPr>
          <w:p w14:paraId="622BAD3D" w14:textId="77777777" w:rsidR="009B4C64" w:rsidRPr="007F72F7" w:rsidRDefault="009B4C64" w:rsidP="00A361A7">
            <w:pPr>
              <w:pStyle w:val="TableText"/>
            </w:pPr>
            <w:r w:rsidRPr="00BE72CE">
              <w:t xml:space="preserve">Median </w:t>
            </w:r>
            <w:r>
              <w:t xml:space="preserve">OS, </w:t>
            </w:r>
            <w:r w:rsidRPr="00BE72CE">
              <w:t>months (95% CI)</w:t>
            </w:r>
          </w:p>
        </w:tc>
        <w:tc>
          <w:tcPr>
            <w:tcW w:w="1572" w:type="pct"/>
          </w:tcPr>
          <w:p w14:paraId="40A1D979" w14:textId="77777777" w:rsidR="009B4C64" w:rsidRPr="00B1011F" w:rsidRDefault="009B4C64" w:rsidP="00A361A7">
            <w:pPr>
              <w:pStyle w:val="TableText"/>
              <w:jc w:val="center"/>
            </w:pPr>
            <w:r w:rsidRPr="00F95663">
              <w:t>NE (NE, NE)</w:t>
            </w:r>
          </w:p>
        </w:tc>
        <w:tc>
          <w:tcPr>
            <w:tcW w:w="1572" w:type="pct"/>
          </w:tcPr>
          <w:p w14:paraId="1C20C868" w14:textId="77777777" w:rsidR="009B4C64" w:rsidRPr="007F72F7" w:rsidRDefault="009B4C64" w:rsidP="00A361A7">
            <w:pPr>
              <w:pStyle w:val="TableText"/>
              <w:jc w:val="center"/>
            </w:pPr>
            <w:r w:rsidRPr="00F95663">
              <w:t>NE (NE, NE)</w:t>
            </w:r>
          </w:p>
        </w:tc>
      </w:tr>
      <w:tr w:rsidR="009B4C64" w:rsidRPr="00B1011F" w14:paraId="312B30CB" w14:textId="77777777" w:rsidTr="00A361A7">
        <w:trPr>
          <w:trHeight w:val="62"/>
        </w:trPr>
        <w:tc>
          <w:tcPr>
            <w:tcW w:w="1856" w:type="pct"/>
          </w:tcPr>
          <w:p w14:paraId="2B24C54B" w14:textId="77777777" w:rsidR="009B4C64" w:rsidRDefault="009B4C64" w:rsidP="00A361A7">
            <w:pPr>
              <w:pStyle w:val="TableText"/>
            </w:pPr>
            <w:r>
              <w:t>Kaplan Meier of OS, % (95% CI)</w:t>
            </w:r>
          </w:p>
          <w:p w14:paraId="3CB198E0" w14:textId="77777777" w:rsidR="009B4C64" w:rsidRDefault="009B4C64" w:rsidP="00A361A7">
            <w:pPr>
              <w:pStyle w:val="TableText"/>
            </w:pPr>
            <w:r>
              <w:t>- 6 months</w:t>
            </w:r>
          </w:p>
          <w:p w14:paraId="04429FEC" w14:textId="77777777" w:rsidR="009B4C64" w:rsidRDefault="009B4C64" w:rsidP="00A361A7">
            <w:pPr>
              <w:pStyle w:val="TableText"/>
            </w:pPr>
            <w:r>
              <w:t>- 12 months</w:t>
            </w:r>
          </w:p>
          <w:p w14:paraId="0AFDCC59" w14:textId="77777777" w:rsidR="009B4C64" w:rsidRDefault="009B4C64" w:rsidP="00A361A7">
            <w:pPr>
              <w:pStyle w:val="TableText"/>
            </w:pPr>
            <w:r>
              <w:t>- 18 months</w:t>
            </w:r>
          </w:p>
          <w:p w14:paraId="45951ADE" w14:textId="77777777" w:rsidR="009B4C64" w:rsidRPr="007F72F7" w:rsidRDefault="009B4C64" w:rsidP="00A361A7">
            <w:pPr>
              <w:pStyle w:val="TableText"/>
            </w:pPr>
            <w:r>
              <w:t>- 24 months</w:t>
            </w:r>
          </w:p>
        </w:tc>
        <w:tc>
          <w:tcPr>
            <w:tcW w:w="1572" w:type="pct"/>
          </w:tcPr>
          <w:p w14:paraId="04349AC2" w14:textId="77777777" w:rsidR="009B4C64" w:rsidRDefault="009B4C64" w:rsidP="00A361A7">
            <w:pPr>
              <w:pStyle w:val="TableText"/>
              <w:jc w:val="center"/>
            </w:pPr>
          </w:p>
          <w:p w14:paraId="7121AB5D" w14:textId="77777777" w:rsidR="009B4C64" w:rsidRDefault="009B4C64" w:rsidP="00A361A7">
            <w:pPr>
              <w:pStyle w:val="TableText"/>
              <w:jc w:val="center"/>
            </w:pPr>
            <w:r>
              <w:t>90.7 (84.4, 93.9)</w:t>
            </w:r>
          </w:p>
          <w:p w14:paraId="33B7F30A" w14:textId="77777777" w:rsidR="009B4C64" w:rsidRDefault="009B4C64" w:rsidP="00A361A7">
            <w:pPr>
              <w:pStyle w:val="TableText"/>
              <w:jc w:val="center"/>
            </w:pPr>
            <w:r>
              <w:t>81.4 (74.1, 86.8)</w:t>
            </w:r>
          </w:p>
          <w:p w14:paraId="32F3A1F9" w14:textId="77777777" w:rsidR="009B4C64" w:rsidRDefault="009B4C64" w:rsidP="00A361A7">
            <w:pPr>
              <w:pStyle w:val="TableText"/>
              <w:jc w:val="center"/>
            </w:pPr>
            <w:r>
              <w:t>80.3 (72.7, 86.0)</w:t>
            </w:r>
          </w:p>
          <w:p w14:paraId="4799910B" w14:textId="77777777" w:rsidR="009B4C64" w:rsidRPr="00B1011F" w:rsidRDefault="009B4C64" w:rsidP="00A361A7">
            <w:pPr>
              <w:pStyle w:val="TableText"/>
              <w:jc w:val="center"/>
            </w:pPr>
            <w:r>
              <w:t>74.0 (61.8, 82.8)</w:t>
            </w:r>
          </w:p>
        </w:tc>
        <w:tc>
          <w:tcPr>
            <w:tcW w:w="1572" w:type="pct"/>
          </w:tcPr>
          <w:p w14:paraId="695E26B0" w14:textId="77777777" w:rsidR="009B4C64" w:rsidRDefault="009B4C64" w:rsidP="00A361A7">
            <w:pPr>
              <w:pStyle w:val="TableText"/>
              <w:jc w:val="center"/>
            </w:pPr>
          </w:p>
          <w:p w14:paraId="5BFF2A04" w14:textId="77777777" w:rsidR="009B4C64" w:rsidRDefault="009B4C64" w:rsidP="00A361A7">
            <w:pPr>
              <w:pStyle w:val="TableText"/>
              <w:jc w:val="center"/>
            </w:pPr>
            <w:r>
              <w:t>92.9 (87.5, 96.0)</w:t>
            </w:r>
          </w:p>
          <w:p w14:paraId="66FBD3DC" w14:textId="4D5928DD" w:rsidR="009B4C64" w:rsidRDefault="009B4C64" w:rsidP="00A361A7">
            <w:pPr>
              <w:pStyle w:val="TableText"/>
              <w:jc w:val="center"/>
            </w:pPr>
            <w:r>
              <w:t>83.</w:t>
            </w:r>
            <w:r w:rsidR="009065FD">
              <w:t>8</w:t>
            </w:r>
            <w:r>
              <w:t xml:space="preserve"> (76.5, 89.0)</w:t>
            </w:r>
          </w:p>
          <w:p w14:paraId="65FB9B27" w14:textId="70818F1B" w:rsidR="009B4C64" w:rsidRDefault="009B4C64" w:rsidP="00A361A7">
            <w:pPr>
              <w:pStyle w:val="TableText"/>
              <w:jc w:val="center"/>
            </w:pPr>
            <w:r>
              <w:t>81.8 (74.2, 87.4)</w:t>
            </w:r>
          </w:p>
          <w:p w14:paraId="007C0728" w14:textId="355C036F" w:rsidR="009B4C64" w:rsidRPr="007F72F7" w:rsidRDefault="009B4C64" w:rsidP="00A361A7">
            <w:pPr>
              <w:pStyle w:val="TableText"/>
              <w:jc w:val="center"/>
            </w:pPr>
            <w:r>
              <w:t>75.2 (62.4, 84.2)</w:t>
            </w:r>
          </w:p>
        </w:tc>
      </w:tr>
    </w:tbl>
    <w:p w14:paraId="60FBBC7A" w14:textId="6FEB28AC" w:rsidR="009B4C64" w:rsidRDefault="009B4C64" w:rsidP="009B4C64">
      <w:pPr>
        <w:pStyle w:val="TableFooter"/>
      </w:pPr>
      <w:r>
        <w:t xml:space="preserve">Source: </w:t>
      </w:r>
      <w:bookmarkStart w:id="34" w:name="_Hlk103605992"/>
      <w:r>
        <w:t>Table 2.5-</w:t>
      </w:r>
      <w:r w:rsidR="001F68F6">
        <w:t>6</w:t>
      </w:r>
      <w:r>
        <w:t>, p8</w:t>
      </w:r>
      <w:r w:rsidR="001F68F6">
        <w:t>4</w:t>
      </w:r>
      <w:r>
        <w:t xml:space="preserve"> </w:t>
      </w:r>
      <w:bookmarkEnd w:id="34"/>
      <w:r>
        <w:t>of the submission.</w:t>
      </w:r>
    </w:p>
    <w:p w14:paraId="347A8CC5" w14:textId="77777777" w:rsidR="009B4C64" w:rsidRDefault="009B4C64" w:rsidP="009B4C64">
      <w:pPr>
        <w:pStyle w:val="TableFooter"/>
      </w:pPr>
      <w:r>
        <w:t>Abbreviations: BAT, best available therapy; CI, confidence interval; NE, not estimable; OS, overall survival.</w:t>
      </w:r>
    </w:p>
    <w:p w14:paraId="3128C1FB" w14:textId="6BB837A6" w:rsidR="004326F6" w:rsidRPr="00A6154D" w:rsidRDefault="009B4C64" w:rsidP="004326F6">
      <w:pPr>
        <w:pStyle w:val="ExecSumBodyText"/>
        <w:numPr>
          <w:ilvl w:val="1"/>
          <w:numId w:val="1"/>
        </w:numPr>
      </w:pPr>
      <w:r w:rsidRPr="00A6154D">
        <w:t>There was no statistically significant difference in overall survival between the ruxolitinib and BAT arms</w:t>
      </w:r>
      <w:r w:rsidR="000F0EE1" w:rsidRPr="00A6154D">
        <w:t xml:space="preserve">. </w:t>
      </w:r>
      <w:r w:rsidR="00B83C02" w:rsidRPr="00A6154D">
        <w:t xml:space="preserve">The PSCR stated that the REACH3 trial was not powered to detect a difference in OS. </w:t>
      </w:r>
      <w:r w:rsidRPr="00A6154D">
        <w:t xml:space="preserve">The overall results were relatively immature, with the median overall survival not reached in either arm. </w:t>
      </w:r>
      <w:r w:rsidR="00B83C02" w:rsidRPr="00A6154D">
        <w:t xml:space="preserve">The PSCR stated that the next data cut is not expected until 2023. </w:t>
      </w:r>
      <w:r w:rsidRPr="00A6154D">
        <w:t xml:space="preserve">The </w:t>
      </w:r>
      <w:r w:rsidR="00BB532A" w:rsidRPr="00A6154D">
        <w:t xml:space="preserve">ESC noted that </w:t>
      </w:r>
      <w:r w:rsidRPr="00A6154D">
        <w:t xml:space="preserve">overall survival results </w:t>
      </w:r>
      <w:r w:rsidR="00BB532A" w:rsidRPr="00A6154D">
        <w:t>we</w:t>
      </w:r>
      <w:r w:rsidRPr="00A6154D">
        <w:t>re likely to have been impacted by subsequent treatments, including patients in the BAT arm crossing over to receive treatment with ruxolitinib.</w:t>
      </w:r>
    </w:p>
    <w:p w14:paraId="6E5E94FF" w14:textId="32B11FB2" w:rsidR="000F0EE1" w:rsidRPr="00A6154D" w:rsidRDefault="004326F6" w:rsidP="004326F6">
      <w:pPr>
        <w:pStyle w:val="ExecSumBodyText"/>
        <w:numPr>
          <w:ilvl w:val="1"/>
          <w:numId w:val="1"/>
        </w:numPr>
      </w:pPr>
      <w:r w:rsidRPr="00A6154D">
        <w:t>The estimated Kaplan-Meier duration of response was longer in the ruxolitinib arm compared to the BAT arm (median duration of response</w:t>
      </w:r>
      <w:r w:rsidR="009647B0" w:rsidRPr="00A6154D">
        <w:t xml:space="preserve">: ruxolitinib = </w:t>
      </w:r>
      <w:r w:rsidRPr="00A6154D">
        <w:t xml:space="preserve">not reached versus </w:t>
      </w:r>
      <w:r w:rsidR="009647B0" w:rsidRPr="00A6154D">
        <w:t xml:space="preserve">BAT = </w:t>
      </w:r>
      <w:r w:rsidRPr="00A6154D">
        <w:t xml:space="preserve">6.2 months; Kaplan-Meier estimate of response duration at 18 months: </w:t>
      </w:r>
      <w:r w:rsidR="009647B0" w:rsidRPr="00A6154D">
        <w:t xml:space="preserve">ruxolitinib = </w:t>
      </w:r>
      <w:r w:rsidRPr="00A6154D">
        <w:t xml:space="preserve">63.5% </w:t>
      </w:r>
      <w:r w:rsidR="009647B0" w:rsidRPr="00A6154D">
        <w:t xml:space="preserve">versus BAT = </w:t>
      </w:r>
      <w:r w:rsidRPr="00A6154D">
        <w:t>36.7%).</w:t>
      </w:r>
    </w:p>
    <w:p w14:paraId="0A880BBE" w14:textId="3A2754E4" w:rsidR="0047652D" w:rsidRPr="00A6154D" w:rsidRDefault="00444436" w:rsidP="005016EE">
      <w:pPr>
        <w:pStyle w:val="ExecSumBodyText"/>
        <w:numPr>
          <w:ilvl w:val="1"/>
          <w:numId w:val="1"/>
        </w:numPr>
      </w:pPr>
      <w:r w:rsidRPr="00A6154D">
        <w:t xml:space="preserve">A </w:t>
      </w:r>
      <w:r w:rsidR="0047652D" w:rsidRPr="00A6154D">
        <w:t xml:space="preserve">higher proportion of patients in the ruxolitinib arm had completely tapered off systemic corticosteroids compared to the BAT arm </w:t>
      </w:r>
      <w:r w:rsidRPr="00A6154D">
        <w:t xml:space="preserve">after 24 weeks </w:t>
      </w:r>
      <w:r w:rsidR="0047652D" w:rsidRPr="00A6154D">
        <w:t>(</w:t>
      </w:r>
      <w:r w:rsidR="009647B0" w:rsidRPr="00A6154D">
        <w:t xml:space="preserve">ruxolitinib = </w:t>
      </w:r>
      <w:r w:rsidR="0047652D" w:rsidRPr="00A6154D">
        <w:t xml:space="preserve">24% versus </w:t>
      </w:r>
      <w:r w:rsidR="009647B0" w:rsidRPr="00A6154D">
        <w:t xml:space="preserve">BAT = </w:t>
      </w:r>
      <w:r w:rsidR="0047652D" w:rsidRPr="00A6154D">
        <w:t>17%</w:t>
      </w:r>
      <w:r w:rsidR="00695509" w:rsidRPr="00A6154D">
        <w:t>).</w:t>
      </w:r>
    </w:p>
    <w:p w14:paraId="4A23FC94" w14:textId="24E56F35" w:rsidR="0039483A" w:rsidRPr="00A6154D" w:rsidRDefault="0039483A" w:rsidP="005016EE">
      <w:pPr>
        <w:pStyle w:val="ExecSumBodyText"/>
        <w:numPr>
          <w:ilvl w:val="1"/>
          <w:numId w:val="1"/>
        </w:numPr>
      </w:pPr>
      <w:r w:rsidRPr="00A6154D">
        <w:t>At Week 24, the mean change from baseline of the FACT-BMT trial outcome index was numerically higher in the ruxolitinib arm (4.1) compared to the BAT arm (-0.2). The mean (SD) change from baseline of EQ-5D-5L score was similar between two arms, 0.07 (0.233) in the ruxolitinib arm (n = 90) v</w:t>
      </w:r>
      <w:r w:rsidR="009647B0" w:rsidRPr="00A6154D">
        <w:t>ersu</w:t>
      </w:r>
      <w:r w:rsidRPr="00A6154D">
        <w:t>s 0.00 (0.226) in the BAT arm (n = 84).</w:t>
      </w:r>
    </w:p>
    <w:p w14:paraId="4489A6C0" w14:textId="167088FC" w:rsidR="009F0897" w:rsidRDefault="009F0897" w:rsidP="009F0897">
      <w:pPr>
        <w:pStyle w:val="4-SubsectSubhead"/>
      </w:pPr>
      <w:r>
        <w:t>Acute GVHD</w:t>
      </w:r>
    </w:p>
    <w:p w14:paraId="6445CCD6" w14:textId="4C5B21E4" w:rsidR="0070428C" w:rsidRPr="00284397" w:rsidRDefault="0070428C" w:rsidP="0070428C">
      <w:pPr>
        <w:pStyle w:val="ExecSumBodyText"/>
        <w:numPr>
          <w:ilvl w:val="1"/>
          <w:numId w:val="1"/>
        </w:numPr>
      </w:pPr>
      <w:r>
        <w:rPr>
          <w:snapToGrid/>
          <w:lang w:val="en-US"/>
        </w:rPr>
        <w:t>R</w:t>
      </w:r>
      <w:r w:rsidRPr="00854630">
        <w:rPr>
          <w:snapToGrid/>
          <w:lang w:val="en-US"/>
        </w:rPr>
        <w:t xml:space="preserve">esults for the </w:t>
      </w:r>
      <w:r>
        <w:rPr>
          <w:snapToGrid/>
          <w:lang w:val="en-US"/>
        </w:rPr>
        <w:t>REACH</w:t>
      </w:r>
      <w:r w:rsidR="0074201C">
        <w:rPr>
          <w:snapToGrid/>
          <w:lang w:val="en-US"/>
        </w:rPr>
        <w:t>2</w:t>
      </w:r>
      <w:r>
        <w:rPr>
          <w:snapToGrid/>
          <w:lang w:val="en-US"/>
        </w:rPr>
        <w:t xml:space="preserve"> </w:t>
      </w:r>
      <w:r w:rsidRPr="00854630">
        <w:rPr>
          <w:snapToGrid/>
          <w:lang w:val="en-US"/>
        </w:rPr>
        <w:t xml:space="preserve">primary outcome of overall response rate at </w:t>
      </w:r>
      <w:r w:rsidR="0074201C">
        <w:rPr>
          <w:snapToGrid/>
          <w:lang w:val="en-US"/>
        </w:rPr>
        <w:t>Day 28</w:t>
      </w:r>
      <w:r>
        <w:rPr>
          <w:snapToGrid/>
          <w:lang w:val="en-US"/>
        </w:rPr>
        <w:t xml:space="preserve"> </w:t>
      </w:r>
      <w:r w:rsidR="0074201C">
        <w:rPr>
          <w:snapToGrid/>
          <w:lang w:val="en-US"/>
        </w:rPr>
        <w:t xml:space="preserve">and key secondary outcome of durable overall response at Day 56 </w:t>
      </w:r>
      <w:r>
        <w:rPr>
          <w:snapToGrid/>
          <w:lang w:val="en-US"/>
        </w:rPr>
        <w:t>are presented in the table be</w:t>
      </w:r>
      <w:r w:rsidRPr="00284397">
        <w:rPr>
          <w:snapToGrid/>
          <w:lang w:val="en-US"/>
        </w:rPr>
        <w:t>low.</w:t>
      </w:r>
    </w:p>
    <w:p w14:paraId="19DF3FAE" w14:textId="6D9F9820" w:rsidR="0074201C" w:rsidRPr="0042047F" w:rsidRDefault="00CF7791" w:rsidP="0074201C">
      <w:pPr>
        <w:pStyle w:val="TableFigureCaption"/>
      </w:pPr>
      <w:r w:rsidRPr="0042047F">
        <w:t xml:space="preserve">Table </w:t>
      </w:r>
      <w:fldSimple w:instr=" SEQ Table \* ARABIC " w:fldLock="1">
        <w:r w:rsidR="005A7A1C">
          <w:rPr>
            <w:noProof/>
          </w:rPr>
          <w:t>8</w:t>
        </w:r>
      </w:fldSimple>
      <w:r w:rsidR="0074201C" w:rsidRPr="0042047F">
        <w:t xml:space="preserve">: </w:t>
      </w:r>
      <w:r w:rsidR="0074201C">
        <w:t>Results of the primary and key secondary outcomes in the REACH2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Results of the primary and key secondary outcomes in the REACH2 trial"/>
      </w:tblPr>
      <w:tblGrid>
        <w:gridCol w:w="2546"/>
        <w:gridCol w:w="2157"/>
        <w:gridCol w:w="2157"/>
        <w:gridCol w:w="2157"/>
      </w:tblGrid>
      <w:tr w:rsidR="0074201C" w:rsidRPr="00B84117" w14:paraId="4C41E528" w14:textId="77777777" w:rsidTr="00A361A7">
        <w:trPr>
          <w:tblHeader/>
        </w:trPr>
        <w:tc>
          <w:tcPr>
            <w:tcW w:w="1412" w:type="pct"/>
            <w:vAlign w:val="center"/>
          </w:tcPr>
          <w:p w14:paraId="249ABED2" w14:textId="77777777" w:rsidR="0074201C" w:rsidRPr="00B84117" w:rsidRDefault="0074201C" w:rsidP="00A361A7">
            <w:pPr>
              <w:pStyle w:val="Tableheadingrow"/>
            </w:pPr>
          </w:p>
        </w:tc>
        <w:tc>
          <w:tcPr>
            <w:tcW w:w="1196" w:type="pct"/>
          </w:tcPr>
          <w:p w14:paraId="5F973223" w14:textId="77777777" w:rsidR="0074201C" w:rsidRDefault="0074201C" w:rsidP="00A361A7">
            <w:pPr>
              <w:pStyle w:val="Tableheadingrow"/>
              <w:jc w:val="center"/>
            </w:pPr>
            <w:r w:rsidRPr="00F96626">
              <w:t xml:space="preserve">Ruxolitinib </w:t>
            </w:r>
          </w:p>
          <w:p w14:paraId="466B5D3A" w14:textId="77777777" w:rsidR="0074201C" w:rsidRPr="00B84117" w:rsidRDefault="0074201C" w:rsidP="00A361A7">
            <w:pPr>
              <w:pStyle w:val="Tableheadingrow"/>
              <w:jc w:val="center"/>
            </w:pPr>
            <w:r w:rsidRPr="00F96626">
              <w:t xml:space="preserve">(N = </w:t>
            </w:r>
            <w:r>
              <w:t>154</w:t>
            </w:r>
            <w:r w:rsidRPr="00F96626">
              <w:t>)</w:t>
            </w:r>
          </w:p>
        </w:tc>
        <w:tc>
          <w:tcPr>
            <w:tcW w:w="1196" w:type="pct"/>
          </w:tcPr>
          <w:p w14:paraId="1FE46538" w14:textId="77777777" w:rsidR="0074201C" w:rsidRDefault="0074201C" w:rsidP="00A361A7">
            <w:pPr>
              <w:pStyle w:val="Tableheadingrow"/>
              <w:jc w:val="center"/>
            </w:pPr>
            <w:r w:rsidRPr="00F96626">
              <w:t xml:space="preserve">BAT </w:t>
            </w:r>
          </w:p>
          <w:p w14:paraId="180BE572" w14:textId="77777777" w:rsidR="0074201C" w:rsidRPr="00B84117" w:rsidRDefault="0074201C" w:rsidP="00A361A7">
            <w:pPr>
              <w:pStyle w:val="Tableheadingrow"/>
              <w:jc w:val="center"/>
            </w:pPr>
            <w:r w:rsidRPr="00F96626">
              <w:t xml:space="preserve">(N = </w:t>
            </w:r>
            <w:r>
              <w:t>155</w:t>
            </w:r>
            <w:r w:rsidRPr="00F96626">
              <w:t>)</w:t>
            </w:r>
          </w:p>
        </w:tc>
        <w:tc>
          <w:tcPr>
            <w:tcW w:w="1196" w:type="pct"/>
          </w:tcPr>
          <w:p w14:paraId="1B6E0090" w14:textId="6EBEA8A8" w:rsidR="0074201C" w:rsidRDefault="003819E8" w:rsidP="00A361A7">
            <w:pPr>
              <w:pStyle w:val="Tableheadingrow"/>
              <w:jc w:val="center"/>
            </w:pPr>
            <w:r>
              <w:t xml:space="preserve">Risk </w:t>
            </w:r>
            <w:r w:rsidR="00916FB7">
              <w:t>difference</w:t>
            </w:r>
          </w:p>
          <w:p w14:paraId="661845FD" w14:textId="77777777" w:rsidR="0074201C" w:rsidRPr="00F96626" w:rsidRDefault="0074201C" w:rsidP="00A361A7">
            <w:pPr>
              <w:pStyle w:val="Tableheadingrow"/>
              <w:jc w:val="center"/>
            </w:pPr>
            <w:r>
              <w:t>(95% CI)</w:t>
            </w:r>
          </w:p>
        </w:tc>
      </w:tr>
      <w:tr w:rsidR="0074201C" w:rsidRPr="00B1011F" w14:paraId="2112EDAE" w14:textId="77777777" w:rsidTr="00A361A7">
        <w:trPr>
          <w:trHeight w:val="62"/>
        </w:trPr>
        <w:tc>
          <w:tcPr>
            <w:tcW w:w="5000" w:type="pct"/>
            <w:gridSpan w:val="4"/>
          </w:tcPr>
          <w:p w14:paraId="17011F1A" w14:textId="77777777" w:rsidR="0074201C" w:rsidRPr="00667357" w:rsidRDefault="0074201C" w:rsidP="00A361A7">
            <w:pPr>
              <w:pStyle w:val="TableText"/>
              <w:rPr>
                <w:b/>
                <w:bCs w:val="0"/>
              </w:rPr>
            </w:pPr>
            <w:r>
              <w:rPr>
                <w:b/>
                <w:bCs w:val="0"/>
              </w:rPr>
              <w:t>Overall response rate at Day 28 (primary)</w:t>
            </w:r>
          </w:p>
        </w:tc>
      </w:tr>
      <w:tr w:rsidR="0074201C" w:rsidRPr="00B1011F" w14:paraId="1EF3BA1A" w14:textId="77777777" w:rsidTr="00A361A7">
        <w:trPr>
          <w:trHeight w:val="62"/>
        </w:trPr>
        <w:tc>
          <w:tcPr>
            <w:tcW w:w="1412" w:type="pct"/>
          </w:tcPr>
          <w:p w14:paraId="6E34FFC1" w14:textId="77777777" w:rsidR="0074201C" w:rsidRPr="00B1011F" w:rsidRDefault="0074201C" w:rsidP="00A361A7">
            <w:pPr>
              <w:pStyle w:val="TableText"/>
            </w:pPr>
            <w:r>
              <w:t>Overall response rate</w:t>
            </w:r>
            <w:r w:rsidRPr="006813BC">
              <w:t>, n (%</w:t>
            </w:r>
            <w:r>
              <w:t>)</w:t>
            </w:r>
          </w:p>
        </w:tc>
        <w:tc>
          <w:tcPr>
            <w:tcW w:w="1196" w:type="pct"/>
          </w:tcPr>
          <w:p w14:paraId="02447D43" w14:textId="77777777" w:rsidR="0074201C" w:rsidRPr="00B1011F" w:rsidRDefault="0074201C" w:rsidP="00A361A7">
            <w:pPr>
              <w:pStyle w:val="TableText"/>
              <w:jc w:val="center"/>
            </w:pPr>
            <w:r w:rsidRPr="00892030">
              <w:t>96 (62.3)</w:t>
            </w:r>
          </w:p>
        </w:tc>
        <w:tc>
          <w:tcPr>
            <w:tcW w:w="1196" w:type="pct"/>
          </w:tcPr>
          <w:p w14:paraId="1886276B" w14:textId="77777777" w:rsidR="0074201C" w:rsidRPr="00B1011F" w:rsidRDefault="0074201C" w:rsidP="00A361A7">
            <w:pPr>
              <w:pStyle w:val="TableText"/>
              <w:jc w:val="center"/>
            </w:pPr>
            <w:r w:rsidRPr="00892030">
              <w:t>61 (39.4)</w:t>
            </w:r>
          </w:p>
        </w:tc>
        <w:tc>
          <w:tcPr>
            <w:tcW w:w="1196" w:type="pct"/>
          </w:tcPr>
          <w:p w14:paraId="6DA2F090" w14:textId="77777777" w:rsidR="0074201C" w:rsidRPr="009B7488" w:rsidRDefault="0074201C" w:rsidP="00A361A7">
            <w:pPr>
              <w:pStyle w:val="TableText"/>
              <w:jc w:val="center"/>
              <w:rPr>
                <w:highlight w:val="yellow"/>
              </w:rPr>
            </w:pPr>
            <w:r w:rsidRPr="00667357">
              <w:t>0.23 (0.12, 0.34)</w:t>
            </w:r>
          </w:p>
        </w:tc>
      </w:tr>
      <w:tr w:rsidR="0074201C" w:rsidRPr="00B1011F" w14:paraId="0AD7E1F3" w14:textId="77777777" w:rsidTr="00A361A7">
        <w:trPr>
          <w:trHeight w:val="708"/>
        </w:trPr>
        <w:tc>
          <w:tcPr>
            <w:tcW w:w="1412" w:type="pct"/>
          </w:tcPr>
          <w:p w14:paraId="07373F9B" w14:textId="77777777" w:rsidR="0074201C" w:rsidRDefault="0074201C" w:rsidP="00A361A7">
            <w:pPr>
              <w:pStyle w:val="TableText"/>
            </w:pPr>
            <w:r>
              <w:t>Overall response components:</w:t>
            </w:r>
          </w:p>
          <w:p w14:paraId="6D8FCDB6" w14:textId="77777777" w:rsidR="0074201C" w:rsidRPr="00B1011F" w:rsidRDefault="0074201C" w:rsidP="00A361A7">
            <w:pPr>
              <w:pStyle w:val="TableText"/>
            </w:pPr>
            <w:r>
              <w:t xml:space="preserve">- </w:t>
            </w:r>
            <w:r w:rsidRPr="006813BC">
              <w:t>Complete response, n (%</w:t>
            </w:r>
            <w:r>
              <w:t>)</w:t>
            </w:r>
          </w:p>
          <w:p w14:paraId="40D3A5FE" w14:textId="77777777" w:rsidR="0074201C" w:rsidRDefault="0074201C" w:rsidP="00A361A7">
            <w:pPr>
              <w:pStyle w:val="TableText"/>
            </w:pPr>
            <w:r>
              <w:t xml:space="preserve">- </w:t>
            </w:r>
            <w:r w:rsidRPr="006813BC">
              <w:t>Partial response, n (%</w:t>
            </w:r>
            <w:r>
              <w:t>)</w:t>
            </w:r>
          </w:p>
        </w:tc>
        <w:tc>
          <w:tcPr>
            <w:tcW w:w="1196" w:type="pct"/>
          </w:tcPr>
          <w:p w14:paraId="1293EA40" w14:textId="77777777" w:rsidR="0074201C" w:rsidRDefault="0074201C" w:rsidP="00A361A7">
            <w:pPr>
              <w:pStyle w:val="TableText"/>
              <w:jc w:val="center"/>
            </w:pPr>
          </w:p>
          <w:p w14:paraId="4F8E5F15" w14:textId="77777777" w:rsidR="0074201C" w:rsidRDefault="0074201C" w:rsidP="00A361A7">
            <w:pPr>
              <w:pStyle w:val="TableText"/>
              <w:jc w:val="center"/>
            </w:pPr>
            <w:r>
              <w:t>53 (34.4)</w:t>
            </w:r>
          </w:p>
          <w:p w14:paraId="23E28D8F" w14:textId="77777777" w:rsidR="0074201C" w:rsidRDefault="0074201C" w:rsidP="00A361A7">
            <w:pPr>
              <w:pStyle w:val="TableText"/>
              <w:jc w:val="center"/>
            </w:pPr>
            <w:r>
              <w:t>43 (27.9)</w:t>
            </w:r>
          </w:p>
        </w:tc>
        <w:tc>
          <w:tcPr>
            <w:tcW w:w="1196" w:type="pct"/>
          </w:tcPr>
          <w:p w14:paraId="455D7420" w14:textId="77777777" w:rsidR="0074201C" w:rsidRDefault="0074201C" w:rsidP="00A361A7">
            <w:pPr>
              <w:pStyle w:val="TableText"/>
              <w:jc w:val="center"/>
            </w:pPr>
          </w:p>
          <w:p w14:paraId="2D3CCCEA" w14:textId="77777777" w:rsidR="0074201C" w:rsidRDefault="0074201C" w:rsidP="00A361A7">
            <w:pPr>
              <w:pStyle w:val="TableText"/>
              <w:jc w:val="center"/>
            </w:pPr>
            <w:r>
              <w:t>30 (19.4)</w:t>
            </w:r>
          </w:p>
          <w:p w14:paraId="108DE5F5" w14:textId="77777777" w:rsidR="0074201C" w:rsidRDefault="0074201C" w:rsidP="00A361A7">
            <w:pPr>
              <w:pStyle w:val="TableText"/>
              <w:jc w:val="center"/>
            </w:pPr>
            <w:r>
              <w:t>31 (20.0)</w:t>
            </w:r>
          </w:p>
        </w:tc>
        <w:tc>
          <w:tcPr>
            <w:tcW w:w="1196" w:type="pct"/>
          </w:tcPr>
          <w:p w14:paraId="2EBB9D48" w14:textId="77777777" w:rsidR="0074201C" w:rsidRPr="009D232E" w:rsidRDefault="0074201C" w:rsidP="00A361A7">
            <w:pPr>
              <w:pStyle w:val="TableText"/>
              <w:jc w:val="center"/>
            </w:pPr>
          </w:p>
          <w:p w14:paraId="6E8D8C40" w14:textId="77777777" w:rsidR="0074201C" w:rsidRPr="009D232E" w:rsidRDefault="0074201C" w:rsidP="00A361A7">
            <w:pPr>
              <w:pStyle w:val="TableText"/>
              <w:jc w:val="center"/>
            </w:pPr>
            <w:r w:rsidRPr="009D232E">
              <w:t>0.15 (NR)</w:t>
            </w:r>
          </w:p>
          <w:p w14:paraId="474A5CD3" w14:textId="77777777" w:rsidR="0074201C" w:rsidRPr="009D232E" w:rsidRDefault="0074201C" w:rsidP="00A361A7">
            <w:pPr>
              <w:pStyle w:val="TableText"/>
              <w:jc w:val="center"/>
            </w:pPr>
            <w:r w:rsidRPr="009D232E">
              <w:t>0.08 (NR)</w:t>
            </w:r>
          </w:p>
        </w:tc>
      </w:tr>
      <w:tr w:rsidR="0074201C" w:rsidRPr="00B1011F" w14:paraId="07AFE986" w14:textId="77777777" w:rsidTr="00A361A7">
        <w:trPr>
          <w:trHeight w:val="65"/>
        </w:trPr>
        <w:tc>
          <w:tcPr>
            <w:tcW w:w="5000" w:type="pct"/>
            <w:gridSpan w:val="4"/>
          </w:tcPr>
          <w:p w14:paraId="1703CBD8" w14:textId="49B5E11C" w:rsidR="0074201C" w:rsidRPr="007F5F59" w:rsidRDefault="0074201C" w:rsidP="00A361A7">
            <w:pPr>
              <w:pStyle w:val="TableText"/>
              <w:rPr>
                <w:b/>
                <w:bCs w:val="0"/>
                <w:vertAlign w:val="superscript"/>
              </w:rPr>
            </w:pPr>
            <w:r w:rsidRPr="009D232E">
              <w:rPr>
                <w:b/>
                <w:bCs w:val="0"/>
              </w:rPr>
              <w:t xml:space="preserve">Durable </w:t>
            </w:r>
            <w:r>
              <w:rPr>
                <w:b/>
                <w:bCs w:val="0"/>
              </w:rPr>
              <w:t>overall response</w:t>
            </w:r>
            <w:r w:rsidRPr="009D232E">
              <w:rPr>
                <w:b/>
                <w:bCs w:val="0"/>
              </w:rPr>
              <w:t xml:space="preserve"> at Day 56 (key secondary)</w:t>
            </w:r>
            <w:r w:rsidR="007F5F59">
              <w:rPr>
                <w:b/>
                <w:bCs w:val="0"/>
                <w:vertAlign w:val="superscript"/>
              </w:rPr>
              <w:t>1</w:t>
            </w:r>
          </w:p>
        </w:tc>
      </w:tr>
      <w:tr w:rsidR="0074201C" w:rsidRPr="00B1011F" w14:paraId="55864EA7" w14:textId="77777777" w:rsidTr="00A361A7">
        <w:trPr>
          <w:trHeight w:val="65"/>
        </w:trPr>
        <w:tc>
          <w:tcPr>
            <w:tcW w:w="1412" w:type="pct"/>
          </w:tcPr>
          <w:p w14:paraId="029E7B2C" w14:textId="77777777" w:rsidR="0074201C" w:rsidRDefault="0074201C" w:rsidP="00A361A7">
            <w:pPr>
              <w:pStyle w:val="TableText"/>
            </w:pPr>
            <w:r>
              <w:t>Overall response rate</w:t>
            </w:r>
            <w:r w:rsidRPr="006813BC">
              <w:t>, n (%</w:t>
            </w:r>
            <w:r>
              <w:t>)</w:t>
            </w:r>
          </w:p>
        </w:tc>
        <w:tc>
          <w:tcPr>
            <w:tcW w:w="1196" w:type="pct"/>
          </w:tcPr>
          <w:p w14:paraId="14E7F106" w14:textId="77777777" w:rsidR="0074201C" w:rsidRDefault="0074201C" w:rsidP="00A361A7">
            <w:pPr>
              <w:pStyle w:val="TableText"/>
              <w:jc w:val="center"/>
            </w:pPr>
            <w:r w:rsidRPr="00D32719">
              <w:t>61 (39.6)</w:t>
            </w:r>
          </w:p>
        </w:tc>
        <w:tc>
          <w:tcPr>
            <w:tcW w:w="1196" w:type="pct"/>
          </w:tcPr>
          <w:p w14:paraId="211622D7" w14:textId="77777777" w:rsidR="0074201C" w:rsidRDefault="0074201C" w:rsidP="00A361A7">
            <w:pPr>
              <w:pStyle w:val="TableText"/>
              <w:jc w:val="center"/>
            </w:pPr>
            <w:r w:rsidRPr="00D32719">
              <w:t>34 (21.9)</w:t>
            </w:r>
          </w:p>
        </w:tc>
        <w:tc>
          <w:tcPr>
            <w:tcW w:w="1196" w:type="pct"/>
          </w:tcPr>
          <w:p w14:paraId="69434A4D" w14:textId="77777777" w:rsidR="0074201C" w:rsidRPr="009D232E" w:rsidRDefault="0074201C" w:rsidP="00A361A7">
            <w:pPr>
              <w:pStyle w:val="TableText"/>
              <w:jc w:val="center"/>
            </w:pPr>
            <w:r w:rsidRPr="009D232E">
              <w:t>0.18 (0.08, 0.28)</w:t>
            </w:r>
          </w:p>
        </w:tc>
      </w:tr>
      <w:tr w:rsidR="0074201C" w:rsidRPr="00B1011F" w14:paraId="41280519" w14:textId="77777777" w:rsidTr="00A361A7">
        <w:trPr>
          <w:trHeight w:val="65"/>
        </w:trPr>
        <w:tc>
          <w:tcPr>
            <w:tcW w:w="1412" w:type="pct"/>
          </w:tcPr>
          <w:p w14:paraId="1C843EFA" w14:textId="77777777" w:rsidR="0074201C" w:rsidRDefault="0074201C" w:rsidP="00A361A7">
            <w:pPr>
              <w:pStyle w:val="TableText"/>
            </w:pPr>
            <w:r>
              <w:t>Overall response components:</w:t>
            </w:r>
          </w:p>
          <w:p w14:paraId="1870BC4A" w14:textId="77777777" w:rsidR="0074201C" w:rsidRPr="00B1011F" w:rsidRDefault="0074201C" w:rsidP="00A361A7">
            <w:pPr>
              <w:pStyle w:val="TableText"/>
            </w:pPr>
            <w:r>
              <w:t xml:space="preserve">- </w:t>
            </w:r>
            <w:r w:rsidRPr="006813BC">
              <w:t>Complete response, n (%</w:t>
            </w:r>
            <w:r>
              <w:t>)</w:t>
            </w:r>
          </w:p>
          <w:p w14:paraId="37F41097" w14:textId="77777777" w:rsidR="0074201C" w:rsidRDefault="0074201C" w:rsidP="00A361A7">
            <w:pPr>
              <w:pStyle w:val="TableText"/>
            </w:pPr>
            <w:r>
              <w:t xml:space="preserve">- </w:t>
            </w:r>
            <w:r w:rsidRPr="006813BC">
              <w:t>Partial response, n (%</w:t>
            </w:r>
            <w:r>
              <w:t>)</w:t>
            </w:r>
          </w:p>
        </w:tc>
        <w:tc>
          <w:tcPr>
            <w:tcW w:w="1196" w:type="pct"/>
          </w:tcPr>
          <w:p w14:paraId="292D430E" w14:textId="77777777" w:rsidR="0074201C" w:rsidRDefault="0074201C" w:rsidP="00A361A7">
            <w:pPr>
              <w:pStyle w:val="TableText"/>
              <w:jc w:val="center"/>
            </w:pPr>
          </w:p>
          <w:p w14:paraId="48722D87" w14:textId="77777777" w:rsidR="0074201C" w:rsidRDefault="0074201C" w:rsidP="00A361A7">
            <w:pPr>
              <w:pStyle w:val="TableText"/>
              <w:jc w:val="center"/>
            </w:pPr>
            <w:r>
              <w:t>41 (26.6)</w:t>
            </w:r>
          </w:p>
          <w:p w14:paraId="5F496BC8" w14:textId="77777777" w:rsidR="0074201C" w:rsidRDefault="0074201C" w:rsidP="00A361A7">
            <w:pPr>
              <w:pStyle w:val="TableText"/>
              <w:jc w:val="center"/>
            </w:pPr>
            <w:r>
              <w:t>20 (13.0)</w:t>
            </w:r>
          </w:p>
        </w:tc>
        <w:tc>
          <w:tcPr>
            <w:tcW w:w="1196" w:type="pct"/>
          </w:tcPr>
          <w:p w14:paraId="1EB8CC66" w14:textId="77777777" w:rsidR="0074201C" w:rsidRDefault="0074201C" w:rsidP="00A361A7">
            <w:pPr>
              <w:pStyle w:val="TableText"/>
              <w:jc w:val="center"/>
            </w:pPr>
          </w:p>
          <w:p w14:paraId="32861862" w14:textId="77777777" w:rsidR="0074201C" w:rsidRDefault="0074201C" w:rsidP="00A361A7">
            <w:pPr>
              <w:pStyle w:val="TableText"/>
              <w:jc w:val="center"/>
            </w:pPr>
            <w:r>
              <w:t>25 (16.1)</w:t>
            </w:r>
          </w:p>
          <w:p w14:paraId="5D622B56" w14:textId="77777777" w:rsidR="0074201C" w:rsidRDefault="0074201C" w:rsidP="00A361A7">
            <w:pPr>
              <w:pStyle w:val="TableText"/>
              <w:jc w:val="center"/>
            </w:pPr>
            <w:r>
              <w:t>9 (5.8)</w:t>
            </w:r>
          </w:p>
        </w:tc>
        <w:tc>
          <w:tcPr>
            <w:tcW w:w="1196" w:type="pct"/>
          </w:tcPr>
          <w:p w14:paraId="1A2563E0" w14:textId="77777777" w:rsidR="0074201C" w:rsidRPr="009D232E" w:rsidRDefault="0074201C" w:rsidP="00A361A7">
            <w:pPr>
              <w:pStyle w:val="TableText"/>
              <w:jc w:val="center"/>
            </w:pPr>
          </w:p>
          <w:p w14:paraId="277555DA" w14:textId="77777777" w:rsidR="0074201C" w:rsidRPr="009D232E" w:rsidRDefault="0074201C" w:rsidP="00A361A7">
            <w:pPr>
              <w:pStyle w:val="TableText"/>
              <w:jc w:val="center"/>
            </w:pPr>
            <w:r w:rsidRPr="009D232E">
              <w:t>0.11 (NR)</w:t>
            </w:r>
          </w:p>
          <w:p w14:paraId="5B6B5EFD" w14:textId="77777777" w:rsidR="0074201C" w:rsidRPr="009D232E" w:rsidRDefault="0074201C" w:rsidP="00A361A7">
            <w:pPr>
              <w:pStyle w:val="TableText"/>
              <w:jc w:val="center"/>
            </w:pPr>
            <w:r w:rsidRPr="009D232E">
              <w:t>0.07 (NR)</w:t>
            </w:r>
          </w:p>
        </w:tc>
      </w:tr>
    </w:tbl>
    <w:p w14:paraId="2F937598" w14:textId="77777777" w:rsidR="00B443D8" w:rsidRDefault="0074201C" w:rsidP="00B443D8">
      <w:pPr>
        <w:pStyle w:val="TableFigureFooter"/>
      </w:pPr>
      <w:r>
        <w:t xml:space="preserve">Source: </w:t>
      </w:r>
      <w:bookmarkStart w:id="35" w:name="_Hlk103610604"/>
      <w:r>
        <w:t>Table 2(a).5-1, p160</w:t>
      </w:r>
      <w:bookmarkEnd w:id="35"/>
      <w:r>
        <w:t>; Table 2(a).5-2, p161 of the submission.</w:t>
      </w:r>
    </w:p>
    <w:p w14:paraId="211DB2FC" w14:textId="49B8942C" w:rsidR="0070428C" w:rsidRDefault="0074201C" w:rsidP="00B443D8">
      <w:pPr>
        <w:pStyle w:val="TableFigureFooter"/>
      </w:pPr>
      <w:r>
        <w:t>Abbreviations: BAT, best available therapy; CI, confidence interval; NR, not reported</w:t>
      </w:r>
      <w:r w:rsidR="00B443D8">
        <w:t>.</w:t>
      </w:r>
    </w:p>
    <w:p w14:paraId="31EF88F7" w14:textId="41C5A0AE" w:rsidR="00AE5C9E" w:rsidRPr="00AE5C9E" w:rsidRDefault="00AE5C9E" w:rsidP="00B443D8">
      <w:pPr>
        <w:pStyle w:val="TableFigureFooter"/>
      </w:pPr>
      <w:r>
        <w:t xml:space="preserve">Note: </w:t>
      </w:r>
      <w:r w:rsidRPr="00AE5C9E">
        <w:t>Complete response was defined as a score of 0 for the aGVHD grading in all evaluable organs that indicates complete resolution of all signs and symptoms of aGVHD in all evaluable organs without administration of additional systemic therapies for any earlier progression, mixed response or non-response of aGVHD. Partial response was defined as improvement of one stage in one or more organs involved with aGVHD signs or symptoms without progression in other organs or sites without administration of additional systemic therapies for an earlier progression, mixed response or non-response of aGVHD</w:t>
      </w:r>
      <w:r>
        <w:t>.</w:t>
      </w:r>
    </w:p>
    <w:p w14:paraId="2718F678" w14:textId="7BC0252B" w:rsidR="00AE5C9E" w:rsidRPr="007F5F59" w:rsidRDefault="007F5F59" w:rsidP="00B443D8">
      <w:pPr>
        <w:pStyle w:val="TableFigureFooter"/>
      </w:pPr>
      <w:r>
        <w:rPr>
          <w:vertAlign w:val="superscript"/>
        </w:rPr>
        <w:t>1</w:t>
      </w:r>
      <w:r>
        <w:t xml:space="preserve"> </w:t>
      </w:r>
      <w:r w:rsidRPr="007F5F59">
        <w:t xml:space="preserve">The proportion of all patients in each arm who achieved a </w:t>
      </w:r>
      <w:r>
        <w:t>complete or partial response</w:t>
      </w:r>
      <w:r w:rsidRPr="007F5F59">
        <w:t xml:space="preserve"> at Day 28 and maintain</w:t>
      </w:r>
      <w:r>
        <w:t>ed</w:t>
      </w:r>
      <w:r w:rsidRPr="007F5F59">
        <w:t xml:space="preserve"> a </w:t>
      </w:r>
      <w:r>
        <w:t xml:space="preserve">complete or partial response </w:t>
      </w:r>
      <w:r w:rsidRPr="007F5F59">
        <w:t>at Day 56</w:t>
      </w:r>
      <w:r>
        <w:t>.</w:t>
      </w:r>
    </w:p>
    <w:p w14:paraId="1BCC30B5" w14:textId="08A3169C" w:rsidR="006D3B81" w:rsidRPr="00A6154D" w:rsidRDefault="00AE5C9E" w:rsidP="005D4C29">
      <w:pPr>
        <w:pStyle w:val="ExecSumBodyText"/>
      </w:pPr>
      <w:r w:rsidRPr="00A6154D">
        <w:rPr>
          <w:snapToGrid/>
          <w:lang w:val="en-US"/>
        </w:rPr>
        <w:t>Treatment with ruxolitinib was associated with a statistically significantly higher overall response rate at Day 28 compared to treatment with BAT and a statistically significant improvement in durable overall response at Day 56.</w:t>
      </w:r>
    </w:p>
    <w:p w14:paraId="7D08CD59" w14:textId="05FE0297" w:rsidR="00B443D8" w:rsidRPr="00A6154D" w:rsidRDefault="00B443D8" w:rsidP="00B443D8">
      <w:pPr>
        <w:pStyle w:val="ExecSumBodyText"/>
      </w:pPr>
      <w:r w:rsidRPr="00A6154D">
        <w:t>The Kaplan-Meier plot of overall survival for the REACH2 trial is presented in the figure below.</w:t>
      </w:r>
      <w:r w:rsidR="00C12341" w:rsidRPr="00A6154D">
        <w:t xml:space="preserve"> The PSCR prov</w:t>
      </w:r>
      <w:r w:rsidR="00BA75DB" w:rsidRPr="00A6154D">
        <w:t>id</w:t>
      </w:r>
      <w:r w:rsidR="00C12341" w:rsidRPr="00A6154D">
        <w:t>ed an updated plot for the final data cut</w:t>
      </w:r>
      <w:r w:rsidR="00BA75DB" w:rsidRPr="00A6154D">
        <w:t xml:space="preserve"> for OS</w:t>
      </w:r>
      <w:r w:rsidR="00C12341" w:rsidRPr="00A6154D">
        <w:t>, 23 April 2021.</w:t>
      </w:r>
    </w:p>
    <w:p w14:paraId="09EEA54A" w14:textId="6EAF5224" w:rsidR="00C12341" w:rsidRPr="00A6154D" w:rsidRDefault="00513C76" w:rsidP="00973CB5">
      <w:pPr>
        <w:pStyle w:val="Tableheadingrow"/>
        <w:rPr>
          <w:bCs/>
        </w:rPr>
      </w:pPr>
      <w:r w:rsidRPr="00A6154D">
        <w:rPr>
          <w:bCs/>
        </w:rPr>
        <w:t xml:space="preserve">Figure </w:t>
      </w:r>
      <w:r w:rsidRPr="00A6154D">
        <w:rPr>
          <w:bCs/>
        </w:rPr>
        <w:fldChar w:fldCharType="begin" w:fldLock="1"/>
      </w:r>
      <w:r w:rsidRPr="00A6154D">
        <w:rPr>
          <w:bCs/>
        </w:rPr>
        <w:instrText xml:space="preserve"> SEQ Figure \* ARABIC </w:instrText>
      </w:r>
      <w:r w:rsidRPr="00A6154D">
        <w:rPr>
          <w:bCs/>
        </w:rPr>
        <w:fldChar w:fldCharType="separate"/>
      </w:r>
      <w:r w:rsidR="005A7A1C">
        <w:rPr>
          <w:bCs/>
          <w:noProof/>
        </w:rPr>
        <w:t>3</w:t>
      </w:r>
      <w:r w:rsidRPr="00A6154D">
        <w:rPr>
          <w:bCs/>
        </w:rPr>
        <w:fldChar w:fldCharType="end"/>
      </w:r>
      <w:r w:rsidR="00FC3E51" w:rsidRPr="00A6154D">
        <w:rPr>
          <w:bCs/>
        </w:rPr>
        <w:t>: Overall survival for the REACH2 trial (</w:t>
      </w:r>
      <w:r w:rsidR="00536D78" w:rsidRPr="00A6154D">
        <w:rPr>
          <w:bCs/>
        </w:rPr>
        <w:t>April 2021</w:t>
      </w:r>
      <w:r w:rsidR="00FC3E51" w:rsidRPr="00A6154D">
        <w:rPr>
          <w:bCs/>
        </w:rPr>
        <w:t xml:space="preserve"> data cut)</w:t>
      </w:r>
    </w:p>
    <w:p w14:paraId="12A661B1" w14:textId="13FE7701" w:rsidR="00C12341" w:rsidRPr="00A6154D" w:rsidRDefault="00C12341" w:rsidP="00057409">
      <w:pPr>
        <w:pStyle w:val="TableFooter"/>
      </w:pPr>
      <w:r w:rsidRPr="00A6154D">
        <w:rPr>
          <w:noProof/>
          <w:lang w:eastAsia="en-AU"/>
        </w:rPr>
        <w:drawing>
          <wp:inline distT="0" distB="0" distL="0" distR="0" wp14:anchorId="24282194" wp14:editId="402F20E1">
            <wp:extent cx="4732514" cy="3399692"/>
            <wp:effectExtent l="0" t="0" r="0" b="0"/>
            <wp:docPr id="1" name="Picture 1" descr="Figure 3: Overall survival for the REACH2 trial (April 2021 data 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3: Overall survival for the REACH2 trial (April 2021 data cut)"/>
                    <pic:cNvPicPr/>
                  </pic:nvPicPr>
                  <pic:blipFill>
                    <a:blip r:embed="rId17">
                      <a:extLst>
                        <a:ext uri="{28A0092B-C50C-407E-A947-70E740481C1C}">
                          <a14:useLocalDpi xmlns:a14="http://schemas.microsoft.com/office/drawing/2010/main" val="0"/>
                        </a:ext>
                      </a:extLst>
                    </a:blip>
                    <a:stretch>
                      <a:fillRect/>
                    </a:stretch>
                  </pic:blipFill>
                  <pic:spPr>
                    <a:xfrm>
                      <a:off x="0" y="0"/>
                      <a:ext cx="4868769" cy="3497573"/>
                    </a:xfrm>
                    <a:prstGeom prst="rect">
                      <a:avLst/>
                    </a:prstGeom>
                  </pic:spPr>
                </pic:pic>
              </a:graphicData>
            </a:graphic>
          </wp:inline>
        </w:drawing>
      </w:r>
    </w:p>
    <w:p w14:paraId="5CDDC99E" w14:textId="24A4E32B" w:rsidR="00536D78" w:rsidRPr="00A6154D" w:rsidRDefault="00536D78" w:rsidP="00536D78">
      <w:pPr>
        <w:pStyle w:val="TableFooter"/>
      </w:pPr>
      <w:r w:rsidRPr="00A6154D">
        <w:t>Source: Figure 1, p5 of the pre-sub-committee response.</w:t>
      </w:r>
    </w:p>
    <w:p w14:paraId="438C8C63" w14:textId="77777777" w:rsidR="00536D78" w:rsidRDefault="00536D78" w:rsidP="00536D78">
      <w:pPr>
        <w:pStyle w:val="TableFooter"/>
      </w:pPr>
      <w:r>
        <w:t>Abbreviations: BAT, best available therapy; BID, twice daily; CI, confidence interval; RUX, ruxolitinib.</w:t>
      </w:r>
    </w:p>
    <w:p w14:paraId="3985D35C" w14:textId="29B69F51" w:rsidR="00057409" w:rsidRDefault="00057409" w:rsidP="00057409">
      <w:pPr>
        <w:pStyle w:val="ExecSumBodyText"/>
        <w:numPr>
          <w:ilvl w:val="1"/>
          <w:numId w:val="1"/>
        </w:numPr>
      </w:pPr>
      <w:r w:rsidRPr="00057409">
        <w:t>Kaplan-Meier estimates of overall survival for the REACH3 trial are presented in the table below.</w:t>
      </w:r>
    </w:p>
    <w:p w14:paraId="0D573187" w14:textId="790A0C69" w:rsidR="006D3B81" w:rsidRPr="0042047F" w:rsidRDefault="0072053E" w:rsidP="006D3B81">
      <w:pPr>
        <w:pStyle w:val="TableFigureCaption"/>
      </w:pPr>
      <w:r w:rsidRPr="0042047F">
        <w:t xml:space="preserve">Table </w:t>
      </w:r>
      <w:fldSimple w:instr=" SEQ Table \* ARABIC " w:fldLock="1">
        <w:r w:rsidR="005A7A1C">
          <w:rPr>
            <w:noProof/>
          </w:rPr>
          <w:t>9</w:t>
        </w:r>
      </w:fldSimple>
      <w:r w:rsidR="006D3B81" w:rsidRPr="0042047F">
        <w:t xml:space="preserve">: </w:t>
      </w:r>
      <w:r w:rsidR="006D3B81">
        <w:t>Overall survival for the REACH2 trial</w:t>
      </w:r>
      <w:r>
        <w:t xml:space="preserve"> at the January 2020 data cut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Overall survival for the REACH2 trial at the January 2020 data cut"/>
      </w:tblPr>
      <w:tblGrid>
        <w:gridCol w:w="3446"/>
        <w:gridCol w:w="2788"/>
        <w:gridCol w:w="2783"/>
      </w:tblGrid>
      <w:tr w:rsidR="0072053E" w:rsidRPr="00B84117" w14:paraId="2D014872" w14:textId="77777777" w:rsidTr="0072053E">
        <w:trPr>
          <w:tblHeader/>
        </w:trPr>
        <w:tc>
          <w:tcPr>
            <w:tcW w:w="1911" w:type="pct"/>
            <w:vAlign w:val="center"/>
          </w:tcPr>
          <w:p w14:paraId="0408F4D5" w14:textId="77777777" w:rsidR="0072053E" w:rsidRPr="00B84117" w:rsidRDefault="0072053E" w:rsidP="00A361A7">
            <w:pPr>
              <w:pStyle w:val="Tableheadingrow"/>
            </w:pPr>
          </w:p>
        </w:tc>
        <w:tc>
          <w:tcPr>
            <w:tcW w:w="1546" w:type="pct"/>
          </w:tcPr>
          <w:p w14:paraId="35DBB444" w14:textId="77777777" w:rsidR="0072053E" w:rsidRDefault="0072053E" w:rsidP="00A361A7">
            <w:pPr>
              <w:pStyle w:val="Tableheadingrow"/>
              <w:jc w:val="center"/>
            </w:pPr>
            <w:r w:rsidRPr="00F96626">
              <w:t xml:space="preserve">Ruxolitinib </w:t>
            </w:r>
          </w:p>
          <w:p w14:paraId="489F6733" w14:textId="77777777" w:rsidR="0072053E" w:rsidRPr="00F96626" w:rsidRDefault="0072053E" w:rsidP="00A361A7">
            <w:pPr>
              <w:pStyle w:val="Tableheadingrow"/>
              <w:jc w:val="center"/>
            </w:pPr>
            <w:r w:rsidRPr="00F96626">
              <w:t xml:space="preserve">(N = </w:t>
            </w:r>
            <w:r>
              <w:t>154</w:t>
            </w:r>
            <w:r w:rsidRPr="00F96626">
              <w:t>)</w:t>
            </w:r>
          </w:p>
        </w:tc>
        <w:tc>
          <w:tcPr>
            <w:tcW w:w="1543" w:type="pct"/>
          </w:tcPr>
          <w:p w14:paraId="2646E8D8" w14:textId="77777777" w:rsidR="0072053E" w:rsidRDefault="0072053E" w:rsidP="00A361A7">
            <w:pPr>
              <w:pStyle w:val="Tableheadingrow"/>
              <w:jc w:val="center"/>
            </w:pPr>
            <w:r w:rsidRPr="00F96626">
              <w:t xml:space="preserve">BAT </w:t>
            </w:r>
          </w:p>
          <w:p w14:paraId="095F6DBB" w14:textId="77777777" w:rsidR="0072053E" w:rsidRPr="00F96626" w:rsidRDefault="0072053E" w:rsidP="00A361A7">
            <w:pPr>
              <w:pStyle w:val="Tableheadingrow"/>
              <w:jc w:val="center"/>
            </w:pPr>
            <w:r w:rsidRPr="00F96626">
              <w:t xml:space="preserve">(N = </w:t>
            </w:r>
            <w:r>
              <w:t>155</w:t>
            </w:r>
            <w:r w:rsidRPr="00F96626">
              <w:t>)</w:t>
            </w:r>
          </w:p>
        </w:tc>
      </w:tr>
      <w:tr w:rsidR="0072053E" w:rsidRPr="00B1011F" w14:paraId="2EAE8FF5" w14:textId="77777777" w:rsidTr="0072053E">
        <w:trPr>
          <w:trHeight w:val="53"/>
        </w:trPr>
        <w:tc>
          <w:tcPr>
            <w:tcW w:w="1911" w:type="pct"/>
          </w:tcPr>
          <w:p w14:paraId="25450905" w14:textId="77777777" w:rsidR="0072053E" w:rsidRPr="00BE72CE" w:rsidRDefault="0072053E" w:rsidP="00A361A7">
            <w:pPr>
              <w:pStyle w:val="TableText"/>
            </w:pPr>
            <w:r>
              <w:t>Duration of follow-up, mean (SD)</w:t>
            </w:r>
          </w:p>
        </w:tc>
        <w:tc>
          <w:tcPr>
            <w:tcW w:w="1546" w:type="pct"/>
            <w:vAlign w:val="center"/>
          </w:tcPr>
          <w:p w14:paraId="4EA0F158" w14:textId="77777777" w:rsidR="0072053E" w:rsidRPr="00D27A79" w:rsidRDefault="0072053E" w:rsidP="00A361A7">
            <w:pPr>
              <w:pStyle w:val="TableText"/>
              <w:jc w:val="center"/>
            </w:pPr>
            <w:r w:rsidRPr="00DE50CE">
              <w:t>8.89 (7.607)</w:t>
            </w:r>
          </w:p>
        </w:tc>
        <w:tc>
          <w:tcPr>
            <w:tcW w:w="1543" w:type="pct"/>
            <w:vAlign w:val="center"/>
          </w:tcPr>
          <w:p w14:paraId="0F5799A9" w14:textId="77777777" w:rsidR="0072053E" w:rsidRPr="00D27A79" w:rsidRDefault="0072053E" w:rsidP="00A361A7">
            <w:pPr>
              <w:pStyle w:val="TableText"/>
              <w:jc w:val="center"/>
            </w:pPr>
            <w:r w:rsidRPr="00DE50CE">
              <w:t>7.83 (7.731)</w:t>
            </w:r>
          </w:p>
        </w:tc>
      </w:tr>
      <w:tr w:rsidR="0072053E" w:rsidRPr="00B1011F" w14:paraId="5D15B8DE" w14:textId="77777777" w:rsidTr="0072053E">
        <w:trPr>
          <w:trHeight w:val="62"/>
        </w:trPr>
        <w:tc>
          <w:tcPr>
            <w:tcW w:w="1911" w:type="pct"/>
          </w:tcPr>
          <w:p w14:paraId="79D5803E" w14:textId="77777777" w:rsidR="0072053E" w:rsidRPr="00B1011F" w:rsidRDefault="0072053E" w:rsidP="00A361A7">
            <w:pPr>
              <w:pStyle w:val="TableText"/>
            </w:pPr>
            <w:r w:rsidRPr="00BE72CE">
              <w:t xml:space="preserve">Number of </w:t>
            </w:r>
            <w:r>
              <w:t>deaths, n (%)</w:t>
            </w:r>
          </w:p>
        </w:tc>
        <w:tc>
          <w:tcPr>
            <w:tcW w:w="1546" w:type="pct"/>
            <w:vAlign w:val="center"/>
          </w:tcPr>
          <w:p w14:paraId="331844D4" w14:textId="77777777" w:rsidR="0072053E" w:rsidRPr="006329EA" w:rsidRDefault="0072053E" w:rsidP="00A361A7">
            <w:pPr>
              <w:pStyle w:val="TableText"/>
              <w:jc w:val="center"/>
            </w:pPr>
            <w:r w:rsidRPr="00D27A79">
              <w:t>82 (53.2)</w:t>
            </w:r>
          </w:p>
        </w:tc>
        <w:tc>
          <w:tcPr>
            <w:tcW w:w="1543" w:type="pct"/>
            <w:vAlign w:val="center"/>
          </w:tcPr>
          <w:p w14:paraId="45154C1C" w14:textId="77777777" w:rsidR="0072053E" w:rsidRPr="006329EA" w:rsidRDefault="0072053E" w:rsidP="00A361A7">
            <w:pPr>
              <w:pStyle w:val="TableText"/>
              <w:jc w:val="center"/>
            </w:pPr>
            <w:r w:rsidRPr="00D27A79">
              <w:t>88 (56.8)</w:t>
            </w:r>
          </w:p>
        </w:tc>
      </w:tr>
      <w:tr w:rsidR="0072053E" w:rsidRPr="00B1011F" w14:paraId="363EC35E" w14:textId="77777777" w:rsidTr="0072053E">
        <w:trPr>
          <w:trHeight w:val="62"/>
        </w:trPr>
        <w:tc>
          <w:tcPr>
            <w:tcW w:w="1911" w:type="pct"/>
          </w:tcPr>
          <w:p w14:paraId="25620FAA" w14:textId="77777777" w:rsidR="0072053E" w:rsidRPr="007F72F7" w:rsidRDefault="0072053E" w:rsidP="00A361A7">
            <w:pPr>
              <w:pStyle w:val="TableText"/>
            </w:pPr>
            <w:r w:rsidRPr="00BE72CE">
              <w:t>Number censored</w:t>
            </w:r>
            <w:r>
              <w:t>, n (%)</w:t>
            </w:r>
          </w:p>
        </w:tc>
        <w:tc>
          <w:tcPr>
            <w:tcW w:w="1546" w:type="pct"/>
            <w:vAlign w:val="center"/>
          </w:tcPr>
          <w:p w14:paraId="72D8F82B" w14:textId="77777777" w:rsidR="0072053E" w:rsidRPr="006329EA" w:rsidRDefault="0072053E" w:rsidP="00A361A7">
            <w:pPr>
              <w:pStyle w:val="TableText"/>
              <w:jc w:val="center"/>
            </w:pPr>
            <w:r w:rsidRPr="00D27A79">
              <w:t>72 (46.8)</w:t>
            </w:r>
          </w:p>
        </w:tc>
        <w:tc>
          <w:tcPr>
            <w:tcW w:w="1543" w:type="pct"/>
            <w:vAlign w:val="center"/>
          </w:tcPr>
          <w:p w14:paraId="08B581BC" w14:textId="77777777" w:rsidR="0072053E" w:rsidRPr="006329EA" w:rsidRDefault="0072053E" w:rsidP="00A361A7">
            <w:pPr>
              <w:pStyle w:val="TableText"/>
              <w:jc w:val="center"/>
            </w:pPr>
            <w:r w:rsidRPr="00D27A79">
              <w:t>67 (43.2)</w:t>
            </w:r>
          </w:p>
        </w:tc>
      </w:tr>
      <w:tr w:rsidR="0072053E" w:rsidRPr="00B1011F" w14:paraId="1B546553" w14:textId="77777777" w:rsidTr="0072053E">
        <w:trPr>
          <w:trHeight w:val="62"/>
        </w:trPr>
        <w:tc>
          <w:tcPr>
            <w:tcW w:w="1911" w:type="pct"/>
          </w:tcPr>
          <w:p w14:paraId="20D9BE39" w14:textId="77777777" w:rsidR="0072053E" w:rsidRPr="007F72F7" w:rsidRDefault="0072053E" w:rsidP="00A361A7">
            <w:pPr>
              <w:pStyle w:val="TableText"/>
            </w:pPr>
            <w:r>
              <w:t>Median OS, months (95% CI)</w:t>
            </w:r>
          </w:p>
        </w:tc>
        <w:tc>
          <w:tcPr>
            <w:tcW w:w="1546" w:type="pct"/>
            <w:vAlign w:val="center"/>
          </w:tcPr>
          <w:p w14:paraId="7A8A1ED1" w14:textId="77777777" w:rsidR="0072053E" w:rsidRPr="006329EA" w:rsidRDefault="0072053E" w:rsidP="00A361A7">
            <w:pPr>
              <w:pStyle w:val="TableText"/>
              <w:jc w:val="center"/>
            </w:pPr>
            <w:r w:rsidRPr="006D3220">
              <w:t>10.71</w:t>
            </w:r>
            <w:r>
              <w:t xml:space="preserve"> (NR)</w:t>
            </w:r>
          </w:p>
        </w:tc>
        <w:tc>
          <w:tcPr>
            <w:tcW w:w="1543" w:type="pct"/>
            <w:vAlign w:val="center"/>
          </w:tcPr>
          <w:p w14:paraId="1FCD2014" w14:textId="77777777" w:rsidR="0072053E" w:rsidRPr="006329EA" w:rsidRDefault="0072053E" w:rsidP="00A361A7">
            <w:pPr>
              <w:pStyle w:val="TableText"/>
              <w:jc w:val="center"/>
            </w:pPr>
            <w:r w:rsidRPr="006D3220">
              <w:t>5.82</w:t>
            </w:r>
            <w:r>
              <w:t xml:space="preserve"> (NR)</w:t>
            </w:r>
          </w:p>
        </w:tc>
      </w:tr>
      <w:tr w:rsidR="0072053E" w:rsidRPr="00B1011F" w14:paraId="5006F153" w14:textId="77777777" w:rsidTr="0072053E">
        <w:trPr>
          <w:trHeight w:val="62"/>
        </w:trPr>
        <w:tc>
          <w:tcPr>
            <w:tcW w:w="1911" w:type="pct"/>
          </w:tcPr>
          <w:p w14:paraId="0FBFF4A0" w14:textId="77777777" w:rsidR="0072053E" w:rsidRDefault="0072053E" w:rsidP="00A361A7">
            <w:pPr>
              <w:pStyle w:val="TableText"/>
            </w:pPr>
            <w:r w:rsidRPr="0094486C">
              <w:t>Hazard ratio (95% CI)</w:t>
            </w:r>
          </w:p>
        </w:tc>
        <w:tc>
          <w:tcPr>
            <w:tcW w:w="3089" w:type="pct"/>
            <w:gridSpan w:val="2"/>
            <w:vAlign w:val="center"/>
          </w:tcPr>
          <w:p w14:paraId="0BFEFB9A" w14:textId="77777777" w:rsidR="0072053E" w:rsidRPr="006D3220" w:rsidRDefault="0072053E" w:rsidP="00A361A7">
            <w:pPr>
              <w:pStyle w:val="TableText"/>
              <w:jc w:val="center"/>
            </w:pPr>
            <w:r w:rsidRPr="0094486C">
              <w:t>0.83 (0.62, 1.13)</w:t>
            </w:r>
          </w:p>
        </w:tc>
      </w:tr>
      <w:tr w:rsidR="0072053E" w:rsidRPr="00B1011F" w14:paraId="7B19A31A" w14:textId="31BCBBB0" w:rsidTr="0072053E">
        <w:trPr>
          <w:trHeight w:val="62"/>
        </w:trPr>
        <w:tc>
          <w:tcPr>
            <w:tcW w:w="5000" w:type="pct"/>
            <w:gridSpan w:val="3"/>
          </w:tcPr>
          <w:p w14:paraId="30791213" w14:textId="3E2165AB" w:rsidR="0072053E" w:rsidRPr="00033908" w:rsidRDefault="0072053E" w:rsidP="0072053E">
            <w:pPr>
              <w:pStyle w:val="TableText"/>
              <w:rPr>
                <w:b/>
                <w:bCs w:val="0"/>
              </w:rPr>
            </w:pPr>
            <w:r>
              <w:rPr>
                <w:b/>
                <w:bCs w:val="0"/>
              </w:rPr>
              <w:t>Kaplan-Meier estimates of overall survival</w:t>
            </w:r>
            <w:r w:rsidRPr="00033908">
              <w:rPr>
                <w:b/>
                <w:bCs w:val="0"/>
              </w:rPr>
              <w:t>, % (95% CI)</w:t>
            </w:r>
          </w:p>
        </w:tc>
      </w:tr>
      <w:tr w:rsidR="0072053E" w:rsidRPr="00B1011F" w14:paraId="1CC4ED1B" w14:textId="77777777" w:rsidTr="0072053E">
        <w:trPr>
          <w:trHeight w:val="62"/>
        </w:trPr>
        <w:tc>
          <w:tcPr>
            <w:tcW w:w="1911" w:type="pct"/>
          </w:tcPr>
          <w:p w14:paraId="21931DEC" w14:textId="77777777" w:rsidR="0072053E" w:rsidRDefault="0072053E" w:rsidP="00A361A7">
            <w:pPr>
              <w:pStyle w:val="TableText"/>
            </w:pPr>
            <w:r>
              <w:t>0 to &lt; 1 month</w:t>
            </w:r>
          </w:p>
          <w:p w14:paraId="23EFBBC8" w14:textId="77777777" w:rsidR="0072053E" w:rsidRDefault="0072053E" w:rsidP="00A361A7">
            <w:pPr>
              <w:pStyle w:val="TableText"/>
            </w:pPr>
            <w:r>
              <w:t>1 to &lt; 2 months</w:t>
            </w:r>
          </w:p>
          <w:p w14:paraId="3F03A15A" w14:textId="77777777" w:rsidR="0072053E" w:rsidRDefault="0072053E" w:rsidP="00A361A7">
            <w:pPr>
              <w:pStyle w:val="TableText"/>
            </w:pPr>
            <w:r>
              <w:t>2 to &lt; 6 months</w:t>
            </w:r>
          </w:p>
          <w:p w14:paraId="0951CE4B" w14:textId="77777777" w:rsidR="0072053E" w:rsidRDefault="0072053E" w:rsidP="00A361A7">
            <w:pPr>
              <w:pStyle w:val="TableText"/>
            </w:pPr>
            <w:r>
              <w:t xml:space="preserve">6 to &lt; 12 months </w:t>
            </w:r>
          </w:p>
          <w:p w14:paraId="2263C97F" w14:textId="77777777" w:rsidR="0072053E" w:rsidRDefault="0072053E" w:rsidP="00A361A7">
            <w:pPr>
              <w:pStyle w:val="TableText"/>
            </w:pPr>
            <w:r>
              <w:t>12 to &lt; 18 months</w:t>
            </w:r>
          </w:p>
          <w:p w14:paraId="6935D417" w14:textId="77777777" w:rsidR="0072053E" w:rsidRPr="007F72F7" w:rsidRDefault="0072053E" w:rsidP="00A361A7">
            <w:pPr>
              <w:pStyle w:val="TableText"/>
            </w:pPr>
            <w:r>
              <w:t>18 to &lt; 24 months</w:t>
            </w:r>
          </w:p>
        </w:tc>
        <w:tc>
          <w:tcPr>
            <w:tcW w:w="1546" w:type="pct"/>
          </w:tcPr>
          <w:p w14:paraId="528DCFCD" w14:textId="77777777" w:rsidR="0072053E" w:rsidRDefault="0072053E" w:rsidP="00A361A7">
            <w:pPr>
              <w:pStyle w:val="TableText"/>
              <w:jc w:val="center"/>
            </w:pPr>
            <w:r>
              <w:t>90.04 (84.02, 93.87)</w:t>
            </w:r>
          </w:p>
          <w:p w14:paraId="2569BDF8" w14:textId="77777777" w:rsidR="0072053E" w:rsidRDefault="0072053E" w:rsidP="00A361A7">
            <w:pPr>
              <w:pStyle w:val="TableText"/>
              <w:jc w:val="center"/>
            </w:pPr>
            <w:r>
              <w:t>77.95 (70.42, 83.79)</w:t>
            </w:r>
          </w:p>
          <w:p w14:paraId="64A9AC68" w14:textId="77777777" w:rsidR="0072053E" w:rsidRDefault="0072053E" w:rsidP="00A361A7">
            <w:pPr>
              <w:pStyle w:val="TableText"/>
              <w:jc w:val="center"/>
            </w:pPr>
            <w:r>
              <w:t>58.27 (49.90, 65.73)</w:t>
            </w:r>
          </w:p>
          <w:p w14:paraId="5C47FF66" w14:textId="77777777" w:rsidR="0072053E" w:rsidRDefault="0072053E" w:rsidP="00A361A7">
            <w:pPr>
              <w:pStyle w:val="TableText"/>
              <w:jc w:val="center"/>
            </w:pPr>
            <w:r>
              <w:t>48.92 (40.43, 56.87)</w:t>
            </w:r>
          </w:p>
          <w:p w14:paraId="511DE24A" w14:textId="77777777" w:rsidR="0072053E" w:rsidRDefault="0072053E" w:rsidP="00A361A7">
            <w:pPr>
              <w:pStyle w:val="TableText"/>
              <w:jc w:val="center"/>
            </w:pPr>
            <w:r>
              <w:t>40.84 (31.69, 49.77)</w:t>
            </w:r>
          </w:p>
          <w:p w14:paraId="027F22DA" w14:textId="77777777" w:rsidR="0072053E" w:rsidRDefault="0072053E" w:rsidP="00A361A7">
            <w:pPr>
              <w:pStyle w:val="TableText"/>
              <w:jc w:val="center"/>
            </w:pPr>
            <w:r>
              <w:t>36.95 (27.35, 46.56)</w:t>
            </w:r>
          </w:p>
        </w:tc>
        <w:tc>
          <w:tcPr>
            <w:tcW w:w="1543" w:type="pct"/>
          </w:tcPr>
          <w:p w14:paraId="6268C33C" w14:textId="77777777" w:rsidR="0072053E" w:rsidRDefault="0072053E" w:rsidP="00A361A7">
            <w:pPr>
              <w:pStyle w:val="TableText"/>
              <w:jc w:val="center"/>
            </w:pPr>
            <w:r>
              <w:t>85.48 (78.79, 90.19)</w:t>
            </w:r>
          </w:p>
          <w:p w14:paraId="6816BDEC" w14:textId="77777777" w:rsidR="0072053E" w:rsidRDefault="0072053E" w:rsidP="00A361A7">
            <w:pPr>
              <w:pStyle w:val="TableText"/>
              <w:jc w:val="center"/>
            </w:pPr>
            <w:r>
              <w:t>75.69 (67.92, 81.83)</w:t>
            </w:r>
          </w:p>
          <w:p w14:paraId="4B80F182" w14:textId="77777777" w:rsidR="0072053E" w:rsidRDefault="0072053E" w:rsidP="00A361A7">
            <w:pPr>
              <w:pStyle w:val="TableText"/>
              <w:jc w:val="center"/>
            </w:pPr>
            <w:r>
              <w:t>49.42 (40.89, 57.37)</w:t>
            </w:r>
          </w:p>
          <w:p w14:paraId="2CBDDBD9" w14:textId="77777777" w:rsidR="0072053E" w:rsidRDefault="0072053E" w:rsidP="00A361A7">
            <w:pPr>
              <w:pStyle w:val="TableText"/>
              <w:jc w:val="center"/>
            </w:pPr>
            <w:r>
              <w:t>42.03 (33.62, 50.19)</w:t>
            </w:r>
          </w:p>
          <w:p w14:paraId="0AA7E296" w14:textId="77777777" w:rsidR="0072053E" w:rsidRDefault="0072053E" w:rsidP="00A361A7">
            <w:pPr>
              <w:pStyle w:val="TableText"/>
              <w:jc w:val="center"/>
            </w:pPr>
            <w:r>
              <w:t>35.04 (26.54, 43.65)</w:t>
            </w:r>
          </w:p>
          <w:p w14:paraId="65AC444B" w14:textId="77777777" w:rsidR="0072053E" w:rsidRDefault="0072053E" w:rsidP="00A361A7">
            <w:pPr>
              <w:pStyle w:val="TableText"/>
              <w:jc w:val="center"/>
            </w:pPr>
            <w:r>
              <w:t>32.98 (24.18, 42.03)</w:t>
            </w:r>
          </w:p>
        </w:tc>
      </w:tr>
    </w:tbl>
    <w:p w14:paraId="49C8E1F3" w14:textId="77777777" w:rsidR="006D3B81" w:rsidRDefault="006D3B81" w:rsidP="006D3B81">
      <w:pPr>
        <w:pStyle w:val="TableFooter"/>
      </w:pPr>
      <w:r>
        <w:t xml:space="preserve">Source: </w:t>
      </w:r>
      <w:bookmarkStart w:id="36" w:name="_Hlk103610627"/>
      <w:r>
        <w:t xml:space="preserve">Table 2(a).5-4, p163 </w:t>
      </w:r>
      <w:bookmarkEnd w:id="36"/>
      <w:r>
        <w:t>of the submission.</w:t>
      </w:r>
    </w:p>
    <w:p w14:paraId="3A910982" w14:textId="4672C458" w:rsidR="006D3B81" w:rsidRDefault="006D3B81" w:rsidP="006D3B81">
      <w:pPr>
        <w:pStyle w:val="TableFooter"/>
      </w:pPr>
      <w:r>
        <w:t>Abbreviations: BAT, SD, standard deviation.</w:t>
      </w:r>
    </w:p>
    <w:p w14:paraId="3BE33A23" w14:textId="155EDBDC" w:rsidR="00536C85" w:rsidRPr="00A6154D" w:rsidRDefault="00536C85" w:rsidP="00536C85">
      <w:pPr>
        <w:pStyle w:val="ExecSumBodyText"/>
        <w:numPr>
          <w:ilvl w:val="1"/>
          <w:numId w:val="1"/>
        </w:numPr>
      </w:pPr>
      <w:r w:rsidRPr="00A6154D">
        <w:t>Treatment with ruxolitinib was associated with longer median overall survival compared to the BAT arm (10.7 months versus 5.8 months)</w:t>
      </w:r>
      <w:r w:rsidR="001639B3" w:rsidRPr="00A6154D">
        <w:t>;</w:t>
      </w:r>
      <w:r w:rsidRPr="00A6154D">
        <w:t xml:space="preserve"> however, the difference was not statistically significant</w:t>
      </w:r>
      <w:r w:rsidR="00156CDE" w:rsidRPr="00A6154D">
        <w:t xml:space="preserve"> (January 2020 data cut hazard ratio: 0.83; 95% CI: 0.62, 1.13)</w:t>
      </w:r>
      <w:r w:rsidRPr="00A6154D">
        <w:t xml:space="preserve">. </w:t>
      </w:r>
      <w:r w:rsidR="00B83C02" w:rsidRPr="00A6154D">
        <w:t xml:space="preserve">The PSCR stated that the REACH2 trial was not powered to detect a difference in OS. </w:t>
      </w:r>
      <w:r w:rsidRPr="00A6154D">
        <w:t xml:space="preserve">The </w:t>
      </w:r>
      <w:r w:rsidR="00536D78" w:rsidRPr="00A6154D">
        <w:t>ESC considered</w:t>
      </w:r>
      <w:r w:rsidRPr="00A6154D">
        <w:t xml:space="preserve"> that the overall survival results </w:t>
      </w:r>
      <w:r w:rsidR="00536D78" w:rsidRPr="00A6154D">
        <w:t>we</w:t>
      </w:r>
      <w:r w:rsidRPr="00A6154D">
        <w:t>re likely to have been affected by crossover of patients in the BAT arm to receive ruxolitinib.</w:t>
      </w:r>
    </w:p>
    <w:p w14:paraId="794FFE70" w14:textId="18488671" w:rsidR="00342050" w:rsidRPr="00A6154D" w:rsidRDefault="00342050" w:rsidP="00342050">
      <w:pPr>
        <w:pStyle w:val="ExecSumBodyText"/>
        <w:numPr>
          <w:ilvl w:val="1"/>
          <w:numId w:val="1"/>
        </w:numPr>
      </w:pPr>
      <w:r w:rsidRPr="00A6154D">
        <w:t>Treatment with ruxolitinib was associated with a longer median duration of response compared to the BAT (163 days versus 101 days at the January 2020 data cut).</w:t>
      </w:r>
    </w:p>
    <w:p w14:paraId="1C8BFFFB" w14:textId="625A5203" w:rsidR="00695509" w:rsidRPr="00A6154D" w:rsidRDefault="00695509" w:rsidP="00F67915">
      <w:pPr>
        <w:pStyle w:val="ExecSumBodyText"/>
        <w:numPr>
          <w:ilvl w:val="1"/>
          <w:numId w:val="1"/>
        </w:numPr>
      </w:pPr>
      <w:r w:rsidRPr="00A6154D">
        <w:t>A numerically higher proportion of patients in the ruxolitinib arm had completely tapered off corticosteroids by Day 56 (22.1% versus 14.8%), although the difference was not statistically significant (odds ratio</w:t>
      </w:r>
      <w:r w:rsidR="009647B0" w:rsidRPr="00A6154D">
        <w:t xml:space="preserve"> =</w:t>
      </w:r>
      <w:r w:rsidRPr="00A6154D">
        <w:t xml:space="preserve"> 1.63; 95% CI: 0.91, 2.92).</w:t>
      </w:r>
    </w:p>
    <w:p w14:paraId="0A401F90" w14:textId="351333C1" w:rsidR="00F67915" w:rsidRPr="00A6154D" w:rsidRDefault="00A918A1" w:rsidP="00A918A1">
      <w:pPr>
        <w:pStyle w:val="ExecSumBodyText"/>
        <w:numPr>
          <w:ilvl w:val="1"/>
          <w:numId w:val="1"/>
        </w:numPr>
        <w:rPr>
          <w:rStyle w:val="TableFigureCaptionChar"/>
          <w:rFonts w:asciiTheme="minorHAnsi" w:eastAsia="Times New Roman" w:hAnsiTheme="minorHAnsi" w:cs="Arial"/>
          <w:b w:val="0"/>
          <w:bCs w:val="0"/>
        </w:rPr>
      </w:pPr>
      <w:r w:rsidRPr="00A6154D">
        <w:t>At baseline, the mean FACT-BMT and mean EQ-5D-5L scores were numerically higher in the ruxolitinib arm. Over the initial 24 weeks, both treatment arms experienced improvements from baseline. The results should be interpreted with caution due to the differences between treatment arms at baseline, and the low number of respondents included at later time periods.</w:t>
      </w:r>
    </w:p>
    <w:p w14:paraId="59078CF6" w14:textId="77777777" w:rsidR="00F67915" w:rsidRPr="00C9624D" w:rsidRDefault="00F67915" w:rsidP="00F67915">
      <w:pPr>
        <w:pStyle w:val="3-SubsectionHeading"/>
      </w:pPr>
      <w:bookmarkStart w:id="37" w:name="_Toc22897642"/>
      <w:bookmarkStart w:id="38" w:name="_Toc22898854"/>
      <w:bookmarkStart w:id="39" w:name="_Toc103614217"/>
      <w:r w:rsidRPr="00C9624D">
        <w:t>Comparative harms</w:t>
      </w:r>
      <w:bookmarkEnd w:id="37"/>
      <w:bookmarkEnd w:id="38"/>
      <w:bookmarkEnd w:id="39"/>
    </w:p>
    <w:p w14:paraId="11B7954F" w14:textId="77777777" w:rsidR="00F67915" w:rsidRDefault="00F67915" w:rsidP="00F67915">
      <w:pPr>
        <w:pStyle w:val="4-SubsectSubhead"/>
      </w:pPr>
      <w:r>
        <w:t>Chronic GVHD</w:t>
      </w:r>
    </w:p>
    <w:p w14:paraId="4AE7A64E" w14:textId="145F3579" w:rsidR="00F67915" w:rsidRPr="00FB0D10" w:rsidRDefault="007E605D" w:rsidP="00F67915">
      <w:pPr>
        <w:pStyle w:val="ExecSumBodyText"/>
        <w:numPr>
          <w:ilvl w:val="1"/>
          <w:numId w:val="1"/>
        </w:numPr>
      </w:pPr>
      <w:r w:rsidRPr="00FB0D10">
        <w:t>Adverse event data</w:t>
      </w:r>
      <w:r w:rsidR="00FD22E6" w:rsidRPr="00FB0D10">
        <w:t xml:space="preserve"> for the REACH3 trial was</w:t>
      </w:r>
      <w:r w:rsidRPr="00FB0D10">
        <w:t xml:space="preserve"> presented for the initial treatment period (median follow-up 25.6 weeks in the ruxolitinib arm and 24.0 weeks in the BAT arm) and the main treatment period (median follow-up 41.3 weeks in the ruxolitinib arm and 22.3 weeks in the BAT arm). Adverse event results for the main treatment period should be interpreted with caution due to differences in exposure durations.</w:t>
      </w:r>
    </w:p>
    <w:p w14:paraId="75C64DA5" w14:textId="05B6D5F4" w:rsidR="007E605D" w:rsidRDefault="007E605D" w:rsidP="00F67915">
      <w:pPr>
        <w:pStyle w:val="ExecSumBodyText"/>
        <w:numPr>
          <w:ilvl w:val="1"/>
          <w:numId w:val="1"/>
        </w:numPr>
      </w:pPr>
      <w:r>
        <w:t>A</w:t>
      </w:r>
      <w:r w:rsidRPr="007E605D">
        <w:t>dverse event</w:t>
      </w:r>
      <w:r>
        <w:t xml:space="preserve"> results for the </w:t>
      </w:r>
      <w:r w:rsidRPr="007E605D">
        <w:t>REACH3 trial</w:t>
      </w:r>
      <w:r>
        <w:t xml:space="preserve"> are summarised in the table below</w:t>
      </w:r>
      <w:r w:rsidRPr="007E605D">
        <w:t>.</w:t>
      </w:r>
    </w:p>
    <w:p w14:paraId="00D33E91" w14:textId="6CFC0BD8" w:rsidR="00271D8F" w:rsidRPr="00191822" w:rsidRDefault="00CF7791" w:rsidP="00360732">
      <w:pPr>
        <w:pStyle w:val="TableHeading"/>
        <w:jc w:val="both"/>
      </w:pPr>
      <w:r w:rsidRPr="0042047F">
        <w:t xml:space="preserve">Table </w:t>
      </w:r>
      <w:fldSimple w:instr=" SEQ Table \* ARABIC " w:fldLock="1">
        <w:r w:rsidR="005A7A1C">
          <w:rPr>
            <w:noProof/>
          </w:rPr>
          <w:t>10</w:t>
        </w:r>
      </w:fldSimple>
      <w:r w:rsidR="00271D8F" w:rsidRPr="00191822">
        <w:t xml:space="preserve">: Summary of adverse events </w:t>
      </w:r>
      <w:r w:rsidR="00271D8F">
        <w:t xml:space="preserve">of in the REACH3 </w:t>
      </w:r>
      <w:r w:rsidR="00271D8F" w:rsidRPr="00191822">
        <w:t>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0: Summary of adverse events of in the REACH3 trial"/>
      </w:tblPr>
      <w:tblGrid>
        <w:gridCol w:w="3397"/>
        <w:gridCol w:w="1405"/>
        <w:gridCol w:w="1405"/>
        <w:gridCol w:w="1405"/>
        <w:gridCol w:w="1405"/>
      </w:tblGrid>
      <w:tr w:rsidR="00271D8F" w:rsidRPr="00191822" w14:paraId="6A6F6DFE" w14:textId="77777777" w:rsidTr="00A361A7">
        <w:trPr>
          <w:tblHeader/>
        </w:trPr>
        <w:tc>
          <w:tcPr>
            <w:tcW w:w="1884" w:type="pct"/>
            <w:vMerge w:val="restart"/>
          </w:tcPr>
          <w:p w14:paraId="4313FD85" w14:textId="77777777" w:rsidR="00271D8F" w:rsidRPr="008879C0" w:rsidRDefault="00271D8F" w:rsidP="00360732">
            <w:pPr>
              <w:keepNext/>
              <w:keepLines/>
              <w:rPr>
                <w:rFonts w:ascii="Arial Narrow" w:hAnsi="Arial Narrow"/>
                <w:sz w:val="20"/>
                <w:szCs w:val="20"/>
              </w:rPr>
            </w:pPr>
          </w:p>
        </w:tc>
        <w:tc>
          <w:tcPr>
            <w:tcW w:w="1558" w:type="pct"/>
            <w:gridSpan w:val="2"/>
            <w:vAlign w:val="center"/>
          </w:tcPr>
          <w:p w14:paraId="70F19DAC" w14:textId="77777777" w:rsidR="00271D8F" w:rsidRPr="008879C0" w:rsidRDefault="00271D8F" w:rsidP="00360732">
            <w:pPr>
              <w:keepNext/>
              <w:keepLines/>
              <w:jc w:val="center"/>
              <w:rPr>
                <w:rFonts w:ascii="Arial Narrow" w:hAnsi="Arial Narrow"/>
                <w:b/>
                <w:iCs/>
                <w:sz w:val="20"/>
                <w:szCs w:val="20"/>
              </w:rPr>
            </w:pPr>
            <w:r>
              <w:rPr>
                <w:rFonts w:ascii="Arial Narrow" w:hAnsi="Arial Narrow"/>
                <w:b/>
                <w:iCs/>
                <w:sz w:val="20"/>
                <w:szCs w:val="20"/>
              </w:rPr>
              <w:t>Initial treatment period</w:t>
            </w:r>
          </w:p>
        </w:tc>
        <w:tc>
          <w:tcPr>
            <w:tcW w:w="1558" w:type="pct"/>
            <w:gridSpan w:val="2"/>
            <w:vAlign w:val="center"/>
          </w:tcPr>
          <w:p w14:paraId="003ACA4C" w14:textId="77777777" w:rsidR="00271D8F" w:rsidRPr="008879C0" w:rsidRDefault="00271D8F" w:rsidP="00360732">
            <w:pPr>
              <w:keepNext/>
              <w:keepLines/>
              <w:jc w:val="center"/>
              <w:rPr>
                <w:rFonts w:ascii="Arial Narrow" w:hAnsi="Arial Narrow"/>
                <w:b/>
                <w:iCs/>
                <w:sz w:val="20"/>
                <w:szCs w:val="20"/>
              </w:rPr>
            </w:pPr>
            <w:r>
              <w:rPr>
                <w:rFonts w:ascii="Arial Narrow" w:hAnsi="Arial Narrow"/>
                <w:b/>
                <w:iCs/>
                <w:sz w:val="20"/>
                <w:szCs w:val="20"/>
              </w:rPr>
              <w:t>Main treatment period</w:t>
            </w:r>
          </w:p>
        </w:tc>
      </w:tr>
      <w:tr w:rsidR="00271D8F" w:rsidRPr="00191822" w14:paraId="5E5FD568" w14:textId="77777777" w:rsidTr="00A361A7">
        <w:trPr>
          <w:tblHeader/>
        </w:trPr>
        <w:tc>
          <w:tcPr>
            <w:tcW w:w="1884" w:type="pct"/>
            <w:vMerge/>
          </w:tcPr>
          <w:p w14:paraId="4FDBA5CE" w14:textId="77777777" w:rsidR="00271D8F" w:rsidRPr="008879C0" w:rsidRDefault="00271D8F" w:rsidP="00360732">
            <w:pPr>
              <w:keepNext/>
              <w:keepLines/>
              <w:rPr>
                <w:rFonts w:ascii="Arial Narrow" w:hAnsi="Arial Narrow"/>
                <w:sz w:val="20"/>
                <w:szCs w:val="20"/>
              </w:rPr>
            </w:pPr>
          </w:p>
        </w:tc>
        <w:tc>
          <w:tcPr>
            <w:tcW w:w="779" w:type="pct"/>
            <w:vAlign w:val="center"/>
          </w:tcPr>
          <w:p w14:paraId="3874B3B7" w14:textId="77777777" w:rsidR="00271D8F" w:rsidRPr="008879C0" w:rsidRDefault="00271D8F" w:rsidP="00360732">
            <w:pPr>
              <w:keepNext/>
              <w:keepLines/>
              <w:jc w:val="center"/>
              <w:rPr>
                <w:rFonts w:ascii="Arial Narrow" w:hAnsi="Arial Narrow"/>
                <w:b/>
                <w:iCs/>
                <w:sz w:val="20"/>
                <w:szCs w:val="20"/>
              </w:rPr>
            </w:pPr>
            <w:r>
              <w:rPr>
                <w:rFonts w:ascii="Arial Narrow" w:hAnsi="Arial Narrow"/>
                <w:b/>
                <w:iCs/>
                <w:sz w:val="20"/>
                <w:szCs w:val="20"/>
              </w:rPr>
              <w:t>RUX</w:t>
            </w:r>
          </w:p>
          <w:p w14:paraId="701F5230" w14:textId="77777777" w:rsidR="00271D8F" w:rsidRPr="008879C0" w:rsidRDefault="00271D8F" w:rsidP="00360732">
            <w:pPr>
              <w:keepNext/>
              <w:keepLines/>
              <w:jc w:val="center"/>
              <w:rPr>
                <w:rFonts w:ascii="Arial Narrow" w:hAnsi="Arial Narrow"/>
                <w:b/>
                <w:sz w:val="20"/>
                <w:szCs w:val="20"/>
              </w:rPr>
            </w:pPr>
            <w:r w:rsidRPr="008879C0">
              <w:rPr>
                <w:rFonts w:ascii="Arial Narrow" w:hAnsi="Arial Narrow"/>
                <w:b/>
                <w:iCs/>
                <w:sz w:val="20"/>
                <w:szCs w:val="20"/>
              </w:rPr>
              <w:t>(N=165)</w:t>
            </w:r>
          </w:p>
        </w:tc>
        <w:tc>
          <w:tcPr>
            <w:tcW w:w="779" w:type="pct"/>
            <w:vAlign w:val="center"/>
          </w:tcPr>
          <w:p w14:paraId="7CA0EC0D" w14:textId="77777777" w:rsidR="00271D8F" w:rsidRPr="008879C0" w:rsidRDefault="00271D8F" w:rsidP="00360732">
            <w:pPr>
              <w:keepNext/>
              <w:keepLines/>
              <w:jc w:val="center"/>
              <w:rPr>
                <w:rFonts w:ascii="Arial Narrow" w:hAnsi="Arial Narrow"/>
                <w:b/>
                <w:iCs/>
                <w:sz w:val="20"/>
                <w:szCs w:val="20"/>
              </w:rPr>
            </w:pPr>
            <w:r w:rsidRPr="008879C0">
              <w:rPr>
                <w:rFonts w:ascii="Arial Narrow" w:hAnsi="Arial Narrow"/>
                <w:b/>
                <w:iCs/>
                <w:sz w:val="20"/>
                <w:szCs w:val="20"/>
              </w:rPr>
              <w:t>BAT</w:t>
            </w:r>
          </w:p>
          <w:p w14:paraId="448CAF3A" w14:textId="77777777" w:rsidR="00271D8F" w:rsidRPr="008879C0" w:rsidRDefault="00271D8F" w:rsidP="00360732">
            <w:pPr>
              <w:keepNext/>
              <w:keepLines/>
              <w:jc w:val="center"/>
              <w:rPr>
                <w:rFonts w:ascii="Arial Narrow" w:hAnsi="Arial Narrow"/>
                <w:b/>
                <w:sz w:val="20"/>
                <w:szCs w:val="20"/>
              </w:rPr>
            </w:pPr>
            <w:r w:rsidRPr="008879C0">
              <w:rPr>
                <w:rFonts w:ascii="Arial Narrow" w:hAnsi="Arial Narrow"/>
                <w:b/>
                <w:iCs/>
                <w:sz w:val="20"/>
                <w:szCs w:val="20"/>
              </w:rPr>
              <w:t>(N=158)</w:t>
            </w:r>
          </w:p>
        </w:tc>
        <w:tc>
          <w:tcPr>
            <w:tcW w:w="779" w:type="pct"/>
            <w:vAlign w:val="center"/>
          </w:tcPr>
          <w:p w14:paraId="642B0B53" w14:textId="77777777" w:rsidR="00271D8F" w:rsidRPr="008879C0" w:rsidRDefault="00271D8F" w:rsidP="00360732">
            <w:pPr>
              <w:keepNext/>
              <w:keepLines/>
              <w:jc w:val="center"/>
              <w:rPr>
                <w:rFonts w:ascii="Arial Narrow" w:hAnsi="Arial Narrow"/>
                <w:b/>
                <w:iCs/>
                <w:sz w:val="20"/>
                <w:szCs w:val="20"/>
              </w:rPr>
            </w:pPr>
            <w:r>
              <w:rPr>
                <w:rFonts w:ascii="Arial Narrow" w:hAnsi="Arial Narrow"/>
                <w:b/>
                <w:iCs/>
                <w:sz w:val="20"/>
                <w:szCs w:val="20"/>
              </w:rPr>
              <w:t>RUX</w:t>
            </w:r>
          </w:p>
          <w:p w14:paraId="625E6563" w14:textId="77777777" w:rsidR="00271D8F" w:rsidRPr="008879C0" w:rsidRDefault="00271D8F" w:rsidP="00360732">
            <w:pPr>
              <w:keepNext/>
              <w:keepLines/>
              <w:jc w:val="center"/>
              <w:rPr>
                <w:rFonts w:ascii="Arial Narrow" w:hAnsi="Arial Narrow"/>
                <w:b/>
                <w:iCs/>
                <w:sz w:val="20"/>
                <w:szCs w:val="20"/>
              </w:rPr>
            </w:pPr>
            <w:r w:rsidRPr="008879C0">
              <w:rPr>
                <w:rFonts w:ascii="Arial Narrow" w:hAnsi="Arial Narrow"/>
                <w:b/>
                <w:iCs/>
                <w:sz w:val="20"/>
                <w:szCs w:val="20"/>
              </w:rPr>
              <w:t>(N=165)</w:t>
            </w:r>
          </w:p>
        </w:tc>
        <w:tc>
          <w:tcPr>
            <w:tcW w:w="779" w:type="pct"/>
            <w:vAlign w:val="center"/>
          </w:tcPr>
          <w:p w14:paraId="5A6478EE" w14:textId="77777777" w:rsidR="00271D8F" w:rsidRPr="008879C0" w:rsidRDefault="00271D8F" w:rsidP="00360732">
            <w:pPr>
              <w:keepNext/>
              <w:keepLines/>
              <w:jc w:val="center"/>
              <w:rPr>
                <w:rFonts w:ascii="Arial Narrow" w:hAnsi="Arial Narrow"/>
                <w:b/>
                <w:iCs/>
                <w:sz w:val="20"/>
                <w:szCs w:val="20"/>
              </w:rPr>
            </w:pPr>
            <w:r w:rsidRPr="008879C0">
              <w:rPr>
                <w:rFonts w:ascii="Arial Narrow" w:hAnsi="Arial Narrow"/>
                <w:b/>
                <w:iCs/>
                <w:sz w:val="20"/>
                <w:szCs w:val="20"/>
              </w:rPr>
              <w:t>BAT</w:t>
            </w:r>
          </w:p>
          <w:p w14:paraId="5B8026DD" w14:textId="77777777" w:rsidR="00271D8F" w:rsidRPr="008879C0" w:rsidRDefault="00271D8F" w:rsidP="00360732">
            <w:pPr>
              <w:keepNext/>
              <w:keepLines/>
              <w:jc w:val="center"/>
              <w:rPr>
                <w:rFonts w:ascii="Arial Narrow" w:hAnsi="Arial Narrow"/>
                <w:b/>
                <w:iCs/>
                <w:sz w:val="20"/>
                <w:szCs w:val="20"/>
              </w:rPr>
            </w:pPr>
            <w:r w:rsidRPr="008879C0">
              <w:rPr>
                <w:rFonts w:ascii="Arial Narrow" w:hAnsi="Arial Narrow"/>
                <w:b/>
                <w:iCs/>
                <w:sz w:val="20"/>
                <w:szCs w:val="20"/>
              </w:rPr>
              <w:t>(N=158)</w:t>
            </w:r>
          </w:p>
        </w:tc>
      </w:tr>
      <w:tr w:rsidR="00271D8F" w:rsidRPr="00191822" w14:paraId="375360C0" w14:textId="77777777" w:rsidTr="00A361A7">
        <w:tc>
          <w:tcPr>
            <w:tcW w:w="1884" w:type="pct"/>
          </w:tcPr>
          <w:p w14:paraId="1D8AF0EB" w14:textId="77777777" w:rsidR="00271D8F" w:rsidRPr="008879C0" w:rsidRDefault="00271D8F" w:rsidP="00360732">
            <w:pPr>
              <w:keepNext/>
              <w:keepLines/>
              <w:jc w:val="left"/>
              <w:rPr>
                <w:rFonts w:ascii="Arial Narrow" w:hAnsi="Arial Narrow"/>
                <w:sz w:val="20"/>
                <w:szCs w:val="20"/>
              </w:rPr>
            </w:pPr>
            <w:r w:rsidRPr="008879C0">
              <w:rPr>
                <w:rFonts w:ascii="Arial Narrow" w:hAnsi="Arial Narrow"/>
                <w:sz w:val="20"/>
                <w:szCs w:val="20"/>
              </w:rPr>
              <w:t>Median duration of exposure, weeks (range)</w:t>
            </w:r>
          </w:p>
        </w:tc>
        <w:tc>
          <w:tcPr>
            <w:tcW w:w="779" w:type="pct"/>
            <w:vAlign w:val="center"/>
          </w:tcPr>
          <w:p w14:paraId="76491DB1" w14:textId="7FFD8065" w:rsidR="00271D8F" w:rsidRPr="008879C0" w:rsidRDefault="00271D8F" w:rsidP="00360732">
            <w:pPr>
              <w:keepNext/>
              <w:keepLines/>
              <w:jc w:val="center"/>
              <w:rPr>
                <w:rFonts w:ascii="Arial Narrow" w:hAnsi="Arial Narrow"/>
                <w:iCs/>
                <w:sz w:val="20"/>
                <w:szCs w:val="20"/>
              </w:rPr>
            </w:pPr>
            <w:r w:rsidRPr="008879C0">
              <w:rPr>
                <w:rFonts w:ascii="Arial Narrow" w:hAnsi="Arial Narrow"/>
                <w:iCs/>
                <w:sz w:val="20"/>
                <w:szCs w:val="20"/>
              </w:rPr>
              <w:t>25.6 (</w:t>
            </w:r>
            <w:r>
              <w:rPr>
                <w:rFonts w:ascii="Arial Narrow" w:hAnsi="Arial Narrow"/>
                <w:iCs/>
                <w:sz w:val="20"/>
                <w:szCs w:val="20"/>
              </w:rPr>
              <w:t>0.7</w:t>
            </w:r>
            <w:r w:rsidR="009647B0">
              <w:rPr>
                <w:rFonts w:ascii="Arial Narrow" w:hAnsi="Arial Narrow"/>
                <w:iCs/>
                <w:sz w:val="20"/>
                <w:szCs w:val="20"/>
              </w:rPr>
              <w:t xml:space="preserve"> </w:t>
            </w:r>
            <w:r w:rsidRPr="008879C0">
              <w:rPr>
                <w:rFonts w:ascii="Arial Narrow" w:hAnsi="Arial Narrow"/>
                <w:iCs/>
                <w:sz w:val="20"/>
                <w:szCs w:val="20"/>
              </w:rPr>
              <w:t>-</w:t>
            </w:r>
            <w:r w:rsidR="009647B0">
              <w:rPr>
                <w:rFonts w:ascii="Arial Narrow" w:hAnsi="Arial Narrow"/>
                <w:iCs/>
                <w:sz w:val="20"/>
                <w:szCs w:val="20"/>
              </w:rPr>
              <w:t xml:space="preserve"> </w:t>
            </w:r>
            <w:r w:rsidRPr="008879C0">
              <w:rPr>
                <w:rFonts w:ascii="Arial Narrow" w:hAnsi="Arial Narrow"/>
                <w:iCs/>
                <w:sz w:val="20"/>
                <w:szCs w:val="20"/>
              </w:rPr>
              <w:t>25.6)</w:t>
            </w:r>
          </w:p>
        </w:tc>
        <w:tc>
          <w:tcPr>
            <w:tcW w:w="779" w:type="pct"/>
            <w:vAlign w:val="center"/>
          </w:tcPr>
          <w:p w14:paraId="6E050396" w14:textId="44C0F699" w:rsidR="00271D8F" w:rsidRPr="008879C0" w:rsidRDefault="00271D8F" w:rsidP="00360732">
            <w:pPr>
              <w:keepNext/>
              <w:keepLines/>
              <w:jc w:val="center"/>
              <w:rPr>
                <w:rFonts w:ascii="Arial Narrow" w:hAnsi="Arial Narrow"/>
                <w:sz w:val="20"/>
                <w:szCs w:val="20"/>
              </w:rPr>
            </w:pPr>
            <w:r w:rsidRPr="008879C0">
              <w:rPr>
                <w:rFonts w:ascii="Arial Narrow" w:hAnsi="Arial Narrow"/>
                <w:iCs/>
                <w:sz w:val="20"/>
                <w:szCs w:val="20"/>
              </w:rPr>
              <w:t>24.0 (</w:t>
            </w:r>
            <w:r>
              <w:rPr>
                <w:rFonts w:ascii="Arial Narrow" w:hAnsi="Arial Narrow"/>
                <w:iCs/>
                <w:sz w:val="20"/>
                <w:szCs w:val="20"/>
              </w:rPr>
              <w:t>0.6</w:t>
            </w:r>
            <w:r w:rsidR="009647B0">
              <w:rPr>
                <w:rFonts w:ascii="Arial Narrow" w:hAnsi="Arial Narrow"/>
                <w:iCs/>
                <w:sz w:val="20"/>
                <w:szCs w:val="20"/>
              </w:rPr>
              <w:t xml:space="preserve"> </w:t>
            </w:r>
            <w:r w:rsidRPr="008879C0">
              <w:rPr>
                <w:rFonts w:ascii="Arial Narrow" w:hAnsi="Arial Narrow"/>
                <w:iCs/>
                <w:sz w:val="20"/>
                <w:szCs w:val="20"/>
              </w:rPr>
              <w:t>-</w:t>
            </w:r>
            <w:r w:rsidR="009647B0">
              <w:rPr>
                <w:rFonts w:ascii="Arial Narrow" w:hAnsi="Arial Narrow"/>
                <w:iCs/>
                <w:sz w:val="20"/>
                <w:szCs w:val="20"/>
              </w:rPr>
              <w:t xml:space="preserve"> </w:t>
            </w:r>
            <w:r w:rsidRPr="008879C0">
              <w:rPr>
                <w:rFonts w:ascii="Arial Narrow" w:hAnsi="Arial Narrow"/>
                <w:iCs/>
                <w:sz w:val="20"/>
                <w:szCs w:val="20"/>
              </w:rPr>
              <w:t>25.6)</w:t>
            </w:r>
          </w:p>
        </w:tc>
        <w:tc>
          <w:tcPr>
            <w:tcW w:w="779" w:type="pct"/>
          </w:tcPr>
          <w:p w14:paraId="51678E19" w14:textId="43DEF9B9" w:rsidR="00271D8F" w:rsidRPr="008879C0" w:rsidRDefault="00271D8F" w:rsidP="00360732">
            <w:pPr>
              <w:keepNext/>
              <w:keepLines/>
              <w:jc w:val="center"/>
              <w:rPr>
                <w:rFonts w:ascii="Arial Narrow" w:hAnsi="Arial Narrow"/>
                <w:iCs/>
                <w:sz w:val="20"/>
                <w:szCs w:val="20"/>
              </w:rPr>
            </w:pPr>
            <w:r>
              <w:rPr>
                <w:rFonts w:ascii="Arial Narrow" w:hAnsi="Arial Narrow"/>
                <w:iCs/>
                <w:sz w:val="20"/>
                <w:szCs w:val="20"/>
              </w:rPr>
              <w:t>41.3 (0.7</w:t>
            </w:r>
            <w:r w:rsidR="009647B0">
              <w:rPr>
                <w:rFonts w:ascii="Arial Narrow" w:hAnsi="Arial Narrow"/>
                <w:iCs/>
                <w:sz w:val="20"/>
                <w:szCs w:val="20"/>
              </w:rPr>
              <w:t xml:space="preserve"> </w:t>
            </w:r>
            <w:r>
              <w:rPr>
                <w:rFonts w:ascii="Arial Narrow" w:hAnsi="Arial Narrow"/>
                <w:iCs/>
                <w:sz w:val="20"/>
                <w:szCs w:val="20"/>
              </w:rPr>
              <w:t>-</w:t>
            </w:r>
            <w:r w:rsidR="009647B0">
              <w:rPr>
                <w:rFonts w:ascii="Arial Narrow" w:hAnsi="Arial Narrow"/>
                <w:iCs/>
                <w:sz w:val="20"/>
                <w:szCs w:val="20"/>
              </w:rPr>
              <w:t xml:space="preserve"> </w:t>
            </w:r>
            <w:r>
              <w:rPr>
                <w:rFonts w:ascii="Arial Narrow" w:hAnsi="Arial Narrow"/>
                <w:iCs/>
                <w:sz w:val="20"/>
                <w:szCs w:val="20"/>
              </w:rPr>
              <w:t>127.3)</w:t>
            </w:r>
          </w:p>
        </w:tc>
        <w:tc>
          <w:tcPr>
            <w:tcW w:w="779" w:type="pct"/>
          </w:tcPr>
          <w:p w14:paraId="0CC3319F" w14:textId="2CF1ECA1" w:rsidR="00271D8F" w:rsidRPr="008879C0" w:rsidRDefault="00271D8F" w:rsidP="00360732">
            <w:pPr>
              <w:keepNext/>
              <w:keepLines/>
              <w:jc w:val="center"/>
              <w:rPr>
                <w:rFonts w:ascii="Arial Narrow" w:hAnsi="Arial Narrow"/>
                <w:iCs/>
                <w:sz w:val="20"/>
                <w:szCs w:val="20"/>
              </w:rPr>
            </w:pPr>
            <w:r>
              <w:rPr>
                <w:rFonts w:ascii="Arial Narrow" w:hAnsi="Arial Narrow"/>
                <w:iCs/>
                <w:sz w:val="20"/>
                <w:szCs w:val="20"/>
              </w:rPr>
              <w:t>22.3 (0.0</w:t>
            </w:r>
            <w:r w:rsidR="009647B0">
              <w:rPr>
                <w:rFonts w:ascii="Arial Narrow" w:hAnsi="Arial Narrow"/>
                <w:iCs/>
                <w:sz w:val="20"/>
                <w:szCs w:val="20"/>
              </w:rPr>
              <w:t xml:space="preserve"> </w:t>
            </w:r>
            <w:r>
              <w:rPr>
                <w:rFonts w:ascii="Arial Narrow" w:hAnsi="Arial Narrow"/>
                <w:iCs/>
                <w:sz w:val="20"/>
                <w:szCs w:val="20"/>
              </w:rPr>
              <w:t>-</w:t>
            </w:r>
            <w:r w:rsidR="009647B0">
              <w:rPr>
                <w:rFonts w:ascii="Arial Narrow" w:hAnsi="Arial Narrow"/>
                <w:iCs/>
                <w:sz w:val="20"/>
                <w:szCs w:val="20"/>
              </w:rPr>
              <w:t xml:space="preserve"> </w:t>
            </w:r>
            <w:r>
              <w:rPr>
                <w:rFonts w:ascii="Arial Narrow" w:hAnsi="Arial Narrow"/>
                <w:iCs/>
                <w:sz w:val="20"/>
                <w:szCs w:val="20"/>
              </w:rPr>
              <w:t>108.4)</w:t>
            </w:r>
          </w:p>
        </w:tc>
      </w:tr>
      <w:tr w:rsidR="00271D8F" w:rsidRPr="00191822" w14:paraId="034D1E20" w14:textId="77777777" w:rsidTr="00A361A7">
        <w:tc>
          <w:tcPr>
            <w:tcW w:w="2663" w:type="pct"/>
            <w:gridSpan w:val="2"/>
          </w:tcPr>
          <w:p w14:paraId="14B3843D" w14:textId="77777777" w:rsidR="00271D8F" w:rsidRPr="008879C0" w:rsidRDefault="00271D8F" w:rsidP="00360732">
            <w:pPr>
              <w:keepNext/>
              <w:keepLines/>
              <w:jc w:val="left"/>
              <w:rPr>
                <w:rFonts w:ascii="Arial Narrow" w:hAnsi="Arial Narrow"/>
                <w:b/>
                <w:bCs/>
                <w:sz w:val="20"/>
                <w:szCs w:val="20"/>
              </w:rPr>
            </w:pPr>
            <w:r w:rsidRPr="008879C0">
              <w:rPr>
                <w:rFonts w:ascii="Arial Narrow" w:hAnsi="Arial Narrow"/>
                <w:b/>
                <w:bCs/>
                <w:sz w:val="20"/>
                <w:szCs w:val="20"/>
              </w:rPr>
              <w:t>Any Grade</w:t>
            </w:r>
            <w:r>
              <w:rPr>
                <w:rFonts w:ascii="Arial Narrow" w:hAnsi="Arial Narrow"/>
                <w:b/>
                <w:bCs/>
                <w:sz w:val="20"/>
                <w:szCs w:val="20"/>
              </w:rPr>
              <w:t xml:space="preserve"> AEs</w:t>
            </w:r>
          </w:p>
        </w:tc>
        <w:tc>
          <w:tcPr>
            <w:tcW w:w="779" w:type="pct"/>
          </w:tcPr>
          <w:p w14:paraId="45E4CD82" w14:textId="77777777" w:rsidR="00271D8F" w:rsidRPr="008879C0" w:rsidRDefault="00271D8F" w:rsidP="00360732">
            <w:pPr>
              <w:keepNext/>
              <w:keepLines/>
              <w:jc w:val="left"/>
              <w:rPr>
                <w:rFonts w:ascii="Arial Narrow" w:hAnsi="Arial Narrow"/>
                <w:b/>
                <w:bCs/>
                <w:sz w:val="20"/>
                <w:szCs w:val="20"/>
              </w:rPr>
            </w:pPr>
          </w:p>
        </w:tc>
        <w:tc>
          <w:tcPr>
            <w:tcW w:w="1558" w:type="pct"/>
            <w:gridSpan w:val="2"/>
          </w:tcPr>
          <w:p w14:paraId="75ACDAA7" w14:textId="77777777" w:rsidR="00271D8F" w:rsidRPr="008879C0" w:rsidRDefault="00271D8F" w:rsidP="00360732">
            <w:pPr>
              <w:keepNext/>
              <w:keepLines/>
              <w:jc w:val="left"/>
              <w:rPr>
                <w:rFonts w:ascii="Arial Narrow" w:hAnsi="Arial Narrow"/>
                <w:b/>
                <w:bCs/>
                <w:sz w:val="20"/>
                <w:szCs w:val="20"/>
              </w:rPr>
            </w:pPr>
          </w:p>
        </w:tc>
      </w:tr>
      <w:tr w:rsidR="00271D8F" w:rsidRPr="00191822" w14:paraId="5DCE82F1" w14:textId="77777777" w:rsidTr="00A361A7">
        <w:tc>
          <w:tcPr>
            <w:tcW w:w="1884" w:type="pct"/>
          </w:tcPr>
          <w:p w14:paraId="40896301" w14:textId="77777777" w:rsidR="00271D8F" w:rsidRPr="00135B91" w:rsidRDefault="00271D8F" w:rsidP="00360732">
            <w:pPr>
              <w:keepNext/>
              <w:keepLines/>
              <w:jc w:val="left"/>
              <w:rPr>
                <w:rFonts w:ascii="Arial Narrow" w:hAnsi="Arial Narrow"/>
                <w:sz w:val="20"/>
                <w:szCs w:val="20"/>
              </w:rPr>
            </w:pPr>
            <w:r w:rsidRPr="00135B91">
              <w:rPr>
                <w:rFonts w:ascii="Arial Narrow" w:hAnsi="Arial Narrow"/>
                <w:sz w:val="20"/>
                <w:szCs w:val="20"/>
              </w:rPr>
              <w:t>Any AE, n (%)</w:t>
            </w:r>
          </w:p>
        </w:tc>
        <w:tc>
          <w:tcPr>
            <w:tcW w:w="779" w:type="pct"/>
          </w:tcPr>
          <w:p w14:paraId="71A7EBBD"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161 (97.6)</w:t>
            </w:r>
          </w:p>
        </w:tc>
        <w:tc>
          <w:tcPr>
            <w:tcW w:w="779" w:type="pct"/>
          </w:tcPr>
          <w:p w14:paraId="520BA25A"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145 (91.8)</w:t>
            </w:r>
          </w:p>
        </w:tc>
        <w:tc>
          <w:tcPr>
            <w:tcW w:w="779" w:type="pct"/>
          </w:tcPr>
          <w:p w14:paraId="236037BB" w14:textId="77777777" w:rsidR="00271D8F" w:rsidRPr="00135B91" w:rsidRDefault="00271D8F" w:rsidP="00360732">
            <w:pPr>
              <w:keepNext/>
              <w:keepLines/>
              <w:jc w:val="center"/>
              <w:rPr>
                <w:rFonts w:ascii="Arial Narrow" w:hAnsi="Arial Narrow"/>
                <w:sz w:val="20"/>
                <w:szCs w:val="20"/>
              </w:rPr>
            </w:pPr>
            <w:r w:rsidRPr="007D3EFD">
              <w:rPr>
                <w:rFonts w:ascii="Arial Narrow" w:hAnsi="Arial Narrow"/>
                <w:sz w:val="20"/>
                <w:szCs w:val="20"/>
              </w:rPr>
              <w:t>162 (98.2)</w:t>
            </w:r>
          </w:p>
        </w:tc>
        <w:tc>
          <w:tcPr>
            <w:tcW w:w="779" w:type="pct"/>
          </w:tcPr>
          <w:p w14:paraId="3D46BD07"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146 (92.4)</w:t>
            </w:r>
          </w:p>
        </w:tc>
      </w:tr>
      <w:tr w:rsidR="00271D8F" w:rsidRPr="00191822" w14:paraId="6FF40F2C" w14:textId="77777777" w:rsidTr="00A361A7">
        <w:tc>
          <w:tcPr>
            <w:tcW w:w="1884" w:type="pct"/>
          </w:tcPr>
          <w:p w14:paraId="568249BE" w14:textId="77777777" w:rsidR="00271D8F" w:rsidRPr="00135B91" w:rsidRDefault="00271D8F" w:rsidP="00360732">
            <w:pPr>
              <w:keepNext/>
              <w:keepLines/>
              <w:jc w:val="left"/>
              <w:rPr>
                <w:rFonts w:ascii="Arial Narrow" w:hAnsi="Arial Narrow"/>
                <w:sz w:val="20"/>
                <w:szCs w:val="20"/>
              </w:rPr>
            </w:pPr>
            <w:r w:rsidRPr="00135B91">
              <w:rPr>
                <w:rFonts w:ascii="Arial Narrow" w:hAnsi="Arial Narrow"/>
                <w:sz w:val="20"/>
                <w:szCs w:val="20"/>
              </w:rPr>
              <w:t>Serious AE, n (%)</w:t>
            </w:r>
          </w:p>
        </w:tc>
        <w:tc>
          <w:tcPr>
            <w:tcW w:w="779" w:type="pct"/>
          </w:tcPr>
          <w:p w14:paraId="5F53D0F8"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55 (33.3)</w:t>
            </w:r>
          </w:p>
        </w:tc>
        <w:tc>
          <w:tcPr>
            <w:tcW w:w="779" w:type="pct"/>
          </w:tcPr>
          <w:p w14:paraId="2D8496DB"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 xml:space="preserve">58 (36.7) </w:t>
            </w:r>
          </w:p>
        </w:tc>
        <w:tc>
          <w:tcPr>
            <w:tcW w:w="779" w:type="pct"/>
          </w:tcPr>
          <w:p w14:paraId="529C2474" w14:textId="77777777" w:rsidR="00271D8F" w:rsidRPr="00135B91" w:rsidRDefault="00271D8F" w:rsidP="00360732">
            <w:pPr>
              <w:keepNext/>
              <w:keepLines/>
              <w:jc w:val="center"/>
              <w:rPr>
                <w:rFonts w:ascii="Arial Narrow" w:hAnsi="Arial Narrow"/>
                <w:sz w:val="20"/>
                <w:szCs w:val="20"/>
              </w:rPr>
            </w:pPr>
            <w:r w:rsidRPr="007D3EFD">
              <w:rPr>
                <w:rFonts w:ascii="Arial Narrow" w:hAnsi="Arial Narrow"/>
                <w:sz w:val="20"/>
                <w:szCs w:val="20"/>
              </w:rPr>
              <w:t>72 (43.6)</w:t>
            </w:r>
          </w:p>
        </w:tc>
        <w:tc>
          <w:tcPr>
            <w:tcW w:w="779" w:type="pct"/>
          </w:tcPr>
          <w:p w14:paraId="4B2F4843"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63 (39.9)</w:t>
            </w:r>
          </w:p>
        </w:tc>
      </w:tr>
      <w:tr w:rsidR="00271D8F" w:rsidRPr="00191822" w14:paraId="482D3BCE" w14:textId="77777777" w:rsidTr="00A361A7">
        <w:tc>
          <w:tcPr>
            <w:tcW w:w="1884" w:type="pct"/>
          </w:tcPr>
          <w:p w14:paraId="00F70D37" w14:textId="77777777" w:rsidR="00271D8F" w:rsidRPr="00135B91" w:rsidRDefault="00271D8F" w:rsidP="00360732">
            <w:pPr>
              <w:keepNext/>
              <w:keepLines/>
              <w:jc w:val="left"/>
              <w:rPr>
                <w:rFonts w:ascii="Arial Narrow" w:hAnsi="Arial Narrow"/>
                <w:sz w:val="20"/>
                <w:szCs w:val="20"/>
              </w:rPr>
            </w:pPr>
            <w:r w:rsidRPr="00135B91">
              <w:rPr>
                <w:rFonts w:ascii="Arial Narrow" w:hAnsi="Arial Narrow"/>
                <w:sz w:val="20"/>
                <w:szCs w:val="20"/>
              </w:rPr>
              <w:t xml:space="preserve">Fatal </w:t>
            </w:r>
            <w:r>
              <w:rPr>
                <w:rFonts w:ascii="Arial Narrow" w:hAnsi="Arial Narrow"/>
                <w:sz w:val="20"/>
                <w:szCs w:val="20"/>
              </w:rPr>
              <w:t xml:space="preserve">serious </w:t>
            </w:r>
            <w:r w:rsidRPr="00135B91">
              <w:rPr>
                <w:rFonts w:ascii="Arial Narrow" w:hAnsi="Arial Narrow"/>
                <w:sz w:val="20"/>
                <w:szCs w:val="20"/>
              </w:rPr>
              <w:t>AE, n (%)</w:t>
            </w:r>
          </w:p>
        </w:tc>
        <w:tc>
          <w:tcPr>
            <w:tcW w:w="779" w:type="pct"/>
          </w:tcPr>
          <w:p w14:paraId="20C29EC5" w14:textId="77777777" w:rsidR="00271D8F" w:rsidRPr="00135B91" w:rsidRDefault="00271D8F" w:rsidP="00360732">
            <w:pPr>
              <w:keepNext/>
              <w:keepLines/>
              <w:jc w:val="center"/>
              <w:rPr>
                <w:rFonts w:ascii="Arial Narrow" w:hAnsi="Arial Narrow"/>
                <w:sz w:val="20"/>
                <w:szCs w:val="20"/>
              </w:rPr>
            </w:pPr>
            <w:r w:rsidRPr="00CC11CB">
              <w:rPr>
                <w:rFonts w:ascii="Arial Narrow" w:hAnsi="Arial Narrow"/>
                <w:sz w:val="20"/>
                <w:szCs w:val="20"/>
              </w:rPr>
              <w:t>12 (7.3)</w:t>
            </w:r>
          </w:p>
        </w:tc>
        <w:tc>
          <w:tcPr>
            <w:tcW w:w="779" w:type="pct"/>
          </w:tcPr>
          <w:p w14:paraId="6551B05A" w14:textId="77777777" w:rsidR="00271D8F" w:rsidRPr="00135B91" w:rsidRDefault="00271D8F" w:rsidP="00360732">
            <w:pPr>
              <w:keepNext/>
              <w:keepLines/>
              <w:jc w:val="center"/>
              <w:rPr>
                <w:rFonts w:ascii="Arial Narrow" w:hAnsi="Arial Narrow"/>
                <w:sz w:val="20"/>
                <w:szCs w:val="20"/>
              </w:rPr>
            </w:pPr>
            <w:r w:rsidRPr="00CC11CB">
              <w:rPr>
                <w:rFonts w:ascii="Arial Narrow" w:hAnsi="Arial Narrow"/>
                <w:sz w:val="20"/>
                <w:szCs w:val="20"/>
              </w:rPr>
              <w:t>8 (5.1)</w:t>
            </w:r>
          </w:p>
        </w:tc>
        <w:tc>
          <w:tcPr>
            <w:tcW w:w="779" w:type="pct"/>
          </w:tcPr>
          <w:p w14:paraId="09E7484C" w14:textId="77777777" w:rsidR="00271D8F" w:rsidRPr="00135B91" w:rsidRDefault="00271D8F" w:rsidP="00360732">
            <w:pPr>
              <w:keepNext/>
              <w:keepLines/>
              <w:jc w:val="center"/>
              <w:rPr>
                <w:rFonts w:ascii="Arial Narrow" w:hAnsi="Arial Narrow"/>
                <w:sz w:val="20"/>
                <w:szCs w:val="20"/>
              </w:rPr>
            </w:pPr>
            <w:r w:rsidRPr="007D3EFD">
              <w:rPr>
                <w:rFonts w:ascii="Arial Narrow" w:hAnsi="Arial Narrow"/>
                <w:sz w:val="20"/>
                <w:szCs w:val="20"/>
              </w:rPr>
              <w:t>15 (9.1)</w:t>
            </w:r>
          </w:p>
        </w:tc>
        <w:tc>
          <w:tcPr>
            <w:tcW w:w="779" w:type="pct"/>
          </w:tcPr>
          <w:p w14:paraId="08CD5472"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10 (6.3)</w:t>
            </w:r>
          </w:p>
        </w:tc>
      </w:tr>
      <w:tr w:rsidR="00271D8F" w:rsidRPr="00191822" w14:paraId="0AB1A74C" w14:textId="77777777" w:rsidTr="00A361A7">
        <w:tc>
          <w:tcPr>
            <w:tcW w:w="1884" w:type="pct"/>
          </w:tcPr>
          <w:p w14:paraId="0A5C35FD" w14:textId="77777777" w:rsidR="00271D8F" w:rsidRPr="00135B91" w:rsidRDefault="00271D8F" w:rsidP="00360732">
            <w:pPr>
              <w:keepNext/>
              <w:keepLines/>
              <w:jc w:val="left"/>
              <w:rPr>
                <w:rFonts w:ascii="Arial Narrow" w:hAnsi="Arial Narrow"/>
                <w:sz w:val="20"/>
                <w:szCs w:val="20"/>
              </w:rPr>
            </w:pPr>
            <w:r w:rsidRPr="00135B91">
              <w:rPr>
                <w:rFonts w:ascii="Arial Narrow" w:hAnsi="Arial Narrow"/>
                <w:sz w:val="20"/>
                <w:szCs w:val="20"/>
              </w:rPr>
              <w:t>Discontinuation due to AE, n (%)</w:t>
            </w:r>
          </w:p>
        </w:tc>
        <w:tc>
          <w:tcPr>
            <w:tcW w:w="779" w:type="pct"/>
          </w:tcPr>
          <w:p w14:paraId="0E8FF0D2"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27 (16.4)</w:t>
            </w:r>
          </w:p>
        </w:tc>
        <w:tc>
          <w:tcPr>
            <w:tcW w:w="779" w:type="pct"/>
          </w:tcPr>
          <w:p w14:paraId="43166DD3" w14:textId="77777777" w:rsidR="00271D8F" w:rsidRPr="00135B91" w:rsidRDefault="00271D8F" w:rsidP="00360732">
            <w:pPr>
              <w:keepNext/>
              <w:keepLines/>
              <w:jc w:val="center"/>
              <w:rPr>
                <w:rFonts w:ascii="Arial Narrow" w:hAnsi="Arial Narrow"/>
                <w:sz w:val="20"/>
                <w:szCs w:val="20"/>
              </w:rPr>
            </w:pPr>
            <w:r w:rsidRPr="00CC11CB">
              <w:rPr>
                <w:rFonts w:ascii="Arial Narrow" w:hAnsi="Arial Narrow"/>
                <w:sz w:val="20"/>
                <w:szCs w:val="20"/>
              </w:rPr>
              <w:t>11 (7.0)</w:t>
            </w:r>
          </w:p>
        </w:tc>
        <w:tc>
          <w:tcPr>
            <w:tcW w:w="779" w:type="pct"/>
          </w:tcPr>
          <w:p w14:paraId="4E8000B5" w14:textId="77777777" w:rsidR="00271D8F" w:rsidRPr="00135B91" w:rsidRDefault="00271D8F" w:rsidP="00360732">
            <w:pPr>
              <w:keepNext/>
              <w:keepLines/>
              <w:jc w:val="center"/>
              <w:rPr>
                <w:rFonts w:ascii="Arial Narrow" w:hAnsi="Arial Narrow"/>
                <w:sz w:val="20"/>
                <w:szCs w:val="20"/>
              </w:rPr>
            </w:pPr>
            <w:r w:rsidRPr="007D3EFD">
              <w:rPr>
                <w:rFonts w:ascii="Arial Narrow" w:hAnsi="Arial Narrow"/>
                <w:sz w:val="20"/>
                <w:szCs w:val="20"/>
              </w:rPr>
              <w:t>34 (20.6)</w:t>
            </w:r>
          </w:p>
        </w:tc>
        <w:tc>
          <w:tcPr>
            <w:tcW w:w="779" w:type="pct"/>
          </w:tcPr>
          <w:p w14:paraId="1FA7FD6B"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14 (8.9)</w:t>
            </w:r>
          </w:p>
        </w:tc>
      </w:tr>
      <w:tr w:rsidR="00271D8F" w:rsidRPr="00191822" w14:paraId="5DB06566" w14:textId="77777777" w:rsidTr="00A361A7">
        <w:trPr>
          <w:trHeight w:val="1000"/>
        </w:trPr>
        <w:tc>
          <w:tcPr>
            <w:tcW w:w="1884" w:type="pct"/>
          </w:tcPr>
          <w:p w14:paraId="5C6BD5A4" w14:textId="77777777" w:rsidR="00271D8F" w:rsidRPr="00135B91" w:rsidRDefault="00271D8F" w:rsidP="00360732">
            <w:pPr>
              <w:keepNext/>
              <w:keepLines/>
              <w:jc w:val="left"/>
              <w:rPr>
                <w:rFonts w:ascii="Arial Narrow" w:hAnsi="Arial Narrow"/>
                <w:sz w:val="20"/>
                <w:szCs w:val="20"/>
              </w:rPr>
            </w:pPr>
            <w:r w:rsidRPr="00135B91">
              <w:rPr>
                <w:rFonts w:ascii="Arial Narrow" w:hAnsi="Arial Narrow"/>
                <w:sz w:val="20"/>
                <w:szCs w:val="20"/>
              </w:rPr>
              <w:t>Treatment-related AE, n (%)</w:t>
            </w:r>
          </w:p>
          <w:p w14:paraId="2FEFD5E9" w14:textId="77777777" w:rsidR="00271D8F" w:rsidRPr="00135B91" w:rsidRDefault="00271D8F" w:rsidP="001A6300">
            <w:pPr>
              <w:pStyle w:val="ListParagraph"/>
              <w:keepNext/>
              <w:keepLines/>
              <w:numPr>
                <w:ilvl w:val="0"/>
                <w:numId w:val="5"/>
              </w:numPr>
              <w:ind w:left="219" w:hanging="142"/>
              <w:jc w:val="left"/>
              <w:rPr>
                <w:rFonts w:ascii="Arial Narrow" w:hAnsi="Arial Narrow"/>
                <w:sz w:val="20"/>
                <w:szCs w:val="20"/>
              </w:rPr>
            </w:pPr>
            <w:r w:rsidRPr="00135B91">
              <w:rPr>
                <w:rFonts w:ascii="Arial Narrow" w:hAnsi="Arial Narrow"/>
                <w:sz w:val="20"/>
                <w:szCs w:val="20"/>
              </w:rPr>
              <w:t>Treatment-emergent</w:t>
            </w:r>
            <w:r>
              <w:rPr>
                <w:rFonts w:ascii="Arial Narrow" w:hAnsi="Arial Narrow"/>
                <w:sz w:val="20"/>
                <w:szCs w:val="20"/>
              </w:rPr>
              <w:t xml:space="preserve"> AE</w:t>
            </w:r>
          </w:p>
          <w:p w14:paraId="1EEE239D" w14:textId="77777777" w:rsidR="00271D8F" w:rsidRPr="00135B91" w:rsidRDefault="00271D8F" w:rsidP="001A6300">
            <w:pPr>
              <w:pStyle w:val="ListParagraph"/>
              <w:keepNext/>
              <w:keepLines/>
              <w:numPr>
                <w:ilvl w:val="0"/>
                <w:numId w:val="5"/>
              </w:numPr>
              <w:ind w:left="219" w:hanging="142"/>
              <w:jc w:val="left"/>
              <w:rPr>
                <w:rFonts w:ascii="Arial Narrow" w:hAnsi="Arial Narrow"/>
                <w:sz w:val="20"/>
                <w:szCs w:val="20"/>
              </w:rPr>
            </w:pPr>
            <w:r w:rsidRPr="00135B91">
              <w:rPr>
                <w:rFonts w:ascii="Arial Narrow" w:hAnsi="Arial Narrow"/>
                <w:sz w:val="20"/>
                <w:szCs w:val="20"/>
              </w:rPr>
              <w:t>Serious</w:t>
            </w:r>
            <w:r>
              <w:rPr>
                <w:rFonts w:ascii="Arial Narrow" w:hAnsi="Arial Narrow"/>
                <w:sz w:val="20"/>
                <w:szCs w:val="20"/>
              </w:rPr>
              <w:t xml:space="preserve"> AE</w:t>
            </w:r>
          </w:p>
          <w:p w14:paraId="30D8FAF4" w14:textId="77777777" w:rsidR="00271D8F" w:rsidRPr="00135B91" w:rsidRDefault="00271D8F" w:rsidP="001A6300">
            <w:pPr>
              <w:pStyle w:val="ListParagraph"/>
              <w:keepNext/>
              <w:keepLines/>
              <w:numPr>
                <w:ilvl w:val="0"/>
                <w:numId w:val="5"/>
              </w:numPr>
              <w:ind w:left="219" w:hanging="142"/>
              <w:jc w:val="left"/>
              <w:rPr>
                <w:rFonts w:ascii="Arial Narrow" w:hAnsi="Arial Narrow"/>
                <w:sz w:val="20"/>
                <w:szCs w:val="20"/>
              </w:rPr>
            </w:pPr>
            <w:r w:rsidRPr="00135B91">
              <w:rPr>
                <w:rFonts w:ascii="Arial Narrow" w:hAnsi="Arial Narrow"/>
                <w:sz w:val="20"/>
                <w:szCs w:val="20"/>
              </w:rPr>
              <w:t xml:space="preserve">Fatal </w:t>
            </w:r>
            <w:r>
              <w:rPr>
                <w:rFonts w:ascii="Arial Narrow" w:hAnsi="Arial Narrow"/>
                <w:sz w:val="20"/>
                <w:szCs w:val="20"/>
              </w:rPr>
              <w:t>serious AE</w:t>
            </w:r>
          </w:p>
          <w:p w14:paraId="0F202FF8" w14:textId="77777777" w:rsidR="00271D8F" w:rsidRPr="00135B91" w:rsidRDefault="00271D8F" w:rsidP="001A6300">
            <w:pPr>
              <w:pStyle w:val="ListParagraph"/>
              <w:keepNext/>
              <w:keepLines/>
              <w:numPr>
                <w:ilvl w:val="0"/>
                <w:numId w:val="5"/>
              </w:numPr>
              <w:ind w:left="219" w:hanging="142"/>
              <w:jc w:val="left"/>
              <w:rPr>
                <w:rFonts w:ascii="Arial Narrow" w:hAnsi="Arial Narrow"/>
                <w:sz w:val="20"/>
                <w:szCs w:val="20"/>
              </w:rPr>
            </w:pPr>
            <w:r w:rsidRPr="00135B91">
              <w:rPr>
                <w:rFonts w:ascii="Arial Narrow" w:hAnsi="Arial Narrow"/>
                <w:sz w:val="20"/>
                <w:szCs w:val="20"/>
              </w:rPr>
              <w:t>Discontinuation</w:t>
            </w:r>
            <w:r>
              <w:rPr>
                <w:rFonts w:ascii="Arial Narrow" w:hAnsi="Arial Narrow"/>
                <w:sz w:val="20"/>
                <w:szCs w:val="20"/>
              </w:rPr>
              <w:t xml:space="preserve"> due to AE</w:t>
            </w:r>
          </w:p>
        </w:tc>
        <w:tc>
          <w:tcPr>
            <w:tcW w:w="779" w:type="pct"/>
          </w:tcPr>
          <w:p w14:paraId="60DD01F4" w14:textId="77777777" w:rsidR="00271D8F" w:rsidRPr="00135B91" w:rsidRDefault="00271D8F" w:rsidP="00360732">
            <w:pPr>
              <w:keepNext/>
              <w:keepLines/>
              <w:jc w:val="center"/>
              <w:rPr>
                <w:rFonts w:ascii="Arial Narrow" w:hAnsi="Arial Narrow"/>
                <w:sz w:val="20"/>
                <w:szCs w:val="20"/>
              </w:rPr>
            </w:pPr>
          </w:p>
          <w:p w14:paraId="19A0C4B6"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104 (63.0)</w:t>
            </w:r>
          </w:p>
          <w:p w14:paraId="47A73024"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27 (16.4)</w:t>
            </w:r>
          </w:p>
          <w:p w14:paraId="73EEAD7E" w14:textId="77777777" w:rsidR="00271D8F" w:rsidRDefault="00271D8F" w:rsidP="00360732">
            <w:pPr>
              <w:keepNext/>
              <w:keepLines/>
              <w:jc w:val="center"/>
              <w:rPr>
                <w:rFonts w:ascii="Arial Narrow" w:hAnsi="Arial Narrow"/>
                <w:sz w:val="20"/>
                <w:szCs w:val="20"/>
              </w:rPr>
            </w:pPr>
            <w:r w:rsidRPr="004722E8">
              <w:rPr>
                <w:rFonts w:ascii="Arial Narrow" w:hAnsi="Arial Narrow"/>
                <w:sz w:val="20"/>
                <w:szCs w:val="20"/>
              </w:rPr>
              <w:t>7 (4.2)</w:t>
            </w:r>
          </w:p>
          <w:p w14:paraId="2682A181" w14:textId="77777777" w:rsidR="00271D8F" w:rsidRPr="00135B91" w:rsidRDefault="00271D8F" w:rsidP="00360732">
            <w:pPr>
              <w:keepNext/>
              <w:keepLines/>
              <w:jc w:val="center"/>
              <w:rPr>
                <w:rFonts w:ascii="Arial Narrow" w:hAnsi="Arial Narrow"/>
                <w:sz w:val="20"/>
                <w:szCs w:val="20"/>
              </w:rPr>
            </w:pPr>
            <w:r w:rsidRPr="004722E8">
              <w:rPr>
                <w:rFonts w:ascii="Arial Narrow" w:hAnsi="Arial Narrow"/>
                <w:sz w:val="20"/>
                <w:szCs w:val="20"/>
              </w:rPr>
              <w:t>16 (9.7)</w:t>
            </w:r>
          </w:p>
        </w:tc>
        <w:tc>
          <w:tcPr>
            <w:tcW w:w="779" w:type="pct"/>
          </w:tcPr>
          <w:p w14:paraId="7C7A8689" w14:textId="77777777" w:rsidR="00271D8F" w:rsidRPr="00135B91" w:rsidRDefault="00271D8F" w:rsidP="00360732">
            <w:pPr>
              <w:keepNext/>
              <w:keepLines/>
              <w:jc w:val="center"/>
              <w:rPr>
                <w:rFonts w:ascii="Arial Narrow" w:hAnsi="Arial Narrow"/>
                <w:sz w:val="20"/>
                <w:szCs w:val="20"/>
              </w:rPr>
            </w:pPr>
          </w:p>
          <w:p w14:paraId="03882A36"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45 (28.5)</w:t>
            </w:r>
          </w:p>
          <w:p w14:paraId="19C81796"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16 (10.1)</w:t>
            </w:r>
          </w:p>
          <w:p w14:paraId="2C3D9149" w14:textId="77777777" w:rsidR="00271D8F" w:rsidRDefault="00271D8F" w:rsidP="00360732">
            <w:pPr>
              <w:keepNext/>
              <w:keepLines/>
              <w:jc w:val="center"/>
              <w:rPr>
                <w:rFonts w:ascii="Arial Narrow" w:hAnsi="Arial Narrow"/>
                <w:sz w:val="20"/>
                <w:szCs w:val="20"/>
              </w:rPr>
            </w:pPr>
            <w:r w:rsidRPr="004722E8">
              <w:rPr>
                <w:rFonts w:ascii="Arial Narrow" w:hAnsi="Arial Narrow"/>
                <w:sz w:val="20"/>
                <w:szCs w:val="20"/>
              </w:rPr>
              <w:t>4 (2.5)</w:t>
            </w:r>
          </w:p>
          <w:p w14:paraId="50FB7569" w14:textId="77777777" w:rsidR="00271D8F" w:rsidRPr="00135B91" w:rsidRDefault="00271D8F" w:rsidP="00360732">
            <w:pPr>
              <w:keepNext/>
              <w:keepLines/>
              <w:jc w:val="center"/>
              <w:rPr>
                <w:rFonts w:ascii="Arial Narrow" w:hAnsi="Arial Narrow"/>
                <w:sz w:val="20"/>
                <w:szCs w:val="20"/>
              </w:rPr>
            </w:pPr>
            <w:r w:rsidRPr="004722E8">
              <w:rPr>
                <w:rFonts w:ascii="Arial Narrow" w:hAnsi="Arial Narrow"/>
                <w:sz w:val="20"/>
                <w:szCs w:val="20"/>
              </w:rPr>
              <w:t>6 (3.8)</w:t>
            </w:r>
          </w:p>
        </w:tc>
        <w:tc>
          <w:tcPr>
            <w:tcW w:w="779" w:type="pct"/>
          </w:tcPr>
          <w:p w14:paraId="59D41974" w14:textId="77777777" w:rsidR="00271D8F" w:rsidRDefault="00271D8F" w:rsidP="00360732">
            <w:pPr>
              <w:keepNext/>
              <w:keepLines/>
              <w:jc w:val="center"/>
              <w:rPr>
                <w:rFonts w:ascii="Arial Narrow" w:hAnsi="Arial Narrow"/>
                <w:sz w:val="20"/>
                <w:szCs w:val="20"/>
              </w:rPr>
            </w:pPr>
          </w:p>
          <w:p w14:paraId="38E16EF4" w14:textId="77777777" w:rsidR="00271D8F" w:rsidRPr="003B2FF6" w:rsidRDefault="00271D8F" w:rsidP="00360732">
            <w:pPr>
              <w:keepNext/>
              <w:keepLines/>
              <w:jc w:val="center"/>
              <w:rPr>
                <w:rFonts w:ascii="Arial Narrow" w:hAnsi="Arial Narrow"/>
                <w:sz w:val="20"/>
                <w:szCs w:val="20"/>
              </w:rPr>
            </w:pPr>
            <w:r w:rsidRPr="003B2FF6">
              <w:rPr>
                <w:rFonts w:ascii="Arial Narrow" w:hAnsi="Arial Narrow"/>
                <w:sz w:val="20"/>
                <w:szCs w:val="20"/>
              </w:rPr>
              <w:t>112 (67.9)</w:t>
            </w:r>
          </w:p>
          <w:p w14:paraId="3B6A4B20" w14:textId="77777777" w:rsidR="00271D8F" w:rsidRPr="003B2FF6" w:rsidRDefault="00271D8F" w:rsidP="00360732">
            <w:pPr>
              <w:keepNext/>
              <w:keepLines/>
              <w:jc w:val="center"/>
              <w:rPr>
                <w:rFonts w:ascii="Arial Narrow" w:hAnsi="Arial Narrow"/>
                <w:sz w:val="20"/>
                <w:szCs w:val="20"/>
              </w:rPr>
            </w:pPr>
            <w:r w:rsidRPr="003B2FF6">
              <w:rPr>
                <w:rFonts w:ascii="Arial Narrow" w:hAnsi="Arial Narrow"/>
                <w:sz w:val="20"/>
                <w:szCs w:val="20"/>
              </w:rPr>
              <w:t>35 (21.2)</w:t>
            </w:r>
          </w:p>
          <w:p w14:paraId="77D0E536" w14:textId="77777777" w:rsidR="00271D8F" w:rsidRPr="003B2FF6" w:rsidRDefault="00271D8F" w:rsidP="00360732">
            <w:pPr>
              <w:keepNext/>
              <w:keepLines/>
              <w:jc w:val="center"/>
              <w:rPr>
                <w:rFonts w:ascii="Arial Narrow" w:hAnsi="Arial Narrow"/>
                <w:sz w:val="20"/>
                <w:szCs w:val="20"/>
              </w:rPr>
            </w:pPr>
            <w:r w:rsidRPr="003B2FF6">
              <w:rPr>
                <w:rFonts w:ascii="Arial Narrow" w:hAnsi="Arial Narrow"/>
                <w:sz w:val="20"/>
                <w:szCs w:val="20"/>
              </w:rPr>
              <w:t>8 (4.8)</w:t>
            </w:r>
          </w:p>
          <w:p w14:paraId="23F6399C" w14:textId="77777777" w:rsidR="00271D8F" w:rsidRPr="00135B91" w:rsidRDefault="00271D8F" w:rsidP="00360732">
            <w:pPr>
              <w:keepNext/>
              <w:keepLines/>
              <w:jc w:val="center"/>
              <w:rPr>
                <w:rFonts w:ascii="Arial Narrow" w:hAnsi="Arial Narrow"/>
                <w:sz w:val="20"/>
                <w:szCs w:val="20"/>
              </w:rPr>
            </w:pPr>
            <w:r w:rsidRPr="003B2FF6">
              <w:rPr>
                <w:rFonts w:ascii="Arial Narrow" w:hAnsi="Arial Narrow"/>
                <w:sz w:val="20"/>
                <w:szCs w:val="20"/>
              </w:rPr>
              <w:t>21 (12.7)</w:t>
            </w:r>
          </w:p>
        </w:tc>
        <w:tc>
          <w:tcPr>
            <w:tcW w:w="779" w:type="pct"/>
          </w:tcPr>
          <w:p w14:paraId="380CEC37" w14:textId="77777777" w:rsidR="00271D8F" w:rsidRDefault="00271D8F" w:rsidP="00360732">
            <w:pPr>
              <w:keepNext/>
              <w:keepLines/>
              <w:jc w:val="center"/>
              <w:rPr>
                <w:rFonts w:ascii="Arial Narrow" w:hAnsi="Arial Narrow"/>
                <w:sz w:val="20"/>
                <w:szCs w:val="20"/>
              </w:rPr>
            </w:pPr>
          </w:p>
          <w:p w14:paraId="62CECBF3"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 xml:space="preserve">48 (30.4) </w:t>
            </w:r>
          </w:p>
          <w:p w14:paraId="32731E8B" w14:textId="77777777" w:rsidR="00271D8F" w:rsidRDefault="00271D8F" w:rsidP="00360732">
            <w:pPr>
              <w:keepNext/>
              <w:keepLines/>
              <w:jc w:val="center"/>
              <w:rPr>
                <w:rFonts w:ascii="Arial Narrow" w:hAnsi="Arial Narrow"/>
                <w:sz w:val="20"/>
                <w:szCs w:val="20"/>
              </w:rPr>
            </w:pPr>
            <w:r w:rsidRPr="00135B91">
              <w:rPr>
                <w:rFonts w:ascii="Arial Narrow" w:hAnsi="Arial Narrow"/>
                <w:sz w:val="20"/>
                <w:szCs w:val="20"/>
              </w:rPr>
              <w:t>16 (10.1)</w:t>
            </w:r>
            <w:r w:rsidRPr="00135B91">
              <w:rPr>
                <w:rFonts w:ascii="Arial Narrow" w:hAnsi="Arial Narrow"/>
                <w:sz w:val="20"/>
                <w:szCs w:val="20"/>
              </w:rPr>
              <w:tab/>
            </w:r>
          </w:p>
          <w:p w14:paraId="0567783E" w14:textId="77777777" w:rsidR="00271D8F" w:rsidRDefault="00271D8F" w:rsidP="00360732">
            <w:pPr>
              <w:keepNext/>
              <w:keepLines/>
              <w:jc w:val="center"/>
              <w:rPr>
                <w:rFonts w:ascii="Arial Narrow" w:hAnsi="Arial Narrow"/>
                <w:sz w:val="20"/>
                <w:szCs w:val="20"/>
              </w:rPr>
            </w:pPr>
            <w:r w:rsidRPr="00135B91">
              <w:rPr>
                <w:rFonts w:ascii="Arial Narrow" w:hAnsi="Arial Narrow"/>
                <w:sz w:val="20"/>
                <w:szCs w:val="20"/>
              </w:rPr>
              <w:t>4 (2.5)</w:t>
            </w:r>
          </w:p>
          <w:p w14:paraId="6D7C8969"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7 (4.4)</w:t>
            </w:r>
          </w:p>
        </w:tc>
      </w:tr>
      <w:tr w:rsidR="00271D8F" w:rsidRPr="00F734F3" w14:paraId="5A4378E3" w14:textId="77777777" w:rsidTr="00A361A7">
        <w:tc>
          <w:tcPr>
            <w:tcW w:w="5000" w:type="pct"/>
            <w:gridSpan w:val="5"/>
          </w:tcPr>
          <w:p w14:paraId="2C6FDB79" w14:textId="77777777" w:rsidR="00271D8F" w:rsidRPr="00F734F3" w:rsidRDefault="00271D8F" w:rsidP="00360732">
            <w:pPr>
              <w:keepNext/>
              <w:keepLines/>
              <w:jc w:val="left"/>
              <w:rPr>
                <w:rFonts w:ascii="Arial Narrow" w:hAnsi="Arial Narrow"/>
                <w:b/>
                <w:bCs/>
                <w:sz w:val="20"/>
                <w:szCs w:val="20"/>
              </w:rPr>
            </w:pPr>
            <w:r>
              <w:rPr>
                <w:rFonts w:ascii="Arial Narrow" w:hAnsi="Arial Narrow"/>
                <w:b/>
                <w:bCs/>
                <w:sz w:val="20"/>
                <w:szCs w:val="20"/>
              </w:rPr>
              <w:t>Grade ≥3 AEs</w:t>
            </w:r>
          </w:p>
        </w:tc>
      </w:tr>
      <w:tr w:rsidR="00271D8F" w:rsidRPr="00191822" w14:paraId="20CDF141" w14:textId="77777777" w:rsidTr="00A361A7">
        <w:tc>
          <w:tcPr>
            <w:tcW w:w="1884" w:type="pct"/>
          </w:tcPr>
          <w:p w14:paraId="698184B0" w14:textId="77777777" w:rsidR="00271D8F" w:rsidRPr="008879C0" w:rsidRDefault="00271D8F" w:rsidP="00360732">
            <w:pPr>
              <w:keepNext/>
              <w:keepLines/>
              <w:jc w:val="left"/>
              <w:rPr>
                <w:rFonts w:ascii="Arial Narrow" w:hAnsi="Arial Narrow"/>
                <w:sz w:val="20"/>
                <w:szCs w:val="20"/>
              </w:rPr>
            </w:pPr>
            <w:r w:rsidRPr="008879C0">
              <w:rPr>
                <w:rFonts w:ascii="Arial Narrow" w:hAnsi="Arial Narrow"/>
                <w:sz w:val="20"/>
                <w:szCs w:val="20"/>
              </w:rPr>
              <w:t>Any AE, n (%)</w:t>
            </w:r>
          </w:p>
        </w:tc>
        <w:tc>
          <w:tcPr>
            <w:tcW w:w="779" w:type="pct"/>
          </w:tcPr>
          <w:p w14:paraId="28CC472E"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94 (57.0)</w:t>
            </w:r>
          </w:p>
        </w:tc>
        <w:tc>
          <w:tcPr>
            <w:tcW w:w="779" w:type="pct"/>
          </w:tcPr>
          <w:p w14:paraId="3FD37120"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91 (57.6)</w:t>
            </w:r>
          </w:p>
        </w:tc>
        <w:tc>
          <w:tcPr>
            <w:tcW w:w="779" w:type="pct"/>
          </w:tcPr>
          <w:p w14:paraId="2DA7A20E" w14:textId="77777777" w:rsidR="00271D8F" w:rsidRPr="008879C0" w:rsidRDefault="00271D8F" w:rsidP="00360732">
            <w:pPr>
              <w:keepNext/>
              <w:keepLines/>
              <w:jc w:val="center"/>
              <w:rPr>
                <w:rFonts w:ascii="Arial Narrow" w:hAnsi="Arial Narrow"/>
                <w:sz w:val="20"/>
                <w:szCs w:val="20"/>
              </w:rPr>
            </w:pPr>
            <w:r w:rsidRPr="003B2FF6">
              <w:rPr>
                <w:rFonts w:ascii="Arial Narrow" w:hAnsi="Arial Narrow"/>
                <w:sz w:val="20"/>
                <w:szCs w:val="20"/>
              </w:rPr>
              <w:t>109 (66.1)</w:t>
            </w:r>
          </w:p>
        </w:tc>
        <w:tc>
          <w:tcPr>
            <w:tcW w:w="779" w:type="pct"/>
          </w:tcPr>
          <w:p w14:paraId="1300CD3A" w14:textId="77777777" w:rsidR="00271D8F" w:rsidRPr="008879C0" w:rsidRDefault="00271D8F" w:rsidP="00360732">
            <w:pPr>
              <w:keepNext/>
              <w:keepLines/>
              <w:jc w:val="center"/>
              <w:rPr>
                <w:rFonts w:ascii="Arial Narrow" w:hAnsi="Arial Narrow"/>
                <w:sz w:val="20"/>
                <w:szCs w:val="20"/>
              </w:rPr>
            </w:pPr>
            <w:r w:rsidRPr="00135B91">
              <w:rPr>
                <w:rFonts w:ascii="Arial Narrow" w:hAnsi="Arial Narrow"/>
                <w:sz w:val="20"/>
                <w:szCs w:val="20"/>
              </w:rPr>
              <w:t>93 (58.9)</w:t>
            </w:r>
          </w:p>
        </w:tc>
      </w:tr>
      <w:tr w:rsidR="00271D8F" w:rsidRPr="00191822" w14:paraId="3FFCD38A" w14:textId="77777777" w:rsidTr="00A361A7">
        <w:tc>
          <w:tcPr>
            <w:tcW w:w="1884" w:type="pct"/>
          </w:tcPr>
          <w:p w14:paraId="17AD1385" w14:textId="77777777" w:rsidR="00271D8F" w:rsidRPr="008879C0" w:rsidRDefault="00271D8F" w:rsidP="00360732">
            <w:pPr>
              <w:keepNext/>
              <w:keepLines/>
              <w:jc w:val="left"/>
              <w:rPr>
                <w:rFonts w:ascii="Arial Narrow" w:hAnsi="Arial Narrow"/>
                <w:sz w:val="20"/>
                <w:szCs w:val="20"/>
              </w:rPr>
            </w:pPr>
            <w:r w:rsidRPr="008879C0">
              <w:rPr>
                <w:rFonts w:ascii="Arial Narrow" w:hAnsi="Arial Narrow"/>
                <w:sz w:val="20"/>
                <w:szCs w:val="20"/>
              </w:rPr>
              <w:t>Serious AE, n (%)</w:t>
            </w:r>
          </w:p>
        </w:tc>
        <w:tc>
          <w:tcPr>
            <w:tcW w:w="779" w:type="pct"/>
          </w:tcPr>
          <w:p w14:paraId="65D2A50A"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49 (29.7)</w:t>
            </w:r>
          </w:p>
        </w:tc>
        <w:tc>
          <w:tcPr>
            <w:tcW w:w="779" w:type="pct"/>
          </w:tcPr>
          <w:p w14:paraId="5D1254A9"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53 (33.5)</w:t>
            </w:r>
          </w:p>
        </w:tc>
        <w:tc>
          <w:tcPr>
            <w:tcW w:w="779" w:type="pct"/>
          </w:tcPr>
          <w:p w14:paraId="2346C40B" w14:textId="77777777" w:rsidR="00271D8F" w:rsidRPr="008879C0" w:rsidRDefault="00271D8F" w:rsidP="00360732">
            <w:pPr>
              <w:keepNext/>
              <w:keepLines/>
              <w:jc w:val="center"/>
              <w:rPr>
                <w:rFonts w:ascii="Arial Narrow" w:hAnsi="Arial Narrow"/>
                <w:sz w:val="20"/>
                <w:szCs w:val="20"/>
              </w:rPr>
            </w:pPr>
            <w:r w:rsidRPr="003B2FF6">
              <w:rPr>
                <w:rFonts w:ascii="Arial Narrow" w:hAnsi="Arial Narrow"/>
                <w:sz w:val="20"/>
                <w:szCs w:val="20"/>
              </w:rPr>
              <w:t>66 (40.0)</w:t>
            </w:r>
          </w:p>
        </w:tc>
        <w:tc>
          <w:tcPr>
            <w:tcW w:w="779" w:type="pct"/>
          </w:tcPr>
          <w:p w14:paraId="6CDB9C01" w14:textId="77777777" w:rsidR="00271D8F" w:rsidRPr="008879C0" w:rsidRDefault="00271D8F" w:rsidP="00360732">
            <w:pPr>
              <w:keepNext/>
              <w:keepLines/>
              <w:jc w:val="center"/>
              <w:rPr>
                <w:rFonts w:ascii="Arial Narrow" w:hAnsi="Arial Narrow"/>
                <w:sz w:val="20"/>
                <w:szCs w:val="20"/>
              </w:rPr>
            </w:pPr>
            <w:r w:rsidRPr="00135B91">
              <w:rPr>
                <w:rFonts w:ascii="Arial Narrow" w:hAnsi="Arial Narrow"/>
                <w:sz w:val="20"/>
                <w:szCs w:val="20"/>
              </w:rPr>
              <w:t>57 (36.1)</w:t>
            </w:r>
          </w:p>
        </w:tc>
      </w:tr>
      <w:tr w:rsidR="00271D8F" w:rsidRPr="00191822" w14:paraId="07FC2A6B" w14:textId="77777777" w:rsidTr="00A361A7">
        <w:tc>
          <w:tcPr>
            <w:tcW w:w="1884" w:type="pct"/>
          </w:tcPr>
          <w:p w14:paraId="614C34AA" w14:textId="77777777" w:rsidR="00271D8F" w:rsidRPr="008879C0" w:rsidRDefault="00271D8F" w:rsidP="00360732">
            <w:pPr>
              <w:keepNext/>
              <w:keepLines/>
              <w:jc w:val="left"/>
              <w:rPr>
                <w:rFonts w:ascii="Arial Narrow" w:hAnsi="Arial Narrow"/>
                <w:sz w:val="20"/>
                <w:szCs w:val="20"/>
              </w:rPr>
            </w:pPr>
            <w:r w:rsidRPr="008879C0">
              <w:rPr>
                <w:rFonts w:ascii="Arial Narrow" w:hAnsi="Arial Narrow"/>
                <w:sz w:val="20"/>
                <w:szCs w:val="20"/>
              </w:rPr>
              <w:t xml:space="preserve">Fatal </w:t>
            </w:r>
            <w:r>
              <w:rPr>
                <w:rFonts w:ascii="Arial Narrow" w:hAnsi="Arial Narrow"/>
                <w:sz w:val="20"/>
                <w:szCs w:val="20"/>
              </w:rPr>
              <w:t>serious A</w:t>
            </w:r>
            <w:r w:rsidRPr="008879C0">
              <w:rPr>
                <w:rFonts w:ascii="Arial Narrow" w:hAnsi="Arial Narrow"/>
                <w:sz w:val="20"/>
                <w:szCs w:val="20"/>
              </w:rPr>
              <w:t>E, n (%)</w:t>
            </w:r>
          </w:p>
        </w:tc>
        <w:tc>
          <w:tcPr>
            <w:tcW w:w="779" w:type="pct"/>
          </w:tcPr>
          <w:p w14:paraId="438D4E4D"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12 (7.3)</w:t>
            </w:r>
          </w:p>
        </w:tc>
        <w:tc>
          <w:tcPr>
            <w:tcW w:w="779" w:type="pct"/>
          </w:tcPr>
          <w:p w14:paraId="1F01B312"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8 (5.1)</w:t>
            </w:r>
          </w:p>
        </w:tc>
        <w:tc>
          <w:tcPr>
            <w:tcW w:w="779" w:type="pct"/>
          </w:tcPr>
          <w:p w14:paraId="1F3F7DE0" w14:textId="77777777" w:rsidR="00271D8F" w:rsidRPr="008879C0" w:rsidRDefault="00271D8F" w:rsidP="00360732">
            <w:pPr>
              <w:keepNext/>
              <w:keepLines/>
              <w:jc w:val="center"/>
              <w:rPr>
                <w:rFonts w:ascii="Arial Narrow" w:hAnsi="Arial Narrow"/>
                <w:sz w:val="20"/>
                <w:szCs w:val="20"/>
              </w:rPr>
            </w:pPr>
            <w:r w:rsidRPr="003B2FF6">
              <w:rPr>
                <w:rFonts w:ascii="Arial Narrow" w:hAnsi="Arial Narrow"/>
                <w:sz w:val="20"/>
                <w:szCs w:val="20"/>
              </w:rPr>
              <w:t>15 (9.1)</w:t>
            </w:r>
          </w:p>
        </w:tc>
        <w:tc>
          <w:tcPr>
            <w:tcW w:w="779" w:type="pct"/>
          </w:tcPr>
          <w:p w14:paraId="61CCC706" w14:textId="77777777" w:rsidR="00271D8F" w:rsidRPr="008879C0" w:rsidRDefault="00271D8F" w:rsidP="00360732">
            <w:pPr>
              <w:keepNext/>
              <w:keepLines/>
              <w:jc w:val="center"/>
              <w:rPr>
                <w:rFonts w:ascii="Arial Narrow" w:hAnsi="Arial Narrow"/>
                <w:sz w:val="20"/>
                <w:szCs w:val="20"/>
              </w:rPr>
            </w:pPr>
            <w:r w:rsidRPr="00135B91">
              <w:rPr>
                <w:rFonts w:ascii="Arial Narrow" w:hAnsi="Arial Narrow"/>
                <w:sz w:val="20"/>
                <w:szCs w:val="20"/>
              </w:rPr>
              <w:t>10 (6.3)</w:t>
            </w:r>
          </w:p>
        </w:tc>
      </w:tr>
      <w:tr w:rsidR="00271D8F" w:rsidRPr="00191822" w14:paraId="533A1657" w14:textId="77777777" w:rsidTr="00A361A7">
        <w:tc>
          <w:tcPr>
            <w:tcW w:w="1884" w:type="pct"/>
          </w:tcPr>
          <w:p w14:paraId="6FF3FA4C" w14:textId="77777777" w:rsidR="00271D8F" w:rsidRPr="008879C0" w:rsidRDefault="00271D8F" w:rsidP="00360732">
            <w:pPr>
              <w:keepNext/>
              <w:keepLines/>
              <w:jc w:val="left"/>
              <w:rPr>
                <w:rFonts w:ascii="Arial Narrow" w:hAnsi="Arial Narrow"/>
                <w:sz w:val="20"/>
                <w:szCs w:val="20"/>
              </w:rPr>
            </w:pPr>
            <w:r w:rsidRPr="008879C0">
              <w:rPr>
                <w:rFonts w:ascii="Arial Narrow" w:hAnsi="Arial Narrow"/>
                <w:sz w:val="20"/>
                <w:szCs w:val="20"/>
              </w:rPr>
              <w:t>Discontinuation due to AE, n (%)</w:t>
            </w:r>
          </w:p>
        </w:tc>
        <w:tc>
          <w:tcPr>
            <w:tcW w:w="779" w:type="pct"/>
          </w:tcPr>
          <w:p w14:paraId="7DD634FC"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20 (12.1)</w:t>
            </w:r>
          </w:p>
        </w:tc>
        <w:tc>
          <w:tcPr>
            <w:tcW w:w="779" w:type="pct"/>
          </w:tcPr>
          <w:p w14:paraId="1DBB9FA9"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8 (5.1)</w:t>
            </w:r>
          </w:p>
        </w:tc>
        <w:tc>
          <w:tcPr>
            <w:tcW w:w="779" w:type="pct"/>
          </w:tcPr>
          <w:p w14:paraId="41E8D077" w14:textId="77777777" w:rsidR="00271D8F" w:rsidRPr="008879C0" w:rsidRDefault="00271D8F" w:rsidP="00360732">
            <w:pPr>
              <w:keepNext/>
              <w:keepLines/>
              <w:jc w:val="center"/>
              <w:rPr>
                <w:rFonts w:ascii="Arial Narrow" w:hAnsi="Arial Narrow"/>
                <w:sz w:val="20"/>
                <w:szCs w:val="20"/>
              </w:rPr>
            </w:pPr>
            <w:r w:rsidRPr="003B2FF6">
              <w:rPr>
                <w:rFonts w:ascii="Arial Narrow" w:hAnsi="Arial Narrow"/>
                <w:sz w:val="20"/>
                <w:szCs w:val="20"/>
              </w:rPr>
              <w:t>25 (15.2)</w:t>
            </w:r>
          </w:p>
        </w:tc>
        <w:tc>
          <w:tcPr>
            <w:tcW w:w="779" w:type="pct"/>
          </w:tcPr>
          <w:p w14:paraId="1B92364E" w14:textId="77777777" w:rsidR="00271D8F" w:rsidRPr="008879C0" w:rsidRDefault="00271D8F" w:rsidP="00360732">
            <w:pPr>
              <w:keepNext/>
              <w:keepLines/>
              <w:jc w:val="center"/>
              <w:rPr>
                <w:rFonts w:ascii="Arial Narrow" w:hAnsi="Arial Narrow"/>
                <w:sz w:val="20"/>
                <w:szCs w:val="20"/>
              </w:rPr>
            </w:pPr>
            <w:r w:rsidRPr="00135B91">
              <w:rPr>
                <w:rFonts w:ascii="Arial Narrow" w:hAnsi="Arial Narrow"/>
                <w:sz w:val="20"/>
                <w:szCs w:val="20"/>
              </w:rPr>
              <w:t>10 (6.3)</w:t>
            </w:r>
          </w:p>
        </w:tc>
      </w:tr>
      <w:tr w:rsidR="00271D8F" w:rsidRPr="00191822" w14:paraId="14872E86" w14:textId="77777777" w:rsidTr="00A361A7">
        <w:tc>
          <w:tcPr>
            <w:tcW w:w="1884" w:type="pct"/>
          </w:tcPr>
          <w:p w14:paraId="7677F6CC" w14:textId="77777777" w:rsidR="00271D8F" w:rsidRDefault="00271D8F" w:rsidP="00360732">
            <w:pPr>
              <w:keepNext/>
              <w:keepLines/>
              <w:jc w:val="left"/>
              <w:rPr>
                <w:rFonts w:ascii="Arial Narrow" w:hAnsi="Arial Narrow"/>
                <w:sz w:val="20"/>
                <w:szCs w:val="20"/>
              </w:rPr>
            </w:pPr>
            <w:r>
              <w:rPr>
                <w:rFonts w:ascii="Arial Narrow" w:hAnsi="Arial Narrow"/>
                <w:sz w:val="20"/>
                <w:szCs w:val="20"/>
              </w:rPr>
              <w:t>Treatment-related AE, n (%)</w:t>
            </w:r>
          </w:p>
          <w:p w14:paraId="7343DF3A" w14:textId="77777777" w:rsidR="00271D8F" w:rsidRDefault="00271D8F" w:rsidP="001A6300">
            <w:pPr>
              <w:pStyle w:val="ListParagraph"/>
              <w:keepNext/>
              <w:keepLines/>
              <w:numPr>
                <w:ilvl w:val="0"/>
                <w:numId w:val="5"/>
              </w:numPr>
              <w:ind w:left="219" w:hanging="142"/>
              <w:jc w:val="left"/>
              <w:rPr>
                <w:rFonts w:ascii="Arial Narrow" w:hAnsi="Arial Narrow"/>
                <w:sz w:val="20"/>
                <w:szCs w:val="20"/>
              </w:rPr>
            </w:pPr>
            <w:r>
              <w:rPr>
                <w:rFonts w:ascii="Arial Narrow" w:hAnsi="Arial Narrow"/>
                <w:sz w:val="20"/>
                <w:szCs w:val="20"/>
              </w:rPr>
              <w:t>Treatment-emergent AE</w:t>
            </w:r>
          </w:p>
          <w:p w14:paraId="0DD79C4D" w14:textId="77777777" w:rsidR="00271D8F" w:rsidRDefault="00271D8F" w:rsidP="001A6300">
            <w:pPr>
              <w:pStyle w:val="ListParagraph"/>
              <w:keepNext/>
              <w:keepLines/>
              <w:numPr>
                <w:ilvl w:val="0"/>
                <w:numId w:val="5"/>
              </w:numPr>
              <w:ind w:left="219" w:hanging="142"/>
              <w:jc w:val="left"/>
              <w:rPr>
                <w:rFonts w:ascii="Arial Narrow" w:hAnsi="Arial Narrow"/>
                <w:sz w:val="20"/>
                <w:szCs w:val="20"/>
              </w:rPr>
            </w:pPr>
            <w:r>
              <w:rPr>
                <w:rFonts w:ascii="Arial Narrow" w:hAnsi="Arial Narrow"/>
                <w:sz w:val="20"/>
                <w:szCs w:val="20"/>
              </w:rPr>
              <w:t>Serious AE</w:t>
            </w:r>
          </w:p>
          <w:p w14:paraId="2393DC90" w14:textId="77777777" w:rsidR="00271D8F" w:rsidRDefault="00271D8F" w:rsidP="001A6300">
            <w:pPr>
              <w:pStyle w:val="ListParagraph"/>
              <w:keepNext/>
              <w:keepLines/>
              <w:numPr>
                <w:ilvl w:val="0"/>
                <w:numId w:val="5"/>
              </w:numPr>
              <w:ind w:left="219" w:hanging="142"/>
              <w:jc w:val="left"/>
              <w:rPr>
                <w:rFonts w:ascii="Arial Narrow" w:hAnsi="Arial Narrow"/>
                <w:sz w:val="20"/>
                <w:szCs w:val="20"/>
              </w:rPr>
            </w:pPr>
            <w:r w:rsidRPr="008879C0">
              <w:rPr>
                <w:rFonts w:ascii="Arial Narrow" w:hAnsi="Arial Narrow"/>
                <w:sz w:val="20"/>
                <w:szCs w:val="20"/>
              </w:rPr>
              <w:t>Fatal</w:t>
            </w:r>
            <w:r>
              <w:rPr>
                <w:rFonts w:ascii="Arial Narrow" w:hAnsi="Arial Narrow"/>
                <w:sz w:val="20"/>
                <w:szCs w:val="20"/>
              </w:rPr>
              <w:t xml:space="preserve"> serious AE</w:t>
            </w:r>
          </w:p>
          <w:p w14:paraId="7A8148B1" w14:textId="77777777" w:rsidR="00271D8F" w:rsidRPr="004E4312" w:rsidRDefault="00271D8F" w:rsidP="001A6300">
            <w:pPr>
              <w:pStyle w:val="ListParagraph"/>
              <w:keepNext/>
              <w:keepLines/>
              <w:numPr>
                <w:ilvl w:val="0"/>
                <w:numId w:val="5"/>
              </w:numPr>
              <w:ind w:left="219" w:hanging="142"/>
              <w:jc w:val="left"/>
              <w:rPr>
                <w:rFonts w:ascii="Arial Narrow" w:hAnsi="Arial Narrow"/>
                <w:sz w:val="20"/>
                <w:szCs w:val="20"/>
              </w:rPr>
            </w:pPr>
            <w:r>
              <w:rPr>
                <w:rFonts w:ascii="Arial Narrow" w:hAnsi="Arial Narrow"/>
                <w:sz w:val="20"/>
                <w:szCs w:val="20"/>
              </w:rPr>
              <w:t>Discontinuation due to AE</w:t>
            </w:r>
          </w:p>
        </w:tc>
        <w:tc>
          <w:tcPr>
            <w:tcW w:w="779" w:type="pct"/>
          </w:tcPr>
          <w:p w14:paraId="4CCE99F9" w14:textId="77777777" w:rsidR="00271D8F" w:rsidRDefault="00271D8F" w:rsidP="00360732">
            <w:pPr>
              <w:keepNext/>
              <w:keepLines/>
              <w:jc w:val="center"/>
              <w:rPr>
                <w:rFonts w:ascii="Arial Narrow" w:hAnsi="Arial Narrow"/>
                <w:sz w:val="20"/>
                <w:szCs w:val="20"/>
              </w:rPr>
            </w:pPr>
          </w:p>
          <w:p w14:paraId="2CF5C00C"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56 (33.9)</w:t>
            </w:r>
          </w:p>
          <w:p w14:paraId="6AD556FC"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25 (15.2)</w:t>
            </w:r>
          </w:p>
          <w:p w14:paraId="1576FE75"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7 (4.2)</w:t>
            </w:r>
          </w:p>
          <w:p w14:paraId="110C7A31"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12 (7.3)</w:t>
            </w:r>
          </w:p>
        </w:tc>
        <w:tc>
          <w:tcPr>
            <w:tcW w:w="779" w:type="pct"/>
          </w:tcPr>
          <w:p w14:paraId="26B8594F" w14:textId="77777777" w:rsidR="00271D8F" w:rsidRDefault="00271D8F" w:rsidP="00360732">
            <w:pPr>
              <w:keepNext/>
              <w:keepLines/>
              <w:jc w:val="center"/>
              <w:rPr>
                <w:rFonts w:ascii="Arial Narrow" w:hAnsi="Arial Narrow"/>
                <w:sz w:val="20"/>
                <w:szCs w:val="20"/>
              </w:rPr>
            </w:pPr>
          </w:p>
          <w:p w14:paraId="0946E553"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23 (14.6)</w:t>
            </w:r>
          </w:p>
          <w:p w14:paraId="7FD84869"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12 (7.6)</w:t>
            </w:r>
          </w:p>
          <w:p w14:paraId="275EEB3E"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4 (2.5)</w:t>
            </w:r>
          </w:p>
          <w:p w14:paraId="7F73702D"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5 (3.2)</w:t>
            </w:r>
          </w:p>
        </w:tc>
        <w:tc>
          <w:tcPr>
            <w:tcW w:w="779" w:type="pct"/>
          </w:tcPr>
          <w:p w14:paraId="0AA37991" w14:textId="77777777" w:rsidR="00271D8F" w:rsidRDefault="00271D8F" w:rsidP="00360732">
            <w:pPr>
              <w:keepNext/>
              <w:keepLines/>
              <w:jc w:val="center"/>
              <w:rPr>
                <w:rFonts w:ascii="Arial Narrow" w:hAnsi="Arial Narrow"/>
                <w:sz w:val="20"/>
                <w:szCs w:val="20"/>
              </w:rPr>
            </w:pPr>
          </w:p>
          <w:p w14:paraId="3C7B7609" w14:textId="77777777" w:rsidR="00271D8F" w:rsidRPr="003B2FF6" w:rsidRDefault="00271D8F" w:rsidP="00360732">
            <w:pPr>
              <w:keepNext/>
              <w:keepLines/>
              <w:jc w:val="center"/>
              <w:rPr>
                <w:rFonts w:ascii="Arial Narrow" w:hAnsi="Arial Narrow"/>
                <w:sz w:val="20"/>
                <w:szCs w:val="20"/>
              </w:rPr>
            </w:pPr>
            <w:r w:rsidRPr="003B2FF6">
              <w:rPr>
                <w:rFonts w:ascii="Arial Narrow" w:hAnsi="Arial Narrow"/>
                <w:sz w:val="20"/>
                <w:szCs w:val="20"/>
              </w:rPr>
              <w:t>70 (42.4)</w:t>
            </w:r>
          </w:p>
          <w:p w14:paraId="676C003F" w14:textId="77777777" w:rsidR="00271D8F" w:rsidRPr="003B2FF6" w:rsidRDefault="00271D8F" w:rsidP="00360732">
            <w:pPr>
              <w:keepNext/>
              <w:keepLines/>
              <w:jc w:val="center"/>
              <w:rPr>
                <w:rFonts w:ascii="Arial Narrow" w:hAnsi="Arial Narrow"/>
                <w:sz w:val="20"/>
                <w:szCs w:val="20"/>
              </w:rPr>
            </w:pPr>
            <w:r w:rsidRPr="003B2FF6">
              <w:rPr>
                <w:rFonts w:ascii="Arial Narrow" w:hAnsi="Arial Narrow"/>
                <w:sz w:val="20"/>
                <w:szCs w:val="20"/>
              </w:rPr>
              <w:t>34 (20.6)</w:t>
            </w:r>
          </w:p>
          <w:p w14:paraId="35526DF1" w14:textId="77777777" w:rsidR="00271D8F" w:rsidRPr="003B2FF6" w:rsidRDefault="00271D8F" w:rsidP="00360732">
            <w:pPr>
              <w:keepNext/>
              <w:keepLines/>
              <w:jc w:val="center"/>
              <w:rPr>
                <w:rFonts w:ascii="Arial Narrow" w:hAnsi="Arial Narrow"/>
                <w:sz w:val="20"/>
                <w:szCs w:val="20"/>
              </w:rPr>
            </w:pPr>
            <w:r w:rsidRPr="003B2FF6">
              <w:rPr>
                <w:rFonts w:ascii="Arial Narrow" w:hAnsi="Arial Narrow"/>
                <w:sz w:val="20"/>
                <w:szCs w:val="20"/>
              </w:rPr>
              <w:t>8 (4.8)</w:t>
            </w:r>
          </w:p>
          <w:p w14:paraId="36509676" w14:textId="77777777" w:rsidR="00271D8F" w:rsidRDefault="00271D8F" w:rsidP="00360732">
            <w:pPr>
              <w:keepNext/>
              <w:keepLines/>
              <w:jc w:val="center"/>
              <w:rPr>
                <w:rFonts w:ascii="Arial Narrow" w:hAnsi="Arial Narrow"/>
                <w:sz w:val="20"/>
                <w:szCs w:val="20"/>
              </w:rPr>
            </w:pPr>
            <w:r w:rsidRPr="003B2FF6">
              <w:rPr>
                <w:rFonts w:ascii="Arial Narrow" w:hAnsi="Arial Narrow"/>
                <w:sz w:val="20"/>
                <w:szCs w:val="20"/>
              </w:rPr>
              <w:t>16 (9.7)</w:t>
            </w:r>
          </w:p>
        </w:tc>
        <w:tc>
          <w:tcPr>
            <w:tcW w:w="779" w:type="pct"/>
          </w:tcPr>
          <w:p w14:paraId="4CA8F386" w14:textId="77777777" w:rsidR="00271D8F" w:rsidRDefault="00271D8F" w:rsidP="00360732">
            <w:pPr>
              <w:keepNext/>
              <w:keepLines/>
              <w:jc w:val="center"/>
              <w:rPr>
                <w:rFonts w:ascii="Arial Narrow" w:hAnsi="Arial Narrow"/>
                <w:sz w:val="20"/>
                <w:szCs w:val="20"/>
              </w:rPr>
            </w:pPr>
          </w:p>
          <w:p w14:paraId="08934089"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 xml:space="preserve">26 (16.5) </w:t>
            </w:r>
          </w:p>
          <w:p w14:paraId="141F8DFB"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13 (8.2)</w:t>
            </w:r>
          </w:p>
          <w:p w14:paraId="1996913B"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4 (2.5)</w:t>
            </w:r>
          </w:p>
          <w:p w14:paraId="404E3D01" w14:textId="77777777" w:rsidR="00271D8F" w:rsidRDefault="00271D8F" w:rsidP="00360732">
            <w:pPr>
              <w:keepNext/>
              <w:keepLines/>
              <w:jc w:val="center"/>
              <w:rPr>
                <w:rFonts w:ascii="Arial Narrow" w:hAnsi="Arial Narrow"/>
                <w:sz w:val="20"/>
                <w:szCs w:val="20"/>
              </w:rPr>
            </w:pPr>
            <w:r w:rsidRPr="00135B91">
              <w:rPr>
                <w:rFonts w:ascii="Arial Narrow" w:hAnsi="Arial Narrow"/>
                <w:sz w:val="20"/>
                <w:szCs w:val="20"/>
              </w:rPr>
              <w:t>5 (3.2)</w:t>
            </w:r>
          </w:p>
        </w:tc>
      </w:tr>
      <w:tr w:rsidR="00271D8F" w:rsidRPr="00191822" w14:paraId="4EE89C2E" w14:textId="77777777" w:rsidTr="00A361A7">
        <w:tc>
          <w:tcPr>
            <w:tcW w:w="1884" w:type="pct"/>
          </w:tcPr>
          <w:p w14:paraId="21109862" w14:textId="77777777" w:rsidR="00271D8F" w:rsidRPr="008879C0" w:rsidRDefault="00271D8F" w:rsidP="00A361A7">
            <w:pPr>
              <w:jc w:val="left"/>
              <w:rPr>
                <w:rFonts w:ascii="Arial Narrow" w:hAnsi="Arial Narrow"/>
                <w:sz w:val="20"/>
                <w:szCs w:val="20"/>
              </w:rPr>
            </w:pPr>
            <w:r w:rsidRPr="008879C0">
              <w:rPr>
                <w:rFonts w:ascii="Arial Narrow" w:hAnsi="Arial Narrow"/>
                <w:sz w:val="20"/>
                <w:szCs w:val="20"/>
              </w:rPr>
              <w:t>Grade ≥3 AE incidence &gt;</w:t>
            </w:r>
            <w:r>
              <w:rPr>
                <w:rFonts w:ascii="Arial Narrow" w:hAnsi="Arial Narrow"/>
                <w:sz w:val="20"/>
                <w:szCs w:val="20"/>
              </w:rPr>
              <w:t>5</w:t>
            </w:r>
            <w:r w:rsidRPr="008879C0">
              <w:rPr>
                <w:rFonts w:ascii="Arial Narrow" w:hAnsi="Arial Narrow"/>
                <w:sz w:val="20"/>
                <w:szCs w:val="20"/>
              </w:rPr>
              <w:t>%, n (%)</w:t>
            </w:r>
          </w:p>
          <w:p w14:paraId="14B2A8F1" w14:textId="77777777" w:rsidR="00271D8F" w:rsidRPr="00D92B6E" w:rsidRDefault="00271D8F" w:rsidP="00A2582A">
            <w:pPr>
              <w:pStyle w:val="ListParagraph"/>
              <w:numPr>
                <w:ilvl w:val="0"/>
                <w:numId w:val="8"/>
              </w:numPr>
              <w:ind w:left="221" w:hanging="142"/>
              <w:jc w:val="left"/>
              <w:rPr>
                <w:rFonts w:ascii="Arial Narrow" w:hAnsi="Arial Narrow"/>
                <w:sz w:val="20"/>
                <w:szCs w:val="20"/>
              </w:rPr>
            </w:pPr>
            <w:r w:rsidRPr="008879C0">
              <w:rPr>
                <w:rFonts w:ascii="Arial Narrow" w:hAnsi="Arial Narrow"/>
                <w:sz w:val="20"/>
                <w:szCs w:val="20"/>
              </w:rPr>
              <w:t>Anaemia</w:t>
            </w:r>
          </w:p>
          <w:p w14:paraId="2507E804" w14:textId="77777777" w:rsidR="00271D8F" w:rsidRPr="008879C0" w:rsidRDefault="00271D8F" w:rsidP="00A2582A">
            <w:pPr>
              <w:pStyle w:val="ListParagraph"/>
              <w:numPr>
                <w:ilvl w:val="0"/>
                <w:numId w:val="8"/>
              </w:numPr>
              <w:ind w:left="221" w:hanging="142"/>
              <w:jc w:val="left"/>
              <w:rPr>
                <w:rFonts w:ascii="Arial Narrow" w:hAnsi="Arial Narrow"/>
                <w:sz w:val="20"/>
                <w:szCs w:val="20"/>
              </w:rPr>
            </w:pPr>
            <w:r w:rsidRPr="008879C0">
              <w:rPr>
                <w:rFonts w:ascii="Arial Narrow" w:hAnsi="Arial Narrow"/>
                <w:sz w:val="20"/>
                <w:szCs w:val="20"/>
              </w:rPr>
              <w:t>Thrombocytopenia</w:t>
            </w:r>
          </w:p>
          <w:p w14:paraId="3B5C995A" w14:textId="77777777" w:rsidR="00271D8F" w:rsidRPr="008879C0" w:rsidRDefault="00271D8F" w:rsidP="00A2582A">
            <w:pPr>
              <w:pStyle w:val="ListParagraph"/>
              <w:numPr>
                <w:ilvl w:val="0"/>
                <w:numId w:val="8"/>
              </w:numPr>
              <w:ind w:left="221" w:hanging="142"/>
              <w:jc w:val="left"/>
              <w:rPr>
                <w:rFonts w:ascii="Arial Narrow" w:hAnsi="Arial Narrow"/>
                <w:sz w:val="20"/>
                <w:szCs w:val="20"/>
              </w:rPr>
            </w:pPr>
            <w:r w:rsidRPr="008879C0">
              <w:rPr>
                <w:rFonts w:ascii="Arial Narrow" w:hAnsi="Arial Narrow"/>
                <w:sz w:val="20"/>
                <w:szCs w:val="20"/>
              </w:rPr>
              <w:t>Neutropenia</w:t>
            </w:r>
          </w:p>
          <w:p w14:paraId="6A73D880" w14:textId="77777777" w:rsidR="00271D8F" w:rsidRPr="008879C0" w:rsidRDefault="00271D8F" w:rsidP="00A2582A">
            <w:pPr>
              <w:pStyle w:val="ListParagraph"/>
              <w:numPr>
                <w:ilvl w:val="0"/>
                <w:numId w:val="8"/>
              </w:numPr>
              <w:ind w:left="221" w:hanging="142"/>
              <w:jc w:val="left"/>
              <w:rPr>
                <w:rFonts w:ascii="Arial Narrow" w:hAnsi="Arial Narrow"/>
                <w:sz w:val="20"/>
                <w:szCs w:val="20"/>
              </w:rPr>
            </w:pPr>
            <w:r w:rsidRPr="008879C0">
              <w:rPr>
                <w:rFonts w:ascii="Arial Narrow" w:hAnsi="Arial Narrow"/>
                <w:sz w:val="20"/>
                <w:szCs w:val="20"/>
              </w:rPr>
              <w:t>Pneumonia</w:t>
            </w:r>
          </w:p>
          <w:p w14:paraId="79459949" w14:textId="77777777" w:rsidR="00271D8F" w:rsidRDefault="00271D8F" w:rsidP="00A2582A">
            <w:pPr>
              <w:pStyle w:val="ListParagraph"/>
              <w:numPr>
                <w:ilvl w:val="0"/>
                <w:numId w:val="8"/>
              </w:numPr>
              <w:ind w:left="221" w:hanging="142"/>
              <w:jc w:val="left"/>
              <w:rPr>
                <w:rFonts w:ascii="Arial Narrow" w:hAnsi="Arial Narrow"/>
                <w:sz w:val="20"/>
                <w:szCs w:val="20"/>
              </w:rPr>
            </w:pPr>
            <w:r>
              <w:rPr>
                <w:rFonts w:ascii="Arial Narrow" w:hAnsi="Arial Narrow"/>
                <w:sz w:val="20"/>
                <w:szCs w:val="20"/>
              </w:rPr>
              <w:t>Gamma-glutamyl transferase</w:t>
            </w:r>
            <w:r w:rsidRPr="008879C0">
              <w:rPr>
                <w:rFonts w:ascii="Arial Narrow" w:hAnsi="Arial Narrow"/>
                <w:sz w:val="20"/>
                <w:szCs w:val="20"/>
              </w:rPr>
              <w:t xml:space="preserve"> increased</w:t>
            </w:r>
          </w:p>
          <w:p w14:paraId="7E169035" w14:textId="77777777" w:rsidR="00271D8F" w:rsidRDefault="00271D8F" w:rsidP="00A2582A">
            <w:pPr>
              <w:pStyle w:val="ListParagraph"/>
              <w:numPr>
                <w:ilvl w:val="0"/>
                <w:numId w:val="8"/>
              </w:numPr>
              <w:ind w:left="221" w:hanging="142"/>
              <w:jc w:val="left"/>
              <w:rPr>
                <w:rFonts w:ascii="Arial Narrow" w:hAnsi="Arial Narrow"/>
                <w:sz w:val="20"/>
                <w:szCs w:val="20"/>
              </w:rPr>
            </w:pPr>
            <w:r>
              <w:rPr>
                <w:rFonts w:ascii="Arial Narrow" w:hAnsi="Arial Narrow"/>
                <w:sz w:val="20"/>
                <w:szCs w:val="20"/>
              </w:rPr>
              <w:t>Alanine aminotransferase increased</w:t>
            </w:r>
          </w:p>
          <w:p w14:paraId="42A749D9" w14:textId="77777777" w:rsidR="00271D8F" w:rsidRDefault="00271D8F" w:rsidP="00A2582A">
            <w:pPr>
              <w:pStyle w:val="ListParagraph"/>
              <w:numPr>
                <w:ilvl w:val="0"/>
                <w:numId w:val="8"/>
              </w:numPr>
              <w:ind w:left="221" w:hanging="142"/>
              <w:jc w:val="left"/>
              <w:rPr>
                <w:rFonts w:ascii="Arial Narrow" w:hAnsi="Arial Narrow"/>
                <w:sz w:val="20"/>
                <w:szCs w:val="20"/>
              </w:rPr>
            </w:pPr>
            <w:r>
              <w:rPr>
                <w:rFonts w:ascii="Arial Narrow" w:hAnsi="Arial Narrow"/>
                <w:sz w:val="20"/>
                <w:szCs w:val="20"/>
              </w:rPr>
              <w:t>Hypertension</w:t>
            </w:r>
          </w:p>
          <w:p w14:paraId="26C8E8C5" w14:textId="77777777" w:rsidR="00271D8F" w:rsidRDefault="00271D8F" w:rsidP="00A2582A">
            <w:pPr>
              <w:pStyle w:val="ListParagraph"/>
              <w:numPr>
                <w:ilvl w:val="0"/>
                <w:numId w:val="8"/>
              </w:numPr>
              <w:ind w:left="221" w:hanging="142"/>
              <w:jc w:val="left"/>
              <w:rPr>
                <w:rFonts w:ascii="Arial Narrow" w:hAnsi="Arial Narrow"/>
                <w:sz w:val="20"/>
                <w:szCs w:val="20"/>
              </w:rPr>
            </w:pPr>
            <w:r>
              <w:rPr>
                <w:rFonts w:ascii="Arial Narrow" w:hAnsi="Arial Narrow"/>
                <w:sz w:val="20"/>
                <w:szCs w:val="20"/>
              </w:rPr>
              <w:t>Platelet count decreased</w:t>
            </w:r>
          </w:p>
          <w:p w14:paraId="0496865E" w14:textId="77777777" w:rsidR="00271D8F" w:rsidRPr="008879C0" w:rsidRDefault="00271D8F" w:rsidP="00A2582A">
            <w:pPr>
              <w:pStyle w:val="ListParagraph"/>
              <w:numPr>
                <w:ilvl w:val="0"/>
                <w:numId w:val="8"/>
              </w:numPr>
              <w:ind w:left="221" w:hanging="142"/>
              <w:jc w:val="left"/>
              <w:rPr>
                <w:rFonts w:ascii="Arial Narrow" w:hAnsi="Arial Narrow"/>
                <w:sz w:val="20"/>
                <w:szCs w:val="20"/>
              </w:rPr>
            </w:pPr>
            <w:r>
              <w:rPr>
                <w:rFonts w:ascii="Arial Narrow" w:hAnsi="Arial Narrow"/>
                <w:sz w:val="20"/>
                <w:szCs w:val="20"/>
              </w:rPr>
              <w:t>Hypokalaemia</w:t>
            </w:r>
          </w:p>
        </w:tc>
        <w:tc>
          <w:tcPr>
            <w:tcW w:w="779" w:type="pct"/>
          </w:tcPr>
          <w:p w14:paraId="1DAD6B7D" w14:textId="77777777" w:rsidR="00271D8F" w:rsidRDefault="00271D8F" w:rsidP="00A361A7">
            <w:pPr>
              <w:jc w:val="center"/>
              <w:rPr>
                <w:rFonts w:ascii="Arial Narrow" w:hAnsi="Arial Narrow"/>
                <w:sz w:val="20"/>
                <w:szCs w:val="20"/>
              </w:rPr>
            </w:pPr>
          </w:p>
          <w:p w14:paraId="21015BC0" w14:textId="77777777" w:rsidR="00271D8F" w:rsidRDefault="00271D8F" w:rsidP="00A361A7">
            <w:pPr>
              <w:jc w:val="center"/>
              <w:rPr>
                <w:rFonts w:ascii="Arial Narrow" w:hAnsi="Arial Narrow"/>
                <w:sz w:val="20"/>
                <w:szCs w:val="20"/>
              </w:rPr>
            </w:pPr>
            <w:r w:rsidRPr="008879C0">
              <w:rPr>
                <w:rFonts w:ascii="Arial Narrow" w:hAnsi="Arial Narrow"/>
                <w:sz w:val="20"/>
                <w:szCs w:val="20"/>
              </w:rPr>
              <w:t>21 (12.7)</w:t>
            </w:r>
          </w:p>
          <w:p w14:paraId="4C299736" w14:textId="77777777" w:rsidR="00271D8F" w:rsidRPr="008879C0" w:rsidRDefault="00271D8F" w:rsidP="00A361A7">
            <w:pPr>
              <w:jc w:val="center"/>
              <w:rPr>
                <w:rFonts w:ascii="Arial Narrow" w:hAnsi="Arial Narrow"/>
                <w:sz w:val="20"/>
                <w:szCs w:val="20"/>
              </w:rPr>
            </w:pPr>
            <w:r w:rsidRPr="008879C0">
              <w:rPr>
                <w:rFonts w:ascii="Arial Narrow" w:hAnsi="Arial Narrow"/>
                <w:sz w:val="20"/>
                <w:szCs w:val="20"/>
              </w:rPr>
              <w:t>17 (10.3)</w:t>
            </w:r>
          </w:p>
          <w:p w14:paraId="729AD0E0" w14:textId="77777777" w:rsidR="00271D8F" w:rsidRPr="008879C0" w:rsidRDefault="00271D8F" w:rsidP="00A361A7">
            <w:pPr>
              <w:jc w:val="center"/>
              <w:rPr>
                <w:rFonts w:ascii="Arial Narrow" w:hAnsi="Arial Narrow"/>
                <w:sz w:val="20"/>
                <w:szCs w:val="20"/>
              </w:rPr>
            </w:pPr>
            <w:r w:rsidRPr="008879C0">
              <w:rPr>
                <w:rFonts w:ascii="Arial Narrow" w:hAnsi="Arial Narrow"/>
                <w:sz w:val="20"/>
                <w:szCs w:val="20"/>
              </w:rPr>
              <w:t>14 (8.5)</w:t>
            </w:r>
          </w:p>
          <w:p w14:paraId="384C0E8C" w14:textId="77777777" w:rsidR="00271D8F" w:rsidRPr="008879C0" w:rsidRDefault="00271D8F" w:rsidP="00A361A7">
            <w:pPr>
              <w:jc w:val="center"/>
              <w:rPr>
                <w:rFonts w:ascii="Arial Narrow" w:hAnsi="Arial Narrow"/>
                <w:sz w:val="20"/>
                <w:szCs w:val="20"/>
              </w:rPr>
            </w:pPr>
            <w:r w:rsidRPr="008879C0">
              <w:rPr>
                <w:rFonts w:ascii="Arial Narrow" w:hAnsi="Arial Narrow"/>
                <w:sz w:val="20"/>
                <w:szCs w:val="20"/>
              </w:rPr>
              <w:t>14 (8.5)</w:t>
            </w:r>
          </w:p>
          <w:p w14:paraId="58D6DD5C" w14:textId="77777777" w:rsidR="00271D8F" w:rsidRDefault="00271D8F" w:rsidP="00A361A7">
            <w:pPr>
              <w:jc w:val="center"/>
              <w:rPr>
                <w:rFonts w:ascii="Arial Narrow" w:hAnsi="Arial Narrow"/>
                <w:sz w:val="20"/>
                <w:szCs w:val="20"/>
              </w:rPr>
            </w:pPr>
            <w:r w:rsidRPr="008879C0">
              <w:rPr>
                <w:rFonts w:ascii="Arial Narrow" w:hAnsi="Arial Narrow"/>
                <w:sz w:val="20"/>
                <w:szCs w:val="20"/>
              </w:rPr>
              <w:t>11 (6.7)</w:t>
            </w:r>
          </w:p>
          <w:p w14:paraId="45F6FDB8" w14:textId="77777777" w:rsidR="00271D8F" w:rsidRDefault="00271D8F" w:rsidP="00A361A7">
            <w:pPr>
              <w:jc w:val="center"/>
              <w:rPr>
                <w:rFonts w:ascii="Arial Narrow" w:hAnsi="Arial Narrow"/>
                <w:sz w:val="20"/>
                <w:szCs w:val="20"/>
              </w:rPr>
            </w:pPr>
            <w:r>
              <w:rPr>
                <w:rFonts w:ascii="Arial Narrow" w:hAnsi="Arial Narrow"/>
                <w:sz w:val="20"/>
                <w:szCs w:val="20"/>
              </w:rPr>
              <w:t>7 (4.2)</w:t>
            </w:r>
          </w:p>
          <w:p w14:paraId="2F7059E1" w14:textId="77777777" w:rsidR="00271D8F" w:rsidRDefault="00271D8F" w:rsidP="00A361A7">
            <w:pPr>
              <w:jc w:val="center"/>
              <w:rPr>
                <w:rFonts w:ascii="Arial Narrow" w:hAnsi="Arial Narrow"/>
                <w:sz w:val="20"/>
                <w:szCs w:val="20"/>
              </w:rPr>
            </w:pPr>
            <w:r>
              <w:rPr>
                <w:rFonts w:ascii="Arial Narrow" w:hAnsi="Arial Narrow"/>
                <w:sz w:val="20"/>
                <w:szCs w:val="20"/>
              </w:rPr>
              <w:t>8 (4.8)</w:t>
            </w:r>
          </w:p>
          <w:p w14:paraId="0434E502" w14:textId="77777777" w:rsidR="00271D8F" w:rsidRDefault="00271D8F" w:rsidP="00A361A7">
            <w:pPr>
              <w:jc w:val="center"/>
              <w:rPr>
                <w:rFonts w:ascii="Arial Narrow" w:hAnsi="Arial Narrow"/>
                <w:sz w:val="20"/>
                <w:szCs w:val="20"/>
              </w:rPr>
            </w:pPr>
            <w:r>
              <w:rPr>
                <w:rFonts w:ascii="Arial Narrow" w:hAnsi="Arial Narrow"/>
                <w:sz w:val="20"/>
                <w:szCs w:val="20"/>
              </w:rPr>
              <w:t>8 (4.8)</w:t>
            </w:r>
          </w:p>
          <w:p w14:paraId="7C423026" w14:textId="77777777" w:rsidR="00271D8F" w:rsidRPr="008879C0" w:rsidRDefault="00271D8F" w:rsidP="00A361A7">
            <w:pPr>
              <w:jc w:val="center"/>
              <w:rPr>
                <w:rFonts w:ascii="Arial Narrow" w:hAnsi="Arial Narrow"/>
                <w:sz w:val="20"/>
                <w:szCs w:val="20"/>
              </w:rPr>
            </w:pPr>
            <w:r>
              <w:rPr>
                <w:rFonts w:ascii="Arial Narrow" w:hAnsi="Arial Narrow"/>
                <w:sz w:val="20"/>
                <w:szCs w:val="20"/>
              </w:rPr>
              <w:t>3 (1.8)</w:t>
            </w:r>
          </w:p>
        </w:tc>
        <w:tc>
          <w:tcPr>
            <w:tcW w:w="779" w:type="pct"/>
          </w:tcPr>
          <w:p w14:paraId="123E2B60" w14:textId="77777777" w:rsidR="00271D8F" w:rsidRDefault="00271D8F" w:rsidP="00A361A7">
            <w:pPr>
              <w:jc w:val="center"/>
              <w:rPr>
                <w:rFonts w:ascii="Arial Narrow" w:hAnsi="Arial Narrow"/>
                <w:sz w:val="20"/>
                <w:szCs w:val="20"/>
              </w:rPr>
            </w:pPr>
          </w:p>
          <w:p w14:paraId="7612C83B" w14:textId="77777777" w:rsidR="00271D8F" w:rsidRDefault="00271D8F" w:rsidP="00A361A7">
            <w:pPr>
              <w:jc w:val="center"/>
              <w:rPr>
                <w:rFonts w:ascii="Arial Narrow" w:hAnsi="Arial Narrow"/>
                <w:sz w:val="20"/>
                <w:szCs w:val="20"/>
              </w:rPr>
            </w:pPr>
            <w:r w:rsidRPr="008879C0">
              <w:rPr>
                <w:rFonts w:ascii="Arial Narrow" w:hAnsi="Arial Narrow"/>
                <w:sz w:val="20"/>
                <w:szCs w:val="20"/>
              </w:rPr>
              <w:t>12 (7.6)</w:t>
            </w:r>
          </w:p>
          <w:p w14:paraId="49986EC7" w14:textId="77777777" w:rsidR="00271D8F" w:rsidRPr="008879C0" w:rsidRDefault="00271D8F" w:rsidP="00A361A7">
            <w:pPr>
              <w:jc w:val="center"/>
              <w:rPr>
                <w:rFonts w:ascii="Arial Narrow" w:hAnsi="Arial Narrow"/>
                <w:sz w:val="20"/>
                <w:szCs w:val="20"/>
              </w:rPr>
            </w:pPr>
            <w:r w:rsidRPr="008879C0">
              <w:rPr>
                <w:rFonts w:ascii="Arial Narrow" w:hAnsi="Arial Narrow"/>
                <w:sz w:val="20"/>
                <w:szCs w:val="20"/>
              </w:rPr>
              <w:t>9 (5.7)</w:t>
            </w:r>
          </w:p>
          <w:p w14:paraId="77DE9F22" w14:textId="77777777" w:rsidR="00271D8F" w:rsidRPr="008879C0" w:rsidRDefault="00271D8F" w:rsidP="00A361A7">
            <w:pPr>
              <w:jc w:val="center"/>
              <w:rPr>
                <w:rFonts w:ascii="Arial Narrow" w:hAnsi="Arial Narrow"/>
                <w:sz w:val="20"/>
                <w:szCs w:val="20"/>
              </w:rPr>
            </w:pPr>
            <w:r w:rsidRPr="008879C0">
              <w:rPr>
                <w:rFonts w:ascii="Arial Narrow" w:hAnsi="Arial Narrow"/>
                <w:sz w:val="20"/>
                <w:szCs w:val="20"/>
              </w:rPr>
              <w:t>6 (3.8)</w:t>
            </w:r>
          </w:p>
          <w:p w14:paraId="328BC933" w14:textId="77777777" w:rsidR="00271D8F" w:rsidRPr="008879C0" w:rsidRDefault="00271D8F" w:rsidP="00A361A7">
            <w:pPr>
              <w:jc w:val="center"/>
              <w:rPr>
                <w:rFonts w:ascii="Arial Narrow" w:hAnsi="Arial Narrow"/>
                <w:sz w:val="20"/>
                <w:szCs w:val="20"/>
              </w:rPr>
            </w:pPr>
            <w:r w:rsidRPr="008879C0">
              <w:rPr>
                <w:rFonts w:ascii="Arial Narrow" w:hAnsi="Arial Narrow"/>
                <w:sz w:val="20"/>
                <w:szCs w:val="20"/>
              </w:rPr>
              <w:t>15 (9.5)</w:t>
            </w:r>
          </w:p>
          <w:p w14:paraId="37B26818" w14:textId="77777777" w:rsidR="00271D8F" w:rsidRDefault="00271D8F" w:rsidP="00A361A7">
            <w:pPr>
              <w:jc w:val="center"/>
              <w:rPr>
                <w:rFonts w:ascii="Arial Narrow" w:hAnsi="Arial Narrow"/>
                <w:sz w:val="20"/>
                <w:szCs w:val="20"/>
              </w:rPr>
            </w:pPr>
            <w:r w:rsidRPr="008879C0">
              <w:rPr>
                <w:rFonts w:ascii="Arial Narrow" w:hAnsi="Arial Narrow"/>
                <w:sz w:val="20"/>
                <w:szCs w:val="20"/>
              </w:rPr>
              <w:t>3 (1.9)</w:t>
            </w:r>
          </w:p>
          <w:p w14:paraId="52502DE5" w14:textId="77777777" w:rsidR="00271D8F" w:rsidRDefault="00271D8F" w:rsidP="00A361A7">
            <w:pPr>
              <w:jc w:val="center"/>
              <w:rPr>
                <w:rFonts w:ascii="Arial Narrow" w:hAnsi="Arial Narrow"/>
                <w:sz w:val="20"/>
                <w:szCs w:val="20"/>
              </w:rPr>
            </w:pPr>
            <w:r>
              <w:rPr>
                <w:rFonts w:ascii="Arial Narrow" w:hAnsi="Arial Narrow"/>
                <w:sz w:val="20"/>
                <w:szCs w:val="20"/>
              </w:rPr>
              <w:t>0</w:t>
            </w:r>
          </w:p>
          <w:p w14:paraId="68FD877A" w14:textId="77777777" w:rsidR="00271D8F" w:rsidRDefault="00271D8F" w:rsidP="00A361A7">
            <w:pPr>
              <w:jc w:val="center"/>
              <w:rPr>
                <w:rFonts w:ascii="Arial Narrow" w:hAnsi="Arial Narrow"/>
                <w:sz w:val="20"/>
                <w:szCs w:val="20"/>
              </w:rPr>
            </w:pPr>
            <w:r>
              <w:rPr>
                <w:rFonts w:ascii="Arial Narrow" w:hAnsi="Arial Narrow"/>
                <w:sz w:val="20"/>
                <w:szCs w:val="20"/>
              </w:rPr>
              <w:t>11 (7.0)</w:t>
            </w:r>
          </w:p>
          <w:p w14:paraId="614332A1" w14:textId="77777777" w:rsidR="00271D8F" w:rsidRDefault="00271D8F" w:rsidP="00A361A7">
            <w:pPr>
              <w:jc w:val="center"/>
              <w:rPr>
                <w:rFonts w:ascii="Arial Narrow" w:hAnsi="Arial Narrow"/>
                <w:sz w:val="20"/>
                <w:szCs w:val="20"/>
              </w:rPr>
            </w:pPr>
            <w:r>
              <w:rPr>
                <w:rFonts w:ascii="Arial Narrow" w:hAnsi="Arial Narrow"/>
                <w:sz w:val="20"/>
                <w:szCs w:val="20"/>
              </w:rPr>
              <w:t>7 (4.4)</w:t>
            </w:r>
          </w:p>
          <w:p w14:paraId="69FA2620" w14:textId="77777777" w:rsidR="00271D8F" w:rsidRPr="008879C0" w:rsidRDefault="00271D8F" w:rsidP="00A361A7">
            <w:pPr>
              <w:jc w:val="center"/>
              <w:rPr>
                <w:rFonts w:ascii="Arial Narrow" w:hAnsi="Arial Narrow"/>
                <w:sz w:val="20"/>
                <w:szCs w:val="20"/>
              </w:rPr>
            </w:pPr>
            <w:r>
              <w:rPr>
                <w:rFonts w:ascii="Arial Narrow" w:hAnsi="Arial Narrow"/>
                <w:sz w:val="20"/>
                <w:szCs w:val="20"/>
              </w:rPr>
              <w:t>7 (4.4)</w:t>
            </w:r>
          </w:p>
        </w:tc>
        <w:tc>
          <w:tcPr>
            <w:tcW w:w="779" w:type="pct"/>
          </w:tcPr>
          <w:p w14:paraId="3C957916" w14:textId="77777777" w:rsidR="00271D8F" w:rsidRDefault="00271D8F" w:rsidP="00A361A7">
            <w:pPr>
              <w:jc w:val="center"/>
              <w:rPr>
                <w:rFonts w:ascii="Arial Narrow" w:hAnsi="Arial Narrow"/>
                <w:sz w:val="20"/>
                <w:szCs w:val="20"/>
              </w:rPr>
            </w:pPr>
          </w:p>
          <w:p w14:paraId="4D530434" w14:textId="77777777" w:rsidR="00271D8F" w:rsidRDefault="00271D8F" w:rsidP="00A361A7">
            <w:pPr>
              <w:jc w:val="center"/>
              <w:rPr>
                <w:rFonts w:ascii="Arial Narrow" w:hAnsi="Arial Narrow"/>
                <w:sz w:val="20"/>
                <w:szCs w:val="20"/>
              </w:rPr>
            </w:pPr>
            <w:r>
              <w:rPr>
                <w:rFonts w:ascii="Arial Narrow" w:hAnsi="Arial Narrow"/>
                <w:sz w:val="20"/>
                <w:szCs w:val="20"/>
              </w:rPr>
              <w:t>25 (15.2)</w:t>
            </w:r>
          </w:p>
          <w:p w14:paraId="04D5161C" w14:textId="77777777" w:rsidR="00271D8F" w:rsidRDefault="00271D8F" w:rsidP="00A361A7">
            <w:pPr>
              <w:jc w:val="center"/>
              <w:rPr>
                <w:rFonts w:ascii="Arial Narrow" w:hAnsi="Arial Narrow"/>
                <w:sz w:val="20"/>
                <w:szCs w:val="20"/>
              </w:rPr>
            </w:pPr>
            <w:r>
              <w:rPr>
                <w:rFonts w:ascii="Arial Narrow" w:hAnsi="Arial Narrow"/>
                <w:sz w:val="20"/>
                <w:szCs w:val="20"/>
              </w:rPr>
              <w:t>19 (11.5)</w:t>
            </w:r>
          </w:p>
          <w:p w14:paraId="7DBDF421" w14:textId="77777777" w:rsidR="00271D8F" w:rsidRDefault="00271D8F" w:rsidP="00A361A7">
            <w:pPr>
              <w:jc w:val="center"/>
              <w:rPr>
                <w:rFonts w:ascii="Arial Narrow" w:hAnsi="Arial Narrow"/>
                <w:sz w:val="20"/>
                <w:szCs w:val="20"/>
              </w:rPr>
            </w:pPr>
            <w:r>
              <w:rPr>
                <w:rFonts w:ascii="Arial Narrow" w:hAnsi="Arial Narrow"/>
                <w:sz w:val="20"/>
                <w:szCs w:val="20"/>
              </w:rPr>
              <w:t>20 (12.1)</w:t>
            </w:r>
          </w:p>
          <w:p w14:paraId="7B4B8C86" w14:textId="77777777" w:rsidR="00271D8F" w:rsidRDefault="00271D8F" w:rsidP="00A361A7">
            <w:pPr>
              <w:jc w:val="center"/>
              <w:rPr>
                <w:rFonts w:ascii="Arial Narrow" w:hAnsi="Arial Narrow"/>
                <w:sz w:val="20"/>
                <w:szCs w:val="20"/>
              </w:rPr>
            </w:pPr>
            <w:r>
              <w:rPr>
                <w:rFonts w:ascii="Arial Narrow" w:hAnsi="Arial Narrow"/>
                <w:sz w:val="20"/>
                <w:szCs w:val="20"/>
              </w:rPr>
              <w:t>22 (13.3)</w:t>
            </w:r>
          </w:p>
          <w:p w14:paraId="1C5AD84F" w14:textId="77777777" w:rsidR="00271D8F" w:rsidRDefault="00271D8F" w:rsidP="00A361A7">
            <w:pPr>
              <w:jc w:val="center"/>
              <w:rPr>
                <w:rFonts w:ascii="Arial Narrow" w:hAnsi="Arial Narrow"/>
                <w:sz w:val="20"/>
                <w:szCs w:val="20"/>
              </w:rPr>
            </w:pPr>
            <w:r>
              <w:rPr>
                <w:rFonts w:ascii="Arial Narrow" w:hAnsi="Arial Narrow"/>
                <w:sz w:val="20"/>
                <w:szCs w:val="20"/>
              </w:rPr>
              <w:t>12 (7.3)</w:t>
            </w:r>
          </w:p>
          <w:p w14:paraId="64290A44" w14:textId="77777777" w:rsidR="00271D8F" w:rsidRDefault="00271D8F" w:rsidP="00A361A7">
            <w:pPr>
              <w:jc w:val="center"/>
              <w:rPr>
                <w:rFonts w:ascii="Arial Narrow" w:hAnsi="Arial Narrow"/>
                <w:sz w:val="20"/>
                <w:szCs w:val="20"/>
              </w:rPr>
            </w:pPr>
            <w:r>
              <w:rPr>
                <w:rFonts w:ascii="Arial Narrow" w:hAnsi="Arial Narrow"/>
                <w:sz w:val="20"/>
                <w:szCs w:val="20"/>
              </w:rPr>
              <w:t>10 (6.1)</w:t>
            </w:r>
          </w:p>
          <w:p w14:paraId="157BBC0E" w14:textId="77777777" w:rsidR="00271D8F" w:rsidRDefault="00271D8F" w:rsidP="00A361A7">
            <w:pPr>
              <w:jc w:val="center"/>
              <w:rPr>
                <w:rFonts w:ascii="Arial Narrow" w:hAnsi="Arial Narrow"/>
                <w:sz w:val="20"/>
                <w:szCs w:val="20"/>
              </w:rPr>
            </w:pPr>
            <w:r>
              <w:rPr>
                <w:rFonts w:ascii="Arial Narrow" w:hAnsi="Arial Narrow"/>
                <w:sz w:val="20"/>
                <w:szCs w:val="20"/>
              </w:rPr>
              <w:t>9 (5.5)</w:t>
            </w:r>
          </w:p>
          <w:p w14:paraId="46EA2766" w14:textId="77777777" w:rsidR="00271D8F" w:rsidRDefault="00271D8F" w:rsidP="00A361A7">
            <w:pPr>
              <w:jc w:val="center"/>
              <w:rPr>
                <w:rFonts w:ascii="Arial Narrow" w:hAnsi="Arial Narrow"/>
                <w:sz w:val="20"/>
                <w:szCs w:val="20"/>
              </w:rPr>
            </w:pPr>
            <w:r>
              <w:rPr>
                <w:rFonts w:ascii="Arial Narrow" w:hAnsi="Arial Narrow"/>
                <w:sz w:val="20"/>
                <w:szCs w:val="20"/>
              </w:rPr>
              <w:t>10 (6.1)</w:t>
            </w:r>
          </w:p>
          <w:p w14:paraId="1FF64461" w14:textId="77777777" w:rsidR="00271D8F" w:rsidRDefault="00271D8F" w:rsidP="00A361A7">
            <w:pPr>
              <w:jc w:val="center"/>
              <w:rPr>
                <w:rFonts w:ascii="Arial Narrow" w:hAnsi="Arial Narrow"/>
                <w:sz w:val="20"/>
                <w:szCs w:val="20"/>
              </w:rPr>
            </w:pPr>
            <w:r>
              <w:rPr>
                <w:rFonts w:ascii="Arial Narrow" w:hAnsi="Arial Narrow"/>
                <w:sz w:val="20"/>
                <w:szCs w:val="20"/>
              </w:rPr>
              <w:t>3 (1.8)</w:t>
            </w:r>
          </w:p>
        </w:tc>
        <w:tc>
          <w:tcPr>
            <w:tcW w:w="779" w:type="pct"/>
          </w:tcPr>
          <w:p w14:paraId="45AA0C4A" w14:textId="77777777" w:rsidR="00271D8F" w:rsidRDefault="00271D8F" w:rsidP="00A361A7">
            <w:pPr>
              <w:jc w:val="center"/>
              <w:rPr>
                <w:rFonts w:ascii="Arial Narrow" w:hAnsi="Arial Narrow"/>
                <w:sz w:val="20"/>
                <w:szCs w:val="20"/>
              </w:rPr>
            </w:pPr>
          </w:p>
          <w:p w14:paraId="27A63E90" w14:textId="77777777" w:rsidR="00271D8F" w:rsidRDefault="00271D8F" w:rsidP="00A361A7">
            <w:pPr>
              <w:jc w:val="center"/>
              <w:rPr>
                <w:rFonts w:ascii="Arial Narrow" w:hAnsi="Arial Narrow"/>
                <w:sz w:val="20"/>
                <w:szCs w:val="20"/>
              </w:rPr>
            </w:pPr>
            <w:r>
              <w:rPr>
                <w:rFonts w:ascii="Arial Narrow" w:hAnsi="Arial Narrow"/>
                <w:sz w:val="20"/>
                <w:szCs w:val="20"/>
              </w:rPr>
              <w:t>12 (7.6)</w:t>
            </w:r>
          </w:p>
          <w:p w14:paraId="2FBADF53" w14:textId="77777777" w:rsidR="00271D8F" w:rsidRDefault="00271D8F" w:rsidP="00A361A7">
            <w:pPr>
              <w:jc w:val="center"/>
              <w:rPr>
                <w:rFonts w:ascii="Arial Narrow" w:hAnsi="Arial Narrow"/>
                <w:sz w:val="20"/>
                <w:szCs w:val="20"/>
              </w:rPr>
            </w:pPr>
            <w:r>
              <w:rPr>
                <w:rFonts w:ascii="Arial Narrow" w:hAnsi="Arial Narrow"/>
                <w:sz w:val="20"/>
                <w:szCs w:val="20"/>
              </w:rPr>
              <w:t>9 (5.7)</w:t>
            </w:r>
          </w:p>
          <w:p w14:paraId="2F1631CB" w14:textId="77777777" w:rsidR="00271D8F" w:rsidRDefault="00271D8F" w:rsidP="00A361A7">
            <w:pPr>
              <w:jc w:val="center"/>
              <w:rPr>
                <w:rFonts w:ascii="Arial Narrow" w:hAnsi="Arial Narrow"/>
                <w:sz w:val="20"/>
                <w:szCs w:val="20"/>
              </w:rPr>
            </w:pPr>
            <w:r>
              <w:rPr>
                <w:rFonts w:ascii="Arial Narrow" w:hAnsi="Arial Narrow"/>
                <w:sz w:val="20"/>
                <w:szCs w:val="20"/>
              </w:rPr>
              <w:t>6 (3.8)</w:t>
            </w:r>
          </w:p>
          <w:p w14:paraId="01810CE5" w14:textId="77777777" w:rsidR="00271D8F" w:rsidRDefault="00271D8F" w:rsidP="00A361A7">
            <w:pPr>
              <w:jc w:val="center"/>
              <w:rPr>
                <w:rFonts w:ascii="Arial Narrow" w:hAnsi="Arial Narrow"/>
                <w:sz w:val="20"/>
                <w:szCs w:val="20"/>
              </w:rPr>
            </w:pPr>
            <w:r>
              <w:rPr>
                <w:rFonts w:ascii="Arial Narrow" w:hAnsi="Arial Narrow"/>
                <w:sz w:val="20"/>
                <w:szCs w:val="20"/>
              </w:rPr>
              <w:t>16 (10.1)</w:t>
            </w:r>
          </w:p>
          <w:p w14:paraId="4ED85FFE" w14:textId="77777777" w:rsidR="00271D8F" w:rsidRDefault="00271D8F" w:rsidP="00A361A7">
            <w:pPr>
              <w:jc w:val="center"/>
              <w:rPr>
                <w:rFonts w:ascii="Arial Narrow" w:hAnsi="Arial Narrow"/>
                <w:sz w:val="20"/>
                <w:szCs w:val="20"/>
              </w:rPr>
            </w:pPr>
            <w:r>
              <w:rPr>
                <w:rFonts w:ascii="Arial Narrow" w:hAnsi="Arial Narrow"/>
                <w:sz w:val="20"/>
                <w:szCs w:val="20"/>
              </w:rPr>
              <w:t>4 (2.5)</w:t>
            </w:r>
          </w:p>
          <w:p w14:paraId="5DE772F5" w14:textId="77777777" w:rsidR="00271D8F" w:rsidRDefault="00271D8F" w:rsidP="00A361A7">
            <w:pPr>
              <w:jc w:val="center"/>
              <w:rPr>
                <w:rFonts w:ascii="Arial Narrow" w:hAnsi="Arial Narrow"/>
                <w:sz w:val="20"/>
                <w:szCs w:val="20"/>
              </w:rPr>
            </w:pPr>
            <w:r>
              <w:rPr>
                <w:rFonts w:ascii="Arial Narrow" w:hAnsi="Arial Narrow"/>
                <w:sz w:val="20"/>
                <w:szCs w:val="20"/>
              </w:rPr>
              <w:t>0</w:t>
            </w:r>
          </w:p>
          <w:p w14:paraId="13320496" w14:textId="77777777" w:rsidR="00271D8F" w:rsidRDefault="00271D8F" w:rsidP="00A361A7">
            <w:pPr>
              <w:jc w:val="center"/>
              <w:rPr>
                <w:rFonts w:ascii="Arial Narrow" w:hAnsi="Arial Narrow"/>
                <w:sz w:val="20"/>
                <w:szCs w:val="20"/>
              </w:rPr>
            </w:pPr>
            <w:r>
              <w:rPr>
                <w:rFonts w:ascii="Arial Narrow" w:hAnsi="Arial Narrow"/>
                <w:sz w:val="20"/>
                <w:szCs w:val="20"/>
              </w:rPr>
              <w:t>11 (7.0)</w:t>
            </w:r>
          </w:p>
          <w:p w14:paraId="00E6B155" w14:textId="77777777" w:rsidR="00271D8F" w:rsidRDefault="00271D8F" w:rsidP="00A361A7">
            <w:pPr>
              <w:jc w:val="center"/>
              <w:rPr>
                <w:rFonts w:ascii="Arial Narrow" w:hAnsi="Arial Narrow"/>
                <w:sz w:val="20"/>
                <w:szCs w:val="20"/>
              </w:rPr>
            </w:pPr>
            <w:r>
              <w:rPr>
                <w:rFonts w:ascii="Arial Narrow" w:hAnsi="Arial Narrow"/>
                <w:sz w:val="20"/>
                <w:szCs w:val="20"/>
              </w:rPr>
              <w:t>9 (5.7)</w:t>
            </w:r>
          </w:p>
          <w:p w14:paraId="2D2DBE41" w14:textId="77777777" w:rsidR="00271D8F" w:rsidRDefault="00271D8F" w:rsidP="00A361A7">
            <w:pPr>
              <w:jc w:val="center"/>
              <w:rPr>
                <w:rFonts w:ascii="Arial Narrow" w:hAnsi="Arial Narrow"/>
                <w:sz w:val="20"/>
                <w:szCs w:val="20"/>
              </w:rPr>
            </w:pPr>
            <w:r>
              <w:rPr>
                <w:rFonts w:ascii="Arial Narrow" w:hAnsi="Arial Narrow"/>
                <w:sz w:val="20"/>
                <w:szCs w:val="20"/>
              </w:rPr>
              <w:t>9 (5.7)</w:t>
            </w:r>
          </w:p>
        </w:tc>
      </w:tr>
    </w:tbl>
    <w:p w14:paraId="4CBC6A83" w14:textId="77777777" w:rsidR="00271D8F" w:rsidRDefault="00271D8F" w:rsidP="00271D8F">
      <w:pPr>
        <w:pStyle w:val="TableFigureFooter"/>
      </w:pPr>
      <w:r w:rsidRPr="00191822">
        <w:t xml:space="preserve">Source: </w:t>
      </w:r>
      <w:r>
        <w:t>Table 2.5-11, pp93-94; Table 2.5-12, p96; Table 2.5-13, pp98-99; Table 2.5-14, p100 of the submission.</w:t>
      </w:r>
    </w:p>
    <w:p w14:paraId="523A9515" w14:textId="237EA31A" w:rsidR="00271D8F" w:rsidRPr="00271D8F" w:rsidRDefault="00271D8F" w:rsidP="00271D8F">
      <w:pPr>
        <w:pStyle w:val="TableFigureFooter"/>
        <w:rPr>
          <w:sz w:val="20"/>
        </w:rPr>
      </w:pPr>
      <w:r>
        <w:t>Abbreviations: AE, adverse event; BAT, best available therapy; RUX, ruxolitinib.</w:t>
      </w:r>
    </w:p>
    <w:p w14:paraId="3CEACA56" w14:textId="73253680" w:rsidR="00ED49EE" w:rsidRDefault="00ED49EE" w:rsidP="00ED49EE">
      <w:pPr>
        <w:pStyle w:val="ExecSumBodyText"/>
      </w:pPr>
      <w:r>
        <w:t xml:space="preserve">Treatment-related adverse events </w:t>
      </w:r>
      <w:r w:rsidRPr="008369C4">
        <w:t xml:space="preserve">were higher in the ruxolitinib arm compared to the BAT arm for treatment-emergent adverse events, serious adverse events, </w:t>
      </w:r>
      <w:r w:rsidR="008369C4" w:rsidRPr="008369C4">
        <w:t>G</w:t>
      </w:r>
      <w:r w:rsidRPr="008369C4">
        <w:t>rade ≥3 adverse events</w:t>
      </w:r>
      <w:r w:rsidR="008369C4" w:rsidRPr="008369C4">
        <w:t>,</w:t>
      </w:r>
      <w:r w:rsidRPr="008369C4">
        <w:t xml:space="preserve"> discontinuations</w:t>
      </w:r>
      <w:r>
        <w:t xml:space="preserve"> due to adverse events, and fatal serious adverse events for the initial and main treatment periods</w:t>
      </w:r>
      <w:r w:rsidR="00284397">
        <w:t>.</w:t>
      </w:r>
    </w:p>
    <w:p w14:paraId="6DF56106" w14:textId="3219A72C" w:rsidR="00ED49EE" w:rsidRDefault="00ED49EE" w:rsidP="00ED49EE">
      <w:pPr>
        <w:pStyle w:val="ExecSumBodyText"/>
      </w:pPr>
      <w:r>
        <w:t>The most commonly reported (&gt;15%) treatment-emergent adverse events for the initial treatment period in the ruxolitinib arm were anaemia (29.1%), pyrexia (15.8%), hypertension (15.8%) and alanine aminotransferase (ALT) increase (15.2%). The most commonly reported (&gt;15%) treatment-emergent adverse events for the main treatment period were anaemia, pyrexia, ALT increase, hypertension, blood creatinine increase, diarrhoea and pneumonia.</w:t>
      </w:r>
    </w:p>
    <w:p w14:paraId="403721B5" w14:textId="77777777" w:rsidR="008D141D" w:rsidRDefault="00ED49EE" w:rsidP="008D141D">
      <w:pPr>
        <w:pStyle w:val="ExecSumBodyText"/>
      </w:pPr>
      <w:r>
        <w:t>The most commonly reported Grade ≥3 adverse events (≥10%) in the ruxolitinib arm for the main treatment period were anaemia (15.2%), thrombocytopenia (11.5%), neutropenia (12.1%) and pneumonia (13.3%).</w:t>
      </w:r>
    </w:p>
    <w:p w14:paraId="0FAD5260" w14:textId="40FBA8B4" w:rsidR="008D141D" w:rsidRPr="00A6154D" w:rsidRDefault="008D141D" w:rsidP="008D141D">
      <w:pPr>
        <w:pStyle w:val="ExecSumBodyText"/>
      </w:pPr>
      <w:r w:rsidRPr="00A6154D">
        <w:t>The PSCR noted that the BAT arm consisted of 9 different therapies in the REACH3 trial which may have resulted in the AEs experienced in the BAT arm be</w:t>
      </w:r>
      <w:r w:rsidR="006B22FE" w:rsidRPr="00A6154D">
        <w:t>ing</w:t>
      </w:r>
      <w:r w:rsidRPr="00A6154D">
        <w:t xml:space="preserve"> less likely to be attributed to treatment. In addition, the PSCR noted that approximately 20% of patients were treated with 2 or more BATs. The PSCR stated that the safety profile of ruxolitinib was different compared to the BATs used in REACH3 and may be preferable depending on a patient’s co-morbidities.</w:t>
      </w:r>
    </w:p>
    <w:p w14:paraId="33E3D76D" w14:textId="77777777" w:rsidR="00F67915" w:rsidRDefault="00F67915" w:rsidP="00F67915">
      <w:pPr>
        <w:pStyle w:val="4-SubsectSubhead"/>
      </w:pPr>
      <w:r>
        <w:t>Acute GVHD</w:t>
      </w:r>
    </w:p>
    <w:p w14:paraId="7B0C85ED" w14:textId="77777777" w:rsidR="003A1C28" w:rsidRPr="00284397" w:rsidRDefault="00F67915" w:rsidP="003A1C28">
      <w:pPr>
        <w:pStyle w:val="ExecSumBodyText"/>
        <w:numPr>
          <w:ilvl w:val="1"/>
          <w:numId w:val="1"/>
        </w:numPr>
      </w:pPr>
      <w:r w:rsidRPr="00401876">
        <w:t xml:space="preserve">Adverse event data in REACH2 were presented for the primary analysis (median follow-up 5.0 months in the ruxolitinib arm and 3.6 months in the BAT arm) and the January 2020 data cut (median follow-up 7.3 months in the ruxolitinib arm and 3.8 months in the BAT arm). </w:t>
      </w:r>
      <w:r w:rsidR="00357CA5" w:rsidRPr="00FB0D10">
        <w:t>Adverse event results should be interpreted with caution due to differences in exposure durations between treatme</w:t>
      </w:r>
      <w:r w:rsidR="00357CA5" w:rsidRPr="00284397">
        <w:t>nt arms.</w:t>
      </w:r>
    </w:p>
    <w:p w14:paraId="1B581BFE" w14:textId="40744FC0" w:rsidR="003A1C28" w:rsidRPr="00284397" w:rsidRDefault="003A1C28" w:rsidP="003A1C28">
      <w:pPr>
        <w:pStyle w:val="ExecSumBodyText"/>
        <w:numPr>
          <w:ilvl w:val="1"/>
          <w:numId w:val="1"/>
        </w:numPr>
      </w:pPr>
      <w:r w:rsidRPr="00284397">
        <w:t>Adverse event results for the REACH2 trial are summarised in the table below.</w:t>
      </w:r>
    </w:p>
    <w:p w14:paraId="6735FE04" w14:textId="6F95758B" w:rsidR="003A1C28" w:rsidRPr="00191822" w:rsidRDefault="00CF7791" w:rsidP="00014A9C">
      <w:pPr>
        <w:pStyle w:val="TableHeading"/>
        <w:jc w:val="both"/>
      </w:pPr>
      <w:r w:rsidRPr="0042047F">
        <w:t xml:space="preserve">Table </w:t>
      </w:r>
      <w:fldSimple w:instr=" SEQ Table \* ARABIC " w:fldLock="1">
        <w:r w:rsidR="005A7A1C">
          <w:rPr>
            <w:noProof/>
          </w:rPr>
          <w:t>11</w:t>
        </w:r>
      </w:fldSimple>
      <w:r w:rsidR="003A1C28" w:rsidRPr="00191822">
        <w:t xml:space="preserve">: Summary of adverse events </w:t>
      </w:r>
      <w:r w:rsidR="003A1C28">
        <w:t xml:space="preserve">in the REACH2 </w:t>
      </w:r>
      <w:r w:rsidR="003A1C28" w:rsidRPr="00191822">
        <w:t>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1: Summary of adverse events in the REACH2 trial"/>
      </w:tblPr>
      <w:tblGrid>
        <w:gridCol w:w="3397"/>
        <w:gridCol w:w="1405"/>
        <w:gridCol w:w="1405"/>
        <w:gridCol w:w="1405"/>
        <w:gridCol w:w="1405"/>
      </w:tblGrid>
      <w:tr w:rsidR="003A1C28" w:rsidRPr="00191822" w14:paraId="5888245A" w14:textId="77777777" w:rsidTr="00A361A7">
        <w:trPr>
          <w:tblHeader/>
        </w:trPr>
        <w:tc>
          <w:tcPr>
            <w:tcW w:w="1884" w:type="pct"/>
            <w:vMerge w:val="restart"/>
          </w:tcPr>
          <w:p w14:paraId="1D5ECBE0" w14:textId="77777777" w:rsidR="003A1C28" w:rsidRPr="008879C0" w:rsidRDefault="003A1C28" w:rsidP="00014A9C">
            <w:pPr>
              <w:keepNext/>
              <w:rPr>
                <w:rFonts w:ascii="Arial Narrow" w:hAnsi="Arial Narrow"/>
                <w:sz w:val="20"/>
                <w:szCs w:val="20"/>
              </w:rPr>
            </w:pPr>
          </w:p>
        </w:tc>
        <w:tc>
          <w:tcPr>
            <w:tcW w:w="1558" w:type="pct"/>
            <w:gridSpan w:val="2"/>
            <w:vAlign w:val="center"/>
          </w:tcPr>
          <w:p w14:paraId="58C023D8" w14:textId="77777777" w:rsidR="003A1C28" w:rsidRPr="008879C0" w:rsidRDefault="003A1C28" w:rsidP="00014A9C">
            <w:pPr>
              <w:keepNext/>
              <w:jc w:val="center"/>
              <w:rPr>
                <w:rFonts w:ascii="Arial Narrow" w:hAnsi="Arial Narrow"/>
                <w:b/>
                <w:iCs/>
                <w:sz w:val="20"/>
                <w:szCs w:val="20"/>
              </w:rPr>
            </w:pPr>
            <w:r>
              <w:rPr>
                <w:rFonts w:ascii="Arial Narrow" w:hAnsi="Arial Narrow"/>
                <w:b/>
                <w:iCs/>
                <w:sz w:val="20"/>
                <w:szCs w:val="20"/>
              </w:rPr>
              <w:t>Primary analysis</w:t>
            </w:r>
          </w:p>
        </w:tc>
        <w:tc>
          <w:tcPr>
            <w:tcW w:w="1558" w:type="pct"/>
            <w:gridSpan w:val="2"/>
            <w:vAlign w:val="center"/>
          </w:tcPr>
          <w:p w14:paraId="5E2BFCA5" w14:textId="77777777" w:rsidR="003A1C28" w:rsidRPr="008879C0" w:rsidRDefault="003A1C28" w:rsidP="00014A9C">
            <w:pPr>
              <w:keepNext/>
              <w:jc w:val="center"/>
              <w:rPr>
                <w:rFonts w:ascii="Arial Narrow" w:hAnsi="Arial Narrow"/>
                <w:b/>
                <w:iCs/>
                <w:sz w:val="20"/>
                <w:szCs w:val="20"/>
              </w:rPr>
            </w:pPr>
            <w:r w:rsidRPr="00C76087">
              <w:rPr>
                <w:rFonts w:ascii="Arial Narrow" w:hAnsi="Arial Narrow"/>
                <w:b/>
                <w:iCs/>
                <w:sz w:val="20"/>
                <w:szCs w:val="20"/>
              </w:rPr>
              <w:t>January 2020 data cut</w:t>
            </w:r>
          </w:p>
        </w:tc>
      </w:tr>
      <w:tr w:rsidR="003A1C28" w:rsidRPr="00191822" w14:paraId="26C47AD5" w14:textId="77777777" w:rsidTr="00A361A7">
        <w:trPr>
          <w:tblHeader/>
        </w:trPr>
        <w:tc>
          <w:tcPr>
            <w:tcW w:w="1884" w:type="pct"/>
            <w:vMerge/>
          </w:tcPr>
          <w:p w14:paraId="79E76570" w14:textId="77777777" w:rsidR="003A1C28" w:rsidRPr="008879C0" w:rsidRDefault="003A1C28" w:rsidP="00014A9C">
            <w:pPr>
              <w:keepNext/>
              <w:rPr>
                <w:rFonts w:ascii="Arial Narrow" w:hAnsi="Arial Narrow"/>
                <w:sz w:val="20"/>
                <w:szCs w:val="20"/>
              </w:rPr>
            </w:pPr>
          </w:p>
        </w:tc>
        <w:tc>
          <w:tcPr>
            <w:tcW w:w="779" w:type="pct"/>
            <w:vAlign w:val="center"/>
          </w:tcPr>
          <w:p w14:paraId="3D2B643C" w14:textId="77777777" w:rsidR="003A1C28" w:rsidRPr="008879C0" w:rsidRDefault="003A1C28" w:rsidP="00014A9C">
            <w:pPr>
              <w:keepNext/>
              <w:jc w:val="center"/>
              <w:rPr>
                <w:rFonts w:ascii="Arial Narrow" w:hAnsi="Arial Narrow"/>
                <w:b/>
                <w:iCs/>
                <w:sz w:val="20"/>
                <w:szCs w:val="20"/>
              </w:rPr>
            </w:pPr>
            <w:r>
              <w:rPr>
                <w:rFonts w:ascii="Arial Narrow" w:hAnsi="Arial Narrow"/>
                <w:b/>
                <w:iCs/>
                <w:sz w:val="20"/>
                <w:szCs w:val="20"/>
              </w:rPr>
              <w:t>RUX</w:t>
            </w:r>
          </w:p>
          <w:p w14:paraId="44B13706" w14:textId="77777777" w:rsidR="003A1C28" w:rsidRPr="008879C0" w:rsidRDefault="003A1C28" w:rsidP="00014A9C">
            <w:pPr>
              <w:keepNext/>
              <w:jc w:val="center"/>
              <w:rPr>
                <w:rFonts w:ascii="Arial Narrow" w:hAnsi="Arial Narrow"/>
                <w:b/>
                <w:sz w:val="20"/>
                <w:szCs w:val="20"/>
              </w:rPr>
            </w:pPr>
            <w:r w:rsidRPr="008879C0">
              <w:rPr>
                <w:rFonts w:ascii="Arial Narrow" w:hAnsi="Arial Narrow"/>
                <w:b/>
                <w:iCs/>
                <w:sz w:val="20"/>
                <w:szCs w:val="20"/>
              </w:rPr>
              <w:t>(N=</w:t>
            </w:r>
            <w:r>
              <w:rPr>
                <w:rFonts w:ascii="Arial Narrow" w:hAnsi="Arial Narrow"/>
                <w:b/>
                <w:iCs/>
                <w:sz w:val="20"/>
                <w:szCs w:val="20"/>
              </w:rPr>
              <w:t>152</w:t>
            </w:r>
            <w:r w:rsidRPr="008879C0">
              <w:rPr>
                <w:rFonts w:ascii="Arial Narrow" w:hAnsi="Arial Narrow"/>
                <w:b/>
                <w:iCs/>
                <w:sz w:val="20"/>
                <w:szCs w:val="20"/>
              </w:rPr>
              <w:t>)</w:t>
            </w:r>
          </w:p>
        </w:tc>
        <w:tc>
          <w:tcPr>
            <w:tcW w:w="779" w:type="pct"/>
            <w:vAlign w:val="center"/>
          </w:tcPr>
          <w:p w14:paraId="5D98CA3A" w14:textId="77777777" w:rsidR="003A1C28" w:rsidRPr="008879C0" w:rsidRDefault="003A1C28" w:rsidP="00014A9C">
            <w:pPr>
              <w:keepNext/>
              <w:jc w:val="center"/>
              <w:rPr>
                <w:rFonts w:ascii="Arial Narrow" w:hAnsi="Arial Narrow"/>
                <w:b/>
                <w:iCs/>
                <w:sz w:val="20"/>
                <w:szCs w:val="20"/>
              </w:rPr>
            </w:pPr>
            <w:r w:rsidRPr="008879C0">
              <w:rPr>
                <w:rFonts w:ascii="Arial Narrow" w:hAnsi="Arial Narrow"/>
                <w:b/>
                <w:iCs/>
                <w:sz w:val="20"/>
                <w:szCs w:val="20"/>
              </w:rPr>
              <w:t>BAT</w:t>
            </w:r>
          </w:p>
          <w:p w14:paraId="4993063C" w14:textId="77777777" w:rsidR="003A1C28" w:rsidRPr="008879C0" w:rsidRDefault="003A1C28" w:rsidP="00014A9C">
            <w:pPr>
              <w:keepNext/>
              <w:jc w:val="center"/>
              <w:rPr>
                <w:rFonts w:ascii="Arial Narrow" w:hAnsi="Arial Narrow"/>
                <w:b/>
                <w:sz w:val="20"/>
                <w:szCs w:val="20"/>
              </w:rPr>
            </w:pPr>
            <w:r w:rsidRPr="008879C0">
              <w:rPr>
                <w:rFonts w:ascii="Arial Narrow" w:hAnsi="Arial Narrow"/>
                <w:b/>
                <w:iCs/>
                <w:sz w:val="20"/>
                <w:szCs w:val="20"/>
              </w:rPr>
              <w:t>(N=15</w:t>
            </w:r>
            <w:r>
              <w:rPr>
                <w:rFonts w:ascii="Arial Narrow" w:hAnsi="Arial Narrow"/>
                <w:b/>
                <w:iCs/>
                <w:sz w:val="20"/>
                <w:szCs w:val="20"/>
              </w:rPr>
              <w:t>0</w:t>
            </w:r>
            <w:r w:rsidRPr="008879C0">
              <w:rPr>
                <w:rFonts w:ascii="Arial Narrow" w:hAnsi="Arial Narrow"/>
                <w:b/>
                <w:iCs/>
                <w:sz w:val="20"/>
                <w:szCs w:val="20"/>
              </w:rPr>
              <w:t>)</w:t>
            </w:r>
          </w:p>
        </w:tc>
        <w:tc>
          <w:tcPr>
            <w:tcW w:w="779" w:type="pct"/>
            <w:vAlign w:val="center"/>
          </w:tcPr>
          <w:p w14:paraId="28630C9B" w14:textId="77777777" w:rsidR="003A1C28" w:rsidRPr="008879C0" w:rsidRDefault="003A1C28" w:rsidP="00014A9C">
            <w:pPr>
              <w:keepNext/>
              <w:jc w:val="center"/>
              <w:rPr>
                <w:rFonts w:ascii="Arial Narrow" w:hAnsi="Arial Narrow"/>
                <w:b/>
                <w:iCs/>
                <w:sz w:val="20"/>
                <w:szCs w:val="20"/>
              </w:rPr>
            </w:pPr>
            <w:r>
              <w:rPr>
                <w:rFonts w:ascii="Arial Narrow" w:hAnsi="Arial Narrow"/>
                <w:b/>
                <w:iCs/>
                <w:sz w:val="20"/>
                <w:szCs w:val="20"/>
              </w:rPr>
              <w:t>RUX</w:t>
            </w:r>
          </w:p>
          <w:p w14:paraId="7AE763DB" w14:textId="77777777" w:rsidR="003A1C28" w:rsidRPr="008879C0" w:rsidRDefault="003A1C28" w:rsidP="00014A9C">
            <w:pPr>
              <w:keepNext/>
              <w:jc w:val="center"/>
              <w:rPr>
                <w:rFonts w:ascii="Arial Narrow" w:hAnsi="Arial Narrow"/>
                <w:b/>
                <w:iCs/>
                <w:sz w:val="20"/>
                <w:szCs w:val="20"/>
              </w:rPr>
            </w:pPr>
            <w:r w:rsidRPr="008879C0">
              <w:rPr>
                <w:rFonts w:ascii="Arial Narrow" w:hAnsi="Arial Narrow"/>
                <w:b/>
                <w:iCs/>
                <w:sz w:val="20"/>
                <w:szCs w:val="20"/>
              </w:rPr>
              <w:t>(N=</w:t>
            </w:r>
            <w:r>
              <w:rPr>
                <w:rFonts w:ascii="Arial Narrow" w:hAnsi="Arial Narrow"/>
                <w:b/>
                <w:iCs/>
                <w:sz w:val="20"/>
                <w:szCs w:val="20"/>
              </w:rPr>
              <w:t>152</w:t>
            </w:r>
            <w:r w:rsidRPr="008879C0">
              <w:rPr>
                <w:rFonts w:ascii="Arial Narrow" w:hAnsi="Arial Narrow"/>
                <w:b/>
                <w:iCs/>
                <w:sz w:val="20"/>
                <w:szCs w:val="20"/>
              </w:rPr>
              <w:t>)</w:t>
            </w:r>
          </w:p>
        </w:tc>
        <w:tc>
          <w:tcPr>
            <w:tcW w:w="779" w:type="pct"/>
            <w:vAlign w:val="center"/>
          </w:tcPr>
          <w:p w14:paraId="19EEC8B0" w14:textId="77777777" w:rsidR="003A1C28" w:rsidRPr="008879C0" w:rsidRDefault="003A1C28" w:rsidP="00014A9C">
            <w:pPr>
              <w:keepNext/>
              <w:jc w:val="center"/>
              <w:rPr>
                <w:rFonts w:ascii="Arial Narrow" w:hAnsi="Arial Narrow"/>
                <w:b/>
                <w:iCs/>
                <w:sz w:val="20"/>
                <w:szCs w:val="20"/>
              </w:rPr>
            </w:pPr>
            <w:r w:rsidRPr="008879C0">
              <w:rPr>
                <w:rFonts w:ascii="Arial Narrow" w:hAnsi="Arial Narrow"/>
                <w:b/>
                <w:iCs/>
                <w:sz w:val="20"/>
                <w:szCs w:val="20"/>
              </w:rPr>
              <w:t>BAT</w:t>
            </w:r>
          </w:p>
          <w:p w14:paraId="7895D2CA" w14:textId="77777777" w:rsidR="003A1C28" w:rsidRPr="008879C0" w:rsidRDefault="003A1C28" w:rsidP="00014A9C">
            <w:pPr>
              <w:keepNext/>
              <w:jc w:val="center"/>
              <w:rPr>
                <w:rFonts w:ascii="Arial Narrow" w:hAnsi="Arial Narrow"/>
                <w:b/>
                <w:iCs/>
                <w:sz w:val="20"/>
                <w:szCs w:val="20"/>
              </w:rPr>
            </w:pPr>
            <w:r w:rsidRPr="008879C0">
              <w:rPr>
                <w:rFonts w:ascii="Arial Narrow" w:hAnsi="Arial Narrow"/>
                <w:b/>
                <w:iCs/>
                <w:sz w:val="20"/>
                <w:szCs w:val="20"/>
              </w:rPr>
              <w:t>(N=15</w:t>
            </w:r>
            <w:r>
              <w:rPr>
                <w:rFonts w:ascii="Arial Narrow" w:hAnsi="Arial Narrow"/>
                <w:b/>
                <w:iCs/>
                <w:sz w:val="20"/>
                <w:szCs w:val="20"/>
              </w:rPr>
              <w:t>0</w:t>
            </w:r>
            <w:r w:rsidRPr="008879C0">
              <w:rPr>
                <w:rFonts w:ascii="Arial Narrow" w:hAnsi="Arial Narrow"/>
                <w:b/>
                <w:iCs/>
                <w:sz w:val="20"/>
                <w:szCs w:val="20"/>
              </w:rPr>
              <w:t>)</w:t>
            </w:r>
          </w:p>
        </w:tc>
      </w:tr>
      <w:tr w:rsidR="003A1C28" w:rsidRPr="00191822" w14:paraId="2DF588EC" w14:textId="77777777" w:rsidTr="00A361A7">
        <w:tc>
          <w:tcPr>
            <w:tcW w:w="1884" w:type="pct"/>
          </w:tcPr>
          <w:p w14:paraId="5AA90323" w14:textId="77777777" w:rsidR="003A1C28" w:rsidRPr="00C76AFC" w:rsidRDefault="003A1C28" w:rsidP="00014A9C">
            <w:pPr>
              <w:keepNext/>
              <w:jc w:val="left"/>
              <w:rPr>
                <w:rFonts w:ascii="Arial Narrow" w:hAnsi="Arial Narrow"/>
                <w:sz w:val="20"/>
                <w:szCs w:val="20"/>
              </w:rPr>
            </w:pPr>
            <w:r w:rsidRPr="00C76AFC">
              <w:rPr>
                <w:rFonts w:ascii="Arial Narrow" w:hAnsi="Arial Narrow"/>
                <w:sz w:val="20"/>
                <w:szCs w:val="20"/>
              </w:rPr>
              <w:t>Mean duration of exposure, days (range)</w:t>
            </w:r>
          </w:p>
        </w:tc>
        <w:tc>
          <w:tcPr>
            <w:tcW w:w="779" w:type="pct"/>
            <w:vAlign w:val="center"/>
          </w:tcPr>
          <w:p w14:paraId="20EA33AD" w14:textId="79D8174F" w:rsidR="003A1C28" w:rsidRPr="008879C0" w:rsidRDefault="003A1C28" w:rsidP="00014A9C">
            <w:pPr>
              <w:keepNext/>
              <w:jc w:val="center"/>
              <w:rPr>
                <w:rFonts w:ascii="Arial Narrow" w:hAnsi="Arial Narrow"/>
                <w:iCs/>
                <w:sz w:val="20"/>
                <w:szCs w:val="20"/>
              </w:rPr>
            </w:pPr>
            <w:r w:rsidRPr="0028338A">
              <w:rPr>
                <w:rFonts w:ascii="Arial Narrow" w:hAnsi="Arial Narrow"/>
                <w:iCs/>
                <w:sz w:val="20"/>
                <w:szCs w:val="20"/>
              </w:rPr>
              <w:t>82.5 (8.0</w:t>
            </w:r>
            <w:r w:rsidR="005B07C7">
              <w:rPr>
                <w:rFonts w:ascii="Arial Narrow" w:hAnsi="Arial Narrow"/>
                <w:iCs/>
                <w:sz w:val="20"/>
                <w:szCs w:val="20"/>
              </w:rPr>
              <w:t xml:space="preserve"> </w:t>
            </w:r>
            <w:r w:rsidRPr="0028338A">
              <w:rPr>
                <w:rFonts w:ascii="Arial Narrow" w:hAnsi="Arial Narrow"/>
                <w:iCs/>
                <w:sz w:val="20"/>
                <w:szCs w:val="20"/>
              </w:rPr>
              <w:t>-</w:t>
            </w:r>
            <w:r w:rsidR="005B07C7">
              <w:rPr>
                <w:rFonts w:ascii="Arial Narrow" w:hAnsi="Arial Narrow"/>
                <w:iCs/>
                <w:sz w:val="20"/>
                <w:szCs w:val="20"/>
              </w:rPr>
              <w:t xml:space="preserve"> </w:t>
            </w:r>
            <w:r w:rsidRPr="0028338A">
              <w:rPr>
                <w:rFonts w:ascii="Arial Narrow" w:hAnsi="Arial Narrow"/>
                <w:iCs/>
                <w:sz w:val="20"/>
                <w:szCs w:val="20"/>
              </w:rPr>
              <w:t>396.0)</w:t>
            </w:r>
          </w:p>
        </w:tc>
        <w:tc>
          <w:tcPr>
            <w:tcW w:w="779" w:type="pct"/>
            <w:vAlign w:val="center"/>
          </w:tcPr>
          <w:p w14:paraId="53CD4525" w14:textId="7EC6A649" w:rsidR="003A1C28" w:rsidRPr="008879C0" w:rsidRDefault="003A1C28" w:rsidP="00014A9C">
            <w:pPr>
              <w:keepNext/>
              <w:jc w:val="center"/>
              <w:rPr>
                <w:rFonts w:ascii="Arial Narrow" w:hAnsi="Arial Narrow"/>
                <w:sz w:val="20"/>
                <w:szCs w:val="20"/>
              </w:rPr>
            </w:pPr>
            <w:r w:rsidRPr="0028338A">
              <w:rPr>
                <w:rFonts w:ascii="Arial Narrow" w:hAnsi="Arial Narrow"/>
                <w:sz w:val="20"/>
                <w:szCs w:val="20"/>
              </w:rPr>
              <w:t>45.5 (2.0</w:t>
            </w:r>
            <w:r w:rsidR="005B07C7">
              <w:rPr>
                <w:rFonts w:ascii="Arial Narrow" w:hAnsi="Arial Narrow"/>
                <w:sz w:val="20"/>
                <w:szCs w:val="20"/>
              </w:rPr>
              <w:t xml:space="preserve"> </w:t>
            </w:r>
            <w:r w:rsidRPr="0028338A">
              <w:rPr>
                <w:rFonts w:ascii="Arial Narrow" w:hAnsi="Arial Narrow"/>
                <w:sz w:val="20"/>
                <w:szCs w:val="20"/>
              </w:rPr>
              <w:t>-</w:t>
            </w:r>
            <w:r w:rsidR="005B07C7">
              <w:rPr>
                <w:rFonts w:ascii="Arial Narrow" w:hAnsi="Arial Narrow"/>
                <w:sz w:val="20"/>
                <w:szCs w:val="20"/>
              </w:rPr>
              <w:t xml:space="preserve"> </w:t>
            </w:r>
            <w:r w:rsidRPr="0028338A">
              <w:rPr>
                <w:rFonts w:ascii="Arial Narrow" w:hAnsi="Arial Narrow"/>
                <w:sz w:val="20"/>
                <w:szCs w:val="20"/>
              </w:rPr>
              <w:t>218.0)</w:t>
            </w:r>
          </w:p>
        </w:tc>
        <w:tc>
          <w:tcPr>
            <w:tcW w:w="779" w:type="pct"/>
          </w:tcPr>
          <w:p w14:paraId="04E2795B" w14:textId="0D460DDA" w:rsidR="003A1C28" w:rsidRPr="008879C0" w:rsidRDefault="003A1C28" w:rsidP="00014A9C">
            <w:pPr>
              <w:keepNext/>
              <w:jc w:val="center"/>
              <w:rPr>
                <w:rFonts w:ascii="Arial Narrow" w:hAnsi="Arial Narrow"/>
                <w:iCs/>
                <w:sz w:val="20"/>
                <w:szCs w:val="20"/>
              </w:rPr>
            </w:pPr>
            <w:r w:rsidRPr="0028338A">
              <w:rPr>
                <w:rFonts w:ascii="Arial Narrow" w:hAnsi="Arial Narrow"/>
                <w:iCs/>
                <w:sz w:val="20"/>
                <w:szCs w:val="20"/>
              </w:rPr>
              <w:t>85.5 (8.0</w:t>
            </w:r>
            <w:r w:rsidR="005B07C7">
              <w:rPr>
                <w:rFonts w:ascii="Arial Narrow" w:hAnsi="Arial Narrow"/>
                <w:iCs/>
                <w:sz w:val="20"/>
                <w:szCs w:val="20"/>
              </w:rPr>
              <w:t xml:space="preserve"> </w:t>
            </w:r>
            <w:r w:rsidRPr="0028338A">
              <w:rPr>
                <w:rFonts w:ascii="Arial Narrow" w:hAnsi="Arial Narrow"/>
                <w:iCs/>
                <w:sz w:val="20"/>
                <w:szCs w:val="20"/>
              </w:rPr>
              <w:t>-</w:t>
            </w:r>
            <w:r w:rsidR="005B07C7">
              <w:rPr>
                <w:rFonts w:ascii="Arial Narrow" w:hAnsi="Arial Narrow"/>
                <w:iCs/>
                <w:sz w:val="20"/>
                <w:szCs w:val="20"/>
              </w:rPr>
              <w:t xml:space="preserve"> </w:t>
            </w:r>
            <w:r w:rsidRPr="0028338A">
              <w:rPr>
                <w:rFonts w:ascii="Arial Narrow" w:hAnsi="Arial Narrow"/>
                <w:iCs/>
                <w:sz w:val="20"/>
                <w:szCs w:val="20"/>
              </w:rPr>
              <w:t>498.0)</w:t>
            </w:r>
          </w:p>
        </w:tc>
        <w:tc>
          <w:tcPr>
            <w:tcW w:w="779" w:type="pct"/>
          </w:tcPr>
          <w:p w14:paraId="7F565486" w14:textId="1095EBF9" w:rsidR="003A1C28" w:rsidRPr="008879C0" w:rsidRDefault="003A1C28" w:rsidP="00014A9C">
            <w:pPr>
              <w:keepNext/>
              <w:jc w:val="center"/>
              <w:rPr>
                <w:rFonts w:ascii="Arial Narrow" w:hAnsi="Arial Narrow"/>
                <w:iCs/>
                <w:sz w:val="20"/>
                <w:szCs w:val="20"/>
              </w:rPr>
            </w:pPr>
            <w:r w:rsidRPr="0028338A">
              <w:rPr>
                <w:rFonts w:ascii="Arial Narrow" w:hAnsi="Arial Narrow"/>
                <w:iCs/>
                <w:sz w:val="20"/>
                <w:szCs w:val="20"/>
              </w:rPr>
              <w:t>45.5 (2.0</w:t>
            </w:r>
            <w:r w:rsidR="005B07C7">
              <w:rPr>
                <w:rFonts w:ascii="Arial Narrow" w:hAnsi="Arial Narrow"/>
                <w:iCs/>
                <w:sz w:val="20"/>
                <w:szCs w:val="20"/>
              </w:rPr>
              <w:t xml:space="preserve"> </w:t>
            </w:r>
            <w:r w:rsidRPr="0028338A">
              <w:rPr>
                <w:rFonts w:ascii="Arial Narrow" w:hAnsi="Arial Narrow"/>
                <w:iCs/>
                <w:sz w:val="20"/>
                <w:szCs w:val="20"/>
              </w:rPr>
              <w:t>-</w:t>
            </w:r>
            <w:r w:rsidR="005B07C7">
              <w:rPr>
                <w:rFonts w:ascii="Arial Narrow" w:hAnsi="Arial Narrow"/>
                <w:iCs/>
                <w:sz w:val="20"/>
                <w:szCs w:val="20"/>
              </w:rPr>
              <w:t xml:space="preserve"> </w:t>
            </w:r>
            <w:r w:rsidRPr="0028338A">
              <w:rPr>
                <w:rFonts w:ascii="Arial Narrow" w:hAnsi="Arial Narrow"/>
                <w:iCs/>
                <w:sz w:val="20"/>
                <w:szCs w:val="20"/>
              </w:rPr>
              <w:t>218.0)</w:t>
            </w:r>
          </w:p>
        </w:tc>
      </w:tr>
      <w:tr w:rsidR="003A1C28" w:rsidRPr="00191822" w14:paraId="365E7C17" w14:textId="77777777" w:rsidTr="00A361A7">
        <w:tc>
          <w:tcPr>
            <w:tcW w:w="2663" w:type="pct"/>
            <w:gridSpan w:val="2"/>
          </w:tcPr>
          <w:p w14:paraId="3F92A378" w14:textId="77777777" w:rsidR="003A1C28" w:rsidRPr="00F34CFC" w:rsidRDefault="003A1C28" w:rsidP="00014A9C">
            <w:pPr>
              <w:keepNext/>
              <w:jc w:val="left"/>
              <w:rPr>
                <w:rFonts w:ascii="Arial Narrow" w:hAnsi="Arial Narrow"/>
                <w:b/>
                <w:bCs/>
                <w:sz w:val="20"/>
                <w:szCs w:val="20"/>
              </w:rPr>
            </w:pPr>
            <w:r w:rsidRPr="00F34CFC">
              <w:rPr>
                <w:rFonts w:ascii="Arial Narrow" w:hAnsi="Arial Narrow"/>
                <w:b/>
                <w:bCs/>
                <w:sz w:val="20"/>
                <w:szCs w:val="20"/>
              </w:rPr>
              <w:t>Any Grade AEs</w:t>
            </w:r>
          </w:p>
        </w:tc>
        <w:tc>
          <w:tcPr>
            <w:tcW w:w="779" w:type="pct"/>
          </w:tcPr>
          <w:p w14:paraId="77961559" w14:textId="77777777" w:rsidR="003A1C28" w:rsidRPr="00F34CFC" w:rsidRDefault="003A1C28" w:rsidP="00014A9C">
            <w:pPr>
              <w:keepNext/>
              <w:jc w:val="left"/>
              <w:rPr>
                <w:rFonts w:ascii="Arial Narrow" w:hAnsi="Arial Narrow"/>
                <w:b/>
                <w:bCs/>
                <w:sz w:val="20"/>
                <w:szCs w:val="20"/>
              </w:rPr>
            </w:pPr>
          </w:p>
        </w:tc>
        <w:tc>
          <w:tcPr>
            <w:tcW w:w="1558" w:type="pct"/>
            <w:gridSpan w:val="2"/>
          </w:tcPr>
          <w:p w14:paraId="53BDE09B" w14:textId="77777777" w:rsidR="003A1C28" w:rsidRPr="008879C0" w:rsidRDefault="003A1C28" w:rsidP="00014A9C">
            <w:pPr>
              <w:keepNext/>
              <w:jc w:val="left"/>
              <w:rPr>
                <w:rFonts w:ascii="Arial Narrow" w:hAnsi="Arial Narrow"/>
                <w:b/>
                <w:bCs/>
                <w:sz w:val="20"/>
                <w:szCs w:val="20"/>
              </w:rPr>
            </w:pPr>
          </w:p>
        </w:tc>
      </w:tr>
      <w:tr w:rsidR="003A1C28" w:rsidRPr="00191822" w14:paraId="4FC0D054" w14:textId="77777777" w:rsidTr="00A361A7">
        <w:tc>
          <w:tcPr>
            <w:tcW w:w="1884" w:type="pct"/>
          </w:tcPr>
          <w:p w14:paraId="61CB59C4" w14:textId="77777777" w:rsidR="003A1C28" w:rsidRPr="00135B91" w:rsidRDefault="003A1C28" w:rsidP="00014A9C">
            <w:pPr>
              <w:keepNext/>
              <w:jc w:val="left"/>
              <w:rPr>
                <w:rFonts w:ascii="Arial Narrow" w:hAnsi="Arial Narrow"/>
                <w:sz w:val="20"/>
                <w:szCs w:val="20"/>
              </w:rPr>
            </w:pPr>
            <w:r w:rsidRPr="00135B91">
              <w:rPr>
                <w:rFonts w:ascii="Arial Narrow" w:hAnsi="Arial Narrow"/>
                <w:sz w:val="20"/>
                <w:szCs w:val="20"/>
              </w:rPr>
              <w:t>Any AE, n (%)</w:t>
            </w:r>
          </w:p>
        </w:tc>
        <w:tc>
          <w:tcPr>
            <w:tcW w:w="779" w:type="pct"/>
          </w:tcPr>
          <w:p w14:paraId="513FA51F" w14:textId="77777777" w:rsidR="003A1C28" w:rsidRPr="00F34CFC" w:rsidRDefault="003A1C28" w:rsidP="00014A9C">
            <w:pPr>
              <w:keepNext/>
              <w:jc w:val="center"/>
              <w:rPr>
                <w:rFonts w:ascii="Arial Narrow" w:hAnsi="Arial Narrow"/>
                <w:sz w:val="20"/>
                <w:szCs w:val="20"/>
              </w:rPr>
            </w:pPr>
            <w:r w:rsidRPr="00F34CFC">
              <w:rPr>
                <w:rFonts w:ascii="Arial Narrow" w:hAnsi="Arial Narrow"/>
                <w:sz w:val="20"/>
                <w:szCs w:val="20"/>
              </w:rPr>
              <w:t>146 (96.1)</w:t>
            </w:r>
          </w:p>
        </w:tc>
        <w:tc>
          <w:tcPr>
            <w:tcW w:w="779" w:type="pct"/>
          </w:tcPr>
          <w:p w14:paraId="11AE65D7" w14:textId="77777777" w:rsidR="003A1C28" w:rsidRPr="00F34CFC" w:rsidRDefault="003A1C28" w:rsidP="00014A9C">
            <w:pPr>
              <w:keepNext/>
              <w:jc w:val="center"/>
              <w:rPr>
                <w:rFonts w:ascii="Arial Narrow" w:hAnsi="Arial Narrow"/>
                <w:sz w:val="20"/>
                <w:szCs w:val="20"/>
              </w:rPr>
            </w:pPr>
            <w:r w:rsidRPr="00F34CFC">
              <w:rPr>
                <w:rFonts w:ascii="Arial Narrow" w:hAnsi="Arial Narrow"/>
                <w:sz w:val="20"/>
                <w:szCs w:val="20"/>
              </w:rPr>
              <w:t>142 (94.7)</w:t>
            </w:r>
          </w:p>
        </w:tc>
        <w:tc>
          <w:tcPr>
            <w:tcW w:w="779" w:type="pct"/>
          </w:tcPr>
          <w:p w14:paraId="6A8598D5" w14:textId="77777777" w:rsidR="003A1C28" w:rsidRPr="00135B91" w:rsidRDefault="003A1C28" w:rsidP="00014A9C">
            <w:pPr>
              <w:keepNext/>
              <w:jc w:val="center"/>
              <w:rPr>
                <w:rFonts w:ascii="Arial Narrow" w:hAnsi="Arial Narrow"/>
                <w:sz w:val="20"/>
                <w:szCs w:val="20"/>
              </w:rPr>
            </w:pPr>
            <w:r w:rsidRPr="0007762D">
              <w:rPr>
                <w:rFonts w:ascii="Arial Narrow" w:hAnsi="Arial Narrow"/>
                <w:sz w:val="20"/>
                <w:szCs w:val="20"/>
              </w:rPr>
              <w:t>151 (99.3)</w:t>
            </w:r>
          </w:p>
        </w:tc>
        <w:tc>
          <w:tcPr>
            <w:tcW w:w="779" w:type="pct"/>
          </w:tcPr>
          <w:p w14:paraId="22451845" w14:textId="77777777" w:rsidR="003A1C28" w:rsidRPr="00135B91" w:rsidRDefault="003A1C28" w:rsidP="00014A9C">
            <w:pPr>
              <w:keepNext/>
              <w:jc w:val="center"/>
              <w:rPr>
                <w:rFonts w:ascii="Arial Narrow" w:hAnsi="Arial Narrow"/>
                <w:sz w:val="20"/>
                <w:szCs w:val="20"/>
              </w:rPr>
            </w:pPr>
            <w:r w:rsidRPr="0007762D">
              <w:rPr>
                <w:rFonts w:ascii="Arial Narrow" w:hAnsi="Arial Narrow"/>
                <w:sz w:val="20"/>
                <w:szCs w:val="20"/>
              </w:rPr>
              <w:t>148 (98.7)</w:t>
            </w:r>
          </w:p>
        </w:tc>
      </w:tr>
      <w:tr w:rsidR="003A1C28" w:rsidRPr="00191822" w14:paraId="60D8143D" w14:textId="77777777" w:rsidTr="00A361A7">
        <w:tc>
          <w:tcPr>
            <w:tcW w:w="1884" w:type="pct"/>
          </w:tcPr>
          <w:p w14:paraId="33050860" w14:textId="77777777" w:rsidR="003A1C28" w:rsidRPr="00135B91" w:rsidRDefault="003A1C28" w:rsidP="00014A9C">
            <w:pPr>
              <w:keepNext/>
              <w:jc w:val="left"/>
              <w:rPr>
                <w:rFonts w:ascii="Arial Narrow" w:hAnsi="Arial Narrow"/>
                <w:sz w:val="20"/>
                <w:szCs w:val="20"/>
              </w:rPr>
            </w:pPr>
            <w:r w:rsidRPr="00135B91">
              <w:rPr>
                <w:rFonts w:ascii="Arial Narrow" w:hAnsi="Arial Narrow"/>
                <w:sz w:val="20"/>
                <w:szCs w:val="20"/>
              </w:rPr>
              <w:t>Serious AE, n (%)</w:t>
            </w:r>
          </w:p>
        </w:tc>
        <w:tc>
          <w:tcPr>
            <w:tcW w:w="779" w:type="pct"/>
          </w:tcPr>
          <w:p w14:paraId="631F06E4" w14:textId="77777777" w:rsidR="003A1C28" w:rsidRPr="00135B91" w:rsidRDefault="003A1C28" w:rsidP="00014A9C">
            <w:pPr>
              <w:keepNext/>
              <w:jc w:val="center"/>
              <w:rPr>
                <w:rFonts w:ascii="Arial Narrow" w:hAnsi="Arial Narrow"/>
                <w:sz w:val="20"/>
                <w:szCs w:val="20"/>
              </w:rPr>
            </w:pPr>
            <w:r w:rsidRPr="00F34CFC">
              <w:rPr>
                <w:rFonts w:ascii="Arial Narrow" w:hAnsi="Arial Narrow"/>
                <w:sz w:val="20"/>
                <w:szCs w:val="20"/>
              </w:rPr>
              <w:t>57 (37.5)</w:t>
            </w:r>
          </w:p>
        </w:tc>
        <w:tc>
          <w:tcPr>
            <w:tcW w:w="779" w:type="pct"/>
          </w:tcPr>
          <w:p w14:paraId="385845A0" w14:textId="77777777" w:rsidR="003A1C28" w:rsidRPr="00135B91" w:rsidRDefault="003A1C28" w:rsidP="00014A9C">
            <w:pPr>
              <w:keepNext/>
              <w:jc w:val="center"/>
              <w:rPr>
                <w:rFonts w:ascii="Arial Narrow" w:hAnsi="Arial Narrow"/>
                <w:sz w:val="20"/>
                <w:szCs w:val="20"/>
              </w:rPr>
            </w:pPr>
            <w:r w:rsidRPr="00E82A62">
              <w:rPr>
                <w:rFonts w:ascii="Arial Narrow" w:hAnsi="Arial Narrow"/>
                <w:sz w:val="20"/>
                <w:szCs w:val="20"/>
              </w:rPr>
              <w:t>51 (34.0)</w:t>
            </w:r>
          </w:p>
        </w:tc>
        <w:tc>
          <w:tcPr>
            <w:tcW w:w="779" w:type="pct"/>
          </w:tcPr>
          <w:p w14:paraId="2D73DB13" w14:textId="77777777" w:rsidR="003A1C28" w:rsidRPr="00135B91" w:rsidRDefault="003A1C28" w:rsidP="00014A9C">
            <w:pPr>
              <w:keepNext/>
              <w:jc w:val="center"/>
              <w:rPr>
                <w:rFonts w:ascii="Arial Narrow" w:hAnsi="Arial Narrow"/>
                <w:sz w:val="20"/>
                <w:szCs w:val="20"/>
              </w:rPr>
            </w:pPr>
            <w:r w:rsidRPr="0007762D">
              <w:rPr>
                <w:rFonts w:ascii="Arial Narrow" w:hAnsi="Arial Narrow"/>
                <w:sz w:val="20"/>
                <w:szCs w:val="20"/>
              </w:rPr>
              <w:t>101 (66.4)</w:t>
            </w:r>
          </w:p>
        </w:tc>
        <w:tc>
          <w:tcPr>
            <w:tcW w:w="779" w:type="pct"/>
          </w:tcPr>
          <w:p w14:paraId="50A83A79" w14:textId="77777777" w:rsidR="003A1C28" w:rsidRPr="00135B91" w:rsidRDefault="003A1C28" w:rsidP="00014A9C">
            <w:pPr>
              <w:keepNext/>
              <w:jc w:val="center"/>
              <w:rPr>
                <w:rFonts w:ascii="Arial Narrow" w:hAnsi="Arial Narrow"/>
                <w:sz w:val="20"/>
                <w:szCs w:val="20"/>
              </w:rPr>
            </w:pPr>
            <w:r w:rsidRPr="0007762D">
              <w:rPr>
                <w:rFonts w:ascii="Arial Narrow" w:hAnsi="Arial Narrow"/>
                <w:sz w:val="20"/>
                <w:szCs w:val="20"/>
              </w:rPr>
              <w:t>80 (53.3)</w:t>
            </w:r>
          </w:p>
        </w:tc>
      </w:tr>
      <w:tr w:rsidR="003A1C28" w:rsidRPr="00191822" w14:paraId="4016AE73" w14:textId="77777777" w:rsidTr="00A361A7">
        <w:tc>
          <w:tcPr>
            <w:tcW w:w="1884" w:type="pct"/>
          </w:tcPr>
          <w:p w14:paraId="5C8D51A8" w14:textId="77777777" w:rsidR="003A1C28" w:rsidRPr="00135B91" w:rsidRDefault="003A1C28" w:rsidP="00014A9C">
            <w:pPr>
              <w:keepNext/>
              <w:jc w:val="left"/>
              <w:rPr>
                <w:rFonts w:ascii="Arial Narrow" w:hAnsi="Arial Narrow"/>
                <w:sz w:val="20"/>
                <w:szCs w:val="20"/>
              </w:rPr>
            </w:pPr>
            <w:r w:rsidRPr="00135B91">
              <w:rPr>
                <w:rFonts w:ascii="Arial Narrow" w:hAnsi="Arial Narrow"/>
                <w:sz w:val="20"/>
                <w:szCs w:val="20"/>
              </w:rPr>
              <w:t xml:space="preserve">Fatal </w:t>
            </w:r>
            <w:r>
              <w:rPr>
                <w:rFonts w:ascii="Arial Narrow" w:hAnsi="Arial Narrow"/>
                <w:sz w:val="20"/>
                <w:szCs w:val="20"/>
              </w:rPr>
              <w:t xml:space="preserve">serious </w:t>
            </w:r>
            <w:r w:rsidRPr="00135B91">
              <w:rPr>
                <w:rFonts w:ascii="Arial Narrow" w:hAnsi="Arial Narrow"/>
                <w:sz w:val="20"/>
                <w:szCs w:val="20"/>
              </w:rPr>
              <w:t>AE, n (%)</w:t>
            </w:r>
          </w:p>
        </w:tc>
        <w:tc>
          <w:tcPr>
            <w:tcW w:w="779" w:type="pct"/>
          </w:tcPr>
          <w:p w14:paraId="348290A5" w14:textId="77777777" w:rsidR="003A1C28" w:rsidRPr="00135B91" w:rsidRDefault="003A1C28" w:rsidP="00014A9C">
            <w:pPr>
              <w:keepNext/>
              <w:jc w:val="center"/>
              <w:rPr>
                <w:rFonts w:ascii="Arial Narrow" w:hAnsi="Arial Narrow"/>
                <w:sz w:val="20"/>
                <w:szCs w:val="20"/>
              </w:rPr>
            </w:pPr>
            <w:r w:rsidRPr="00F34CFC">
              <w:rPr>
                <w:rFonts w:ascii="Arial Narrow" w:hAnsi="Arial Narrow"/>
                <w:sz w:val="20"/>
                <w:szCs w:val="20"/>
              </w:rPr>
              <w:t>12 (7.9)</w:t>
            </w:r>
          </w:p>
        </w:tc>
        <w:tc>
          <w:tcPr>
            <w:tcW w:w="779" w:type="pct"/>
          </w:tcPr>
          <w:p w14:paraId="0FF3D207" w14:textId="77777777" w:rsidR="003A1C28" w:rsidRPr="00135B91" w:rsidRDefault="003A1C28" w:rsidP="00014A9C">
            <w:pPr>
              <w:keepNext/>
              <w:jc w:val="center"/>
              <w:rPr>
                <w:rFonts w:ascii="Arial Narrow" w:hAnsi="Arial Narrow"/>
                <w:sz w:val="20"/>
                <w:szCs w:val="20"/>
              </w:rPr>
            </w:pPr>
            <w:r w:rsidRPr="00E82A62">
              <w:rPr>
                <w:rFonts w:ascii="Arial Narrow" w:hAnsi="Arial Narrow"/>
                <w:sz w:val="20"/>
                <w:szCs w:val="20"/>
              </w:rPr>
              <w:t>18 (12.0)</w:t>
            </w:r>
          </w:p>
        </w:tc>
        <w:tc>
          <w:tcPr>
            <w:tcW w:w="779" w:type="pct"/>
          </w:tcPr>
          <w:p w14:paraId="17CCFFFB" w14:textId="77777777" w:rsidR="003A1C28" w:rsidRPr="00135B91" w:rsidRDefault="003A1C28" w:rsidP="00014A9C">
            <w:pPr>
              <w:keepNext/>
              <w:jc w:val="center"/>
              <w:rPr>
                <w:rFonts w:ascii="Arial Narrow" w:hAnsi="Arial Narrow"/>
                <w:sz w:val="20"/>
                <w:szCs w:val="20"/>
              </w:rPr>
            </w:pPr>
            <w:r w:rsidRPr="0007762D">
              <w:rPr>
                <w:rFonts w:ascii="Arial Narrow" w:hAnsi="Arial Narrow"/>
                <w:sz w:val="20"/>
                <w:szCs w:val="20"/>
              </w:rPr>
              <w:t>33 (21.7)</w:t>
            </w:r>
          </w:p>
        </w:tc>
        <w:tc>
          <w:tcPr>
            <w:tcW w:w="779" w:type="pct"/>
          </w:tcPr>
          <w:p w14:paraId="2E8504D2" w14:textId="77777777" w:rsidR="003A1C28" w:rsidRPr="00135B91" w:rsidRDefault="003A1C28" w:rsidP="00014A9C">
            <w:pPr>
              <w:keepNext/>
              <w:jc w:val="center"/>
              <w:rPr>
                <w:rFonts w:ascii="Arial Narrow" w:hAnsi="Arial Narrow"/>
                <w:sz w:val="20"/>
                <w:szCs w:val="20"/>
              </w:rPr>
            </w:pPr>
            <w:r w:rsidRPr="0007762D">
              <w:rPr>
                <w:rFonts w:ascii="Arial Narrow" w:hAnsi="Arial Narrow"/>
                <w:sz w:val="20"/>
                <w:szCs w:val="20"/>
              </w:rPr>
              <w:t>32 (21.3)</w:t>
            </w:r>
          </w:p>
        </w:tc>
      </w:tr>
      <w:tr w:rsidR="003A1C28" w:rsidRPr="00191822" w14:paraId="3C8F00A9" w14:textId="77777777" w:rsidTr="00A361A7">
        <w:tc>
          <w:tcPr>
            <w:tcW w:w="1884" w:type="pct"/>
          </w:tcPr>
          <w:p w14:paraId="412F5A87" w14:textId="77777777" w:rsidR="003A1C28" w:rsidRPr="00135B91" w:rsidRDefault="003A1C28" w:rsidP="00014A9C">
            <w:pPr>
              <w:keepNext/>
              <w:jc w:val="left"/>
              <w:rPr>
                <w:rFonts w:ascii="Arial Narrow" w:hAnsi="Arial Narrow"/>
                <w:sz w:val="20"/>
                <w:szCs w:val="20"/>
              </w:rPr>
            </w:pPr>
            <w:r w:rsidRPr="00135B91">
              <w:rPr>
                <w:rFonts w:ascii="Arial Narrow" w:hAnsi="Arial Narrow"/>
                <w:sz w:val="20"/>
                <w:szCs w:val="20"/>
              </w:rPr>
              <w:t>Discontinuation due to AE, n (%)</w:t>
            </w:r>
          </w:p>
        </w:tc>
        <w:tc>
          <w:tcPr>
            <w:tcW w:w="779" w:type="pct"/>
          </w:tcPr>
          <w:p w14:paraId="50B0C455" w14:textId="77777777" w:rsidR="003A1C28" w:rsidRPr="00135B91" w:rsidRDefault="003A1C28" w:rsidP="00014A9C">
            <w:pPr>
              <w:keepNext/>
              <w:jc w:val="center"/>
              <w:rPr>
                <w:rFonts w:ascii="Arial Narrow" w:hAnsi="Arial Narrow"/>
                <w:sz w:val="20"/>
                <w:szCs w:val="20"/>
              </w:rPr>
            </w:pPr>
            <w:r w:rsidRPr="00F34CFC">
              <w:rPr>
                <w:rFonts w:ascii="Arial Narrow" w:hAnsi="Arial Narrow"/>
                <w:sz w:val="20"/>
                <w:szCs w:val="20"/>
              </w:rPr>
              <w:t>17 (11.2)</w:t>
            </w:r>
          </w:p>
        </w:tc>
        <w:tc>
          <w:tcPr>
            <w:tcW w:w="779" w:type="pct"/>
          </w:tcPr>
          <w:p w14:paraId="2868E22C" w14:textId="77777777" w:rsidR="003A1C28" w:rsidRPr="00135B91" w:rsidRDefault="003A1C28" w:rsidP="00014A9C">
            <w:pPr>
              <w:keepNext/>
              <w:jc w:val="center"/>
              <w:rPr>
                <w:rFonts w:ascii="Arial Narrow" w:hAnsi="Arial Narrow"/>
                <w:sz w:val="20"/>
                <w:szCs w:val="20"/>
              </w:rPr>
            </w:pPr>
            <w:r w:rsidRPr="00E82A62">
              <w:rPr>
                <w:rFonts w:ascii="Arial Narrow" w:hAnsi="Arial Narrow"/>
                <w:sz w:val="20"/>
                <w:szCs w:val="20"/>
              </w:rPr>
              <w:t>6 (4.0)</w:t>
            </w:r>
          </w:p>
        </w:tc>
        <w:tc>
          <w:tcPr>
            <w:tcW w:w="779" w:type="pct"/>
          </w:tcPr>
          <w:p w14:paraId="5AB97E09" w14:textId="77777777" w:rsidR="003A1C28" w:rsidRPr="00135B91" w:rsidRDefault="003A1C28" w:rsidP="00014A9C">
            <w:pPr>
              <w:keepNext/>
              <w:jc w:val="center"/>
              <w:rPr>
                <w:rFonts w:ascii="Arial Narrow" w:hAnsi="Arial Narrow"/>
                <w:sz w:val="20"/>
                <w:szCs w:val="20"/>
              </w:rPr>
            </w:pPr>
            <w:r w:rsidRPr="0007762D">
              <w:rPr>
                <w:rFonts w:ascii="Arial Narrow" w:hAnsi="Arial Narrow"/>
                <w:sz w:val="20"/>
                <w:szCs w:val="20"/>
              </w:rPr>
              <w:t>41 (27.0)</w:t>
            </w:r>
          </w:p>
        </w:tc>
        <w:tc>
          <w:tcPr>
            <w:tcW w:w="779" w:type="pct"/>
          </w:tcPr>
          <w:p w14:paraId="1925071F" w14:textId="77777777" w:rsidR="003A1C28" w:rsidRPr="00135B91" w:rsidRDefault="003A1C28" w:rsidP="00014A9C">
            <w:pPr>
              <w:keepNext/>
              <w:jc w:val="center"/>
              <w:rPr>
                <w:rFonts w:ascii="Arial Narrow" w:hAnsi="Arial Narrow"/>
                <w:sz w:val="20"/>
                <w:szCs w:val="20"/>
              </w:rPr>
            </w:pPr>
            <w:r w:rsidRPr="0007762D">
              <w:rPr>
                <w:rFonts w:ascii="Arial Narrow" w:hAnsi="Arial Narrow"/>
                <w:sz w:val="20"/>
                <w:szCs w:val="20"/>
              </w:rPr>
              <w:t>14 (9.3)</w:t>
            </w:r>
          </w:p>
        </w:tc>
      </w:tr>
      <w:tr w:rsidR="003A1C28" w:rsidRPr="00191822" w14:paraId="6597339C" w14:textId="77777777" w:rsidTr="00A361A7">
        <w:trPr>
          <w:trHeight w:val="136"/>
        </w:trPr>
        <w:tc>
          <w:tcPr>
            <w:tcW w:w="1884" w:type="pct"/>
          </w:tcPr>
          <w:p w14:paraId="55192969" w14:textId="77777777" w:rsidR="003A1C28" w:rsidRPr="00135B91" w:rsidRDefault="003A1C28" w:rsidP="00014A9C">
            <w:pPr>
              <w:keepNext/>
              <w:jc w:val="left"/>
              <w:rPr>
                <w:rFonts w:ascii="Arial Narrow" w:hAnsi="Arial Narrow"/>
                <w:sz w:val="20"/>
                <w:szCs w:val="20"/>
              </w:rPr>
            </w:pPr>
            <w:r w:rsidRPr="00135B91">
              <w:rPr>
                <w:rFonts w:ascii="Arial Narrow" w:hAnsi="Arial Narrow"/>
                <w:sz w:val="20"/>
                <w:szCs w:val="20"/>
              </w:rPr>
              <w:t>Treatment-related AE, n (%)</w:t>
            </w:r>
          </w:p>
          <w:p w14:paraId="41568F11" w14:textId="77777777" w:rsidR="003A1C28" w:rsidRPr="00135B91" w:rsidRDefault="003A1C28" w:rsidP="00014A9C">
            <w:pPr>
              <w:pStyle w:val="ListParagraph"/>
              <w:keepNext/>
              <w:numPr>
                <w:ilvl w:val="0"/>
                <w:numId w:val="5"/>
              </w:numPr>
              <w:ind w:left="219" w:hanging="142"/>
              <w:jc w:val="left"/>
              <w:rPr>
                <w:rFonts w:ascii="Arial Narrow" w:hAnsi="Arial Narrow"/>
                <w:sz w:val="20"/>
                <w:szCs w:val="20"/>
              </w:rPr>
            </w:pPr>
            <w:r w:rsidRPr="00135B91">
              <w:rPr>
                <w:rFonts w:ascii="Arial Narrow" w:hAnsi="Arial Narrow"/>
                <w:sz w:val="20"/>
                <w:szCs w:val="20"/>
              </w:rPr>
              <w:t>Treatment-emergent</w:t>
            </w:r>
            <w:r>
              <w:rPr>
                <w:rFonts w:ascii="Arial Narrow" w:hAnsi="Arial Narrow"/>
                <w:sz w:val="20"/>
                <w:szCs w:val="20"/>
              </w:rPr>
              <w:t xml:space="preserve"> AE</w:t>
            </w:r>
          </w:p>
          <w:p w14:paraId="30BB4490" w14:textId="77777777" w:rsidR="003A1C28" w:rsidRDefault="003A1C28" w:rsidP="00014A9C">
            <w:pPr>
              <w:pStyle w:val="ListParagraph"/>
              <w:keepNext/>
              <w:numPr>
                <w:ilvl w:val="0"/>
                <w:numId w:val="5"/>
              </w:numPr>
              <w:ind w:left="219" w:hanging="142"/>
              <w:jc w:val="left"/>
              <w:rPr>
                <w:rFonts w:ascii="Arial Narrow" w:hAnsi="Arial Narrow"/>
                <w:sz w:val="20"/>
                <w:szCs w:val="20"/>
              </w:rPr>
            </w:pPr>
            <w:r w:rsidRPr="00135B91">
              <w:rPr>
                <w:rFonts w:ascii="Arial Narrow" w:hAnsi="Arial Narrow"/>
                <w:sz w:val="20"/>
                <w:szCs w:val="20"/>
              </w:rPr>
              <w:t>Serious</w:t>
            </w:r>
            <w:r>
              <w:rPr>
                <w:rFonts w:ascii="Arial Narrow" w:hAnsi="Arial Narrow"/>
                <w:sz w:val="20"/>
                <w:szCs w:val="20"/>
              </w:rPr>
              <w:t xml:space="preserve"> AE</w:t>
            </w:r>
          </w:p>
          <w:p w14:paraId="1B42036F" w14:textId="77777777" w:rsidR="003A1C28" w:rsidRPr="00135B91" w:rsidRDefault="003A1C28" w:rsidP="00014A9C">
            <w:pPr>
              <w:pStyle w:val="ListParagraph"/>
              <w:keepNext/>
              <w:numPr>
                <w:ilvl w:val="0"/>
                <w:numId w:val="5"/>
              </w:numPr>
              <w:ind w:left="219" w:hanging="142"/>
              <w:jc w:val="left"/>
              <w:rPr>
                <w:rFonts w:ascii="Arial Narrow" w:hAnsi="Arial Narrow"/>
                <w:sz w:val="20"/>
                <w:szCs w:val="20"/>
              </w:rPr>
            </w:pPr>
            <w:r>
              <w:rPr>
                <w:rFonts w:ascii="Arial Narrow" w:hAnsi="Arial Narrow"/>
                <w:sz w:val="20"/>
                <w:szCs w:val="20"/>
              </w:rPr>
              <w:t>Fatal serious AE</w:t>
            </w:r>
          </w:p>
          <w:p w14:paraId="4E8A78DD" w14:textId="77777777" w:rsidR="003A1C28" w:rsidRPr="00135B91" w:rsidRDefault="003A1C28" w:rsidP="00014A9C">
            <w:pPr>
              <w:pStyle w:val="ListParagraph"/>
              <w:keepNext/>
              <w:numPr>
                <w:ilvl w:val="0"/>
                <w:numId w:val="5"/>
              </w:numPr>
              <w:ind w:left="219" w:hanging="142"/>
              <w:jc w:val="left"/>
              <w:rPr>
                <w:rFonts w:ascii="Arial Narrow" w:hAnsi="Arial Narrow"/>
                <w:sz w:val="20"/>
                <w:szCs w:val="20"/>
              </w:rPr>
            </w:pPr>
            <w:r w:rsidRPr="00135B91">
              <w:rPr>
                <w:rFonts w:ascii="Arial Narrow" w:hAnsi="Arial Narrow"/>
                <w:sz w:val="20"/>
                <w:szCs w:val="20"/>
              </w:rPr>
              <w:t>Discontinuation</w:t>
            </w:r>
            <w:r>
              <w:rPr>
                <w:rFonts w:ascii="Arial Narrow" w:hAnsi="Arial Narrow"/>
                <w:sz w:val="20"/>
                <w:szCs w:val="20"/>
              </w:rPr>
              <w:t xml:space="preserve"> due to AE</w:t>
            </w:r>
          </w:p>
        </w:tc>
        <w:tc>
          <w:tcPr>
            <w:tcW w:w="779" w:type="pct"/>
          </w:tcPr>
          <w:p w14:paraId="314B9153" w14:textId="77777777" w:rsidR="003A1C28" w:rsidRPr="00F34CFC" w:rsidRDefault="003A1C28" w:rsidP="00014A9C">
            <w:pPr>
              <w:keepNext/>
              <w:jc w:val="center"/>
              <w:rPr>
                <w:rFonts w:ascii="Arial Narrow" w:hAnsi="Arial Narrow"/>
                <w:sz w:val="20"/>
                <w:szCs w:val="20"/>
              </w:rPr>
            </w:pPr>
          </w:p>
          <w:p w14:paraId="3B12EB3A" w14:textId="77777777" w:rsidR="003A1C28" w:rsidRPr="004217E7" w:rsidRDefault="003A1C28" w:rsidP="00014A9C">
            <w:pPr>
              <w:keepNext/>
              <w:jc w:val="center"/>
              <w:rPr>
                <w:rFonts w:ascii="Arial Narrow" w:hAnsi="Arial Narrow"/>
                <w:sz w:val="20"/>
                <w:szCs w:val="20"/>
              </w:rPr>
            </w:pPr>
            <w:r w:rsidRPr="004217E7">
              <w:rPr>
                <w:rFonts w:ascii="Arial Narrow" w:hAnsi="Arial Narrow"/>
                <w:sz w:val="20"/>
                <w:szCs w:val="20"/>
              </w:rPr>
              <w:t>79 (52.0)</w:t>
            </w:r>
          </w:p>
          <w:p w14:paraId="5FD6F43F" w14:textId="77777777" w:rsidR="003A1C28" w:rsidRPr="004217E7" w:rsidRDefault="003A1C28" w:rsidP="00014A9C">
            <w:pPr>
              <w:keepNext/>
              <w:jc w:val="center"/>
              <w:rPr>
                <w:rFonts w:ascii="Arial Narrow" w:hAnsi="Arial Narrow"/>
                <w:sz w:val="20"/>
                <w:szCs w:val="20"/>
              </w:rPr>
            </w:pPr>
            <w:r w:rsidRPr="004217E7">
              <w:rPr>
                <w:rFonts w:ascii="Arial Narrow" w:hAnsi="Arial Narrow"/>
                <w:sz w:val="20"/>
                <w:szCs w:val="20"/>
              </w:rPr>
              <w:t>17 (11.2)</w:t>
            </w:r>
          </w:p>
          <w:p w14:paraId="54650F78" w14:textId="77777777" w:rsidR="003A1C28" w:rsidRDefault="003A1C28" w:rsidP="00014A9C">
            <w:pPr>
              <w:keepNext/>
              <w:jc w:val="center"/>
              <w:rPr>
                <w:rFonts w:ascii="Arial Narrow" w:hAnsi="Arial Narrow"/>
                <w:sz w:val="20"/>
                <w:szCs w:val="20"/>
              </w:rPr>
            </w:pPr>
            <w:r w:rsidRPr="000412B9">
              <w:rPr>
                <w:rFonts w:ascii="Arial Narrow" w:hAnsi="Arial Narrow"/>
                <w:sz w:val="20"/>
                <w:szCs w:val="20"/>
              </w:rPr>
              <w:t>2 (1.3)</w:t>
            </w:r>
          </w:p>
          <w:p w14:paraId="440F4EBA" w14:textId="77777777" w:rsidR="003A1C28" w:rsidRPr="00135B91" w:rsidRDefault="003A1C28" w:rsidP="00014A9C">
            <w:pPr>
              <w:keepNext/>
              <w:jc w:val="center"/>
              <w:rPr>
                <w:rFonts w:ascii="Arial Narrow" w:hAnsi="Arial Narrow"/>
                <w:sz w:val="20"/>
                <w:szCs w:val="20"/>
              </w:rPr>
            </w:pPr>
            <w:r w:rsidRPr="004217E7">
              <w:rPr>
                <w:rFonts w:ascii="Arial Narrow" w:hAnsi="Arial Narrow"/>
                <w:sz w:val="20"/>
                <w:szCs w:val="20"/>
              </w:rPr>
              <w:t>10 (6.6)</w:t>
            </w:r>
          </w:p>
        </w:tc>
        <w:tc>
          <w:tcPr>
            <w:tcW w:w="779" w:type="pct"/>
          </w:tcPr>
          <w:p w14:paraId="1A4C1123" w14:textId="77777777" w:rsidR="003A1C28" w:rsidRDefault="003A1C28" w:rsidP="00014A9C">
            <w:pPr>
              <w:keepNext/>
              <w:jc w:val="center"/>
              <w:rPr>
                <w:rFonts w:ascii="Arial Narrow" w:hAnsi="Arial Narrow"/>
                <w:sz w:val="20"/>
                <w:szCs w:val="20"/>
              </w:rPr>
            </w:pPr>
          </w:p>
          <w:p w14:paraId="733A1DD7" w14:textId="77777777" w:rsidR="003A1C28" w:rsidRPr="001156B5" w:rsidRDefault="003A1C28" w:rsidP="00014A9C">
            <w:pPr>
              <w:keepNext/>
              <w:jc w:val="center"/>
              <w:rPr>
                <w:rFonts w:ascii="Arial Narrow" w:hAnsi="Arial Narrow"/>
                <w:sz w:val="20"/>
                <w:szCs w:val="20"/>
              </w:rPr>
            </w:pPr>
            <w:r w:rsidRPr="001156B5">
              <w:rPr>
                <w:rFonts w:ascii="Arial Narrow" w:hAnsi="Arial Narrow"/>
                <w:sz w:val="20"/>
                <w:szCs w:val="20"/>
              </w:rPr>
              <w:t>43 (28.7)</w:t>
            </w:r>
          </w:p>
          <w:p w14:paraId="1797AECE" w14:textId="77777777" w:rsidR="003A1C28" w:rsidRPr="001156B5" w:rsidRDefault="003A1C28" w:rsidP="00014A9C">
            <w:pPr>
              <w:keepNext/>
              <w:jc w:val="center"/>
              <w:rPr>
                <w:rFonts w:ascii="Arial Narrow" w:hAnsi="Arial Narrow"/>
                <w:sz w:val="20"/>
                <w:szCs w:val="20"/>
              </w:rPr>
            </w:pPr>
            <w:r w:rsidRPr="001156B5">
              <w:rPr>
                <w:rFonts w:ascii="Arial Narrow" w:hAnsi="Arial Narrow"/>
                <w:sz w:val="20"/>
                <w:szCs w:val="20"/>
              </w:rPr>
              <w:t>12 (8.0)</w:t>
            </w:r>
          </w:p>
          <w:p w14:paraId="3119C551" w14:textId="77777777" w:rsidR="003A1C28" w:rsidRPr="001156B5" w:rsidRDefault="003A1C28" w:rsidP="00014A9C">
            <w:pPr>
              <w:keepNext/>
              <w:jc w:val="center"/>
              <w:rPr>
                <w:rFonts w:ascii="Arial Narrow" w:hAnsi="Arial Narrow"/>
                <w:sz w:val="20"/>
                <w:szCs w:val="20"/>
              </w:rPr>
            </w:pPr>
            <w:r w:rsidRPr="001156B5">
              <w:rPr>
                <w:rFonts w:ascii="Arial Narrow" w:hAnsi="Arial Narrow"/>
                <w:sz w:val="20"/>
                <w:szCs w:val="20"/>
              </w:rPr>
              <w:t>3 (2.0)</w:t>
            </w:r>
          </w:p>
          <w:p w14:paraId="44B37BE8" w14:textId="77777777" w:rsidR="003A1C28" w:rsidRPr="00135B91" w:rsidRDefault="003A1C28" w:rsidP="00014A9C">
            <w:pPr>
              <w:keepNext/>
              <w:jc w:val="center"/>
              <w:rPr>
                <w:rFonts w:ascii="Arial Narrow" w:hAnsi="Arial Narrow"/>
                <w:sz w:val="20"/>
                <w:szCs w:val="20"/>
              </w:rPr>
            </w:pPr>
            <w:r w:rsidRPr="001156B5">
              <w:rPr>
                <w:rFonts w:ascii="Arial Narrow" w:hAnsi="Arial Narrow"/>
                <w:sz w:val="20"/>
                <w:szCs w:val="20"/>
              </w:rPr>
              <w:t>2 (1.3)</w:t>
            </w:r>
          </w:p>
        </w:tc>
        <w:tc>
          <w:tcPr>
            <w:tcW w:w="779" w:type="pct"/>
          </w:tcPr>
          <w:p w14:paraId="34A55810" w14:textId="77777777" w:rsidR="003A1C28" w:rsidRDefault="003A1C28" w:rsidP="00014A9C">
            <w:pPr>
              <w:keepNext/>
              <w:jc w:val="center"/>
              <w:rPr>
                <w:rFonts w:ascii="Arial Narrow" w:hAnsi="Arial Narrow"/>
                <w:sz w:val="20"/>
                <w:szCs w:val="20"/>
              </w:rPr>
            </w:pPr>
          </w:p>
          <w:p w14:paraId="46301D0D" w14:textId="77777777" w:rsidR="003A1C28" w:rsidRPr="009B0B26" w:rsidRDefault="003A1C28" w:rsidP="00014A9C">
            <w:pPr>
              <w:keepNext/>
              <w:jc w:val="center"/>
              <w:rPr>
                <w:rFonts w:ascii="Arial Narrow" w:hAnsi="Arial Narrow"/>
                <w:sz w:val="20"/>
                <w:szCs w:val="20"/>
              </w:rPr>
            </w:pPr>
            <w:r w:rsidRPr="009B0B26">
              <w:rPr>
                <w:rFonts w:ascii="Arial Narrow" w:hAnsi="Arial Narrow"/>
                <w:sz w:val="20"/>
                <w:szCs w:val="20"/>
              </w:rPr>
              <w:t>101 (66.4)</w:t>
            </w:r>
          </w:p>
          <w:p w14:paraId="3ED76140" w14:textId="77777777" w:rsidR="003A1C28" w:rsidRPr="009B0B26" w:rsidRDefault="003A1C28" w:rsidP="00014A9C">
            <w:pPr>
              <w:keepNext/>
              <w:jc w:val="center"/>
              <w:rPr>
                <w:rFonts w:ascii="Arial Narrow" w:hAnsi="Arial Narrow"/>
                <w:sz w:val="20"/>
                <w:szCs w:val="20"/>
              </w:rPr>
            </w:pPr>
            <w:r w:rsidRPr="009B0B26">
              <w:rPr>
                <w:rFonts w:ascii="Arial Narrow" w:hAnsi="Arial Narrow"/>
                <w:sz w:val="20"/>
                <w:szCs w:val="20"/>
              </w:rPr>
              <w:t>41 (27.0)</w:t>
            </w:r>
          </w:p>
          <w:p w14:paraId="67BAB2CF" w14:textId="77777777" w:rsidR="003A1C28" w:rsidRPr="009B0B26" w:rsidRDefault="003A1C28" w:rsidP="00014A9C">
            <w:pPr>
              <w:keepNext/>
              <w:jc w:val="center"/>
              <w:rPr>
                <w:rFonts w:ascii="Arial Narrow" w:hAnsi="Arial Narrow"/>
                <w:sz w:val="20"/>
                <w:szCs w:val="20"/>
              </w:rPr>
            </w:pPr>
            <w:r w:rsidRPr="009B0B26">
              <w:rPr>
                <w:rFonts w:ascii="Arial Narrow" w:hAnsi="Arial Narrow"/>
                <w:sz w:val="20"/>
                <w:szCs w:val="20"/>
              </w:rPr>
              <w:t>10 (6.6)</w:t>
            </w:r>
          </w:p>
          <w:p w14:paraId="006A91E2" w14:textId="77777777" w:rsidR="003A1C28" w:rsidRPr="00135B91" w:rsidRDefault="003A1C28" w:rsidP="00014A9C">
            <w:pPr>
              <w:keepNext/>
              <w:jc w:val="center"/>
              <w:rPr>
                <w:rFonts w:ascii="Arial Narrow" w:hAnsi="Arial Narrow"/>
                <w:sz w:val="20"/>
                <w:szCs w:val="20"/>
              </w:rPr>
            </w:pPr>
            <w:r w:rsidRPr="009B0B26">
              <w:rPr>
                <w:rFonts w:ascii="Arial Narrow" w:hAnsi="Arial Narrow"/>
                <w:sz w:val="20"/>
                <w:szCs w:val="20"/>
              </w:rPr>
              <w:t>25 (16.4)</w:t>
            </w:r>
          </w:p>
        </w:tc>
        <w:tc>
          <w:tcPr>
            <w:tcW w:w="779" w:type="pct"/>
          </w:tcPr>
          <w:p w14:paraId="136B470C" w14:textId="77777777" w:rsidR="003A1C28" w:rsidRDefault="003A1C28" w:rsidP="00014A9C">
            <w:pPr>
              <w:keepNext/>
              <w:jc w:val="center"/>
              <w:rPr>
                <w:rFonts w:ascii="Arial Narrow" w:hAnsi="Arial Narrow"/>
                <w:sz w:val="20"/>
                <w:szCs w:val="20"/>
              </w:rPr>
            </w:pPr>
          </w:p>
          <w:p w14:paraId="159156D4" w14:textId="77777777" w:rsidR="003A1C28" w:rsidRPr="000412B9" w:rsidRDefault="003A1C28" w:rsidP="00014A9C">
            <w:pPr>
              <w:keepNext/>
              <w:jc w:val="center"/>
              <w:rPr>
                <w:rFonts w:ascii="Arial Narrow" w:hAnsi="Arial Narrow"/>
                <w:sz w:val="20"/>
                <w:szCs w:val="20"/>
              </w:rPr>
            </w:pPr>
            <w:r w:rsidRPr="000412B9">
              <w:rPr>
                <w:rFonts w:ascii="Arial Narrow" w:hAnsi="Arial Narrow"/>
                <w:sz w:val="20"/>
                <w:szCs w:val="20"/>
              </w:rPr>
              <w:t>55 (36.7)</w:t>
            </w:r>
          </w:p>
          <w:p w14:paraId="03BCBC3A" w14:textId="77777777" w:rsidR="003A1C28" w:rsidRPr="000412B9" w:rsidRDefault="003A1C28" w:rsidP="00014A9C">
            <w:pPr>
              <w:keepNext/>
              <w:jc w:val="center"/>
              <w:rPr>
                <w:rFonts w:ascii="Arial Narrow" w:hAnsi="Arial Narrow"/>
                <w:sz w:val="20"/>
                <w:szCs w:val="20"/>
              </w:rPr>
            </w:pPr>
            <w:r w:rsidRPr="000412B9">
              <w:rPr>
                <w:rFonts w:ascii="Arial Narrow" w:hAnsi="Arial Narrow"/>
                <w:sz w:val="20"/>
                <w:szCs w:val="20"/>
              </w:rPr>
              <w:t>18 (12.0)</w:t>
            </w:r>
          </w:p>
          <w:p w14:paraId="7A8DB78C" w14:textId="77777777" w:rsidR="003A1C28" w:rsidRPr="000412B9" w:rsidRDefault="003A1C28" w:rsidP="00014A9C">
            <w:pPr>
              <w:keepNext/>
              <w:jc w:val="center"/>
              <w:rPr>
                <w:rFonts w:ascii="Arial Narrow" w:hAnsi="Arial Narrow"/>
                <w:sz w:val="20"/>
                <w:szCs w:val="20"/>
              </w:rPr>
            </w:pPr>
            <w:r w:rsidRPr="000412B9">
              <w:rPr>
                <w:rFonts w:ascii="Arial Narrow" w:hAnsi="Arial Narrow"/>
                <w:sz w:val="20"/>
                <w:szCs w:val="20"/>
              </w:rPr>
              <w:t>4 (2.7)</w:t>
            </w:r>
          </w:p>
          <w:p w14:paraId="29C78071" w14:textId="77777777" w:rsidR="003A1C28" w:rsidRPr="00135B91" w:rsidRDefault="003A1C28" w:rsidP="00014A9C">
            <w:pPr>
              <w:keepNext/>
              <w:jc w:val="center"/>
              <w:rPr>
                <w:rFonts w:ascii="Arial Narrow" w:hAnsi="Arial Narrow"/>
                <w:sz w:val="20"/>
                <w:szCs w:val="20"/>
              </w:rPr>
            </w:pPr>
            <w:r w:rsidRPr="000412B9">
              <w:rPr>
                <w:rFonts w:ascii="Arial Narrow" w:hAnsi="Arial Narrow"/>
                <w:sz w:val="20"/>
                <w:szCs w:val="20"/>
              </w:rPr>
              <w:t>5 (3.3)</w:t>
            </w:r>
          </w:p>
        </w:tc>
      </w:tr>
      <w:tr w:rsidR="003A1C28" w:rsidRPr="00F734F3" w14:paraId="3489848C" w14:textId="77777777" w:rsidTr="00A361A7">
        <w:tc>
          <w:tcPr>
            <w:tcW w:w="5000" w:type="pct"/>
            <w:gridSpan w:val="5"/>
          </w:tcPr>
          <w:p w14:paraId="4E4B29A5" w14:textId="77777777" w:rsidR="003A1C28" w:rsidRPr="00F734F3" w:rsidRDefault="003A1C28" w:rsidP="00014A9C">
            <w:pPr>
              <w:keepNext/>
              <w:jc w:val="left"/>
              <w:rPr>
                <w:rFonts w:ascii="Arial Narrow" w:hAnsi="Arial Narrow"/>
                <w:b/>
                <w:bCs/>
                <w:sz w:val="20"/>
                <w:szCs w:val="20"/>
              </w:rPr>
            </w:pPr>
            <w:r>
              <w:rPr>
                <w:rFonts w:ascii="Arial Narrow" w:hAnsi="Arial Narrow"/>
                <w:b/>
                <w:bCs/>
                <w:sz w:val="20"/>
                <w:szCs w:val="20"/>
              </w:rPr>
              <w:t>Grade ≥3 AEs</w:t>
            </w:r>
          </w:p>
        </w:tc>
      </w:tr>
      <w:tr w:rsidR="003A1C28" w:rsidRPr="00191822" w14:paraId="1B042C07" w14:textId="77777777" w:rsidTr="00A361A7">
        <w:tc>
          <w:tcPr>
            <w:tcW w:w="1884" w:type="pct"/>
          </w:tcPr>
          <w:p w14:paraId="1AAEAE07" w14:textId="77777777" w:rsidR="003A1C28" w:rsidRPr="008879C0" w:rsidRDefault="003A1C28" w:rsidP="00014A9C">
            <w:pPr>
              <w:keepNext/>
              <w:jc w:val="left"/>
              <w:rPr>
                <w:rFonts w:ascii="Arial Narrow" w:hAnsi="Arial Narrow"/>
                <w:sz w:val="20"/>
                <w:szCs w:val="20"/>
              </w:rPr>
            </w:pPr>
            <w:r w:rsidRPr="008879C0">
              <w:rPr>
                <w:rFonts w:ascii="Arial Narrow" w:hAnsi="Arial Narrow"/>
                <w:sz w:val="20"/>
                <w:szCs w:val="20"/>
              </w:rPr>
              <w:t>Any AE, n (%)</w:t>
            </w:r>
          </w:p>
        </w:tc>
        <w:tc>
          <w:tcPr>
            <w:tcW w:w="779" w:type="pct"/>
          </w:tcPr>
          <w:p w14:paraId="3A56FABD" w14:textId="77777777" w:rsidR="003A1C28" w:rsidRPr="008879C0" w:rsidRDefault="003A1C28" w:rsidP="00014A9C">
            <w:pPr>
              <w:keepNext/>
              <w:jc w:val="center"/>
              <w:rPr>
                <w:rFonts w:ascii="Arial Narrow" w:hAnsi="Arial Narrow"/>
                <w:sz w:val="20"/>
                <w:szCs w:val="20"/>
              </w:rPr>
            </w:pPr>
            <w:r w:rsidRPr="00F34CFC">
              <w:rPr>
                <w:rFonts w:ascii="Arial Narrow" w:hAnsi="Arial Narrow"/>
                <w:sz w:val="20"/>
                <w:szCs w:val="20"/>
              </w:rPr>
              <w:t>119 (78.3)</w:t>
            </w:r>
          </w:p>
        </w:tc>
        <w:tc>
          <w:tcPr>
            <w:tcW w:w="779" w:type="pct"/>
          </w:tcPr>
          <w:p w14:paraId="35DE0757" w14:textId="77777777" w:rsidR="003A1C28" w:rsidRPr="008879C0" w:rsidRDefault="003A1C28" w:rsidP="00014A9C">
            <w:pPr>
              <w:keepNext/>
              <w:jc w:val="center"/>
              <w:rPr>
                <w:rFonts w:ascii="Arial Narrow" w:hAnsi="Arial Narrow"/>
                <w:sz w:val="20"/>
                <w:szCs w:val="20"/>
              </w:rPr>
            </w:pPr>
            <w:r w:rsidRPr="00E82A62">
              <w:rPr>
                <w:rFonts w:ascii="Arial Narrow" w:hAnsi="Arial Narrow"/>
                <w:sz w:val="20"/>
                <w:szCs w:val="20"/>
              </w:rPr>
              <w:t>119 (79.3)</w:t>
            </w:r>
          </w:p>
        </w:tc>
        <w:tc>
          <w:tcPr>
            <w:tcW w:w="779" w:type="pct"/>
          </w:tcPr>
          <w:p w14:paraId="21CC76EA" w14:textId="77777777" w:rsidR="003A1C28" w:rsidRPr="008879C0" w:rsidRDefault="003A1C28" w:rsidP="00014A9C">
            <w:pPr>
              <w:keepNext/>
              <w:jc w:val="center"/>
              <w:rPr>
                <w:rFonts w:ascii="Arial Narrow" w:hAnsi="Arial Narrow"/>
                <w:sz w:val="20"/>
                <w:szCs w:val="20"/>
              </w:rPr>
            </w:pPr>
            <w:r w:rsidRPr="0007762D">
              <w:rPr>
                <w:rFonts w:ascii="Arial Narrow" w:hAnsi="Arial Narrow"/>
                <w:sz w:val="20"/>
                <w:szCs w:val="20"/>
              </w:rPr>
              <w:t>139 (91.4)</w:t>
            </w:r>
          </w:p>
        </w:tc>
        <w:tc>
          <w:tcPr>
            <w:tcW w:w="779" w:type="pct"/>
          </w:tcPr>
          <w:p w14:paraId="3BFAAE79" w14:textId="77777777" w:rsidR="003A1C28" w:rsidRPr="008879C0" w:rsidRDefault="003A1C28" w:rsidP="00014A9C">
            <w:pPr>
              <w:keepNext/>
              <w:jc w:val="center"/>
              <w:rPr>
                <w:rFonts w:ascii="Arial Narrow" w:hAnsi="Arial Narrow"/>
                <w:sz w:val="20"/>
                <w:szCs w:val="20"/>
              </w:rPr>
            </w:pPr>
            <w:r w:rsidRPr="0007762D">
              <w:rPr>
                <w:rFonts w:ascii="Arial Narrow" w:hAnsi="Arial Narrow"/>
                <w:sz w:val="20"/>
                <w:szCs w:val="20"/>
              </w:rPr>
              <w:t>131 (87.3)</w:t>
            </w:r>
          </w:p>
        </w:tc>
      </w:tr>
      <w:tr w:rsidR="003A1C28" w:rsidRPr="00191822" w14:paraId="216FD947" w14:textId="77777777" w:rsidTr="00A361A7">
        <w:tc>
          <w:tcPr>
            <w:tcW w:w="1884" w:type="pct"/>
          </w:tcPr>
          <w:p w14:paraId="0A19DABE" w14:textId="77777777" w:rsidR="003A1C28" w:rsidRPr="008879C0" w:rsidRDefault="003A1C28" w:rsidP="00014A9C">
            <w:pPr>
              <w:keepNext/>
              <w:jc w:val="left"/>
              <w:rPr>
                <w:rFonts w:ascii="Arial Narrow" w:hAnsi="Arial Narrow"/>
                <w:sz w:val="20"/>
                <w:szCs w:val="20"/>
              </w:rPr>
            </w:pPr>
            <w:r w:rsidRPr="008879C0">
              <w:rPr>
                <w:rFonts w:ascii="Arial Narrow" w:hAnsi="Arial Narrow"/>
                <w:sz w:val="20"/>
                <w:szCs w:val="20"/>
              </w:rPr>
              <w:t>Serious AE, n (%)</w:t>
            </w:r>
          </w:p>
        </w:tc>
        <w:tc>
          <w:tcPr>
            <w:tcW w:w="779" w:type="pct"/>
          </w:tcPr>
          <w:p w14:paraId="1CE96878" w14:textId="77777777" w:rsidR="003A1C28" w:rsidRPr="008879C0" w:rsidRDefault="003A1C28" w:rsidP="00014A9C">
            <w:pPr>
              <w:keepNext/>
              <w:jc w:val="center"/>
              <w:rPr>
                <w:rFonts w:ascii="Arial Narrow" w:hAnsi="Arial Narrow"/>
                <w:sz w:val="20"/>
                <w:szCs w:val="20"/>
              </w:rPr>
            </w:pPr>
            <w:r w:rsidRPr="00F34CFC">
              <w:rPr>
                <w:rFonts w:ascii="Arial Narrow" w:hAnsi="Arial Narrow"/>
                <w:sz w:val="20"/>
                <w:szCs w:val="20"/>
              </w:rPr>
              <w:t>55 (36.2)</w:t>
            </w:r>
          </w:p>
        </w:tc>
        <w:tc>
          <w:tcPr>
            <w:tcW w:w="779" w:type="pct"/>
          </w:tcPr>
          <w:p w14:paraId="415974F9" w14:textId="77777777" w:rsidR="003A1C28" w:rsidRPr="008879C0" w:rsidRDefault="003A1C28" w:rsidP="00014A9C">
            <w:pPr>
              <w:keepNext/>
              <w:jc w:val="center"/>
              <w:rPr>
                <w:rFonts w:ascii="Arial Narrow" w:hAnsi="Arial Narrow"/>
                <w:sz w:val="20"/>
                <w:szCs w:val="20"/>
              </w:rPr>
            </w:pPr>
            <w:r w:rsidRPr="00E82A62">
              <w:rPr>
                <w:rFonts w:ascii="Arial Narrow" w:hAnsi="Arial Narrow"/>
                <w:sz w:val="20"/>
                <w:szCs w:val="20"/>
              </w:rPr>
              <w:t>47 (31.3)</w:t>
            </w:r>
          </w:p>
        </w:tc>
        <w:tc>
          <w:tcPr>
            <w:tcW w:w="779" w:type="pct"/>
          </w:tcPr>
          <w:p w14:paraId="1FE942D6" w14:textId="77777777" w:rsidR="003A1C28" w:rsidRPr="008879C0" w:rsidRDefault="003A1C28" w:rsidP="00014A9C">
            <w:pPr>
              <w:keepNext/>
              <w:jc w:val="center"/>
              <w:rPr>
                <w:rFonts w:ascii="Arial Narrow" w:hAnsi="Arial Narrow"/>
                <w:sz w:val="20"/>
                <w:szCs w:val="20"/>
              </w:rPr>
            </w:pPr>
            <w:r w:rsidRPr="0007762D">
              <w:rPr>
                <w:rFonts w:ascii="Arial Narrow" w:hAnsi="Arial Narrow"/>
                <w:sz w:val="20"/>
                <w:szCs w:val="20"/>
              </w:rPr>
              <w:t>97 (63.8)</w:t>
            </w:r>
          </w:p>
        </w:tc>
        <w:tc>
          <w:tcPr>
            <w:tcW w:w="779" w:type="pct"/>
          </w:tcPr>
          <w:p w14:paraId="52B5BF11" w14:textId="77777777" w:rsidR="003A1C28" w:rsidRPr="008879C0" w:rsidRDefault="003A1C28" w:rsidP="00014A9C">
            <w:pPr>
              <w:keepNext/>
              <w:jc w:val="center"/>
              <w:rPr>
                <w:rFonts w:ascii="Arial Narrow" w:hAnsi="Arial Narrow"/>
                <w:sz w:val="20"/>
                <w:szCs w:val="20"/>
              </w:rPr>
            </w:pPr>
            <w:r w:rsidRPr="0007762D">
              <w:rPr>
                <w:rFonts w:ascii="Arial Narrow" w:hAnsi="Arial Narrow"/>
                <w:sz w:val="20"/>
                <w:szCs w:val="20"/>
              </w:rPr>
              <w:t>75 (50.0)</w:t>
            </w:r>
          </w:p>
        </w:tc>
      </w:tr>
      <w:tr w:rsidR="003A1C28" w:rsidRPr="00191822" w14:paraId="36BBCB27" w14:textId="77777777" w:rsidTr="00A361A7">
        <w:tc>
          <w:tcPr>
            <w:tcW w:w="1884" w:type="pct"/>
          </w:tcPr>
          <w:p w14:paraId="5AEF340F" w14:textId="77777777" w:rsidR="003A1C28" w:rsidRPr="00E82A62" w:rsidRDefault="003A1C28" w:rsidP="00014A9C">
            <w:pPr>
              <w:keepNext/>
              <w:jc w:val="left"/>
              <w:rPr>
                <w:rFonts w:ascii="Arial Narrow" w:hAnsi="Arial Narrow"/>
                <w:sz w:val="20"/>
                <w:szCs w:val="20"/>
                <w:highlight w:val="yellow"/>
              </w:rPr>
            </w:pPr>
            <w:r w:rsidRPr="00690E41">
              <w:rPr>
                <w:rFonts w:ascii="Arial Narrow" w:hAnsi="Arial Narrow"/>
                <w:sz w:val="20"/>
                <w:szCs w:val="20"/>
              </w:rPr>
              <w:t>Fatal serious AE, n (%)</w:t>
            </w:r>
          </w:p>
        </w:tc>
        <w:tc>
          <w:tcPr>
            <w:tcW w:w="779" w:type="pct"/>
          </w:tcPr>
          <w:p w14:paraId="25AD174A" w14:textId="77777777" w:rsidR="003A1C28" w:rsidRPr="008879C0" w:rsidRDefault="003A1C28" w:rsidP="00014A9C">
            <w:pPr>
              <w:keepNext/>
              <w:jc w:val="center"/>
              <w:rPr>
                <w:rFonts w:ascii="Arial Narrow" w:hAnsi="Arial Narrow"/>
                <w:sz w:val="20"/>
                <w:szCs w:val="20"/>
              </w:rPr>
            </w:pPr>
            <w:r w:rsidRPr="001E41D5">
              <w:rPr>
                <w:rFonts w:ascii="Arial Narrow" w:hAnsi="Arial Narrow"/>
                <w:sz w:val="20"/>
                <w:szCs w:val="20"/>
              </w:rPr>
              <w:t>12 (7.9)</w:t>
            </w:r>
          </w:p>
        </w:tc>
        <w:tc>
          <w:tcPr>
            <w:tcW w:w="779" w:type="pct"/>
          </w:tcPr>
          <w:p w14:paraId="7C6344AD" w14:textId="77777777" w:rsidR="003A1C28" w:rsidRPr="008879C0" w:rsidRDefault="003A1C28" w:rsidP="00014A9C">
            <w:pPr>
              <w:keepNext/>
              <w:jc w:val="center"/>
              <w:rPr>
                <w:rFonts w:ascii="Arial Narrow" w:hAnsi="Arial Narrow"/>
                <w:sz w:val="20"/>
                <w:szCs w:val="20"/>
              </w:rPr>
            </w:pPr>
            <w:r w:rsidRPr="001E41D5">
              <w:rPr>
                <w:rFonts w:ascii="Arial Narrow" w:hAnsi="Arial Narrow"/>
                <w:sz w:val="20"/>
                <w:szCs w:val="20"/>
              </w:rPr>
              <w:t>18 (12.0)</w:t>
            </w:r>
          </w:p>
        </w:tc>
        <w:tc>
          <w:tcPr>
            <w:tcW w:w="779" w:type="pct"/>
          </w:tcPr>
          <w:p w14:paraId="074E960A" w14:textId="77777777" w:rsidR="003A1C28" w:rsidRPr="008879C0" w:rsidRDefault="003A1C28" w:rsidP="00014A9C">
            <w:pPr>
              <w:keepNext/>
              <w:jc w:val="center"/>
              <w:rPr>
                <w:rFonts w:ascii="Arial Narrow" w:hAnsi="Arial Narrow"/>
                <w:sz w:val="20"/>
                <w:szCs w:val="20"/>
              </w:rPr>
            </w:pPr>
            <w:r w:rsidRPr="009E5CDA">
              <w:rPr>
                <w:rFonts w:ascii="Arial Narrow" w:hAnsi="Arial Narrow"/>
                <w:sz w:val="20"/>
                <w:szCs w:val="20"/>
              </w:rPr>
              <w:t>33 (21.7)</w:t>
            </w:r>
          </w:p>
        </w:tc>
        <w:tc>
          <w:tcPr>
            <w:tcW w:w="779" w:type="pct"/>
          </w:tcPr>
          <w:p w14:paraId="6CDEB467" w14:textId="77777777" w:rsidR="003A1C28" w:rsidRPr="008879C0" w:rsidRDefault="003A1C28" w:rsidP="00014A9C">
            <w:pPr>
              <w:keepNext/>
              <w:jc w:val="center"/>
              <w:rPr>
                <w:rFonts w:ascii="Arial Narrow" w:hAnsi="Arial Narrow"/>
                <w:sz w:val="20"/>
                <w:szCs w:val="20"/>
              </w:rPr>
            </w:pPr>
            <w:r w:rsidRPr="009E5CDA">
              <w:rPr>
                <w:rFonts w:ascii="Arial Narrow" w:hAnsi="Arial Narrow"/>
                <w:sz w:val="20"/>
                <w:szCs w:val="20"/>
              </w:rPr>
              <w:t>32 (21.3)</w:t>
            </w:r>
          </w:p>
        </w:tc>
      </w:tr>
      <w:tr w:rsidR="003A1C28" w:rsidRPr="00191822" w14:paraId="025A9723" w14:textId="77777777" w:rsidTr="00A361A7">
        <w:tc>
          <w:tcPr>
            <w:tcW w:w="1884" w:type="pct"/>
          </w:tcPr>
          <w:p w14:paraId="5D6D7B32" w14:textId="77777777" w:rsidR="003A1C28" w:rsidRPr="008879C0" w:rsidRDefault="003A1C28" w:rsidP="00014A9C">
            <w:pPr>
              <w:keepNext/>
              <w:jc w:val="left"/>
              <w:rPr>
                <w:rFonts w:ascii="Arial Narrow" w:hAnsi="Arial Narrow"/>
                <w:sz w:val="20"/>
                <w:szCs w:val="20"/>
              </w:rPr>
            </w:pPr>
            <w:r w:rsidRPr="008879C0">
              <w:rPr>
                <w:rFonts w:ascii="Arial Narrow" w:hAnsi="Arial Narrow"/>
                <w:sz w:val="20"/>
                <w:szCs w:val="20"/>
              </w:rPr>
              <w:t>Discontinuation due to AE, n (%)</w:t>
            </w:r>
          </w:p>
        </w:tc>
        <w:tc>
          <w:tcPr>
            <w:tcW w:w="779" w:type="pct"/>
          </w:tcPr>
          <w:p w14:paraId="4C1C19CF" w14:textId="77777777" w:rsidR="003A1C28" w:rsidRPr="008879C0" w:rsidRDefault="003A1C28" w:rsidP="00014A9C">
            <w:pPr>
              <w:keepNext/>
              <w:jc w:val="center"/>
              <w:rPr>
                <w:rFonts w:ascii="Arial Narrow" w:hAnsi="Arial Narrow"/>
                <w:sz w:val="20"/>
                <w:szCs w:val="20"/>
              </w:rPr>
            </w:pPr>
            <w:r w:rsidRPr="00F34CFC">
              <w:rPr>
                <w:rFonts w:ascii="Arial Narrow" w:hAnsi="Arial Narrow"/>
                <w:sz w:val="20"/>
                <w:szCs w:val="20"/>
              </w:rPr>
              <w:t>17 (11.2)</w:t>
            </w:r>
          </w:p>
        </w:tc>
        <w:tc>
          <w:tcPr>
            <w:tcW w:w="779" w:type="pct"/>
          </w:tcPr>
          <w:p w14:paraId="6D170292" w14:textId="77777777" w:rsidR="003A1C28" w:rsidRPr="008879C0" w:rsidRDefault="003A1C28" w:rsidP="00014A9C">
            <w:pPr>
              <w:keepNext/>
              <w:jc w:val="center"/>
              <w:rPr>
                <w:rFonts w:ascii="Arial Narrow" w:hAnsi="Arial Narrow"/>
                <w:sz w:val="20"/>
                <w:szCs w:val="20"/>
              </w:rPr>
            </w:pPr>
            <w:r w:rsidRPr="00E82A62">
              <w:rPr>
                <w:rFonts w:ascii="Arial Narrow" w:hAnsi="Arial Narrow"/>
                <w:sz w:val="20"/>
                <w:szCs w:val="20"/>
              </w:rPr>
              <w:t>6 (4.0)</w:t>
            </w:r>
          </w:p>
        </w:tc>
        <w:tc>
          <w:tcPr>
            <w:tcW w:w="779" w:type="pct"/>
          </w:tcPr>
          <w:p w14:paraId="26CA9C38" w14:textId="77777777" w:rsidR="003A1C28" w:rsidRPr="008879C0" w:rsidRDefault="003A1C28" w:rsidP="00014A9C">
            <w:pPr>
              <w:keepNext/>
              <w:jc w:val="center"/>
              <w:rPr>
                <w:rFonts w:ascii="Arial Narrow" w:hAnsi="Arial Narrow"/>
                <w:sz w:val="20"/>
                <w:szCs w:val="20"/>
              </w:rPr>
            </w:pPr>
            <w:r w:rsidRPr="0007762D">
              <w:rPr>
                <w:rFonts w:ascii="Arial Narrow" w:hAnsi="Arial Narrow"/>
                <w:sz w:val="20"/>
                <w:szCs w:val="20"/>
              </w:rPr>
              <w:t>35 (23.0)</w:t>
            </w:r>
          </w:p>
        </w:tc>
        <w:tc>
          <w:tcPr>
            <w:tcW w:w="779" w:type="pct"/>
          </w:tcPr>
          <w:p w14:paraId="45D7C984" w14:textId="77777777" w:rsidR="003A1C28" w:rsidRPr="008879C0" w:rsidRDefault="003A1C28" w:rsidP="00014A9C">
            <w:pPr>
              <w:keepNext/>
              <w:jc w:val="center"/>
              <w:rPr>
                <w:rFonts w:ascii="Arial Narrow" w:hAnsi="Arial Narrow"/>
                <w:sz w:val="20"/>
                <w:szCs w:val="20"/>
              </w:rPr>
            </w:pPr>
            <w:r w:rsidRPr="0007762D">
              <w:rPr>
                <w:rFonts w:ascii="Arial Narrow" w:hAnsi="Arial Narrow"/>
                <w:sz w:val="20"/>
                <w:szCs w:val="20"/>
              </w:rPr>
              <w:t>13 (8.7)</w:t>
            </w:r>
          </w:p>
        </w:tc>
      </w:tr>
      <w:tr w:rsidR="003A1C28" w:rsidRPr="00191822" w14:paraId="6A283205" w14:textId="77777777" w:rsidTr="00A361A7">
        <w:tc>
          <w:tcPr>
            <w:tcW w:w="1884" w:type="pct"/>
          </w:tcPr>
          <w:p w14:paraId="6864C672" w14:textId="77777777" w:rsidR="003A1C28" w:rsidRDefault="003A1C28" w:rsidP="00014A9C">
            <w:pPr>
              <w:keepNext/>
              <w:jc w:val="left"/>
              <w:rPr>
                <w:rFonts w:ascii="Arial Narrow" w:hAnsi="Arial Narrow"/>
                <w:sz w:val="20"/>
                <w:szCs w:val="20"/>
              </w:rPr>
            </w:pPr>
            <w:r>
              <w:rPr>
                <w:rFonts w:ascii="Arial Narrow" w:hAnsi="Arial Narrow"/>
                <w:sz w:val="20"/>
                <w:szCs w:val="20"/>
              </w:rPr>
              <w:t>Treatment-related AE, n (%)</w:t>
            </w:r>
          </w:p>
          <w:p w14:paraId="7D1DEE1C" w14:textId="77777777" w:rsidR="003A1C28" w:rsidRDefault="003A1C28" w:rsidP="00014A9C">
            <w:pPr>
              <w:pStyle w:val="ListParagraph"/>
              <w:keepNext/>
              <w:numPr>
                <w:ilvl w:val="0"/>
                <w:numId w:val="5"/>
              </w:numPr>
              <w:ind w:left="219" w:hanging="142"/>
              <w:jc w:val="left"/>
              <w:rPr>
                <w:rFonts w:ascii="Arial Narrow" w:hAnsi="Arial Narrow"/>
                <w:sz w:val="20"/>
                <w:szCs w:val="20"/>
              </w:rPr>
            </w:pPr>
            <w:r>
              <w:rPr>
                <w:rFonts w:ascii="Arial Narrow" w:hAnsi="Arial Narrow"/>
                <w:sz w:val="20"/>
                <w:szCs w:val="20"/>
              </w:rPr>
              <w:t>Treatment-emergent AE</w:t>
            </w:r>
          </w:p>
          <w:p w14:paraId="0044B232" w14:textId="77777777" w:rsidR="003A1C28" w:rsidRDefault="003A1C28" w:rsidP="00014A9C">
            <w:pPr>
              <w:pStyle w:val="ListParagraph"/>
              <w:keepNext/>
              <w:numPr>
                <w:ilvl w:val="0"/>
                <w:numId w:val="5"/>
              </w:numPr>
              <w:ind w:left="219" w:hanging="142"/>
              <w:jc w:val="left"/>
              <w:rPr>
                <w:rFonts w:ascii="Arial Narrow" w:hAnsi="Arial Narrow"/>
                <w:sz w:val="20"/>
                <w:szCs w:val="20"/>
              </w:rPr>
            </w:pPr>
            <w:r>
              <w:rPr>
                <w:rFonts w:ascii="Arial Narrow" w:hAnsi="Arial Narrow"/>
                <w:sz w:val="20"/>
                <w:szCs w:val="20"/>
              </w:rPr>
              <w:t>Serious</w:t>
            </w:r>
            <w:r w:rsidRPr="000412B9">
              <w:rPr>
                <w:rFonts w:ascii="Arial Narrow" w:hAnsi="Arial Narrow"/>
                <w:sz w:val="20"/>
                <w:szCs w:val="20"/>
              </w:rPr>
              <w:t xml:space="preserve"> </w:t>
            </w:r>
            <w:r>
              <w:rPr>
                <w:rFonts w:ascii="Arial Narrow" w:hAnsi="Arial Narrow"/>
                <w:sz w:val="20"/>
                <w:szCs w:val="20"/>
              </w:rPr>
              <w:t>AE</w:t>
            </w:r>
          </w:p>
          <w:p w14:paraId="6674CBC1" w14:textId="77777777" w:rsidR="003A1C28" w:rsidRPr="000412B9" w:rsidRDefault="003A1C28" w:rsidP="00014A9C">
            <w:pPr>
              <w:pStyle w:val="ListParagraph"/>
              <w:keepNext/>
              <w:numPr>
                <w:ilvl w:val="0"/>
                <w:numId w:val="5"/>
              </w:numPr>
              <w:ind w:left="219" w:hanging="142"/>
              <w:jc w:val="left"/>
              <w:rPr>
                <w:rFonts w:ascii="Arial Narrow" w:hAnsi="Arial Narrow"/>
                <w:sz w:val="20"/>
                <w:szCs w:val="20"/>
              </w:rPr>
            </w:pPr>
            <w:r>
              <w:rPr>
                <w:rFonts w:ascii="Arial Narrow" w:hAnsi="Arial Narrow"/>
                <w:sz w:val="20"/>
                <w:szCs w:val="20"/>
              </w:rPr>
              <w:t>Fatal serious AE</w:t>
            </w:r>
          </w:p>
          <w:p w14:paraId="29B98FAC" w14:textId="77777777" w:rsidR="003A1C28" w:rsidRPr="001156B5" w:rsidRDefault="003A1C28" w:rsidP="00014A9C">
            <w:pPr>
              <w:pStyle w:val="ListParagraph"/>
              <w:keepNext/>
              <w:numPr>
                <w:ilvl w:val="0"/>
                <w:numId w:val="5"/>
              </w:numPr>
              <w:ind w:left="219" w:hanging="142"/>
              <w:jc w:val="left"/>
              <w:rPr>
                <w:rFonts w:ascii="Arial Narrow" w:hAnsi="Arial Narrow"/>
                <w:sz w:val="20"/>
                <w:szCs w:val="20"/>
              </w:rPr>
            </w:pPr>
            <w:r>
              <w:rPr>
                <w:rFonts w:ascii="Arial Narrow" w:hAnsi="Arial Narrow"/>
                <w:sz w:val="20"/>
                <w:szCs w:val="20"/>
              </w:rPr>
              <w:t>Discontinuation due to AE</w:t>
            </w:r>
          </w:p>
        </w:tc>
        <w:tc>
          <w:tcPr>
            <w:tcW w:w="779" w:type="pct"/>
          </w:tcPr>
          <w:p w14:paraId="4EC97234" w14:textId="77777777" w:rsidR="003A1C28" w:rsidRDefault="003A1C28" w:rsidP="00014A9C">
            <w:pPr>
              <w:keepNext/>
              <w:jc w:val="center"/>
              <w:rPr>
                <w:rFonts w:ascii="Arial Narrow" w:hAnsi="Arial Narrow"/>
                <w:sz w:val="20"/>
                <w:szCs w:val="20"/>
              </w:rPr>
            </w:pPr>
          </w:p>
          <w:p w14:paraId="212F21FD" w14:textId="77777777" w:rsidR="003A1C28" w:rsidRPr="004217E7" w:rsidRDefault="003A1C28" w:rsidP="00014A9C">
            <w:pPr>
              <w:keepNext/>
              <w:jc w:val="center"/>
              <w:rPr>
                <w:rFonts w:ascii="Arial Narrow" w:hAnsi="Arial Narrow"/>
                <w:sz w:val="20"/>
                <w:szCs w:val="20"/>
              </w:rPr>
            </w:pPr>
            <w:r w:rsidRPr="004217E7">
              <w:rPr>
                <w:rFonts w:ascii="Arial Narrow" w:hAnsi="Arial Narrow"/>
                <w:sz w:val="20"/>
                <w:szCs w:val="20"/>
              </w:rPr>
              <w:t>62 (40.8)</w:t>
            </w:r>
          </w:p>
          <w:p w14:paraId="2837AC5F" w14:textId="77777777" w:rsidR="003A1C28" w:rsidRDefault="003A1C28" w:rsidP="00014A9C">
            <w:pPr>
              <w:keepNext/>
              <w:jc w:val="center"/>
              <w:rPr>
                <w:rFonts w:ascii="Arial Narrow" w:hAnsi="Arial Narrow"/>
                <w:sz w:val="20"/>
                <w:szCs w:val="20"/>
              </w:rPr>
            </w:pPr>
            <w:r w:rsidRPr="004217E7">
              <w:rPr>
                <w:rFonts w:ascii="Arial Narrow" w:hAnsi="Arial Narrow"/>
                <w:sz w:val="20"/>
                <w:szCs w:val="20"/>
              </w:rPr>
              <w:t>17 (11.2)</w:t>
            </w:r>
          </w:p>
          <w:p w14:paraId="7ADC7A98" w14:textId="77777777" w:rsidR="003A1C28" w:rsidRDefault="003A1C28" w:rsidP="00014A9C">
            <w:pPr>
              <w:keepNext/>
              <w:jc w:val="center"/>
              <w:rPr>
                <w:rFonts w:ascii="Arial Narrow" w:hAnsi="Arial Narrow"/>
                <w:sz w:val="20"/>
                <w:szCs w:val="20"/>
              </w:rPr>
            </w:pPr>
            <w:r w:rsidRPr="004217E7">
              <w:rPr>
                <w:rFonts w:ascii="Arial Narrow" w:hAnsi="Arial Narrow"/>
                <w:sz w:val="20"/>
                <w:szCs w:val="20"/>
              </w:rPr>
              <w:t>2 (1.3</w:t>
            </w:r>
            <w:r>
              <w:rPr>
                <w:rFonts w:ascii="Arial Narrow" w:hAnsi="Arial Narrow"/>
                <w:sz w:val="20"/>
                <w:szCs w:val="20"/>
              </w:rPr>
              <w:t>)</w:t>
            </w:r>
          </w:p>
          <w:p w14:paraId="7758215C" w14:textId="77777777" w:rsidR="003A1C28" w:rsidRPr="008879C0" w:rsidRDefault="003A1C28" w:rsidP="00014A9C">
            <w:pPr>
              <w:keepNext/>
              <w:jc w:val="center"/>
              <w:rPr>
                <w:rFonts w:ascii="Arial Narrow" w:hAnsi="Arial Narrow"/>
                <w:sz w:val="20"/>
                <w:szCs w:val="20"/>
              </w:rPr>
            </w:pPr>
            <w:r w:rsidRPr="00EF1400">
              <w:rPr>
                <w:rFonts w:ascii="Arial Narrow" w:hAnsi="Arial Narrow"/>
                <w:sz w:val="20"/>
                <w:szCs w:val="20"/>
              </w:rPr>
              <w:t>10 (6.6)</w:t>
            </w:r>
          </w:p>
        </w:tc>
        <w:tc>
          <w:tcPr>
            <w:tcW w:w="779" w:type="pct"/>
          </w:tcPr>
          <w:p w14:paraId="0B04C847" w14:textId="77777777" w:rsidR="003A1C28" w:rsidRDefault="003A1C28" w:rsidP="00014A9C">
            <w:pPr>
              <w:keepNext/>
              <w:jc w:val="center"/>
              <w:rPr>
                <w:rFonts w:ascii="Arial Narrow" w:hAnsi="Arial Narrow"/>
                <w:sz w:val="20"/>
                <w:szCs w:val="20"/>
              </w:rPr>
            </w:pPr>
          </w:p>
          <w:p w14:paraId="5183F707" w14:textId="77777777" w:rsidR="003A1C28" w:rsidRPr="001156B5" w:rsidRDefault="003A1C28" w:rsidP="00014A9C">
            <w:pPr>
              <w:keepNext/>
              <w:jc w:val="center"/>
              <w:rPr>
                <w:rFonts w:ascii="Arial Narrow" w:hAnsi="Arial Narrow"/>
                <w:sz w:val="20"/>
                <w:szCs w:val="20"/>
              </w:rPr>
            </w:pPr>
            <w:r w:rsidRPr="001156B5">
              <w:rPr>
                <w:rFonts w:ascii="Arial Narrow" w:hAnsi="Arial Narrow"/>
                <w:sz w:val="20"/>
                <w:szCs w:val="20"/>
              </w:rPr>
              <w:t>30 (20.0)</w:t>
            </w:r>
          </w:p>
          <w:p w14:paraId="4EA899F7" w14:textId="77777777" w:rsidR="003A1C28" w:rsidRDefault="003A1C28" w:rsidP="00014A9C">
            <w:pPr>
              <w:keepNext/>
              <w:jc w:val="center"/>
              <w:rPr>
                <w:rFonts w:ascii="Arial Narrow" w:hAnsi="Arial Narrow"/>
                <w:sz w:val="20"/>
                <w:szCs w:val="20"/>
              </w:rPr>
            </w:pPr>
            <w:r w:rsidRPr="001156B5">
              <w:rPr>
                <w:rFonts w:ascii="Arial Narrow" w:hAnsi="Arial Narrow"/>
                <w:sz w:val="20"/>
                <w:szCs w:val="20"/>
              </w:rPr>
              <w:t>11 (7.3)</w:t>
            </w:r>
          </w:p>
          <w:p w14:paraId="35276B14" w14:textId="77777777" w:rsidR="003A1C28" w:rsidRDefault="003A1C28" w:rsidP="00014A9C">
            <w:pPr>
              <w:keepNext/>
              <w:jc w:val="center"/>
              <w:rPr>
                <w:rFonts w:ascii="Arial Narrow" w:hAnsi="Arial Narrow"/>
                <w:sz w:val="20"/>
                <w:szCs w:val="20"/>
              </w:rPr>
            </w:pPr>
            <w:r w:rsidRPr="00BD0E04">
              <w:rPr>
                <w:rFonts w:ascii="Arial Narrow" w:hAnsi="Arial Narrow"/>
                <w:sz w:val="20"/>
                <w:szCs w:val="20"/>
              </w:rPr>
              <w:t>3 (2.0)</w:t>
            </w:r>
          </w:p>
          <w:p w14:paraId="4443A9A5" w14:textId="77777777" w:rsidR="003A1C28" w:rsidRPr="008879C0" w:rsidRDefault="003A1C28" w:rsidP="00014A9C">
            <w:pPr>
              <w:keepNext/>
              <w:jc w:val="center"/>
              <w:rPr>
                <w:rFonts w:ascii="Arial Narrow" w:hAnsi="Arial Narrow"/>
                <w:sz w:val="20"/>
                <w:szCs w:val="20"/>
              </w:rPr>
            </w:pPr>
            <w:r w:rsidRPr="00EF1400">
              <w:rPr>
                <w:rFonts w:ascii="Arial Narrow" w:hAnsi="Arial Narrow"/>
                <w:sz w:val="20"/>
                <w:szCs w:val="20"/>
              </w:rPr>
              <w:t>2 (1.3)</w:t>
            </w:r>
          </w:p>
        </w:tc>
        <w:tc>
          <w:tcPr>
            <w:tcW w:w="779" w:type="pct"/>
          </w:tcPr>
          <w:p w14:paraId="72CFEE70" w14:textId="77777777" w:rsidR="003A1C28" w:rsidRDefault="003A1C28" w:rsidP="00014A9C">
            <w:pPr>
              <w:keepNext/>
              <w:jc w:val="center"/>
              <w:rPr>
                <w:rFonts w:ascii="Arial Narrow" w:hAnsi="Arial Narrow"/>
                <w:sz w:val="20"/>
                <w:szCs w:val="20"/>
              </w:rPr>
            </w:pPr>
          </w:p>
          <w:p w14:paraId="2DFB342D" w14:textId="77777777" w:rsidR="003A1C28" w:rsidRPr="009B0B26" w:rsidRDefault="003A1C28" w:rsidP="00014A9C">
            <w:pPr>
              <w:keepNext/>
              <w:jc w:val="center"/>
              <w:rPr>
                <w:rFonts w:ascii="Arial Narrow" w:hAnsi="Arial Narrow"/>
                <w:sz w:val="20"/>
                <w:szCs w:val="20"/>
              </w:rPr>
            </w:pPr>
            <w:r w:rsidRPr="009B0B26">
              <w:rPr>
                <w:rFonts w:ascii="Arial Narrow" w:hAnsi="Arial Narrow"/>
                <w:sz w:val="20"/>
                <w:szCs w:val="20"/>
              </w:rPr>
              <w:t>88 (57.9)</w:t>
            </w:r>
          </w:p>
          <w:p w14:paraId="190D74FF" w14:textId="77777777" w:rsidR="003A1C28" w:rsidRDefault="003A1C28" w:rsidP="00014A9C">
            <w:pPr>
              <w:keepNext/>
              <w:jc w:val="center"/>
              <w:rPr>
                <w:rFonts w:ascii="Arial Narrow" w:hAnsi="Arial Narrow"/>
                <w:sz w:val="20"/>
                <w:szCs w:val="20"/>
              </w:rPr>
            </w:pPr>
            <w:r w:rsidRPr="009B0B26">
              <w:rPr>
                <w:rFonts w:ascii="Arial Narrow" w:hAnsi="Arial Narrow"/>
                <w:sz w:val="20"/>
                <w:szCs w:val="20"/>
              </w:rPr>
              <w:t>39 (25.7)</w:t>
            </w:r>
          </w:p>
          <w:p w14:paraId="344E1B87" w14:textId="77777777" w:rsidR="003A1C28" w:rsidRPr="009B0B26" w:rsidRDefault="003A1C28" w:rsidP="00014A9C">
            <w:pPr>
              <w:keepNext/>
              <w:jc w:val="center"/>
              <w:rPr>
                <w:rFonts w:ascii="Arial Narrow" w:hAnsi="Arial Narrow"/>
                <w:sz w:val="20"/>
                <w:szCs w:val="20"/>
              </w:rPr>
            </w:pPr>
            <w:r w:rsidRPr="009E5CDA">
              <w:rPr>
                <w:rFonts w:ascii="Arial Narrow" w:hAnsi="Arial Narrow"/>
                <w:sz w:val="20"/>
                <w:szCs w:val="20"/>
              </w:rPr>
              <w:t>10 (6.6)</w:t>
            </w:r>
          </w:p>
          <w:p w14:paraId="3382C90F" w14:textId="77777777" w:rsidR="003A1C28" w:rsidRDefault="003A1C28" w:rsidP="00014A9C">
            <w:pPr>
              <w:keepNext/>
              <w:jc w:val="center"/>
              <w:rPr>
                <w:rFonts w:ascii="Arial Narrow" w:hAnsi="Arial Narrow"/>
                <w:sz w:val="20"/>
                <w:szCs w:val="20"/>
              </w:rPr>
            </w:pPr>
            <w:r w:rsidRPr="009B0B26">
              <w:rPr>
                <w:rFonts w:ascii="Arial Narrow" w:hAnsi="Arial Narrow"/>
                <w:sz w:val="20"/>
                <w:szCs w:val="20"/>
              </w:rPr>
              <w:t>22 (14.5)</w:t>
            </w:r>
          </w:p>
        </w:tc>
        <w:tc>
          <w:tcPr>
            <w:tcW w:w="779" w:type="pct"/>
          </w:tcPr>
          <w:p w14:paraId="3B681513" w14:textId="77777777" w:rsidR="003A1C28" w:rsidRDefault="003A1C28" w:rsidP="00014A9C">
            <w:pPr>
              <w:keepNext/>
              <w:jc w:val="center"/>
              <w:rPr>
                <w:rFonts w:ascii="Arial Narrow" w:hAnsi="Arial Narrow"/>
                <w:sz w:val="20"/>
                <w:szCs w:val="20"/>
              </w:rPr>
            </w:pPr>
          </w:p>
          <w:p w14:paraId="22FD3E77" w14:textId="77777777" w:rsidR="003A1C28" w:rsidRPr="000412B9" w:rsidRDefault="003A1C28" w:rsidP="00014A9C">
            <w:pPr>
              <w:keepNext/>
              <w:jc w:val="center"/>
              <w:rPr>
                <w:rFonts w:ascii="Arial Narrow" w:hAnsi="Arial Narrow"/>
                <w:sz w:val="20"/>
                <w:szCs w:val="20"/>
              </w:rPr>
            </w:pPr>
            <w:r w:rsidRPr="000412B9">
              <w:rPr>
                <w:rFonts w:ascii="Arial Narrow" w:hAnsi="Arial Narrow"/>
                <w:sz w:val="20"/>
                <w:szCs w:val="20"/>
              </w:rPr>
              <w:t>40 (26.7)</w:t>
            </w:r>
          </w:p>
          <w:p w14:paraId="6852166C" w14:textId="77777777" w:rsidR="003A1C28" w:rsidRDefault="003A1C28" w:rsidP="00014A9C">
            <w:pPr>
              <w:keepNext/>
              <w:jc w:val="center"/>
              <w:rPr>
                <w:rFonts w:ascii="Arial Narrow" w:hAnsi="Arial Narrow"/>
                <w:sz w:val="20"/>
                <w:szCs w:val="20"/>
              </w:rPr>
            </w:pPr>
            <w:r w:rsidRPr="000412B9">
              <w:rPr>
                <w:rFonts w:ascii="Arial Narrow" w:hAnsi="Arial Narrow"/>
                <w:sz w:val="20"/>
                <w:szCs w:val="20"/>
              </w:rPr>
              <w:t>17 (11.3)</w:t>
            </w:r>
          </w:p>
          <w:p w14:paraId="30331A1B" w14:textId="77777777" w:rsidR="003A1C28" w:rsidRDefault="003A1C28" w:rsidP="00014A9C">
            <w:pPr>
              <w:keepNext/>
              <w:jc w:val="center"/>
              <w:rPr>
                <w:rFonts w:ascii="Arial Narrow" w:hAnsi="Arial Narrow"/>
                <w:sz w:val="20"/>
                <w:szCs w:val="20"/>
              </w:rPr>
            </w:pPr>
            <w:r w:rsidRPr="009E5CDA">
              <w:rPr>
                <w:rFonts w:ascii="Arial Narrow" w:hAnsi="Arial Narrow"/>
                <w:sz w:val="20"/>
                <w:szCs w:val="20"/>
              </w:rPr>
              <w:t>4 (2.7)</w:t>
            </w:r>
          </w:p>
          <w:p w14:paraId="337D54BA" w14:textId="77777777" w:rsidR="003A1C28" w:rsidRDefault="003A1C28" w:rsidP="00014A9C">
            <w:pPr>
              <w:keepNext/>
              <w:jc w:val="center"/>
              <w:rPr>
                <w:rFonts w:ascii="Arial Narrow" w:hAnsi="Arial Narrow"/>
                <w:sz w:val="20"/>
                <w:szCs w:val="20"/>
              </w:rPr>
            </w:pPr>
            <w:r w:rsidRPr="000412B9">
              <w:rPr>
                <w:rFonts w:ascii="Arial Narrow" w:hAnsi="Arial Narrow"/>
                <w:sz w:val="20"/>
                <w:szCs w:val="20"/>
              </w:rPr>
              <w:t>5 (3.3)</w:t>
            </w:r>
          </w:p>
        </w:tc>
      </w:tr>
      <w:tr w:rsidR="003A1C28" w:rsidRPr="00191822" w14:paraId="10FBE55B" w14:textId="77777777" w:rsidTr="00A361A7">
        <w:trPr>
          <w:trHeight w:val="2253"/>
        </w:trPr>
        <w:tc>
          <w:tcPr>
            <w:tcW w:w="1884" w:type="pct"/>
          </w:tcPr>
          <w:p w14:paraId="2313CA7A" w14:textId="77777777" w:rsidR="003A1C28" w:rsidRPr="005B2079" w:rsidRDefault="003A1C28" w:rsidP="00014A9C">
            <w:pPr>
              <w:keepNext/>
              <w:jc w:val="left"/>
              <w:rPr>
                <w:rFonts w:ascii="Arial Narrow" w:hAnsi="Arial Narrow"/>
                <w:sz w:val="20"/>
                <w:szCs w:val="20"/>
              </w:rPr>
            </w:pPr>
            <w:r w:rsidRPr="005B2079">
              <w:rPr>
                <w:rFonts w:ascii="Arial Narrow" w:hAnsi="Arial Narrow"/>
                <w:sz w:val="20"/>
                <w:szCs w:val="20"/>
              </w:rPr>
              <w:t>Grade ≥3 AE incidence &gt;10%, n (%)</w:t>
            </w:r>
          </w:p>
          <w:p w14:paraId="494B69EF" w14:textId="77777777" w:rsidR="003A1C28" w:rsidRPr="005B2079" w:rsidRDefault="003A1C28" w:rsidP="00A2582A">
            <w:pPr>
              <w:pStyle w:val="ListParagraph"/>
              <w:keepNext/>
              <w:numPr>
                <w:ilvl w:val="0"/>
                <w:numId w:val="10"/>
              </w:numPr>
              <w:ind w:left="221" w:hanging="142"/>
              <w:jc w:val="left"/>
              <w:rPr>
                <w:rFonts w:ascii="Arial Narrow" w:hAnsi="Arial Narrow"/>
                <w:sz w:val="20"/>
                <w:szCs w:val="20"/>
              </w:rPr>
            </w:pPr>
            <w:r w:rsidRPr="005B2079">
              <w:rPr>
                <w:rFonts w:ascii="Arial Narrow" w:hAnsi="Arial Narrow"/>
                <w:sz w:val="20"/>
                <w:szCs w:val="20"/>
              </w:rPr>
              <w:t>Anaemia</w:t>
            </w:r>
          </w:p>
          <w:p w14:paraId="6D2BD7D4" w14:textId="77777777" w:rsidR="003A1C28" w:rsidRPr="005B2079" w:rsidRDefault="003A1C28" w:rsidP="00A2582A">
            <w:pPr>
              <w:pStyle w:val="ListParagraph"/>
              <w:keepNext/>
              <w:numPr>
                <w:ilvl w:val="0"/>
                <w:numId w:val="10"/>
              </w:numPr>
              <w:ind w:left="221" w:hanging="142"/>
              <w:jc w:val="left"/>
              <w:rPr>
                <w:rFonts w:ascii="Arial Narrow" w:hAnsi="Arial Narrow"/>
                <w:sz w:val="20"/>
                <w:szCs w:val="20"/>
              </w:rPr>
            </w:pPr>
            <w:r w:rsidRPr="005B2079">
              <w:rPr>
                <w:rFonts w:ascii="Arial Narrow" w:hAnsi="Arial Narrow"/>
                <w:sz w:val="20"/>
                <w:szCs w:val="20"/>
              </w:rPr>
              <w:t>Thrombocytopenia</w:t>
            </w:r>
          </w:p>
          <w:p w14:paraId="4603D055" w14:textId="77777777" w:rsidR="003A1C28" w:rsidRPr="005B2079" w:rsidRDefault="003A1C28" w:rsidP="00A2582A">
            <w:pPr>
              <w:pStyle w:val="ListParagraph"/>
              <w:keepNext/>
              <w:numPr>
                <w:ilvl w:val="0"/>
                <w:numId w:val="10"/>
              </w:numPr>
              <w:ind w:left="221" w:hanging="142"/>
              <w:jc w:val="left"/>
              <w:rPr>
                <w:rFonts w:ascii="Arial Narrow" w:hAnsi="Arial Narrow"/>
                <w:sz w:val="20"/>
                <w:szCs w:val="20"/>
              </w:rPr>
            </w:pPr>
            <w:r w:rsidRPr="005B2079">
              <w:rPr>
                <w:rFonts w:ascii="Arial Narrow" w:hAnsi="Arial Narrow"/>
                <w:sz w:val="20"/>
                <w:szCs w:val="20"/>
              </w:rPr>
              <w:t>Cytomegalovirus infection</w:t>
            </w:r>
          </w:p>
          <w:p w14:paraId="1B5C3183" w14:textId="77777777" w:rsidR="003A1C28" w:rsidRPr="005B2079" w:rsidRDefault="003A1C28" w:rsidP="00A2582A">
            <w:pPr>
              <w:pStyle w:val="ListParagraph"/>
              <w:keepNext/>
              <w:numPr>
                <w:ilvl w:val="0"/>
                <w:numId w:val="10"/>
              </w:numPr>
              <w:ind w:left="221" w:hanging="142"/>
              <w:jc w:val="left"/>
              <w:rPr>
                <w:rFonts w:ascii="Arial Narrow" w:hAnsi="Arial Narrow"/>
                <w:sz w:val="20"/>
                <w:szCs w:val="20"/>
              </w:rPr>
            </w:pPr>
            <w:r w:rsidRPr="005B2079">
              <w:rPr>
                <w:rFonts w:ascii="Arial Narrow" w:hAnsi="Arial Narrow"/>
                <w:sz w:val="20"/>
                <w:szCs w:val="20"/>
              </w:rPr>
              <w:t>Neutropenia</w:t>
            </w:r>
          </w:p>
          <w:p w14:paraId="3AE41FE5" w14:textId="77777777" w:rsidR="003A1C28" w:rsidRPr="005B2079" w:rsidRDefault="003A1C28" w:rsidP="00A2582A">
            <w:pPr>
              <w:pStyle w:val="ListParagraph"/>
              <w:keepNext/>
              <w:numPr>
                <w:ilvl w:val="0"/>
                <w:numId w:val="10"/>
              </w:numPr>
              <w:ind w:left="221" w:hanging="142"/>
              <w:jc w:val="left"/>
              <w:rPr>
                <w:rFonts w:ascii="Arial Narrow" w:hAnsi="Arial Narrow"/>
                <w:sz w:val="20"/>
                <w:szCs w:val="20"/>
              </w:rPr>
            </w:pPr>
            <w:r w:rsidRPr="005B2079">
              <w:rPr>
                <w:rFonts w:ascii="Arial Narrow" w:hAnsi="Arial Narrow"/>
                <w:sz w:val="20"/>
                <w:szCs w:val="20"/>
              </w:rPr>
              <w:t>Hypokalaemia</w:t>
            </w:r>
          </w:p>
          <w:p w14:paraId="5CA85B99" w14:textId="77777777" w:rsidR="003A1C28" w:rsidRPr="005B2079" w:rsidRDefault="003A1C28" w:rsidP="00A2582A">
            <w:pPr>
              <w:pStyle w:val="ListParagraph"/>
              <w:keepNext/>
              <w:numPr>
                <w:ilvl w:val="0"/>
                <w:numId w:val="10"/>
              </w:numPr>
              <w:ind w:left="221" w:hanging="142"/>
              <w:jc w:val="left"/>
              <w:rPr>
                <w:rFonts w:ascii="Arial Narrow" w:hAnsi="Arial Narrow"/>
                <w:sz w:val="20"/>
                <w:szCs w:val="20"/>
              </w:rPr>
            </w:pPr>
            <w:r w:rsidRPr="005B2079">
              <w:rPr>
                <w:rFonts w:ascii="Arial Narrow" w:hAnsi="Arial Narrow"/>
                <w:sz w:val="20"/>
                <w:szCs w:val="20"/>
              </w:rPr>
              <w:t>Platelet count decreased</w:t>
            </w:r>
          </w:p>
          <w:p w14:paraId="41CEDA64" w14:textId="77777777" w:rsidR="003A1C28" w:rsidRPr="00E635B1" w:rsidRDefault="003A1C28" w:rsidP="00A2582A">
            <w:pPr>
              <w:pStyle w:val="ListParagraph"/>
              <w:keepNext/>
              <w:numPr>
                <w:ilvl w:val="0"/>
                <w:numId w:val="10"/>
              </w:numPr>
              <w:ind w:left="221" w:hanging="142"/>
              <w:jc w:val="left"/>
              <w:rPr>
                <w:rFonts w:ascii="Arial Narrow" w:hAnsi="Arial Narrow"/>
                <w:sz w:val="20"/>
                <w:szCs w:val="20"/>
              </w:rPr>
            </w:pPr>
            <w:r w:rsidRPr="00E635B1">
              <w:rPr>
                <w:rFonts w:ascii="Arial Narrow" w:hAnsi="Arial Narrow"/>
                <w:sz w:val="20"/>
                <w:szCs w:val="20"/>
              </w:rPr>
              <w:t>White blood cell count decreased</w:t>
            </w:r>
          </w:p>
          <w:p w14:paraId="379D180E" w14:textId="77777777" w:rsidR="003A1C28" w:rsidRPr="00E635B1" w:rsidRDefault="003A1C28" w:rsidP="00A2582A">
            <w:pPr>
              <w:pStyle w:val="ListParagraph"/>
              <w:keepNext/>
              <w:numPr>
                <w:ilvl w:val="0"/>
                <w:numId w:val="10"/>
              </w:numPr>
              <w:ind w:left="221" w:hanging="142"/>
              <w:jc w:val="left"/>
              <w:rPr>
                <w:rFonts w:ascii="Arial Narrow" w:hAnsi="Arial Narrow"/>
                <w:sz w:val="20"/>
                <w:szCs w:val="20"/>
              </w:rPr>
            </w:pPr>
            <w:r w:rsidRPr="00E635B1">
              <w:rPr>
                <w:rFonts w:ascii="Arial Narrow" w:hAnsi="Arial Narrow"/>
                <w:sz w:val="20"/>
                <w:szCs w:val="20"/>
              </w:rPr>
              <w:t>Neutrophil count decreased</w:t>
            </w:r>
          </w:p>
          <w:p w14:paraId="20B08FE1" w14:textId="77777777" w:rsidR="003A1C28" w:rsidRPr="00E635B1" w:rsidRDefault="003A1C28" w:rsidP="00A2582A">
            <w:pPr>
              <w:pStyle w:val="ListParagraph"/>
              <w:keepNext/>
              <w:numPr>
                <w:ilvl w:val="0"/>
                <w:numId w:val="10"/>
              </w:numPr>
              <w:ind w:left="221" w:hanging="142"/>
              <w:jc w:val="left"/>
              <w:rPr>
                <w:rFonts w:ascii="Arial Narrow" w:hAnsi="Arial Narrow"/>
                <w:sz w:val="20"/>
                <w:szCs w:val="20"/>
              </w:rPr>
            </w:pPr>
            <w:r w:rsidRPr="00E635B1">
              <w:rPr>
                <w:rFonts w:ascii="Arial Narrow" w:hAnsi="Arial Narrow"/>
                <w:sz w:val="20"/>
                <w:szCs w:val="20"/>
              </w:rPr>
              <w:t>Pneumonia</w:t>
            </w:r>
          </w:p>
          <w:p w14:paraId="308C6675" w14:textId="77777777" w:rsidR="003A1C28" w:rsidRPr="005B2079" w:rsidRDefault="003A1C28" w:rsidP="00A2582A">
            <w:pPr>
              <w:pStyle w:val="ListParagraph"/>
              <w:keepNext/>
              <w:numPr>
                <w:ilvl w:val="0"/>
                <w:numId w:val="10"/>
              </w:numPr>
              <w:ind w:left="221" w:hanging="142"/>
              <w:jc w:val="left"/>
              <w:rPr>
                <w:rFonts w:ascii="Arial Narrow" w:hAnsi="Arial Narrow"/>
                <w:sz w:val="20"/>
                <w:szCs w:val="20"/>
              </w:rPr>
            </w:pPr>
            <w:r w:rsidRPr="00E635B1">
              <w:rPr>
                <w:rFonts w:ascii="Arial Narrow" w:hAnsi="Arial Narrow"/>
                <w:sz w:val="20"/>
                <w:szCs w:val="20"/>
              </w:rPr>
              <w:t>Sepsis</w:t>
            </w:r>
          </w:p>
        </w:tc>
        <w:tc>
          <w:tcPr>
            <w:tcW w:w="779" w:type="pct"/>
          </w:tcPr>
          <w:p w14:paraId="1543676E" w14:textId="77777777" w:rsidR="003A1C28" w:rsidRDefault="003A1C28" w:rsidP="00014A9C">
            <w:pPr>
              <w:keepNext/>
              <w:jc w:val="center"/>
              <w:rPr>
                <w:rFonts w:ascii="Arial Narrow" w:hAnsi="Arial Narrow"/>
                <w:sz w:val="20"/>
                <w:szCs w:val="20"/>
              </w:rPr>
            </w:pPr>
          </w:p>
          <w:p w14:paraId="55E3A108"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34 (22.4)</w:t>
            </w:r>
          </w:p>
          <w:p w14:paraId="18A580FB"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41 (27.0)</w:t>
            </w:r>
          </w:p>
          <w:p w14:paraId="2051E531"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11 (7.2)</w:t>
            </w:r>
          </w:p>
          <w:p w14:paraId="00D251A3"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20 (13.2)</w:t>
            </w:r>
          </w:p>
          <w:p w14:paraId="1F927C9C"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9 (5.9)</w:t>
            </w:r>
          </w:p>
          <w:p w14:paraId="51C32E76"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22 (14.5)</w:t>
            </w:r>
          </w:p>
          <w:p w14:paraId="47DA3647" w14:textId="77777777" w:rsidR="003A1C28" w:rsidRPr="005B2079" w:rsidRDefault="003A1C28" w:rsidP="00014A9C">
            <w:pPr>
              <w:keepNext/>
              <w:jc w:val="center"/>
              <w:rPr>
                <w:rFonts w:ascii="Arial Narrow" w:hAnsi="Arial Narrow"/>
                <w:sz w:val="20"/>
                <w:szCs w:val="20"/>
              </w:rPr>
            </w:pPr>
            <w:r>
              <w:rPr>
                <w:rFonts w:ascii="Arial Narrow" w:hAnsi="Arial Narrow"/>
                <w:sz w:val="20"/>
                <w:szCs w:val="20"/>
              </w:rPr>
              <w:t>11 (7.2)</w:t>
            </w:r>
          </w:p>
          <w:p w14:paraId="19611604" w14:textId="77777777" w:rsidR="003A1C28" w:rsidRDefault="003A1C28" w:rsidP="00014A9C">
            <w:pPr>
              <w:keepNext/>
              <w:jc w:val="center"/>
              <w:rPr>
                <w:rFonts w:ascii="Arial Narrow" w:hAnsi="Arial Narrow"/>
                <w:sz w:val="20"/>
                <w:szCs w:val="20"/>
              </w:rPr>
            </w:pPr>
            <w:r w:rsidRPr="005B2079">
              <w:rPr>
                <w:rFonts w:ascii="Arial Narrow" w:hAnsi="Arial Narrow"/>
                <w:sz w:val="20"/>
                <w:szCs w:val="20"/>
              </w:rPr>
              <w:t>10 (6.6)</w:t>
            </w:r>
          </w:p>
          <w:p w14:paraId="3C965139" w14:textId="77777777" w:rsidR="003A1C28" w:rsidRDefault="003A1C28" w:rsidP="00014A9C">
            <w:pPr>
              <w:keepNext/>
              <w:jc w:val="center"/>
              <w:rPr>
                <w:rFonts w:ascii="Arial Narrow" w:hAnsi="Arial Narrow"/>
                <w:sz w:val="20"/>
                <w:szCs w:val="20"/>
              </w:rPr>
            </w:pPr>
            <w:r>
              <w:rPr>
                <w:rFonts w:ascii="Arial Narrow" w:hAnsi="Arial Narrow"/>
                <w:sz w:val="20"/>
                <w:szCs w:val="20"/>
              </w:rPr>
              <w:t>5 (3.3)</w:t>
            </w:r>
          </w:p>
          <w:p w14:paraId="6DB6D344" w14:textId="77777777" w:rsidR="003A1C28" w:rsidRPr="005B2079" w:rsidRDefault="003A1C28" w:rsidP="00014A9C">
            <w:pPr>
              <w:keepNext/>
              <w:jc w:val="center"/>
              <w:rPr>
                <w:rFonts w:ascii="Arial Narrow" w:hAnsi="Arial Narrow"/>
                <w:sz w:val="20"/>
                <w:szCs w:val="20"/>
              </w:rPr>
            </w:pPr>
            <w:r>
              <w:rPr>
                <w:rFonts w:ascii="Arial Narrow" w:hAnsi="Arial Narrow"/>
                <w:sz w:val="20"/>
                <w:szCs w:val="20"/>
              </w:rPr>
              <w:t>10 (6.6)</w:t>
            </w:r>
          </w:p>
        </w:tc>
        <w:tc>
          <w:tcPr>
            <w:tcW w:w="779" w:type="pct"/>
          </w:tcPr>
          <w:p w14:paraId="19D3D68F" w14:textId="77777777" w:rsidR="003A1C28" w:rsidRDefault="003A1C28" w:rsidP="00014A9C">
            <w:pPr>
              <w:keepNext/>
              <w:jc w:val="center"/>
              <w:rPr>
                <w:rFonts w:ascii="Arial Narrow" w:hAnsi="Arial Narrow"/>
                <w:sz w:val="20"/>
                <w:szCs w:val="20"/>
              </w:rPr>
            </w:pPr>
          </w:p>
          <w:p w14:paraId="6EDAF35A"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28 (18.7)</w:t>
            </w:r>
          </w:p>
          <w:p w14:paraId="60B6C7DE"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24 (16.0)</w:t>
            </w:r>
          </w:p>
          <w:p w14:paraId="5F1E795F"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12 (8.0)</w:t>
            </w:r>
          </w:p>
          <w:p w14:paraId="2F2316AB"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14 (9.3)</w:t>
            </w:r>
          </w:p>
          <w:p w14:paraId="702959D6"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9 (6.0)</w:t>
            </w:r>
          </w:p>
          <w:p w14:paraId="7D685E06"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20 (13.3)</w:t>
            </w:r>
          </w:p>
          <w:p w14:paraId="27EC12FA" w14:textId="77777777" w:rsidR="003A1C28" w:rsidRPr="005B2079" w:rsidRDefault="003A1C28" w:rsidP="00014A9C">
            <w:pPr>
              <w:keepNext/>
              <w:jc w:val="center"/>
              <w:rPr>
                <w:rFonts w:ascii="Arial Narrow" w:hAnsi="Arial Narrow"/>
                <w:sz w:val="20"/>
                <w:szCs w:val="20"/>
              </w:rPr>
            </w:pPr>
            <w:r>
              <w:rPr>
                <w:rFonts w:ascii="Arial Narrow" w:hAnsi="Arial Narrow"/>
                <w:sz w:val="20"/>
                <w:szCs w:val="20"/>
              </w:rPr>
              <w:t>20 (13.3)</w:t>
            </w:r>
          </w:p>
          <w:p w14:paraId="26A0D1F8" w14:textId="77777777" w:rsidR="003A1C28" w:rsidRDefault="003A1C28" w:rsidP="00014A9C">
            <w:pPr>
              <w:keepNext/>
              <w:jc w:val="center"/>
              <w:rPr>
                <w:rFonts w:ascii="Arial Narrow" w:hAnsi="Arial Narrow"/>
                <w:sz w:val="20"/>
                <w:szCs w:val="20"/>
              </w:rPr>
            </w:pPr>
            <w:r w:rsidRPr="005B2079">
              <w:rPr>
                <w:rFonts w:ascii="Arial Narrow" w:hAnsi="Arial Narrow"/>
                <w:sz w:val="20"/>
                <w:szCs w:val="20"/>
              </w:rPr>
              <w:t>12 (8.0)</w:t>
            </w:r>
          </w:p>
          <w:p w14:paraId="02A3E612" w14:textId="77777777" w:rsidR="003A1C28" w:rsidRDefault="003A1C28" w:rsidP="00014A9C">
            <w:pPr>
              <w:keepNext/>
              <w:jc w:val="center"/>
              <w:rPr>
                <w:rFonts w:ascii="Arial Narrow" w:hAnsi="Arial Narrow"/>
                <w:sz w:val="20"/>
                <w:szCs w:val="20"/>
              </w:rPr>
            </w:pPr>
            <w:r>
              <w:rPr>
                <w:rFonts w:ascii="Arial Narrow" w:hAnsi="Arial Narrow"/>
                <w:sz w:val="20"/>
                <w:szCs w:val="20"/>
              </w:rPr>
              <w:t>7 (4.7)</w:t>
            </w:r>
          </w:p>
          <w:p w14:paraId="64BE053F" w14:textId="77777777" w:rsidR="003A1C28" w:rsidRPr="005B2079" w:rsidRDefault="003A1C28" w:rsidP="00014A9C">
            <w:pPr>
              <w:keepNext/>
              <w:jc w:val="center"/>
              <w:rPr>
                <w:rFonts w:ascii="Arial Narrow" w:hAnsi="Arial Narrow"/>
                <w:sz w:val="20"/>
                <w:szCs w:val="20"/>
              </w:rPr>
            </w:pPr>
            <w:r>
              <w:rPr>
                <w:rFonts w:ascii="Arial Narrow" w:hAnsi="Arial Narrow"/>
                <w:sz w:val="20"/>
                <w:szCs w:val="20"/>
              </w:rPr>
              <w:t>5 (3.3)</w:t>
            </w:r>
          </w:p>
        </w:tc>
        <w:tc>
          <w:tcPr>
            <w:tcW w:w="779" w:type="pct"/>
          </w:tcPr>
          <w:p w14:paraId="68DC3161" w14:textId="77777777" w:rsidR="003A1C28" w:rsidRDefault="003A1C28" w:rsidP="00014A9C">
            <w:pPr>
              <w:keepNext/>
              <w:jc w:val="center"/>
              <w:rPr>
                <w:rFonts w:ascii="Arial Narrow" w:hAnsi="Arial Narrow"/>
                <w:sz w:val="20"/>
                <w:szCs w:val="20"/>
              </w:rPr>
            </w:pPr>
          </w:p>
          <w:p w14:paraId="625F51DE"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54 (35.5)</w:t>
            </w:r>
          </w:p>
          <w:p w14:paraId="7DD4A69C"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51 (33.6)</w:t>
            </w:r>
          </w:p>
          <w:p w14:paraId="62089D44"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14 (9.2)</w:t>
            </w:r>
          </w:p>
          <w:p w14:paraId="7F86176F"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33 (21.7)</w:t>
            </w:r>
          </w:p>
          <w:p w14:paraId="563E0671"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15 (9.9)</w:t>
            </w:r>
          </w:p>
          <w:p w14:paraId="248A067A"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27 (17.8)</w:t>
            </w:r>
          </w:p>
          <w:p w14:paraId="5E273F99"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20 (13.2)</w:t>
            </w:r>
          </w:p>
          <w:p w14:paraId="22BFC326"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17 (11.2)</w:t>
            </w:r>
          </w:p>
          <w:p w14:paraId="31AE583B"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11 (7.2)</w:t>
            </w:r>
          </w:p>
          <w:p w14:paraId="087B9798" w14:textId="77777777" w:rsidR="003A1C28" w:rsidRDefault="003A1C28" w:rsidP="00014A9C">
            <w:pPr>
              <w:keepNext/>
              <w:jc w:val="center"/>
              <w:rPr>
                <w:rFonts w:ascii="Arial Narrow" w:hAnsi="Arial Narrow"/>
                <w:sz w:val="20"/>
                <w:szCs w:val="20"/>
              </w:rPr>
            </w:pPr>
            <w:r w:rsidRPr="005C70AE">
              <w:rPr>
                <w:rFonts w:ascii="Arial Narrow" w:hAnsi="Arial Narrow"/>
                <w:sz w:val="20"/>
                <w:szCs w:val="20"/>
              </w:rPr>
              <w:t>13 (8.6)</w:t>
            </w:r>
          </w:p>
        </w:tc>
        <w:tc>
          <w:tcPr>
            <w:tcW w:w="779" w:type="pct"/>
          </w:tcPr>
          <w:p w14:paraId="087352A0" w14:textId="77777777" w:rsidR="003A1C28" w:rsidRDefault="003A1C28" w:rsidP="00014A9C">
            <w:pPr>
              <w:keepNext/>
              <w:jc w:val="center"/>
              <w:rPr>
                <w:rFonts w:ascii="Arial Narrow" w:hAnsi="Arial Narrow"/>
                <w:sz w:val="20"/>
                <w:szCs w:val="20"/>
              </w:rPr>
            </w:pPr>
          </w:p>
          <w:p w14:paraId="4B3584A3"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36 (24.0)</w:t>
            </w:r>
          </w:p>
          <w:p w14:paraId="5F2E4A1D"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25 (16.7)</w:t>
            </w:r>
          </w:p>
          <w:p w14:paraId="0DDE1FC4"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18 (12.0)</w:t>
            </w:r>
          </w:p>
          <w:p w14:paraId="1D7564E4"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18 (12.0)</w:t>
            </w:r>
          </w:p>
          <w:p w14:paraId="3BAC4BA1"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18 (12.0)</w:t>
            </w:r>
          </w:p>
          <w:p w14:paraId="5BDE404B"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23 (15.3)</w:t>
            </w:r>
          </w:p>
          <w:p w14:paraId="78557128"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13 (8.7)</w:t>
            </w:r>
          </w:p>
          <w:p w14:paraId="00E30BAA"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14 (9.3)</w:t>
            </w:r>
          </w:p>
          <w:p w14:paraId="21431D40"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13 (8.7)</w:t>
            </w:r>
          </w:p>
          <w:p w14:paraId="26C5E556" w14:textId="77777777" w:rsidR="003A1C28" w:rsidRDefault="003A1C28" w:rsidP="00014A9C">
            <w:pPr>
              <w:keepNext/>
              <w:jc w:val="center"/>
              <w:rPr>
                <w:rFonts w:ascii="Arial Narrow" w:hAnsi="Arial Narrow"/>
                <w:sz w:val="20"/>
                <w:szCs w:val="20"/>
              </w:rPr>
            </w:pPr>
            <w:r w:rsidRPr="005C70AE">
              <w:rPr>
                <w:rFonts w:ascii="Arial Narrow" w:hAnsi="Arial Narrow"/>
                <w:sz w:val="20"/>
                <w:szCs w:val="20"/>
              </w:rPr>
              <w:t>18 (12.0)</w:t>
            </w:r>
          </w:p>
        </w:tc>
      </w:tr>
    </w:tbl>
    <w:p w14:paraId="2A9A8C5E" w14:textId="77777777" w:rsidR="003A1C28" w:rsidRDefault="003A1C28" w:rsidP="003A1C28">
      <w:pPr>
        <w:pStyle w:val="TableFigureFooter"/>
      </w:pPr>
      <w:r w:rsidRPr="00191822">
        <w:t xml:space="preserve">Source: </w:t>
      </w:r>
      <w:r>
        <w:t>Table 2(a).5-14, pp187-188; Table 2(a).5-15, p190; Table 2(a).5-16, pp192-193; Table 2(a).5-17, pp195-196 of the submission.</w:t>
      </w:r>
    </w:p>
    <w:p w14:paraId="0607CC1B" w14:textId="77777777" w:rsidR="003A1C28" w:rsidRPr="00B1011F" w:rsidRDefault="003A1C28" w:rsidP="003A1C28">
      <w:pPr>
        <w:pStyle w:val="TableFigureFooter"/>
        <w:rPr>
          <w:sz w:val="20"/>
        </w:rPr>
      </w:pPr>
      <w:r>
        <w:t>Abbreviations: AE, adverse event; BAT, best available therapy; RUX, ruxolitinib.</w:t>
      </w:r>
    </w:p>
    <w:p w14:paraId="16020DD6" w14:textId="25C9774A" w:rsidR="00253162" w:rsidRDefault="00253162" w:rsidP="003A1C28">
      <w:pPr>
        <w:pStyle w:val="ExecSumBodyText"/>
      </w:pPr>
      <w:r>
        <w:t>Treatment-related adverse events were higher in the ruxolitinib arm compared to the BAT arm for treatment-emergent adverse events, serious adverse events</w:t>
      </w:r>
      <w:r w:rsidR="00A751DB">
        <w:t xml:space="preserve">, Grade </w:t>
      </w:r>
      <w:r w:rsidR="00A751DB">
        <w:rPr>
          <w:rFonts w:cstheme="minorHAnsi"/>
        </w:rPr>
        <w:t>≥</w:t>
      </w:r>
      <w:r w:rsidR="00A751DB">
        <w:t>3 adverse events,</w:t>
      </w:r>
      <w:r>
        <w:t xml:space="preserve"> and discontinuations due to adverse events for the primary </w:t>
      </w:r>
      <w:r w:rsidR="00A751DB">
        <w:t xml:space="preserve">analysis and at the </w:t>
      </w:r>
      <w:r>
        <w:t>January 2020 data cut. Treatment-related fatal serious adverse events were higher in the ruxolitinib at the January 2020 data cut.</w:t>
      </w:r>
    </w:p>
    <w:p w14:paraId="6393FC9B" w14:textId="3C9407F5" w:rsidR="003A1C28" w:rsidRDefault="003A1C28" w:rsidP="003A1C28">
      <w:pPr>
        <w:pStyle w:val="ExecSumBodyText"/>
      </w:pPr>
      <w:r>
        <w:t>The most commonly reported (&gt;25%) adverse events for the primary treatment period in the ruxolitinib arm were thrombocytopenia (32.9%), anaemia (30.3%), and cytomegalovirus infection (25.7%). The most commonly reported adverse events in the January 2020 data cut period were anaemia (40.1%), thrombocytopenia (36.8%) and cytomegalovirus infection (30.9%).</w:t>
      </w:r>
    </w:p>
    <w:p w14:paraId="16E43DE1" w14:textId="2DA6B300" w:rsidR="003A1C28" w:rsidRDefault="003A1C28" w:rsidP="00253162">
      <w:pPr>
        <w:pStyle w:val="ExecSumBodyText"/>
      </w:pPr>
      <w:r>
        <w:t>The most commonly reported (&gt;20%) Grade ≥3 adverse events at the January 2020 data cut were anaemia (35.5%), thrombocytopenia (33.6%), and neutropenia (21.7%).</w:t>
      </w:r>
    </w:p>
    <w:p w14:paraId="6F2DE4F5" w14:textId="003094CD" w:rsidR="008D141D" w:rsidRPr="00A6154D" w:rsidRDefault="008D141D" w:rsidP="00253162">
      <w:pPr>
        <w:pStyle w:val="ExecSumBodyText"/>
      </w:pPr>
      <w:r w:rsidRPr="00A6154D">
        <w:t>The PSCR noted that the BAT arm in the consisted of 8 different therapies in the REACH2 trial which may have resulted in the AEs experienced in the BAT arm be</w:t>
      </w:r>
      <w:r w:rsidR="006B22FE" w:rsidRPr="00A6154D">
        <w:t>ing</w:t>
      </w:r>
      <w:r w:rsidRPr="00A6154D">
        <w:t xml:space="preserve"> less likely to be attributed to treatment. In addition, the PSCR noted that approximately 20% of patients were treated with 2 or more BATs. The PSCR stated that the safety profile of ruxolitinib was different compared to the BATs used in REACH2 and may be preferable depending on a patient’s co-morbidities.</w:t>
      </w:r>
      <w:r w:rsidR="007817C8">
        <w:t xml:space="preserve"> The pre-PBAC response stated that any treatment-related adverse event comparisons were biased against ruxolitinib as the studies compared ruxolitinib with a defined safety profile with a basket of different therapies, each with different safety profiles.</w:t>
      </w:r>
    </w:p>
    <w:p w14:paraId="43B133E2" w14:textId="77777777" w:rsidR="00F67915" w:rsidRPr="00C9624D" w:rsidRDefault="00F67915" w:rsidP="00F67915">
      <w:pPr>
        <w:pStyle w:val="3-SubsectionHeading"/>
      </w:pPr>
      <w:bookmarkStart w:id="40" w:name="_Toc22897643"/>
      <w:bookmarkStart w:id="41" w:name="_Toc22898855"/>
      <w:bookmarkStart w:id="42" w:name="_Toc103614218"/>
      <w:r w:rsidRPr="00C9624D">
        <w:t>Benefits/harms</w:t>
      </w:r>
      <w:bookmarkEnd w:id="40"/>
      <w:bookmarkEnd w:id="41"/>
      <w:bookmarkEnd w:id="42"/>
    </w:p>
    <w:p w14:paraId="46A2F1C3" w14:textId="0213D3EC" w:rsidR="00EA1880" w:rsidRDefault="00EA1880" w:rsidP="00EA1880">
      <w:pPr>
        <w:pStyle w:val="ExecSumBodyText"/>
      </w:pPr>
      <w:r w:rsidRPr="005657C4">
        <w:t xml:space="preserve">A summary of the comparative benefits and harms for ruxolitinib </w:t>
      </w:r>
      <w:r w:rsidR="00E846DA">
        <w:t>and</w:t>
      </w:r>
      <w:r w:rsidRPr="005657C4">
        <w:t xml:space="preserve"> BAT for cGVHD is presented in the table below.</w:t>
      </w:r>
    </w:p>
    <w:p w14:paraId="63ABE409" w14:textId="623209BC" w:rsidR="00EA1880" w:rsidRPr="00D2155B" w:rsidRDefault="00EA1880" w:rsidP="00EA1880">
      <w:pPr>
        <w:pStyle w:val="TableFigureCaption"/>
      </w:pPr>
      <w:r w:rsidRPr="0042047F">
        <w:t xml:space="preserve">Table </w:t>
      </w:r>
      <w:fldSimple w:instr=" SEQ Table \* ARABIC " w:fldLock="1">
        <w:r w:rsidR="005A7A1C">
          <w:rPr>
            <w:noProof/>
          </w:rPr>
          <w:t>12</w:t>
        </w:r>
      </w:fldSimple>
      <w:r>
        <w:rPr>
          <w:noProof/>
        </w:rPr>
        <w:t xml:space="preserve">: </w:t>
      </w:r>
      <w:r w:rsidRPr="00D2155B">
        <w:t xml:space="preserve">Summary of comparative benefits and harms for </w:t>
      </w:r>
      <w:r>
        <w:t>ruxolitinib and BAT for cGVHD</w:t>
      </w:r>
    </w:p>
    <w:tbl>
      <w:tblPr>
        <w:tblW w:w="5000" w:type="pct"/>
        <w:tblLayout w:type="fixed"/>
        <w:tblCellMar>
          <w:left w:w="28" w:type="dxa"/>
          <w:right w:w="28" w:type="dxa"/>
        </w:tblCellMar>
        <w:tblLook w:val="04A0" w:firstRow="1" w:lastRow="0" w:firstColumn="1" w:lastColumn="0" w:noHBand="0" w:noVBand="1"/>
        <w:tblCaption w:val="Table 12: Summary of comparative benefits and harms for ruxolitinib and BAT for cGVHD"/>
      </w:tblPr>
      <w:tblGrid>
        <w:gridCol w:w="2260"/>
        <w:gridCol w:w="994"/>
        <w:gridCol w:w="990"/>
        <w:gridCol w:w="1416"/>
        <w:gridCol w:w="994"/>
        <w:gridCol w:w="972"/>
        <w:gridCol w:w="20"/>
        <w:gridCol w:w="1371"/>
      </w:tblGrid>
      <w:tr w:rsidR="005C5DF5" w:rsidRPr="00E2771E" w14:paraId="3F229D9E" w14:textId="77777777" w:rsidTr="00B412E9">
        <w:trPr>
          <w:trHeight w:val="150"/>
          <w:tblHeader/>
        </w:trPr>
        <w:tc>
          <w:tcPr>
            <w:tcW w:w="12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581B1D" w14:textId="77777777" w:rsidR="00EA1880" w:rsidRPr="00E2771E" w:rsidRDefault="00EA1880" w:rsidP="009C7407">
            <w:pPr>
              <w:pStyle w:val="Tableheadingrow"/>
            </w:pPr>
          </w:p>
        </w:tc>
        <w:tc>
          <w:tcPr>
            <w:tcW w:w="551" w:type="pct"/>
            <w:vMerge w:val="restart"/>
            <w:tcBorders>
              <w:top w:val="single" w:sz="4" w:space="0" w:color="auto"/>
              <w:left w:val="single" w:sz="4" w:space="0" w:color="auto"/>
              <w:bottom w:val="single" w:sz="4" w:space="0" w:color="auto"/>
              <w:right w:val="single" w:sz="4" w:space="0" w:color="auto"/>
            </w:tcBorders>
            <w:vAlign w:val="center"/>
          </w:tcPr>
          <w:p w14:paraId="53150C50" w14:textId="77777777" w:rsidR="00EA1880" w:rsidRDefault="00EA1880" w:rsidP="009C7407">
            <w:pPr>
              <w:pStyle w:val="Tableheadingrow"/>
              <w:jc w:val="center"/>
            </w:pPr>
            <w:r>
              <w:t>Ruxolitinib</w:t>
            </w:r>
          </w:p>
          <w:p w14:paraId="69863EAA" w14:textId="77777777" w:rsidR="00EA1880" w:rsidRPr="00E2771E" w:rsidRDefault="00EA1880" w:rsidP="009C7407">
            <w:pPr>
              <w:pStyle w:val="Tableheadingrow"/>
              <w:jc w:val="center"/>
            </w:pPr>
            <w:r>
              <w:t>n/N</w:t>
            </w:r>
          </w:p>
        </w:tc>
        <w:tc>
          <w:tcPr>
            <w:tcW w:w="549" w:type="pct"/>
            <w:vMerge w:val="restart"/>
            <w:tcBorders>
              <w:top w:val="single" w:sz="4" w:space="0" w:color="auto"/>
              <w:left w:val="single" w:sz="4" w:space="0" w:color="auto"/>
              <w:bottom w:val="single" w:sz="4" w:space="0" w:color="auto"/>
              <w:right w:val="single" w:sz="4" w:space="0" w:color="auto"/>
            </w:tcBorders>
            <w:vAlign w:val="center"/>
          </w:tcPr>
          <w:p w14:paraId="5E1EE549" w14:textId="77777777" w:rsidR="00EA1880" w:rsidRDefault="00EA1880" w:rsidP="009C7407">
            <w:pPr>
              <w:pStyle w:val="Tableheadingrow"/>
              <w:jc w:val="center"/>
            </w:pPr>
            <w:r>
              <w:t>BAT</w:t>
            </w:r>
          </w:p>
          <w:p w14:paraId="624F0014" w14:textId="77777777" w:rsidR="00EA1880" w:rsidRPr="00E2771E" w:rsidRDefault="00EA1880" w:rsidP="009C7407">
            <w:pPr>
              <w:pStyle w:val="Tableheadingrow"/>
              <w:jc w:val="center"/>
            </w:pPr>
            <w:r>
              <w:t>n/N</w:t>
            </w:r>
          </w:p>
        </w:tc>
        <w:tc>
          <w:tcPr>
            <w:tcW w:w="785" w:type="pct"/>
            <w:vMerge w:val="restart"/>
            <w:tcBorders>
              <w:top w:val="single" w:sz="4" w:space="0" w:color="auto"/>
              <w:left w:val="single" w:sz="4" w:space="0" w:color="auto"/>
              <w:bottom w:val="single" w:sz="4" w:space="0" w:color="auto"/>
              <w:right w:val="single" w:sz="4" w:space="0" w:color="auto"/>
            </w:tcBorders>
            <w:vAlign w:val="center"/>
          </w:tcPr>
          <w:p w14:paraId="0BC2E1F3" w14:textId="77777777" w:rsidR="00EA1880" w:rsidRPr="00E2771E" w:rsidRDefault="00EA1880" w:rsidP="009C7407">
            <w:pPr>
              <w:pStyle w:val="Tableheadingrow"/>
              <w:jc w:val="center"/>
            </w:pPr>
            <w:r w:rsidRPr="00E2771E">
              <w:t>RR</w:t>
            </w:r>
          </w:p>
          <w:p w14:paraId="4E62E338" w14:textId="77777777" w:rsidR="00EA1880" w:rsidRPr="00E2771E" w:rsidRDefault="00EA1880" w:rsidP="009C7407">
            <w:pPr>
              <w:pStyle w:val="Tableheadingrow"/>
              <w:jc w:val="center"/>
            </w:pPr>
            <w:r w:rsidRPr="00E2771E">
              <w:t>(95% CI)</w:t>
            </w:r>
          </w:p>
        </w:tc>
        <w:tc>
          <w:tcPr>
            <w:tcW w:w="1101" w:type="pct"/>
            <w:gridSpan w:val="3"/>
            <w:tcBorders>
              <w:top w:val="single" w:sz="4" w:space="0" w:color="auto"/>
              <w:left w:val="single" w:sz="4" w:space="0" w:color="auto"/>
              <w:bottom w:val="single" w:sz="4" w:space="0" w:color="auto"/>
              <w:right w:val="single" w:sz="4" w:space="0" w:color="auto"/>
            </w:tcBorders>
            <w:vAlign w:val="center"/>
          </w:tcPr>
          <w:p w14:paraId="42B3C12C" w14:textId="77777777" w:rsidR="00EA1880" w:rsidRPr="00E2771E" w:rsidRDefault="00EA1880" w:rsidP="009C7407">
            <w:pPr>
              <w:pStyle w:val="Tableheadingrow"/>
              <w:jc w:val="center"/>
            </w:pPr>
            <w:r w:rsidRPr="00E2771E">
              <w:t>Event rate/100 patients</w:t>
            </w:r>
          </w:p>
        </w:tc>
        <w:tc>
          <w:tcPr>
            <w:tcW w:w="759" w:type="pct"/>
            <w:vMerge w:val="restart"/>
            <w:tcBorders>
              <w:top w:val="single" w:sz="4" w:space="0" w:color="auto"/>
              <w:left w:val="single" w:sz="4" w:space="0" w:color="auto"/>
              <w:bottom w:val="single" w:sz="4" w:space="0" w:color="auto"/>
              <w:right w:val="single" w:sz="4" w:space="0" w:color="auto"/>
            </w:tcBorders>
            <w:vAlign w:val="center"/>
          </w:tcPr>
          <w:p w14:paraId="0506890F" w14:textId="77777777" w:rsidR="00EA1880" w:rsidRPr="00E2771E" w:rsidRDefault="00EA1880" w:rsidP="009C7407">
            <w:pPr>
              <w:pStyle w:val="Tableheadingrow"/>
              <w:jc w:val="center"/>
            </w:pPr>
            <w:r w:rsidRPr="00E2771E">
              <w:t>RD</w:t>
            </w:r>
          </w:p>
          <w:p w14:paraId="66C4B048" w14:textId="77777777" w:rsidR="00EA1880" w:rsidRPr="00E2771E" w:rsidRDefault="00EA1880" w:rsidP="009C7407">
            <w:pPr>
              <w:pStyle w:val="Tableheadingrow"/>
              <w:jc w:val="center"/>
            </w:pPr>
            <w:r w:rsidRPr="00E2771E">
              <w:t>(95% CI)</w:t>
            </w:r>
          </w:p>
        </w:tc>
      </w:tr>
      <w:tr w:rsidR="005C5DF5" w:rsidRPr="00E2771E" w14:paraId="4C190FDE" w14:textId="77777777" w:rsidTr="00B412E9">
        <w:trPr>
          <w:trHeight w:val="315"/>
        </w:trPr>
        <w:tc>
          <w:tcPr>
            <w:tcW w:w="125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D7BE1C" w14:textId="77777777" w:rsidR="00EA1880" w:rsidRPr="00E2771E" w:rsidRDefault="00EA1880" w:rsidP="009C7407">
            <w:pPr>
              <w:pStyle w:val="Tableheadingrow"/>
              <w:jc w:val="center"/>
            </w:pPr>
          </w:p>
        </w:tc>
        <w:tc>
          <w:tcPr>
            <w:tcW w:w="551" w:type="pct"/>
            <w:vMerge/>
            <w:tcBorders>
              <w:top w:val="single" w:sz="4" w:space="0" w:color="auto"/>
              <w:left w:val="single" w:sz="4" w:space="0" w:color="auto"/>
              <w:bottom w:val="single" w:sz="4" w:space="0" w:color="auto"/>
              <w:right w:val="single" w:sz="4" w:space="0" w:color="auto"/>
            </w:tcBorders>
            <w:vAlign w:val="center"/>
          </w:tcPr>
          <w:p w14:paraId="6BA5068B" w14:textId="77777777" w:rsidR="00EA1880" w:rsidRPr="00E2771E" w:rsidRDefault="00EA1880" w:rsidP="009C7407">
            <w:pPr>
              <w:pStyle w:val="Tableheadingrow"/>
              <w:jc w:val="center"/>
            </w:pPr>
          </w:p>
        </w:tc>
        <w:tc>
          <w:tcPr>
            <w:tcW w:w="549" w:type="pct"/>
            <w:vMerge/>
            <w:tcBorders>
              <w:top w:val="single" w:sz="4" w:space="0" w:color="auto"/>
              <w:left w:val="single" w:sz="4" w:space="0" w:color="auto"/>
              <w:bottom w:val="single" w:sz="4" w:space="0" w:color="auto"/>
              <w:right w:val="single" w:sz="4" w:space="0" w:color="auto"/>
            </w:tcBorders>
            <w:vAlign w:val="center"/>
          </w:tcPr>
          <w:p w14:paraId="34F9028D" w14:textId="77777777" w:rsidR="00EA1880" w:rsidRPr="00E2771E" w:rsidRDefault="00EA1880" w:rsidP="009C7407">
            <w:pPr>
              <w:pStyle w:val="Tableheadingrow"/>
              <w:jc w:val="center"/>
            </w:pPr>
          </w:p>
        </w:tc>
        <w:tc>
          <w:tcPr>
            <w:tcW w:w="785" w:type="pct"/>
            <w:vMerge/>
            <w:tcBorders>
              <w:top w:val="single" w:sz="4" w:space="0" w:color="auto"/>
              <w:left w:val="single" w:sz="4" w:space="0" w:color="auto"/>
              <w:bottom w:val="single" w:sz="4" w:space="0" w:color="auto"/>
              <w:right w:val="single" w:sz="4" w:space="0" w:color="auto"/>
            </w:tcBorders>
            <w:vAlign w:val="center"/>
          </w:tcPr>
          <w:p w14:paraId="4FE39F08" w14:textId="77777777" w:rsidR="00EA1880" w:rsidRPr="00E2771E" w:rsidRDefault="00EA1880" w:rsidP="009C7407">
            <w:pPr>
              <w:pStyle w:val="Tableheadingrow"/>
              <w:jc w:val="center"/>
            </w:pPr>
          </w:p>
        </w:tc>
        <w:tc>
          <w:tcPr>
            <w:tcW w:w="551" w:type="pct"/>
            <w:tcBorders>
              <w:top w:val="single" w:sz="4" w:space="0" w:color="auto"/>
              <w:left w:val="single" w:sz="4" w:space="0" w:color="auto"/>
              <w:bottom w:val="single" w:sz="4" w:space="0" w:color="auto"/>
              <w:right w:val="single" w:sz="4" w:space="0" w:color="auto"/>
            </w:tcBorders>
            <w:vAlign w:val="center"/>
          </w:tcPr>
          <w:p w14:paraId="6A58DE81" w14:textId="77777777" w:rsidR="00EA1880" w:rsidRPr="00E2771E" w:rsidRDefault="00EA1880" w:rsidP="009C7407">
            <w:pPr>
              <w:pStyle w:val="Tableheadingrow"/>
              <w:jc w:val="center"/>
            </w:pPr>
            <w:r>
              <w:t>Ruxolitinib</w:t>
            </w:r>
          </w:p>
        </w:tc>
        <w:tc>
          <w:tcPr>
            <w:tcW w:w="550" w:type="pct"/>
            <w:gridSpan w:val="2"/>
            <w:tcBorders>
              <w:top w:val="single" w:sz="4" w:space="0" w:color="auto"/>
              <w:left w:val="single" w:sz="4" w:space="0" w:color="auto"/>
              <w:bottom w:val="single" w:sz="4" w:space="0" w:color="auto"/>
              <w:right w:val="single" w:sz="4" w:space="0" w:color="auto"/>
            </w:tcBorders>
            <w:vAlign w:val="center"/>
          </w:tcPr>
          <w:p w14:paraId="6E5CEA94" w14:textId="77777777" w:rsidR="00EA1880" w:rsidRPr="00E2771E" w:rsidRDefault="00EA1880" w:rsidP="009C7407">
            <w:pPr>
              <w:pStyle w:val="Tableheadingrow"/>
              <w:jc w:val="center"/>
            </w:pPr>
            <w:r>
              <w:t>BAT</w:t>
            </w:r>
          </w:p>
        </w:tc>
        <w:tc>
          <w:tcPr>
            <w:tcW w:w="759" w:type="pct"/>
            <w:vMerge/>
            <w:tcBorders>
              <w:top w:val="single" w:sz="4" w:space="0" w:color="auto"/>
              <w:left w:val="single" w:sz="4" w:space="0" w:color="auto"/>
              <w:bottom w:val="single" w:sz="4" w:space="0" w:color="auto"/>
              <w:right w:val="single" w:sz="4" w:space="0" w:color="auto"/>
            </w:tcBorders>
            <w:vAlign w:val="center"/>
          </w:tcPr>
          <w:p w14:paraId="7DA0294C" w14:textId="77777777" w:rsidR="00EA1880" w:rsidRPr="00E2771E" w:rsidRDefault="00EA1880" w:rsidP="009C7407">
            <w:pPr>
              <w:pStyle w:val="Tableheadingrow"/>
              <w:jc w:val="center"/>
            </w:pPr>
          </w:p>
        </w:tc>
      </w:tr>
      <w:tr w:rsidR="005C5DF5" w:rsidRPr="00E2771E" w14:paraId="42456EE7" w14:textId="77777777" w:rsidTr="00B412E9">
        <w:tc>
          <w:tcPr>
            <w:tcW w:w="5000" w:type="pct"/>
            <w:gridSpan w:val="8"/>
            <w:tcBorders>
              <w:top w:val="single" w:sz="4" w:space="0" w:color="auto"/>
              <w:left w:val="single" w:sz="4" w:space="0" w:color="auto"/>
              <w:bottom w:val="double" w:sz="4" w:space="0" w:color="auto"/>
              <w:right w:val="single" w:sz="4" w:space="0" w:color="auto"/>
            </w:tcBorders>
            <w:shd w:val="clear" w:color="auto" w:fill="auto"/>
            <w:vAlign w:val="center"/>
          </w:tcPr>
          <w:p w14:paraId="07973E25" w14:textId="77777777" w:rsidR="00EA1880" w:rsidRPr="00E2771E" w:rsidRDefault="00EA1880" w:rsidP="009C7407">
            <w:pPr>
              <w:pStyle w:val="Tableheadingrow"/>
            </w:pPr>
            <w:r w:rsidRPr="00E2771E">
              <w:t>Benefits</w:t>
            </w:r>
          </w:p>
        </w:tc>
      </w:tr>
      <w:tr w:rsidR="005C5DF5" w:rsidRPr="00E2771E" w14:paraId="7213B563" w14:textId="77777777" w:rsidTr="00B412E9">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55C6AA0" w14:textId="77777777" w:rsidR="00EA1880" w:rsidRPr="00E2771E" w:rsidRDefault="00EA1880" w:rsidP="009C7407">
            <w:pPr>
              <w:pStyle w:val="TableText"/>
            </w:pPr>
            <w:r>
              <w:t>ORR at Week 24</w:t>
            </w:r>
          </w:p>
        </w:tc>
        <w:tc>
          <w:tcPr>
            <w:tcW w:w="551" w:type="pct"/>
            <w:tcBorders>
              <w:top w:val="single" w:sz="4" w:space="0" w:color="auto"/>
              <w:left w:val="single" w:sz="4" w:space="0" w:color="auto"/>
              <w:bottom w:val="single" w:sz="4" w:space="0" w:color="auto"/>
              <w:right w:val="single" w:sz="4" w:space="0" w:color="auto"/>
            </w:tcBorders>
            <w:vAlign w:val="center"/>
          </w:tcPr>
          <w:p w14:paraId="457339DE" w14:textId="77777777" w:rsidR="00EA1880" w:rsidRPr="00E2771E" w:rsidRDefault="00EA1880" w:rsidP="009C7407">
            <w:pPr>
              <w:pStyle w:val="TableText"/>
              <w:jc w:val="center"/>
            </w:pPr>
            <w:r>
              <w:t>82/165</w:t>
            </w:r>
          </w:p>
        </w:tc>
        <w:tc>
          <w:tcPr>
            <w:tcW w:w="549" w:type="pct"/>
            <w:tcBorders>
              <w:top w:val="single" w:sz="4" w:space="0" w:color="auto"/>
              <w:left w:val="single" w:sz="4" w:space="0" w:color="auto"/>
              <w:bottom w:val="single" w:sz="4" w:space="0" w:color="auto"/>
              <w:right w:val="single" w:sz="4" w:space="0" w:color="auto"/>
            </w:tcBorders>
            <w:vAlign w:val="center"/>
          </w:tcPr>
          <w:p w14:paraId="707FC6E6" w14:textId="77777777" w:rsidR="00EA1880" w:rsidRPr="00E2771E" w:rsidRDefault="00EA1880" w:rsidP="009C7407">
            <w:pPr>
              <w:pStyle w:val="TableText"/>
              <w:jc w:val="center"/>
            </w:pPr>
            <w:r>
              <w:t>42/164</w:t>
            </w:r>
          </w:p>
        </w:tc>
        <w:tc>
          <w:tcPr>
            <w:tcW w:w="785" w:type="pct"/>
            <w:tcBorders>
              <w:top w:val="single" w:sz="4" w:space="0" w:color="auto"/>
              <w:left w:val="single" w:sz="4" w:space="0" w:color="auto"/>
              <w:bottom w:val="single" w:sz="4" w:space="0" w:color="auto"/>
              <w:right w:val="single" w:sz="4" w:space="0" w:color="auto"/>
            </w:tcBorders>
            <w:vAlign w:val="center"/>
          </w:tcPr>
          <w:p w14:paraId="70FE49CE" w14:textId="77777777" w:rsidR="00EA1880" w:rsidRPr="00E2771E" w:rsidRDefault="00EA1880" w:rsidP="009C7407">
            <w:pPr>
              <w:pStyle w:val="TableText"/>
              <w:jc w:val="center"/>
            </w:pPr>
            <w:r w:rsidRPr="001B7105">
              <w:t>1.94 (1.43, 2.63)</w:t>
            </w:r>
          </w:p>
        </w:tc>
        <w:tc>
          <w:tcPr>
            <w:tcW w:w="551" w:type="pct"/>
            <w:tcBorders>
              <w:top w:val="single" w:sz="4" w:space="0" w:color="auto"/>
              <w:left w:val="single" w:sz="4" w:space="0" w:color="auto"/>
              <w:bottom w:val="single" w:sz="4" w:space="0" w:color="auto"/>
              <w:right w:val="single" w:sz="4" w:space="0" w:color="auto"/>
            </w:tcBorders>
            <w:vAlign w:val="center"/>
          </w:tcPr>
          <w:p w14:paraId="66626589" w14:textId="77777777" w:rsidR="00EA1880" w:rsidRPr="00E2771E" w:rsidRDefault="00EA1880" w:rsidP="009C7407">
            <w:pPr>
              <w:pStyle w:val="TableText"/>
              <w:jc w:val="center"/>
            </w:pPr>
            <w:r>
              <w:t>49.7</w:t>
            </w:r>
          </w:p>
        </w:tc>
        <w:tc>
          <w:tcPr>
            <w:tcW w:w="550" w:type="pct"/>
            <w:gridSpan w:val="2"/>
            <w:tcBorders>
              <w:top w:val="single" w:sz="4" w:space="0" w:color="auto"/>
              <w:left w:val="single" w:sz="4" w:space="0" w:color="auto"/>
              <w:bottom w:val="single" w:sz="4" w:space="0" w:color="auto"/>
              <w:right w:val="single" w:sz="4" w:space="0" w:color="auto"/>
            </w:tcBorders>
            <w:vAlign w:val="center"/>
          </w:tcPr>
          <w:p w14:paraId="67DE22CA" w14:textId="77777777" w:rsidR="00EA1880" w:rsidRPr="00E2771E" w:rsidRDefault="00EA1880" w:rsidP="009C7407">
            <w:pPr>
              <w:pStyle w:val="TableText"/>
              <w:jc w:val="center"/>
            </w:pPr>
            <w:r>
              <w:t>25.6</w:t>
            </w:r>
          </w:p>
        </w:tc>
        <w:tc>
          <w:tcPr>
            <w:tcW w:w="759" w:type="pct"/>
            <w:tcBorders>
              <w:top w:val="single" w:sz="4" w:space="0" w:color="auto"/>
              <w:left w:val="single" w:sz="4" w:space="0" w:color="auto"/>
              <w:bottom w:val="single" w:sz="4" w:space="0" w:color="auto"/>
              <w:right w:val="single" w:sz="4" w:space="0" w:color="auto"/>
            </w:tcBorders>
            <w:vAlign w:val="center"/>
          </w:tcPr>
          <w:p w14:paraId="4FE9A069" w14:textId="77777777" w:rsidR="00EA1880" w:rsidRPr="00E2771E" w:rsidRDefault="00EA1880" w:rsidP="009C7407">
            <w:pPr>
              <w:pStyle w:val="TableText"/>
              <w:jc w:val="center"/>
            </w:pPr>
            <w:r w:rsidRPr="001B7105">
              <w:t>0.24 (0.14, 0.34)</w:t>
            </w:r>
          </w:p>
        </w:tc>
      </w:tr>
      <w:tr w:rsidR="005C5DF5" w:rsidRPr="00E2771E" w14:paraId="36A11787" w14:textId="77777777" w:rsidTr="00B412E9">
        <w:tc>
          <w:tcPr>
            <w:tcW w:w="1254" w:type="pct"/>
            <w:tcBorders>
              <w:top w:val="single" w:sz="4" w:space="0" w:color="auto"/>
              <w:left w:val="single" w:sz="4" w:space="0" w:color="auto"/>
              <w:right w:val="single" w:sz="4" w:space="0" w:color="auto"/>
            </w:tcBorders>
            <w:shd w:val="clear" w:color="auto" w:fill="auto"/>
            <w:vAlign w:val="center"/>
          </w:tcPr>
          <w:p w14:paraId="4B052472" w14:textId="77777777" w:rsidR="00EA1880" w:rsidRPr="00495DD6" w:rsidRDefault="00EA1880" w:rsidP="009C7407">
            <w:pPr>
              <w:pStyle w:val="TableText"/>
              <w:rPr>
                <w:vertAlign w:val="superscript"/>
              </w:rPr>
            </w:pPr>
            <w:r>
              <w:t>Proportion tapered off corticosteroids</w:t>
            </w:r>
            <w:r>
              <w:rPr>
                <w:vertAlign w:val="superscript"/>
              </w:rPr>
              <w:t>1</w:t>
            </w:r>
          </w:p>
        </w:tc>
        <w:tc>
          <w:tcPr>
            <w:tcW w:w="551" w:type="pct"/>
            <w:tcBorders>
              <w:top w:val="single" w:sz="4" w:space="0" w:color="auto"/>
              <w:left w:val="single" w:sz="4" w:space="0" w:color="auto"/>
              <w:right w:val="single" w:sz="4" w:space="0" w:color="auto"/>
            </w:tcBorders>
            <w:vAlign w:val="center"/>
          </w:tcPr>
          <w:p w14:paraId="1F53FBC3" w14:textId="77777777" w:rsidR="00EA1880" w:rsidRDefault="00EA1880" w:rsidP="009C7407">
            <w:pPr>
              <w:pStyle w:val="TableText"/>
              <w:jc w:val="center"/>
            </w:pPr>
            <w:r>
              <w:t>29/120</w:t>
            </w:r>
          </w:p>
        </w:tc>
        <w:tc>
          <w:tcPr>
            <w:tcW w:w="549" w:type="pct"/>
            <w:tcBorders>
              <w:top w:val="single" w:sz="4" w:space="0" w:color="auto"/>
              <w:left w:val="single" w:sz="4" w:space="0" w:color="auto"/>
              <w:right w:val="single" w:sz="4" w:space="0" w:color="auto"/>
            </w:tcBorders>
            <w:vAlign w:val="center"/>
          </w:tcPr>
          <w:p w14:paraId="73EE3337" w14:textId="77777777" w:rsidR="00EA1880" w:rsidRDefault="00EA1880" w:rsidP="009C7407">
            <w:pPr>
              <w:pStyle w:val="TableText"/>
              <w:jc w:val="center"/>
            </w:pPr>
            <w:r>
              <w:t>20/119</w:t>
            </w:r>
          </w:p>
        </w:tc>
        <w:tc>
          <w:tcPr>
            <w:tcW w:w="785" w:type="pct"/>
            <w:tcBorders>
              <w:top w:val="single" w:sz="4" w:space="0" w:color="auto"/>
              <w:left w:val="single" w:sz="4" w:space="0" w:color="auto"/>
              <w:right w:val="single" w:sz="4" w:space="0" w:color="auto"/>
            </w:tcBorders>
            <w:vAlign w:val="center"/>
          </w:tcPr>
          <w:p w14:paraId="142FBAD8" w14:textId="77777777" w:rsidR="00EA1880" w:rsidRPr="001B7105" w:rsidRDefault="00EA1880" w:rsidP="009C7407">
            <w:pPr>
              <w:pStyle w:val="TableText"/>
              <w:jc w:val="center"/>
            </w:pPr>
            <w:r>
              <w:t>NR</w:t>
            </w:r>
          </w:p>
        </w:tc>
        <w:tc>
          <w:tcPr>
            <w:tcW w:w="551" w:type="pct"/>
            <w:tcBorders>
              <w:top w:val="single" w:sz="4" w:space="0" w:color="auto"/>
              <w:left w:val="single" w:sz="4" w:space="0" w:color="auto"/>
              <w:right w:val="single" w:sz="4" w:space="0" w:color="auto"/>
            </w:tcBorders>
            <w:vAlign w:val="center"/>
          </w:tcPr>
          <w:p w14:paraId="061FBFAC" w14:textId="77777777" w:rsidR="00EA1880" w:rsidRDefault="00EA1880" w:rsidP="009C7407">
            <w:pPr>
              <w:pStyle w:val="TableText"/>
              <w:jc w:val="center"/>
            </w:pPr>
            <w:r>
              <w:t>24.2</w:t>
            </w:r>
          </w:p>
        </w:tc>
        <w:tc>
          <w:tcPr>
            <w:tcW w:w="550" w:type="pct"/>
            <w:gridSpan w:val="2"/>
            <w:tcBorders>
              <w:top w:val="single" w:sz="4" w:space="0" w:color="auto"/>
              <w:left w:val="single" w:sz="4" w:space="0" w:color="auto"/>
              <w:right w:val="single" w:sz="4" w:space="0" w:color="auto"/>
            </w:tcBorders>
            <w:vAlign w:val="center"/>
          </w:tcPr>
          <w:p w14:paraId="0B08DCBD" w14:textId="77777777" w:rsidR="00EA1880" w:rsidRDefault="00EA1880" w:rsidP="009C7407">
            <w:pPr>
              <w:pStyle w:val="TableText"/>
              <w:jc w:val="center"/>
            </w:pPr>
            <w:r>
              <w:t>16.8</w:t>
            </w:r>
          </w:p>
        </w:tc>
        <w:tc>
          <w:tcPr>
            <w:tcW w:w="759" w:type="pct"/>
            <w:tcBorders>
              <w:top w:val="single" w:sz="4" w:space="0" w:color="auto"/>
              <w:left w:val="single" w:sz="4" w:space="0" w:color="auto"/>
              <w:right w:val="single" w:sz="4" w:space="0" w:color="auto"/>
            </w:tcBorders>
            <w:vAlign w:val="center"/>
          </w:tcPr>
          <w:p w14:paraId="6E08FB6D" w14:textId="77777777" w:rsidR="00EA1880" w:rsidRPr="001B7105" w:rsidRDefault="00EA1880" w:rsidP="009C7407">
            <w:pPr>
              <w:pStyle w:val="TableText"/>
              <w:jc w:val="center"/>
            </w:pPr>
            <w:r>
              <w:t>0.074 (NR)</w:t>
            </w:r>
          </w:p>
        </w:tc>
      </w:tr>
      <w:tr w:rsidR="005C5DF5" w:rsidRPr="00E2771E" w14:paraId="2B1E56DC" w14:textId="77777777" w:rsidTr="00B412E9">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1EE926" w14:textId="77777777" w:rsidR="00EA1880" w:rsidRPr="00E2771E" w:rsidRDefault="00EA1880" w:rsidP="009C7407">
            <w:pPr>
              <w:pStyle w:val="Tableheadingrow"/>
            </w:pPr>
            <w:r w:rsidRPr="00E2771E">
              <w:t xml:space="preserve">Harms </w:t>
            </w:r>
          </w:p>
        </w:tc>
      </w:tr>
      <w:tr w:rsidR="005C5DF5" w:rsidRPr="00E2771E" w14:paraId="73A52214" w14:textId="77777777" w:rsidTr="00B412E9">
        <w:trPr>
          <w:trHeight w:val="70"/>
        </w:trPr>
        <w:tc>
          <w:tcPr>
            <w:tcW w:w="1254" w:type="pct"/>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5832C298" w14:textId="77777777" w:rsidR="00EA1880" w:rsidRPr="00E2771E" w:rsidRDefault="00EA1880" w:rsidP="009C7407">
            <w:pPr>
              <w:pStyle w:val="Tableheadingrow"/>
            </w:pPr>
            <w:r>
              <w:t>Adverse event</w:t>
            </w:r>
          </w:p>
        </w:tc>
        <w:tc>
          <w:tcPr>
            <w:tcW w:w="551" w:type="pct"/>
            <w:vMerge w:val="restart"/>
            <w:tcBorders>
              <w:top w:val="double" w:sz="4" w:space="0" w:color="auto"/>
              <w:left w:val="single" w:sz="4" w:space="0" w:color="auto"/>
              <w:bottom w:val="single" w:sz="4" w:space="0" w:color="auto"/>
              <w:right w:val="single" w:sz="4" w:space="0" w:color="auto"/>
            </w:tcBorders>
            <w:vAlign w:val="center"/>
          </w:tcPr>
          <w:p w14:paraId="2E603955" w14:textId="77777777" w:rsidR="00EA1880" w:rsidRDefault="00EA1880" w:rsidP="009C7407">
            <w:pPr>
              <w:pStyle w:val="Tableheadingrow"/>
              <w:jc w:val="center"/>
            </w:pPr>
            <w:r>
              <w:t>Ruxolitinib</w:t>
            </w:r>
          </w:p>
          <w:p w14:paraId="3C842BE0" w14:textId="77777777" w:rsidR="00EA1880" w:rsidRPr="00E2771E" w:rsidRDefault="00EA1880" w:rsidP="009C7407">
            <w:pPr>
              <w:pStyle w:val="Tableheadingrow"/>
              <w:jc w:val="center"/>
            </w:pPr>
            <w:r>
              <w:t>n/N</w:t>
            </w:r>
          </w:p>
        </w:tc>
        <w:tc>
          <w:tcPr>
            <w:tcW w:w="549" w:type="pct"/>
            <w:vMerge w:val="restart"/>
            <w:tcBorders>
              <w:top w:val="double" w:sz="4" w:space="0" w:color="auto"/>
              <w:left w:val="single" w:sz="4" w:space="0" w:color="auto"/>
              <w:bottom w:val="single" w:sz="4" w:space="0" w:color="auto"/>
              <w:right w:val="single" w:sz="4" w:space="0" w:color="auto"/>
            </w:tcBorders>
            <w:vAlign w:val="center"/>
          </w:tcPr>
          <w:p w14:paraId="3593FA7B" w14:textId="77777777" w:rsidR="00EA1880" w:rsidRDefault="00EA1880" w:rsidP="009C7407">
            <w:pPr>
              <w:pStyle w:val="Tableheadingrow"/>
              <w:jc w:val="center"/>
            </w:pPr>
            <w:r>
              <w:t>BAT</w:t>
            </w:r>
          </w:p>
          <w:p w14:paraId="08FD0CD0" w14:textId="77777777" w:rsidR="00EA1880" w:rsidRPr="00E2771E" w:rsidRDefault="00EA1880" w:rsidP="009C7407">
            <w:pPr>
              <w:pStyle w:val="Tableheadingrow"/>
              <w:jc w:val="center"/>
            </w:pPr>
            <w:r>
              <w:t>n/N</w:t>
            </w:r>
          </w:p>
        </w:tc>
        <w:tc>
          <w:tcPr>
            <w:tcW w:w="785" w:type="pct"/>
            <w:vMerge w:val="restart"/>
            <w:tcBorders>
              <w:top w:val="double" w:sz="4" w:space="0" w:color="auto"/>
              <w:left w:val="single" w:sz="4" w:space="0" w:color="auto"/>
              <w:bottom w:val="single" w:sz="4" w:space="0" w:color="auto"/>
              <w:right w:val="single" w:sz="4" w:space="0" w:color="auto"/>
            </w:tcBorders>
            <w:vAlign w:val="center"/>
          </w:tcPr>
          <w:p w14:paraId="6EE15004" w14:textId="77777777" w:rsidR="00EA1880" w:rsidRPr="00E2771E" w:rsidRDefault="00EA1880" w:rsidP="009C7407">
            <w:pPr>
              <w:pStyle w:val="Tableheadingrow"/>
              <w:jc w:val="center"/>
            </w:pPr>
            <w:r w:rsidRPr="00E2771E">
              <w:t>RR</w:t>
            </w:r>
          </w:p>
          <w:p w14:paraId="54C79C18" w14:textId="77777777" w:rsidR="00EA1880" w:rsidRPr="00E2771E" w:rsidRDefault="00EA1880" w:rsidP="009C7407">
            <w:pPr>
              <w:pStyle w:val="Tableheadingrow"/>
              <w:jc w:val="center"/>
            </w:pPr>
            <w:r w:rsidRPr="00E2771E">
              <w:t>(95% CI)</w:t>
            </w:r>
          </w:p>
        </w:tc>
        <w:tc>
          <w:tcPr>
            <w:tcW w:w="1090" w:type="pct"/>
            <w:gridSpan w:val="2"/>
            <w:tcBorders>
              <w:top w:val="double" w:sz="4" w:space="0" w:color="auto"/>
              <w:left w:val="single" w:sz="4" w:space="0" w:color="auto"/>
              <w:bottom w:val="single" w:sz="4" w:space="0" w:color="auto"/>
              <w:right w:val="single" w:sz="4" w:space="0" w:color="auto"/>
            </w:tcBorders>
            <w:vAlign w:val="center"/>
          </w:tcPr>
          <w:p w14:paraId="08BC1B44" w14:textId="77777777" w:rsidR="00EA1880" w:rsidRPr="00E2771E" w:rsidRDefault="00EA1880" w:rsidP="009C7407">
            <w:pPr>
              <w:pStyle w:val="Tableheadingrow"/>
              <w:jc w:val="center"/>
            </w:pPr>
            <w:r w:rsidRPr="00E2771E">
              <w:t>Event rate/100 patients</w:t>
            </w:r>
          </w:p>
        </w:tc>
        <w:tc>
          <w:tcPr>
            <w:tcW w:w="770" w:type="pct"/>
            <w:gridSpan w:val="2"/>
            <w:vMerge w:val="restart"/>
            <w:tcBorders>
              <w:top w:val="double" w:sz="4" w:space="0" w:color="auto"/>
              <w:left w:val="single" w:sz="4" w:space="0" w:color="auto"/>
              <w:bottom w:val="single" w:sz="4" w:space="0" w:color="auto"/>
              <w:right w:val="single" w:sz="4" w:space="0" w:color="auto"/>
            </w:tcBorders>
            <w:vAlign w:val="center"/>
          </w:tcPr>
          <w:p w14:paraId="336EAB50" w14:textId="77777777" w:rsidR="00EA1880" w:rsidRPr="00E2771E" w:rsidRDefault="00EA1880" w:rsidP="009C7407">
            <w:pPr>
              <w:pStyle w:val="Tableheadingrow"/>
              <w:jc w:val="center"/>
            </w:pPr>
            <w:r w:rsidRPr="00E2771E">
              <w:t>RD</w:t>
            </w:r>
          </w:p>
          <w:p w14:paraId="37AEEAF6" w14:textId="77777777" w:rsidR="00EA1880" w:rsidRPr="00E2771E" w:rsidRDefault="00EA1880" w:rsidP="009C7407">
            <w:pPr>
              <w:pStyle w:val="Tableheadingrow"/>
              <w:jc w:val="center"/>
            </w:pPr>
            <w:r w:rsidRPr="00E2771E">
              <w:t>(95% CI)</w:t>
            </w:r>
          </w:p>
        </w:tc>
      </w:tr>
      <w:tr w:rsidR="005C5DF5" w:rsidRPr="00E2771E" w14:paraId="0E4731C9" w14:textId="77777777" w:rsidTr="00B412E9">
        <w:trPr>
          <w:trHeight w:val="60"/>
        </w:trPr>
        <w:tc>
          <w:tcPr>
            <w:tcW w:w="125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EFC635" w14:textId="77777777" w:rsidR="00EA1880" w:rsidRPr="00E2771E" w:rsidRDefault="00EA1880" w:rsidP="009C7407">
            <w:pPr>
              <w:pStyle w:val="Tableheadingrow"/>
            </w:pPr>
          </w:p>
        </w:tc>
        <w:tc>
          <w:tcPr>
            <w:tcW w:w="551" w:type="pct"/>
            <w:vMerge/>
            <w:tcBorders>
              <w:top w:val="single" w:sz="4" w:space="0" w:color="auto"/>
              <w:left w:val="single" w:sz="4" w:space="0" w:color="auto"/>
              <w:bottom w:val="single" w:sz="4" w:space="0" w:color="auto"/>
              <w:right w:val="single" w:sz="4" w:space="0" w:color="auto"/>
            </w:tcBorders>
            <w:vAlign w:val="center"/>
          </w:tcPr>
          <w:p w14:paraId="3C93C382" w14:textId="77777777" w:rsidR="00EA1880" w:rsidRPr="00E2771E" w:rsidRDefault="00EA1880" w:rsidP="009C7407">
            <w:pPr>
              <w:pStyle w:val="Tableheadingrow"/>
            </w:pPr>
          </w:p>
        </w:tc>
        <w:tc>
          <w:tcPr>
            <w:tcW w:w="549" w:type="pct"/>
            <w:vMerge/>
            <w:tcBorders>
              <w:top w:val="single" w:sz="4" w:space="0" w:color="auto"/>
              <w:left w:val="single" w:sz="4" w:space="0" w:color="auto"/>
              <w:bottom w:val="single" w:sz="4" w:space="0" w:color="auto"/>
              <w:right w:val="single" w:sz="4" w:space="0" w:color="auto"/>
            </w:tcBorders>
            <w:vAlign w:val="center"/>
          </w:tcPr>
          <w:p w14:paraId="0BC02D6B" w14:textId="77777777" w:rsidR="00EA1880" w:rsidRPr="00E2771E" w:rsidRDefault="00EA1880" w:rsidP="009C7407">
            <w:pPr>
              <w:pStyle w:val="Tableheadingrow"/>
            </w:pPr>
          </w:p>
        </w:tc>
        <w:tc>
          <w:tcPr>
            <w:tcW w:w="785" w:type="pct"/>
            <w:vMerge/>
            <w:tcBorders>
              <w:top w:val="single" w:sz="4" w:space="0" w:color="auto"/>
              <w:left w:val="single" w:sz="4" w:space="0" w:color="auto"/>
              <w:bottom w:val="single" w:sz="4" w:space="0" w:color="auto"/>
              <w:right w:val="single" w:sz="4" w:space="0" w:color="auto"/>
            </w:tcBorders>
            <w:vAlign w:val="center"/>
          </w:tcPr>
          <w:p w14:paraId="669B1785" w14:textId="77777777" w:rsidR="00EA1880" w:rsidRPr="00E2771E" w:rsidRDefault="00EA1880" w:rsidP="009C7407">
            <w:pPr>
              <w:pStyle w:val="Tableheadingrow"/>
            </w:pPr>
          </w:p>
        </w:tc>
        <w:tc>
          <w:tcPr>
            <w:tcW w:w="551" w:type="pct"/>
            <w:tcBorders>
              <w:top w:val="single" w:sz="4" w:space="0" w:color="auto"/>
              <w:left w:val="single" w:sz="4" w:space="0" w:color="auto"/>
              <w:bottom w:val="single" w:sz="4" w:space="0" w:color="auto"/>
              <w:right w:val="single" w:sz="4" w:space="0" w:color="auto"/>
            </w:tcBorders>
            <w:vAlign w:val="center"/>
          </w:tcPr>
          <w:p w14:paraId="66E22540" w14:textId="77777777" w:rsidR="00EA1880" w:rsidRPr="00E2771E" w:rsidRDefault="00EA1880" w:rsidP="009C7407">
            <w:pPr>
              <w:pStyle w:val="Tableheadingrow"/>
              <w:jc w:val="center"/>
            </w:pPr>
            <w:r>
              <w:t>Ruxolitinib</w:t>
            </w:r>
          </w:p>
        </w:tc>
        <w:tc>
          <w:tcPr>
            <w:tcW w:w="539" w:type="pct"/>
            <w:tcBorders>
              <w:top w:val="single" w:sz="4" w:space="0" w:color="auto"/>
              <w:left w:val="single" w:sz="4" w:space="0" w:color="auto"/>
              <w:bottom w:val="single" w:sz="4" w:space="0" w:color="auto"/>
              <w:right w:val="single" w:sz="4" w:space="0" w:color="auto"/>
            </w:tcBorders>
            <w:vAlign w:val="center"/>
          </w:tcPr>
          <w:p w14:paraId="0CBC0396" w14:textId="77777777" w:rsidR="00EA1880" w:rsidRPr="00E2771E" w:rsidRDefault="00EA1880" w:rsidP="009C7407">
            <w:pPr>
              <w:pStyle w:val="Tableheadingrow"/>
              <w:jc w:val="center"/>
            </w:pPr>
            <w:r>
              <w:t>BAT</w:t>
            </w:r>
          </w:p>
        </w:tc>
        <w:tc>
          <w:tcPr>
            <w:tcW w:w="770" w:type="pct"/>
            <w:gridSpan w:val="2"/>
            <w:vMerge/>
            <w:tcBorders>
              <w:top w:val="single" w:sz="4" w:space="0" w:color="auto"/>
              <w:left w:val="single" w:sz="4" w:space="0" w:color="auto"/>
              <w:bottom w:val="single" w:sz="4" w:space="0" w:color="auto"/>
              <w:right w:val="single" w:sz="4" w:space="0" w:color="auto"/>
            </w:tcBorders>
            <w:vAlign w:val="center"/>
          </w:tcPr>
          <w:p w14:paraId="23E24438" w14:textId="77777777" w:rsidR="00EA1880" w:rsidRPr="00E2771E" w:rsidRDefault="00EA1880" w:rsidP="009C7407">
            <w:pPr>
              <w:pStyle w:val="Tableheadingrow"/>
            </w:pPr>
          </w:p>
        </w:tc>
      </w:tr>
      <w:tr w:rsidR="005C5DF5" w:rsidRPr="00E2771E" w14:paraId="33E1CF84" w14:textId="77777777" w:rsidTr="00B412E9">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DAFA8B0" w14:textId="77777777" w:rsidR="00EA1880" w:rsidRPr="00E2771E" w:rsidRDefault="00EA1880" w:rsidP="009C7407">
            <w:pPr>
              <w:pStyle w:val="TableText"/>
            </w:pPr>
            <w:r w:rsidRPr="00BE0211">
              <w:t>Grade ≥3 anaemia</w:t>
            </w:r>
          </w:p>
        </w:tc>
        <w:tc>
          <w:tcPr>
            <w:tcW w:w="551" w:type="pct"/>
            <w:tcBorders>
              <w:top w:val="single" w:sz="4" w:space="0" w:color="auto"/>
              <w:left w:val="single" w:sz="4" w:space="0" w:color="auto"/>
              <w:bottom w:val="single" w:sz="4" w:space="0" w:color="auto"/>
              <w:right w:val="single" w:sz="4" w:space="0" w:color="auto"/>
            </w:tcBorders>
            <w:vAlign w:val="center"/>
          </w:tcPr>
          <w:p w14:paraId="26E7326B" w14:textId="77777777" w:rsidR="00EA1880" w:rsidRPr="00E2771E" w:rsidRDefault="00EA1880" w:rsidP="009C7407">
            <w:pPr>
              <w:pStyle w:val="TableText"/>
              <w:jc w:val="center"/>
            </w:pPr>
            <w:r>
              <w:t>21/165</w:t>
            </w:r>
          </w:p>
        </w:tc>
        <w:tc>
          <w:tcPr>
            <w:tcW w:w="549" w:type="pct"/>
            <w:tcBorders>
              <w:top w:val="single" w:sz="4" w:space="0" w:color="auto"/>
              <w:left w:val="single" w:sz="4" w:space="0" w:color="auto"/>
              <w:bottom w:val="single" w:sz="4" w:space="0" w:color="auto"/>
              <w:right w:val="single" w:sz="4" w:space="0" w:color="auto"/>
            </w:tcBorders>
            <w:vAlign w:val="center"/>
          </w:tcPr>
          <w:p w14:paraId="0E85FB7B" w14:textId="77777777" w:rsidR="00EA1880" w:rsidRPr="00E2771E" w:rsidRDefault="00EA1880" w:rsidP="009C7407">
            <w:pPr>
              <w:pStyle w:val="TableText"/>
              <w:jc w:val="center"/>
            </w:pPr>
            <w:r>
              <w:t>12/158</w:t>
            </w:r>
          </w:p>
        </w:tc>
        <w:tc>
          <w:tcPr>
            <w:tcW w:w="785" w:type="pct"/>
            <w:tcBorders>
              <w:top w:val="single" w:sz="4" w:space="0" w:color="auto"/>
              <w:left w:val="single" w:sz="4" w:space="0" w:color="auto"/>
              <w:bottom w:val="single" w:sz="4" w:space="0" w:color="auto"/>
              <w:right w:val="single" w:sz="4" w:space="0" w:color="auto"/>
            </w:tcBorders>
            <w:vAlign w:val="center"/>
          </w:tcPr>
          <w:p w14:paraId="450D5189" w14:textId="77777777" w:rsidR="00EA1880" w:rsidRPr="00E2771E" w:rsidRDefault="00EA1880" w:rsidP="009C7407">
            <w:pPr>
              <w:pStyle w:val="TableText"/>
              <w:jc w:val="center"/>
            </w:pPr>
            <w:r w:rsidRPr="005F2171">
              <w:t>1.68 (0.85, 3.29)</w:t>
            </w:r>
          </w:p>
        </w:tc>
        <w:tc>
          <w:tcPr>
            <w:tcW w:w="551" w:type="pct"/>
            <w:tcBorders>
              <w:top w:val="single" w:sz="4" w:space="0" w:color="auto"/>
              <w:left w:val="single" w:sz="4" w:space="0" w:color="auto"/>
              <w:bottom w:val="single" w:sz="4" w:space="0" w:color="auto"/>
              <w:right w:val="single" w:sz="4" w:space="0" w:color="auto"/>
            </w:tcBorders>
            <w:vAlign w:val="center"/>
          </w:tcPr>
          <w:p w14:paraId="2AFDC2EC" w14:textId="77777777" w:rsidR="00EA1880" w:rsidRPr="00E2771E" w:rsidRDefault="00EA1880" w:rsidP="009C7407">
            <w:pPr>
              <w:pStyle w:val="TableText"/>
              <w:jc w:val="center"/>
            </w:pPr>
            <w:r w:rsidRPr="00D70204">
              <w:t>12.7</w:t>
            </w:r>
          </w:p>
        </w:tc>
        <w:tc>
          <w:tcPr>
            <w:tcW w:w="539" w:type="pct"/>
            <w:tcBorders>
              <w:top w:val="single" w:sz="4" w:space="0" w:color="auto"/>
              <w:left w:val="single" w:sz="4" w:space="0" w:color="auto"/>
              <w:bottom w:val="single" w:sz="4" w:space="0" w:color="auto"/>
              <w:right w:val="single" w:sz="4" w:space="0" w:color="auto"/>
            </w:tcBorders>
            <w:vAlign w:val="center"/>
          </w:tcPr>
          <w:p w14:paraId="642B9C84" w14:textId="77777777" w:rsidR="00EA1880" w:rsidRPr="00E2771E" w:rsidRDefault="00EA1880" w:rsidP="009C7407">
            <w:pPr>
              <w:pStyle w:val="TableText"/>
              <w:jc w:val="center"/>
            </w:pPr>
            <w:r>
              <w:t>7.6</w:t>
            </w:r>
          </w:p>
        </w:tc>
        <w:tc>
          <w:tcPr>
            <w:tcW w:w="770" w:type="pct"/>
            <w:gridSpan w:val="2"/>
            <w:tcBorders>
              <w:top w:val="single" w:sz="4" w:space="0" w:color="auto"/>
              <w:left w:val="single" w:sz="4" w:space="0" w:color="auto"/>
              <w:bottom w:val="single" w:sz="4" w:space="0" w:color="auto"/>
              <w:right w:val="single" w:sz="4" w:space="0" w:color="auto"/>
            </w:tcBorders>
            <w:vAlign w:val="center"/>
          </w:tcPr>
          <w:p w14:paraId="78206A69" w14:textId="77777777" w:rsidR="00EA1880" w:rsidRPr="00E2771E" w:rsidRDefault="00EA1880" w:rsidP="009C7407">
            <w:pPr>
              <w:pStyle w:val="TableText"/>
              <w:jc w:val="center"/>
            </w:pPr>
            <w:r w:rsidRPr="00D70204">
              <w:t>0.05 (-0.01, 0.12)</w:t>
            </w:r>
          </w:p>
        </w:tc>
      </w:tr>
      <w:tr w:rsidR="005C5DF5" w:rsidRPr="00E2771E" w14:paraId="37D64E4A" w14:textId="77777777" w:rsidTr="00B412E9">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F27827F" w14:textId="77777777" w:rsidR="00EA1880" w:rsidRPr="00E2771E" w:rsidRDefault="00EA1880" w:rsidP="009C7407">
            <w:pPr>
              <w:pStyle w:val="TableText"/>
            </w:pPr>
            <w:r w:rsidRPr="00BE0211">
              <w:t>Grade ≥3 thrombocytopenia</w:t>
            </w:r>
          </w:p>
        </w:tc>
        <w:tc>
          <w:tcPr>
            <w:tcW w:w="551" w:type="pct"/>
            <w:tcBorders>
              <w:top w:val="single" w:sz="4" w:space="0" w:color="auto"/>
              <w:left w:val="single" w:sz="4" w:space="0" w:color="auto"/>
              <w:bottom w:val="single" w:sz="4" w:space="0" w:color="auto"/>
              <w:right w:val="single" w:sz="4" w:space="0" w:color="auto"/>
            </w:tcBorders>
            <w:vAlign w:val="center"/>
          </w:tcPr>
          <w:p w14:paraId="79C60605" w14:textId="77777777" w:rsidR="00EA1880" w:rsidRPr="00E2771E" w:rsidRDefault="00EA1880" w:rsidP="009C7407">
            <w:pPr>
              <w:pStyle w:val="TableText"/>
              <w:jc w:val="center"/>
            </w:pPr>
            <w:r>
              <w:t>17</w:t>
            </w:r>
            <w:r w:rsidRPr="00BE0211">
              <w:t>/165</w:t>
            </w:r>
          </w:p>
        </w:tc>
        <w:tc>
          <w:tcPr>
            <w:tcW w:w="549" w:type="pct"/>
            <w:tcBorders>
              <w:top w:val="single" w:sz="4" w:space="0" w:color="auto"/>
              <w:left w:val="single" w:sz="4" w:space="0" w:color="auto"/>
              <w:bottom w:val="single" w:sz="4" w:space="0" w:color="auto"/>
              <w:right w:val="single" w:sz="4" w:space="0" w:color="auto"/>
            </w:tcBorders>
            <w:vAlign w:val="center"/>
          </w:tcPr>
          <w:p w14:paraId="3CE1DD63" w14:textId="77777777" w:rsidR="00EA1880" w:rsidRPr="00E2771E" w:rsidRDefault="00EA1880" w:rsidP="009C7407">
            <w:pPr>
              <w:pStyle w:val="TableText"/>
              <w:jc w:val="center"/>
            </w:pPr>
            <w:r w:rsidRPr="00E2771E">
              <w:t>9/1</w:t>
            </w:r>
            <w:r>
              <w:t>58</w:t>
            </w:r>
          </w:p>
        </w:tc>
        <w:tc>
          <w:tcPr>
            <w:tcW w:w="785" w:type="pct"/>
            <w:tcBorders>
              <w:top w:val="single" w:sz="4" w:space="0" w:color="auto"/>
              <w:left w:val="single" w:sz="4" w:space="0" w:color="auto"/>
              <w:bottom w:val="single" w:sz="4" w:space="0" w:color="auto"/>
              <w:right w:val="single" w:sz="4" w:space="0" w:color="auto"/>
            </w:tcBorders>
            <w:vAlign w:val="center"/>
          </w:tcPr>
          <w:p w14:paraId="3FF6E446" w14:textId="77777777" w:rsidR="00EA1880" w:rsidRPr="00E2771E" w:rsidRDefault="00EA1880" w:rsidP="009C7407">
            <w:pPr>
              <w:pStyle w:val="TableText"/>
              <w:jc w:val="center"/>
            </w:pPr>
            <w:r w:rsidRPr="00D70204">
              <w:t>1.81 (0.83, 3.94)</w:t>
            </w:r>
          </w:p>
        </w:tc>
        <w:tc>
          <w:tcPr>
            <w:tcW w:w="551" w:type="pct"/>
            <w:tcBorders>
              <w:top w:val="single" w:sz="4" w:space="0" w:color="auto"/>
              <w:left w:val="single" w:sz="4" w:space="0" w:color="auto"/>
              <w:bottom w:val="single" w:sz="4" w:space="0" w:color="auto"/>
              <w:right w:val="single" w:sz="4" w:space="0" w:color="auto"/>
            </w:tcBorders>
            <w:vAlign w:val="center"/>
          </w:tcPr>
          <w:p w14:paraId="7DA02BF1" w14:textId="77777777" w:rsidR="00EA1880" w:rsidRPr="00E2771E" w:rsidRDefault="00EA1880" w:rsidP="009C7407">
            <w:pPr>
              <w:pStyle w:val="TableText"/>
              <w:jc w:val="center"/>
            </w:pPr>
            <w:r>
              <w:t>10.3</w:t>
            </w:r>
          </w:p>
        </w:tc>
        <w:tc>
          <w:tcPr>
            <w:tcW w:w="539" w:type="pct"/>
            <w:tcBorders>
              <w:top w:val="single" w:sz="4" w:space="0" w:color="auto"/>
              <w:left w:val="single" w:sz="4" w:space="0" w:color="auto"/>
              <w:bottom w:val="single" w:sz="4" w:space="0" w:color="auto"/>
              <w:right w:val="single" w:sz="4" w:space="0" w:color="auto"/>
            </w:tcBorders>
            <w:vAlign w:val="center"/>
          </w:tcPr>
          <w:p w14:paraId="04C2A694" w14:textId="77777777" w:rsidR="00EA1880" w:rsidRPr="00E2771E" w:rsidRDefault="00EA1880" w:rsidP="009C7407">
            <w:pPr>
              <w:pStyle w:val="TableText"/>
              <w:jc w:val="center"/>
            </w:pPr>
            <w:r>
              <w:t>5.7</w:t>
            </w:r>
          </w:p>
        </w:tc>
        <w:tc>
          <w:tcPr>
            <w:tcW w:w="770" w:type="pct"/>
            <w:gridSpan w:val="2"/>
            <w:tcBorders>
              <w:top w:val="single" w:sz="4" w:space="0" w:color="auto"/>
              <w:left w:val="single" w:sz="4" w:space="0" w:color="auto"/>
              <w:bottom w:val="single" w:sz="4" w:space="0" w:color="auto"/>
              <w:right w:val="single" w:sz="4" w:space="0" w:color="auto"/>
            </w:tcBorders>
            <w:vAlign w:val="center"/>
          </w:tcPr>
          <w:p w14:paraId="3A7D3024" w14:textId="77777777" w:rsidR="00EA1880" w:rsidRPr="00E2771E" w:rsidRDefault="00EA1880" w:rsidP="009C7407">
            <w:pPr>
              <w:pStyle w:val="TableText"/>
              <w:jc w:val="center"/>
            </w:pPr>
            <w:r w:rsidRPr="00D70204">
              <w:t>0.05 (-0.01, 0.10)</w:t>
            </w:r>
          </w:p>
        </w:tc>
      </w:tr>
      <w:tr w:rsidR="005C5DF5" w:rsidRPr="00E2771E" w14:paraId="40EEAE5C" w14:textId="77777777" w:rsidTr="00B412E9">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E8E613E" w14:textId="77777777" w:rsidR="00EA1880" w:rsidRPr="00E2771E" w:rsidRDefault="00EA1880" w:rsidP="009C7407">
            <w:pPr>
              <w:pStyle w:val="TableText"/>
            </w:pPr>
            <w:r w:rsidRPr="00BE0211">
              <w:t>Grade ≥3 neutropenia</w:t>
            </w:r>
          </w:p>
        </w:tc>
        <w:tc>
          <w:tcPr>
            <w:tcW w:w="551" w:type="pct"/>
            <w:tcBorders>
              <w:top w:val="single" w:sz="4" w:space="0" w:color="auto"/>
              <w:left w:val="single" w:sz="4" w:space="0" w:color="auto"/>
              <w:bottom w:val="single" w:sz="4" w:space="0" w:color="auto"/>
              <w:right w:val="single" w:sz="4" w:space="0" w:color="auto"/>
            </w:tcBorders>
            <w:vAlign w:val="center"/>
          </w:tcPr>
          <w:p w14:paraId="47355A52" w14:textId="77777777" w:rsidR="00EA1880" w:rsidRPr="00E2771E" w:rsidRDefault="00EA1880" w:rsidP="009C7407">
            <w:pPr>
              <w:pStyle w:val="TableText"/>
              <w:jc w:val="center"/>
            </w:pPr>
            <w:r>
              <w:t>14</w:t>
            </w:r>
            <w:r w:rsidRPr="00BE0211">
              <w:t>/165</w:t>
            </w:r>
          </w:p>
        </w:tc>
        <w:tc>
          <w:tcPr>
            <w:tcW w:w="549" w:type="pct"/>
            <w:tcBorders>
              <w:top w:val="single" w:sz="4" w:space="0" w:color="auto"/>
              <w:left w:val="single" w:sz="4" w:space="0" w:color="auto"/>
              <w:bottom w:val="single" w:sz="4" w:space="0" w:color="auto"/>
              <w:right w:val="single" w:sz="4" w:space="0" w:color="auto"/>
            </w:tcBorders>
            <w:vAlign w:val="center"/>
          </w:tcPr>
          <w:p w14:paraId="64D6CA9D" w14:textId="77777777" w:rsidR="00EA1880" w:rsidRPr="00E2771E" w:rsidRDefault="00EA1880" w:rsidP="009C7407">
            <w:pPr>
              <w:pStyle w:val="TableText"/>
              <w:jc w:val="center"/>
            </w:pPr>
            <w:r>
              <w:t>6</w:t>
            </w:r>
            <w:r w:rsidRPr="00E2771E">
              <w:t>/1</w:t>
            </w:r>
            <w:r>
              <w:t>58</w:t>
            </w:r>
          </w:p>
        </w:tc>
        <w:tc>
          <w:tcPr>
            <w:tcW w:w="785" w:type="pct"/>
            <w:tcBorders>
              <w:top w:val="single" w:sz="4" w:space="0" w:color="auto"/>
              <w:left w:val="single" w:sz="4" w:space="0" w:color="auto"/>
              <w:bottom w:val="single" w:sz="4" w:space="0" w:color="auto"/>
              <w:right w:val="single" w:sz="4" w:space="0" w:color="auto"/>
            </w:tcBorders>
            <w:vAlign w:val="center"/>
          </w:tcPr>
          <w:p w14:paraId="1F27C62C" w14:textId="77777777" w:rsidR="00EA1880" w:rsidRPr="00E2771E" w:rsidRDefault="00EA1880" w:rsidP="009C7407">
            <w:pPr>
              <w:pStyle w:val="TableText"/>
              <w:jc w:val="center"/>
            </w:pPr>
            <w:r w:rsidRPr="00D70204">
              <w:t>2.23 (0.88, 5.67)</w:t>
            </w:r>
          </w:p>
        </w:tc>
        <w:tc>
          <w:tcPr>
            <w:tcW w:w="551" w:type="pct"/>
            <w:tcBorders>
              <w:top w:val="single" w:sz="4" w:space="0" w:color="auto"/>
              <w:left w:val="single" w:sz="4" w:space="0" w:color="auto"/>
              <w:bottom w:val="single" w:sz="4" w:space="0" w:color="auto"/>
              <w:right w:val="single" w:sz="4" w:space="0" w:color="auto"/>
            </w:tcBorders>
            <w:vAlign w:val="center"/>
          </w:tcPr>
          <w:p w14:paraId="53EA575B" w14:textId="77777777" w:rsidR="00EA1880" w:rsidRPr="00E2771E" w:rsidRDefault="00EA1880" w:rsidP="009C7407">
            <w:pPr>
              <w:pStyle w:val="TableText"/>
              <w:jc w:val="center"/>
            </w:pPr>
            <w:r>
              <w:t>8.5</w:t>
            </w:r>
          </w:p>
        </w:tc>
        <w:tc>
          <w:tcPr>
            <w:tcW w:w="539" w:type="pct"/>
            <w:tcBorders>
              <w:top w:val="single" w:sz="4" w:space="0" w:color="auto"/>
              <w:left w:val="single" w:sz="4" w:space="0" w:color="auto"/>
              <w:bottom w:val="single" w:sz="4" w:space="0" w:color="auto"/>
              <w:right w:val="single" w:sz="4" w:space="0" w:color="auto"/>
            </w:tcBorders>
            <w:vAlign w:val="center"/>
          </w:tcPr>
          <w:p w14:paraId="602621F0" w14:textId="77777777" w:rsidR="00EA1880" w:rsidRPr="00E2771E" w:rsidRDefault="00EA1880" w:rsidP="009C7407">
            <w:pPr>
              <w:pStyle w:val="TableText"/>
              <w:jc w:val="center"/>
            </w:pPr>
            <w:r>
              <w:t>3.8</w:t>
            </w:r>
          </w:p>
        </w:tc>
        <w:tc>
          <w:tcPr>
            <w:tcW w:w="770" w:type="pct"/>
            <w:gridSpan w:val="2"/>
            <w:tcBorders>
              <w:top w:val="single" w:sz="4" w:space="0" w:color="auto"/>
              <w:left w:val="single" w:sz="4" w:space="0" w:color="auto"/>
              <w:bottom w:val="single" w:sz="4" w:space="0" w:color="auto"/>
              <w:right w:val="single" w:sz="4" w:space="0" w:color="auto"/>
            </w:tcBorders>
            <w:vAlign w:val="center"/>
          </w:tcPr>
          <w:p w14:paraId="31F0D2E6" w14:textId="77777777" w:rsidR="00EA1880" w:rsidRPr="00E2771E" w:rsidRDefault="00EA1880" w:rsidP="009C7407">
            <w:pPr>
              <w:pStyle w:val="TableText"/>
              <w:jc w:val="center"/>
            </w:pPr>
            <w:r w:rsidRPr="00D70204">
              <w:t>0.05 (-0.01, 0.10)</w:t>
            </w:r>
          </w:p>
        </w:tc>
      </w:tr>
    </w:tbl>
    <w:p w14:paraId="2E1B5E44" w14:textId="77777777" w:rsidR="00EA1880" w:rsidRDefault="00EA1880" w:rsidP="00EA1880">
      <w:pPr>
        <w:pStyle w:val="TableFigureFooter"/>
      </w:pPr>
      <w:r>
        <w:t xml:space="preserve">Source: </w:t>
      </w:r>
      <w:r w:rsidRPr="003818F0">
        <w:t>Table 2.5.1, p80</w:t>
      </w:r>
      <w:r>
        <w:t xml:space="preserve">; </w:t>
      </w:r>
      <w:r w:rsidRPr="00271500">
        <w:t>Table 2.5-2, p81</w:t>
      </w:r>
      <w:r>
        <w:t xml:space="preserve">; </w:t>
      </w:r>
      <w:r w:rsidRPr="001E62FC">
        <w:t>Table 2.5-6, p84</w:t>
      </w:r>
      <w:r>
        <w:t>; Table 2.5-13, pp98-99 of the submission.</w:t>
      </w:r>
    </w:p>
    <w:p w14:paraId="6AFC1710" w14:textId="77777777" w:rsidR="00EA1880" w:rsidRDefault="00EA1880" w:rsidP="00EA1880">
      <w:pPr>
        <w:pStyle w:val="TableFigureFooter"/>
      </w:pPr>
      <w:r>
        <w:t>Abbreviations: BAT, best available therapy; CI, confidence interval; FFS, failure-free survival; HR, hazard ratio; NE, not estimable; NR, not reported; ORR, overall response rate; OS, overall survival; HR, hazard ratio; RD, risk difference; RR, relative risk.</w:t>
      </w:r>
    </w:p>
    <w:p w14:paraId="640DC223" w14:textId="1F9F7E8C" w:rsidR="00EA1880" w:rsidRDefault="00EA1880" w:rsidP="00EA1880">
      <w:pPr>
        <w:pStyle w:val="TableFigureFooter"/>
      </w:pPr>
      <w:r>
        <w:rPr>
          <w:vertAlign w:val="superscript"/>
        </w:rPr>
        <w:t>1</w:t>
      </w:r>
      <w:r>
        <w:t xml:space="preserve"> Proportion of patients completely tapered off corticosteroids at Week 24.</w:t>
      </w:r>
    </w:p>
    <w:p w14:paraId="2F198B2D" w14:textId="3F176883" w:rsidR="00EA1880" w:rsidRPr="00EA1880" w:rsidRDefault="001D49BB" w:rsidP="005657C4">
      <w:pPr>
        <w:pStyle w:val="TableFigureFooter"/>
      </w:pPr>
      <w:r>
        <w:rPr>
          <w:vertAlign w:val="superscript"/>
        </w:rPr>
        <w:t>2</w:t>
      </w:r>
      <w:r>
        <w:t xml:space="preserve"> Median duration of exposure 25.6 weeks for ruxolitinib and 24.0 weeks for BAT.</w:t>
      </w:r>
    </w:p>
    <w:p w14:paraId="00203AC0" w14:textId="2FDBFA70" w:rsidR="00F67915" w:rsidRDefault="00F67915" w:rsidP="00F67915">
      <w:pPr>
        <w:pStyle w:val="ExecSumBodyText"/>
        <w:numPr>
          <w:ilvl w:val="1"/>
          <w:numId w:val="1"/>
        </w:numPr>
        <w:contextualSpacing/>
      </w:pPr>
      <w:r>
        <w:t>On the basis of the direct evidence presented in the submission, for every 100 cGVHD patients treated with ruxolitinib in comparison with BAT:</w:t>
      </w:r>
    </w:p>
    <w:p w14:paraId="6F7A7C76" w14:textId="06E9D85A" w:rsidR="00F67915" w:rsidRDefault="00F67915" w:rsidP="00A2582A">
      <w:pPr>
        <w:pStyle w:val="ExecSumBodyText"/>
        <w:numPr>
          <w:ilvl w:val="0"/>
          <w:numId w:val="14"/>
        </w:numPr>
        <w:spacing w:after="0"/>
        <w:ind w:left="1077" w:hanging="357"/>
      </w:pPr>
      <w:r>
        <w:t xml:space="preserve">Approximately 24 additional patients will achieve </w:t>
      </w:r>
      <w:r w:rsidR="003A1C28">
        <w:t xml:space="preserve">an </w:t>
      </w:r>
      <w:r>
        <w:t xml:space="preserve">overall response at 24 weeks, with 4 additional patients achieving </w:t>
      </w:r>
      <w:r w:rsidR="005C4B08">
        <w:t xml:space="preserve">a </w:t>
      </w:r>
      <w:r>
        <w:t xml:space="preserve">complete response and 20 additional patients achieving </w:t>
      </w:r>
      <w:r w:rsidR="005C4B08">
        <w:t xml:space="preserve">a </w:t>
      </w:r>
      <w:r>
        <w:t xml:space="preserve">partial response. </w:t>
      </w:r>
    </w:p>
    <w:p w14:paraId="7BEC4169" w14:textId="2E102545" w:rsidR="00F67915" w:rsidRDefault="00F67915" w:rsidP="00A2582A">
      <w:pPr>
        <w:pStyle w:val="ExecSumBodyText"/>
        <w:numPr>
          <w:ilvl w:val="0"/>
          <w:numId w:val="14"/>
        </w:numPr>
        <w:spacing w:after="0"/>
        <w:ind w:left="1077" w:hanging="357"/>
      </w:pPr>
      <w:r>
        <w:t>Approximately 7 additional patients will completely taper off systemic corticosteroids at 24 weeks.</w:t>
      </w:r>
    </w:p>
    <w:p w14:paraId="6A8ADCCB" w14:textId="45FF6E9C" w:rsidR="005C4B08" w:rsidRDefault="005C4B08" w:rsidP="00A2582A">
      <w:pPr>
        <w:pStyle w:val="ExecSumBodyText"/>
        <w:numPr>
          <w:ilvl w:val="0"/>
          <w:numId w:val="14"/>
        </w:numPr>
        <w:spacing w:after="0"/>
        <w:ind w:left="1077" w:hanging="357"/>
      </w:pPr>
      <w:r>
        <w:t>An additional 5 patients will experience severe anaemia requiring medical intervention</w:t>
      </w:r>
      <w:r w:rsidR="00F61F65">
        <w:t xml:space="preserve"> at 24 weeks.</w:t>
      </w:r>
    </w:p>
    <w:p w14:paraId="364C188C" w14:textId="6FECF7DC" w:rsidR="005C4B08" w:rsidRDefault="005C4B08" w:rsidP="00A2582A">
      <w:pPr>
        <w:pStyle w:val="ExecSumBodyText"/>
        <w:numPr>
          <w:ilvl w:val="0"/>
          <w:numId w:val="14"/>
        </w:numPr>
        <w:spacing w:after="0"/>
        <w:ind w:left="1077" w:hanging="357"/>
      </w:pPr>
      <w:r>
        <w:t>An additional 5 patients will experience severe thrombocytopenia requiring medical intervention</w:t>
      </w:r>
      <w:r w:rsidR="00F61F65">
        <w:t xml:space="preserve"> at 24 weeks.</w:t>
      </w:r>
    </w:p>
    <w:p w14:paraId="653FD730" w14:textId="1DCF0B8B" w:rsidR="005C4B08" w:rsidRDefault="005C4B08" w:rsidP="00A2582A">
      <w:pPr>
        <w:pStyle w:val="ExecSumBodyText"/>
        <w:numPr>
          <w:ilvl w:val="0"/>
          <w:numId w:val="14"/>
        </w:numPr>
        <w:ind w:left="1077" w:hanging="357"/>
      </w:pPr>
      <w:r>
        <w:t>An additional 5 patients will experience severe neutropenia requiring medical intervention</w:t>
      </w:r>
      <w:r w:rsidR="00F61F65">
        <w:t xml:space="preserve"> at 24 weeks.</w:t>
      </w:r>
    </w:p>
    <w:p w14:paraId="2AFA9E0D" w14:textId="1B0D4C4A" w:rsidR="0016117B" w:rsidRDefault="0016117B" w:rsidP="0016117B">
      <w:pPr>
        <w:pStyle w:val="ExecSumBodyText"/>
      </w:pPr>
      <w:r w:rsidRPr="0016117B">
        <w:t xml:space="preserve">A summary of the comparative benefits and harms for ruxolitinib </w:t>
      </w:r>
      <w:r w:rsidR="00E846DA">
        <w:t>and</w:t>
      </w:r>
      <w:r w:rsidRPr="0016117B">
        <w:t xml:space="preserve"> BAT for aGVHD is presented in the table below</w:t>
      </w:r>
      <w:r>
        <w:t>.</w:t>
      </w:r>
    </w:p>
    <w:p w14:paraId="3A4DE43A" w14:textId="3F510DC6" w:rsidR="00C05AB9" w:rsidRPr="00D2155B" w:rsidRDefault="001D49BB" w:rsidP="00C05AB9">
      <w:pPr>
        <w:pStyle w:val="TableFigureCaption"/>
      </w:pPr>
      <w:bookmarkStart w:id="43" w:name="_Hlk103610261"/>
      <w:r w:rsidRPr="0042047F">
        <w:t xml:space="preserve">Table </w:t>
      </w:r>
      <w:fldSimple w:instr=" SEQ Table \* ARABIC " w:fldLock="1">
        <w:r w:rsidR="005A7A1C">
          <w:rPr>
            <w:noProof/>
          </w:rPr>
          <w:t>13</w:t>
        </w:r>
      </w:fldSimple>
      <w:r w:rsidRPr="00D2155B">
        <w:t xml:space="preserve">: </w:t>
      </w:r>
      <w:bookmarkStart w:id="44" w:name="_Hlk103610940"/>
      <w:r w:rsidR="00C05AB9" w:rsidRPr="00D2155B">
        <w:t xml:space="preserve">Summary of comparative benefits and harms for </w:t>
      </w:r>
      <w:r w:rsidR="00C05AB9">
        <w:t>ruxolitinib and BAT for aGVHD</w:t>
      </w:r>
    </w:p>
    <w:tbl>
      <w:tblPr>
        <w:tblW w:w="5000" w:type="pct"/>
        <w:tblLayout w:type="fixed"/>
        <w:tblCellMar>
          <w:left w:w="28" w:type="dxa"/>
          <w:right w:w="28" w:type="dxa"/>
        </w:tblCellMar>
        <w:tblLook w:val="04A0" w:firstRow="1" w:lastRow="0" w:firstColumn="1" w:lastColumn="0" w:noHBand="0" w:noVBand="1"/>
      </w:tblPr>
      <w:tblGrid>
        <w:gridCol w:w="2262"/>
        <w:gridCol w:w="994"/>
        <w:gridCol w:w="990"/>
        <w:gridCol w:w="1416"/>
        <w:gridCol w:w="994"/>
        <w:gridCol w:w="992"/>
        <w:gridCol w:w="1369"/>
      </w:tblGrid>
      <w:tr w:rsidR="005C5DF5" w:rsidRPr="00E2771E" w14:paraId="2EF99726" w14:textId="77777777" w:rsidTr="005B07C7">
        <w:trPr>
          <w:cantSplit/>
          <w:trHeight w:val="150"/>
          <w:tblHeader/>
        </w:trPr>
        <w:tc>
          <w:tcPr>
            <w:tcW w:w="12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396B59" w14:textId="77777777" w:rsidR="00C05AB9" w:rsidRPr="00E2771E" w:rsidRDefault="00C05AB9" w:rsidP="009C7407">
            <w:pPr>
              <w:pStyle w:val="Tableheadingrow"/>
            </w:pPr>
          </w:p>
        </w:tc>
        <w:tc>
          <w:tcPr>
            <w:tcW w:w="551" w:type="pct"/>
            <w:vMerge w:val="restart"/>
            <w:tcBorders>
              <w:top w:val="single" w:sz="4" w:space="0" w:color="auto"/>
              <w:left w:val="single" w:sz="4" w:space="0" w:color="auto"/>
              <w:bottom w:val="single" w:sz="4" w:space="0" w:color="auto"/>
              <w:right w:val="single" w:sz="4" w:space="0" w:color="auto"/>
            </w:tcBorders>
            <w:vAlign w:val="center"/>
          </w:tcPr>
          <w:p w14:paraId="0AD80CDA" w14:textId="77777777" w:rsidR="00C05AB9" w:rsidRDefault="00C05AB9" w:rsidP="009C7407">
            <w:pPr>
              <w:pStyle w:val="Tableheadingrow"/>
              <w:jc w:val="center"/>
            </w:pPr>
            <w:r>
              <w:t>Ruxolitinib</w:t>
            </w:r>
          </w:p>
          <w:p w14:paraId="1D71C0AB" w14:textId="77777777" w:rsidR="00C05AB9" w:rsidRPr="00E2771E" w:rsidRDefault="00C05AB9" w:rsidP="009C7407">
            <w:pPr>
              <w:pStyle w:val="Tableheadingrow"/>
              <w:jc w:val="center"/>
            </w:pPr>
            <w:r>
              <w:t>n/N</w:t>
            </w:r>
          </w:p>
        </w:tc>
        <w:tc>
          <w:tcPr>
            <w:tcW w:w="549" w:type="pct"/>
            <w:vMerge w:val="restart"/>
            <w:tcBorders>
              <w:top w:val="single" w:sz="4" w:space="0" w:color="auto"/>
              <w:left w:val="single" w:sz="4" w:space="0" w:color="auto"/>
              <w:bottom w:val="single" w:sz="4" w:space="0" w:color="auto"/>
              <w:right w:val="single" w:sz="4" w:space="0" w:color="auto"/>
            </w:tcBorders>
            <w:vAlign w:val="center"/>
          </w:tcPr>
          <w:p w14:paraId="2FF91FD0" w14:textId="77777777" w:rsidR="00C05AB9" w:rsidRDefault="00C05AB9" w:rsidP="009C7407">
            <w:pPr>
              <w:pStyle w:val="Tableheadingrow"/>
              <w:jc w:val="center"/>
            </w:pPr>
            <w:r>
              <w:t>BAT</w:t>
            </w:r>
          </w:p>
          <w:p w14:paraId="0346312E" w14:textId="77777777" w:rsidR="00C05AB9" w:rsidRPr="00E2771E" w:rsidRDefault="00C05AB9" w:rsidP="009C7407">
            <w:pPr>
              <w:pStyle w:val="Tableheadingrow"/>
              <w:jc w:val="center"/>
            </w:pPr>
            <w:r>
              <w:t>n/N</w:t>
            </w:r>
          </w:p>
        </w:tc>
        <w:tc>
          <w:tcPr>
            <w:tcW w:w="785" w:type="pct"/>
            <w:vMerge w:val="restart"/>
            <w:tcBorders>
              <w:top w:val="single" w:sz="4" w:space="0" w:color="auto"/>
              <w:left w:val="single" w:sz="4" w:space="0" w:color="auto"/>
              <w:bottom w:val="single" w:sz="4" w:space="0" w:color="auto"/>
              <w:right w:val="single" w:sz="4" w:space="0" w:color="auto"/>
            </w:tcBorders>
            <w:vAlign w:val="center"/>
          </w:tcPr>
          <w:p w14:paraId="36D9512F" w14:textId="77777777" w:rsidR="00C05AB9" w:rsidRPr="00E2771E" w:rsidRDefault="00C05AB9" w:rsidP="009C7407">
            <w:pPr>
              <w:pStyle w:val="Tableheadingrow"/>
              <w:jc w:val="center"/>
            </w:pPr>
            <w:r w:rsidRPr="00E2771E">
              <w:t>RR</w:t>
            </w:r>
          </w:p>
          <w:p w14:paraId="4A0C36A4" w14:textId="77777777" w:rsidR="00C05AB9" w:rsidRPr="00E2771E" w:rsidRDefault="00C05AB9" w:rsidP="009C7407">
            <w:pPr>
              <w:pStyle w:val="Tableheadingrow"/>
              <w:jc w:val="center"/>
            </w:pPr>
            <w:r w:rsidRPr="00E2771E">
              <w:t>(95% CI)</w:t>
            </w:r>
          </w:p>
        </w:tc>
        <w:tc>
          <w:tcPr>
            <w:tcW w:w="1101" w:type="pct"/>
            <w:gridSpan w:val="2"/>
            <w:tcBorders>
              <w:top w:val="single" w:sz="4" w:space="0" w:color="auto"/>
              <w:left w:val="single" w:sz="4" w:space="0" w:color="auto"/>
              <w:bottom w:val="single" w:sz="4" w:space="0" w:color="auto"/>
              <w:right w:val="single" w:sz="4" w:space="0" w:color="auto"/>
            </w:tcBorders>
            <w:vAlign w:val="center"/>
          </w:tcPr>
          <w:p w14:paraId="519915C2" w14:textId="77777777" w:rsidR="00C05AB9" w:rsidRPr="00E2771E" w:rsidRDefault="00C05AB9" w:rsidP="009C7407">
            <w:pPr>
              <w:pStyle w:val="Tableheadingrow"/>
              <w:jc w:val="center"/>
            </w:pPr>
            <w:r w:rsidRPr="00E2771E">
              <w:t>Event rate/100 patients</w:t>
            </w:r>
          </w:p>
        </w:tc>
        <w:tc>
          <w:tcPr>
            <w:tcW w:w="759" w:type="pct"/>
            <w:vMerge w:val="restart"/>
            <w:tcBorders>
              <w:top w:val="single" w:sz="4" w:space="0" w:color="auto"/>
              <w:left w:val="single" w:sz="4" w:space="0" w:color="auto"/>
              <w:bottom w:val="single" w:sz="4" w:space="0" w:color="auto"/>
              <w:right w:val="single" w:sz="4" w:space="0" w:color="auto"/>
            </w:tcBorders>
            <w:vAlign w:val="center"/>
          </w:tcPr>
          <w:p w14:paraId="78E487B1" w14:textId="77777777" w:rsidR="00C05AB9" w:rsidRPr="00E2771E" w:rsidRDefault="00C05AB9" w:rsidP="009C7407">
            <w:pPr>
              <w:pStyle w:val="Tableheadingrow"/>
              <w:jc w:val="center"/>
            </w:pPr>
            <w:r w:rsidRPr="00E2771E">
              <w:t>RD</w:t>
            </w:r>
          </w:p>
          <w:p w14:paraId="723697CB" w14:textId="77777777" w:rsidR="00C05AB9" w:rsidRPr="00E2771E" w:rsidRDefault="00C05AB9" w:rsidP="009C7407">
            <w:pPr>
              <w:pStyle w:val="Tableheadingrow"/>
              <w:jc w:val="center"/>
            </w:pPr>
            <w:r w:rsidRPr="00E2771E">
              <w:t>(95% CI)</w:t>
            </w:r>
          </w:p>
        </w:tc>
      </w:tr>
      <w:tr w:rsidR="005C5DF5" w:rsidRPr="00E2771E" w14:paraId="225F0EFE" w14:textId="77777777" w:rsidTr="005B07C7">
        <w:trPr>
          <w:cantSplit/>
          <w:trHeight w:val="315"/>
        </w:trPr>
        <w:tc>
          <w:tcPr>
            <w:tcW w:w="125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F75A6EC" w14:textId="77777777" w:rsidR="00C05AB9" w:rsidRPr="00E2771E" w:rsidRDefault="00C05AB9" w:rsidP="009C7407">
            <w:pPr>
              <w:pStyle w:val="Tableheadingrow"/>
              <w:jc w:val="center"/>
            </w:pPr>
          </w:p>
        </w:tc>
        <w:tc>
          <w:tcPr>
            <w:tcW w:w="551" w:type="pct"/>
            <w:vMerge/>
            <w:tcBorders>
              <w:top w:val="single" w:sz="4" w:space="0" w:color="auto"/>
              <w:left w:val="single" w:sz="4" w:space="0" w:color="auto"/>
              <w:bottom w:val="single" w:sz="4" w:space="0" w:color="auto"/>
              <w:right w:val="single" w:sz="4" w:space="0" w:color="auto"/>
            </w:tcBorders>
            <w:vAlign w:val="center"/>
          </w:tcPr>
          <w:p w14:paraId="2F9175EA" w14:textId="77777777" w:rsidR="00C05AB9" w:rsidRPr="00E2771E" w:rsidRDefault="00C05AB9" w:rsidP="009C7407">
            <w:pPr>
              <w:pStyle w:val="Tableheadingrow"/>
              <w:jc w:val="center"/>
            </w:pPr>
          </w:p>
        </w:tc>
        <w:tc>
          <w:tcPr>
            <w:tcW w:w="549" w:type="pct"/>
            <w:vMerge/>
            <w:tcBorders>
              <w:top w:val="single" w:sz="4" w:space="0" w:color="auto"/>
              <w:left w:val="single" w:sz="4" w:space="0" w:color="auto"/>
              <w:bottom w:val="single" w:sz="4" w:space="0" w:color="auto"/>
              <w:right w:val="single" w:sz="4" w:space="0" w:color="auto"/>
            </w:tcBorders>
            <w:vAlign w:val="center"/>
          </w:tcPr>
          <w:p w14:paraId="7A65651A" w14:textId="77777777" w:rsidR="00C05AB9" w:rsidRPr="00E2771E" w:rsidRDefault="00C05AB9" w:rsidP="009C7407">
            <w:pPr>
              <w:pStyle w:val="Tableheadingrow"/>
              <w:jc w:val="center"/>
            </w:pPr>
          </w:p>
        </w:tc>
        <w:tc>
          <w:tcPr>
            <w:tcW w:w="785" w:type="pct"/>
            <w:vMerge/>
            <w:tcBorders>
              <w:top w:val="single" w:sz="4" w:space="0" w:color="auto"/>
              <w:left w:val="single" w:sz="4" w:space="0" w:color="auto"/>
              <w:bottom w:val="single" w:sz="4" w:space="0" w:color="auto"/>
              <w:right w:val="single" w:sz="4" w:space="0" w:color="auto"/>
            </w:tcBorders>
            <w:vAlign w:val="center"/>
          </w:tcPr>
          <w:p w14:paraId="1EE48125" w14:textId="77777777" w:rsidR="00C05AB9" w:rsidRPr="00E2771E" w:rsidRDefault="00C05AB9" w:rsidP="009C7407">
            <w:pPr>
              <w:pStyle w:val="Tableheadingrow"/>
              <w:jc w:val="center"/>
            </w:pPr>
          </w:p>
        </w:tc>
        <w:tc>
          <w:tcPr>
            <w:tcW w:w="551" w:type="pct"/>
            <w:tcBorders>
              <w:top w:val="single" w:sz="4" w:space="0" w:color="auto"/>
              <w:left w:val="single" w:sz="4" w:space="0" w:color="auto"/>
              <w:bottom w:val="single" w:sz="4" w:space="0" w:color="auto"/>
              <w:right w:val="single" w:sz="4" w:space="0" w:color="auto"/>
            </w:tcBorders>
            <w:vAlign w:val="center"/>
          </w:tcPr>
          <w:p w14:paraId="3F3B3518" w14:textId="77777777" w:rsidR="00C05AB9" w:rsidRPr="00E2771E" w:rsidRDefault="00C05AB9" w:rsidP="009C7407">
            <w:pPr>
              <w:pStyle w:val="Tableheadingrow"/>
              <w:jc w:val="center"/>
            </w:pPr>
            <w:r>
              <w:t>Ruxolitinib</w:t>
            </w:r>
          </w:p>
        </w:tc>
        <w:tc>
          <w:tcPr>
            <w:tcW w:w="550" w:type="pct"/>
            <w:tcBorders>
              <w:top w:val="single" w:sz="4" w:space="0" w:color="auto"/>
              <w:left w:val="single" w:sz="4" w:space="0" w:color="auto"/>
              <w:bottom w:val="single" w:sz="4" w:space="0" w:color="auto"/>
              <w:right w:val="single" w:sz="4" w:space="0" w:color="auto"/>
            </w:tcBorders>
            <w:vAlign w:val="center"/>
          </w:tcPr>
          <w:p w14:paraId="5D70AC97" w14:textId="77777777" w:rsidR="00C05AB9" w:rsidRPr="00E2771E" w:rsidRDefault="00C05AB9" w:rsidP="009C7407">
            <w:pPr>
              <w:pStyle w:val="Tableheadingrow"/>
              <w:jc w:val="center"/>
            </w:pPr>
            <w:r>
              <w:t>BAT</w:t>
            </w:r>
          </w:p>
        </w:tc>
        <w:tc>
          <w:tcPr>
            <w:tcW w:w="759" w:type="pct"/>
            <w:vMerge/>
            <w:tcBorders>
              <w:top w:val="single" w:sz="4" w:space="0" w:color="auto"/>
              <w:left w:val="single" w:sz="4" w:space="0" w:color="auto"/>
              <w:bottom w:val="single" w:sz="4" w:space="0" w:color="auto"/>
              <w:right w:val="single" w:sz="4" w:space="0" w:color="auto"/>
            </w:tcBorders>
            <w:vAlign w:val="center"/>
          </w:tcPr>
          <w:p w14:paraId="4699F2A6" w14:textId="77777777" w:rsidR="00C05AB9" w:rsidRPr="00E2771E" w:rsidRDefault="00C05AB9" w:rsidP="009C7407">
            <w:pPr>
              <w:pStyle w:val="Tableheadingrow"/>
              <w:jc w:val="center"/>
            </w:pPr>
          </w:p>
        </w:tc>
      </w:tr>
      <w:tr w:rsidR="005C5DF5" w:rsidRPr="00E2771E" w14:paraId="228CE087" w14:textId="77777777" w:rsidTr="009C7407">
        <w:trPr>
          <w:cantSplit/>
        </w:trPr>
        <w:tc>
          <w:tcPr>
            <w:tcW w:w="5000" w:type="pct"/>
            <w:gridSpan w:val="7"/>
            <w:tcBorders>
              <w:top w:val="single" w:sz="4" w:space="0" w:color="auto"/>
              <w:left w:val="single" w:sz="4" w:space="0" w:color="auto"/>
              <w:bottom w:val="double" w:sz="4" w:space="0" w:color="auto"/>
              <w:right w:val="single" w:sz="4" w:space="0" w:color="auto"/>
            </w:tcBorders>
            <w:shd w:val="clear" w:color="auto" w:fill="auto"/>
            <w:vAlign w:val="center"/>
          </w:tcPr>
          <w:p w14:paraId="35CC5289" w14:textId="77777777" w:rsidR="00C05AB9" w:rsidRPr="00E2771E" w:rsidRDefault="00C05AB9" w:rsidP="009C7407">
            <w:pPr>
              <w:pStyle w:val="Tableheadingrow"/>
            </w:pPr>
            <w:r w:rsidRPr="00E2771E">
              <w:t>Benefits</w:t>
            </w:r>
          </w:p>
        </w:tc>
      </w:tr>
      <w:tr w:rsidR="005C5DF5" w:rsidRPr="00E2771E" w14:paraId="1B5F5F51" w14:textId="77777777" w:rsidTr="005B07C7">
        <w:trPr>
          <w:cantSplit/>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14:paraId="2F9AE618" w14:textId="75B08B39" w:rsidR="00C05AB9" w:rsidRPr="00E2771E" w:rsidRDefault="00C05AB9" w:rsidP="009C7407">
            <w:pPr>
              <w:pStyle w:val="TableText"/>
            </w:pPr>
            <w:r>
              <w:t xml:space="preserve">ORR at </w:t>
            </w:r>
            <w:r w:rsidR="00FA2702">
              <w:t>Day 28</w:t>
            </w:r>
          </w:p>
        </w:tc>
        <w:tc>
          <w:tcPr>
            <w:tcW w:w="551" w:type="pct"/>
            <w:tcBorders>
              <w:top w:val="single" w:sz="4" w:space="0" w:color="auto"/>
              <w:left w:val="single" w:sz="4" w:space="0" w:color="auto"/>
              <w:bottom w:val="single" w:sz="4" w:space="0" w:color="auto"/>
              <w:right w:val="single" w:sz="4" w:space="0" w:color="auto"/>
            </w:tcBorders>
            <w:vAlign w:val="center"/>
          </w:tcPr>
          <w:p w14:paraId="6479F2EB" w14:textId="77777777" w:rsidR="00C05AB9" w:rsidRPr="00E2771E" w:rsidRDefault="00C05AB9" w:rsidP="009C7407">
            <w:pPr>
              <w:pStyle w:val="TableText"/>
              <w:jc w:val="center"/>
            </w:pPr>
            <w:r>
              <w:t>96/154</w:t>
            </w:r>
          </w:p>
        </w:tc>
        <w:tc>
          <w:tcPr>
            <w:tcW w:w="549" w:type="pct"/>
            <w:tcBorders>
              <w:top w:val="single" w:sz="4" w:space="0" w:color="auto"/>
              <w:left w:val="single" w:sz="4" w:space="0" w:color="auto"/>
              <w:bottom w:val="single" w:sz="4" w:space="0" w:color="auto"/>
              <w:right w:val="single" w:sz="4" w:space="0" w:color="auto"/>
            </w:tcBorders>
            <w:vAlign w:val="center"/>
          </w:tcPr>
          <w:p w14:paraId="35691729" w14:textId="77777777" w:rsidR="00C05AB9" w:rsidRPr="00E2771E" w:rsidRDefault="00C05AB9" w:rsidP="009C7407">
            <w:pPr>
              <w:pStyle w:val="TableText"/>
              <w:jc w:val="center"/>
            </w:pPr>
            <w:r>
              <w:t>61/155</w:t>
            </w:r>
          </w:p>
        </w:tc>
        <w:tc>
          <w:tcPr>
            <w:tcW w:w="785" w:type="pct"/>
            <w:tcBorders>
              <w:top w:val="single" w:sz="4" w:space="0" w:color="auto"/>
              <w:left w:val="single" w:sz="4" w:space="0" w:color="auto"/>
              <w:bottom w:val="single" w:sz="4" w:space="0" w:color="auto"/>
              <w:right w:val="single" w:sz="4" w:space="0" w:color="auto"/>
            </w:tcBorders>
            <w:vAlign w:val="center"/>
          </w:tcPr>
          <w:p w14:paraId="1BAA480E" w14:textId="77777777" w:rsidR="00C05AB9" w:rsidRPr="00E2771E" w:rsidRDefault="00C05AB9" w:rsidP="009C7407">
            <w:pPr>
              <w:pStyle w:val="TableText"/>
              <w:jc w:val="center"/>
            </w:pPr>
            <w:r w:rsidRPr="00D51CAF">
              <w:t>1.58 (1.26, 2.00)</w:t>
            </w:r>
          </w:p>
        </w:tc>
        <w:tc>
          <w:tcPr>
            <w:tcW w:w="551" w:type="pct"/>
            <w:tcBorders>
              <w:top w:val="single" w:sz="4" w:space="0" w:color="auto"/>
              <w:left w:val="single" w:sz="4" w:space="0" w:color="auto"/>
              <w:bottom w:val="single" w:sz="4" w:space="0" w:color="auto"/>
              <w:right w:val="single" w:sz="4" w:space="0" w:color="auto"/>
            </w:tcBorders>
            <w:vAlign w:val="center"/>
          </w:tcPr>
          <w:p w14:paraId="6E9AF17D" w14:textId="77777777" w:rsidR="00C05AB9" w:rsidRPr="00E2771E" w:rsidRDefault="00C05AB9" w:rsidP="009C7407">
            <w:pPr>
              <w:pStyle w:val="TableText"/>
              <w:jc w:val="center"/>
            </w:pPr>
            <w:r>
              <w:t>62.3</w:t>
            </w:r>
          </w:p>
        </w:tc>
        <w:tc>
          <w:tcPr>
            <w:tcW w:w="550" w:type="pct"/>
            <w:tcBorders>
              <w:top w:val="single" w:sz="4" w:space="0" w:color="auto"/>
              <w:left w:val="single" w:sz="4" w:space="0" w:color="auto"/>
              <w:bottom w:val="single" w:sz="4" w:space="0" w:color="auto"/>
              <w:right w:val="single" w:sz="4" w:space="0" w:color="auto"/>
            </w:tcBorders>
            <w:vAlign w:val="center"/>
          </w:tcPr>
          <w:p w14:paraId="492F2F49" w14:textId="77777777" w:rsidR="00C05AB9" w:rsidRPr="00E2771E" w:rsidRDefault="00C05AB9" w:rsidP="009C7407">
            <w:pPr>
              <w:pStyle w:val="TableText"/>
              <w:jc w:val="center"/>
            </w:pPr>
            <w:r>
              <w:t>39.4</w:t>
            </w:r>
          </w:p>
        </w:tc>
        <w:tc>
          <w:tcPr>
            <w:tcW w:w="759" w:type="pct"/>
            <w:tcBorders>
              <w:top w:val="single" w:sz="4" w:space="0" w:color="auto"/>
              <w:left w:val="single" w:sz="4" w:space="0" w:color="auto"/>
              <w:bottom w:val="single" w:sz="4" w:space="0" w:color="auto"/>
              <w:right w:val="single" w:sz="4" w:space="0" w:color="auto"/>
            </w:tcBorders>
            <w:vAlign w:val="center"/>
          </w:tcPr>
          <w:p w14:paraId="3235EC7F" w14:textId="77777777" w:rsidR="00C05AB9" w:rsidRPr="00E2771E" w:rsidRDefault="00C05AB9" w:rsidP="009C7407">
            <w:pPr>
              <w:pStyle w:val="TableText"/>
              <w:jc w:val="center"/>
            </w:pPr>
            <w:r w:rsidRPr="00D51CAF">
              <w:t>0.23 (0.12, 0.34)</w:t>
            </w:r>
          </w:p>
        </w:tc>
      </w:tr>
      <w:tr w:rsidR="005C5DF5" w:rsidRPr="00E2771E" w14:paraId="22227509" w14:textId="77777777" w:rsidTr="005B07C7">
        <w:trPr>
          <w:cantSplit/>
        </w:trPr>
        <w:tc>
          <w:tcPr>
            <w:tcW w:w="1255" w:type="pct"/>
            <w:tcBorders>
              <w:top w:val="single" w:sz="4" w:space="0" w:color="auto"/>
              <w:left w:val="single" w:sz="4" w:space="0" w:color="auto"/>
              <w:right w:val="single" w:sz="4" w:space="0" w:color="auto"/>
            </w:tcBorders>
            <w:shd w:val="clear" w:color="auto" w:fill="auto"/>
            <w:vAlign w:val="center"/>
          </w:tcPr>
          <w:p w14:paraId="7DBFD405" w14:textId="77777777" w:rsidR="00C05AB9" w:rsidRPr="00256F0A" w:rsidRDefault="00C05AB9" w:rsidP="009C7407">
            <w:pPr>
              <w:pStyle w:val="TableText"/>
              <w:rPr>
                <w:vertAlign w:val="superscript"/>
              </w:rPr>
            </w:pPr>
            <w:r w:rsidRPr="00256F0A">
              <w:t>Proportion tapered off corticosteroids</w:t>
            </w:r>
            <w:r>
              <w:rPr>
                <w:vertAlign w:val="superscript"/>
              </w:rPr>
              <w:t>1</w:t>
            </w:r>
          </w:p>
        </w:tc>
        <w:tc>
          <w:tcPr>
            <w:tcW w:w="551" w:type="pct"/>
            <w:tcBorders>
              <w:top w:val="single" w:sz="4" w:space="0" w:color="auto"/>
              <w:left w:val="single" w:sz="4" w:space="0" w:color="auto"/>
              <w:right w:val="single" w:sz="4" w:space="0" w:color="auto"/>
            </w:tcBorders>
            <w:vAlign w:val="center"/>
          </w:tcPr>
          <w:p w14:paraId="4335B75B" w14:textId="77777777" w:rsidR="00C05AB9" w:rsidRDefault="00C05AB9" w:rsidP="009C7407">
            <w:pPr>
              <w:pStyle w:val="TableText"/>
              <w:jc w:val="center"/>
            </w:pPr>
            <w:r>
              <w:t>34/154</w:t>
            </w:r>
          </w:p>
        </w:tc>
        <w:tc>
          <w:tcPr>
            <w:tcW w:w="549" w:type="pct"/>
            <w:tcBorders>
              <w:top w:val="single" w:sz="4" w:space="0" w:color="auto"/>
              <w:left w:val="single" w:sz="4" w:space="0" w:color="auto"/>
              <w:right w:val="single" w:sz="4" w:space="0" w:color="auto"/>
            </w:tcBorders>
            <w:vAlign w:val="center"/>
          </w:tcPr>
          <w:p w14:paraId="7EC7FB7E" w14:textId="77777777" w:rsidR="00C05AB9" w:rsidRDefault="00C05AB9" w:rsidP="009C7407">
            <w:pPr>
              <w:pStyle w:val="TableText"/>
              <w:jc w:val="center"/>
            </w:pPr>
            <w:r>
              <w:t>23/155</w:t>
            </w:r>
          </w:p>
        </w:tc>
        <w:tc>
          <w:tcPr>
            <w:tcW w:w="785" w:type="pct"/>
            <w:tcBorders>
              <w:top w:val="single" w:sz="4" w:space="0" w:color="auto"/>
              <w:left w:val="single" w:sz="4" w:space="0" w:color="auto"/>
              <w:right w:val="single" w:sz="4" w:space="0" w:color="auto"/>
            </w:tcBorders>
            <w:vAlign w:val="center"/>
          </w:tcPr>
          <w:p w14:paraId="5907FE05" w14:textId="77777777" w:rsidR="00C05AB9" w:rsidRDefault="00C05AB9" w:rsidP="009C7407">
            <w:pPr>
              <w:pStyle w:val="TableText"/>
              <w:jc w:val="center"/>
            </w:pPr>
            <w:r>
              <w:t>OR:</w:t>
            </w:r>
          </w:p>
          <w:p w14:paraId="22A8D95D" w14:textId="77777777" w:rsidR="00C05AB9" w:rsidRPr="001B7105" w:rsidRDefault="00C05AB9" w:rsidP="009C7407">
            <w:pPr>
              <w:pStyle w:val="TableText"/>
              <w:jc w:val="center"/>
            </w:pPr>
            <w:r>
              <w:t>1.63 (0.91, 2.92)</w:t>
            </w:r>
          </w:p>
        </w:tc>
        <w:tc>
          <w:tcPr>
            <w:tcW w:w="551" w:type="pct"/>
            <w:tcBorders>
              <w:top w:val="single" w:sz="4" w:space="0" w:color="auto"/>
              <w:left w:val="single" w:sz="4" w:space="0" w:color="auto"/>
              <w:right w:val="single" w:sz="4" w:space="0" w:color="auto"/>
            </w:tcBorders>
            <w:vAlign w:val="center"/>
          </w:tcPr>
          <w:p w14:paraId="42A78C91" w14:textId="77777777" w:rsidR="00C05AB9" w:rsidRDefault="00C05AB9" w:rsidP="009C7407">
            <w:pPr>
              <w:pStyle w:val="TableText"/>
              <w:jc w:val="center"/>
            </w:pPr>
            <w:r>
              <w:t>22.1</w:t>
            </w:r>
          </w:p>
        </w:tc>
        <w:tc>
          <w:tcPr>
            <w:tcW w:w="550" w:type="pct"/>
            <w:tcBorders>
              <w:top w:val="single" w:sz="4" w:space="0" w:color="auto"/>
              <w:left w:val="single" w:sz="4" w:space="0" w:color="auto"/>
              <w:right w:val="single" w:sz="4" w:space="0" w:color="auto"/>
            </w:tcBorders>
            <w:vAlign w:val="center"/>
          </w:tcPr>
          <w:p w14:paraId="30C870F7" w14:textId="77777777" w:rsidR="00C05AB9" w:rsidRDefault="00C05AB9" w:rsidP="009C7407">
            <w:pPr>
              <w:pStyle w:val="TableText"/>
              <w:jc w:val="center"/>
            </w:pPr>
            <w:r>
              <w:t>14.8</w:t>
            </w:r>
          </w:p>
        </w:tc>
        <w:tc>
          <w:tcPr>
            <w:tcW w:w="759" w:type="pct"/>
            <w:tcBorders>
              <w:top w:val="single" w:sz="4" w:space="0" w:color="auto"/>
              <w:left w:val="single" w:sz="4" w:space="0" w:color="auto"/>
              <w:right w:val="single" w:sz="4" w:space="0" w:color="auto"/>
            </w:tcBorders>
            <w:vAlign w:val="center"/>
          </w:tcPr>
          <w:p w14:paraId="14A288DA" w14:textId="77777777" w:rsidR="00C05AB9" w:rsidRPr="001B7105" w:rsidRDefault="00C05AB9" w:rsidP="009C7407">
            <w:pPr>
              <w:pStyle w:val="TableText"/>
              <w:jc w:val="center"/>
            </w:pPr>
            <w:r>
              <w:t>7.3 (NR)</w:t>
            </w:r>
          </w:p>
        </w:tc>
      </w:tr>
    </w:tbl>
    <w:tbl>
      <w:tblPr>
        <w:tblStyle w:val="TableGrid"/>
        <w:tblW w:w="5000" w:type="pct"/>
        <w:tblLayout w:type="fixed"/>
        <w:tblCellMar>
          <w:left w:w="28" w:type="dxa"/>
          <w:right w:w="28" w:type="dxa"/>
        </w:tblCellMar>
        <w:tblLook w:val="04A0" w:firstRow="1" w:lastRow="0" w:firstColumn="1" w:lastColumn="0" w:noHBand="0" w:noVBand="1"/>
      </w:tblPr>
      <w:tblGrid>
        <w:gridCol w:w="3257"/>
        <w:gridCol w:w="1275"/>
        <w:gridCol w:w="1277"/>
        <w:gridCol w:w="1841"/>
        <w:gridCol w:w="1367"/>
      </w:tblGrid>
      <w:tr w:rsidR="005C5DF5" w:rsidRPr="00712C73" w14:paraId="1BB43359" w14:textId="77777777" w:rsidTr="009C7407">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2946F65" w14:textId="77777777" w:rsidR="00C05AB9" w:rsidRPr="00C05AB9" w:rsidRDefault="00C05AB9" w:rsidP="009C7407">
            <w:pPr>
              <w:pStyle w:val="Tableheadingrow"/>
              <w:rPr>
                <w:szCs w:val="20"/>
                <w:vertAlign w:val="superscript"/>
              </w:rPr>
            </w:pPr>
            <w:r w:rsidRPr="00C05AB9">
              <w:rPr>
                <w:szCs w:val="20"/>
              </w:rPr>
              <w:t>Duration of response (median duration of follow-up 5.0 months for ruxolitinib; 3.6 months for BAT)</w:t>
            </w:r>
            <w:r w:rsidRPr="00C05AB9">
              <w:rPr>
                <w:szCs w:val="20"/>
                <w:vertAlign w:val="superscript"/>
              </w:rPr>
              <w:t>2</w:t>
            </w:r>
          </w:p>
        </w:tc>
      </w:tr>
      <w:tr w:rsidR="005C5DF5" w:rsidRPr="00511320" w14:paraId="092EF84B" w14:textId="77777777" w:rsidTr="005B07C7">
        <w:trPr>
          <w:trHeight w:val="20"/>
        </w:trPr>
        <w:tc>
          <w:tcPr>
            <w:tcW w:w="1806" w:type="pct"/>
            <w:tcBorders>
              <w:top w:val="single" w:sz="4" w:space="0" w:color="auto"/>
              <w:bottom w:val="single" w:sz="4" w:space="0" w:color="auto"/>
            </w:tcBorders>
            <w:shd w:val="clear" w:color="auto" w:fill="auto"/>
            <w:vAlign w:val="center"/>
          </w:tcPr>
          <w:p w14:paraId="69AAA0A5" w14:textId="77777777" w:rsidR="00C05AB9" w:rsidRPr="00330DAA" w:rsidRDefault="00C05AB9" w:rsidP="009C7407">
            <w:pPr>
              <w:pStyle w:val="Tableheadingrow"/>
            </w:pPr>
            <w:r w:rsidRPr="00330DAA">
              <w:t>Event</w:t>
            </w:r>
          </w:p>
        </w:tc>
        <w:tc>
          <w:tcPr>
            <w:tcW w:w="707" w:type="pct"/>
            <w:tcBorders>
              <w:top w:val="single" w:sz="4" w:space="0" w:color="auto"/>
              <w:bottom w:val="single" w:sz="4" w:space="0" w:color="auto"/>
            </w:tcBorders>
            <w:shd w:val="clear" w:color="auto" w:fill="auto"/>
            <w:vAlign w:val="center"/>
          </w:tcPr>
          <w:p w14:paraId="51E1C610" w14:textId="77777777" w:rsidR="00C05AB9" w:rsidRPr="00330DAA" w:rsidRDefault="00C05AB9" w:rsidP="009C7407">
            <w:pPr>
              <w:pStyle w:val="Tableheadingrow"/>
              <w:jc w:val="center"/>
            </w:pPr>
            <w:r>
              <w:t>Ruxolitinib</w:t>
            </w:r>
          </w:p>
        </w:tc>
        <w:tc>
          <w:tcPr>
            <w:tcW w:w="708" w:type="pct"/>
            <w:tcBorders>
              <w:top w:val="single" w:sz="4" w:space="0" w:color="auto"/>
              <w:bottom w:val="single" w:sz="4" w:space="0" w:color="auto"/>
            </w:tcBorders>
            <w:shd w:val="clear" w:color="auto" w:fill="auto"/>
            <w:vAlign w:val="center"/>
          </w:tcPr>
          <w:p w14:paraId="5D7831C5" w14:textId="77777777" w:rsidR="00C05AB9" w:rsidRPr="00330DAA" w:rsidRDefault="00C05AB9" w:rsidP="009C7407">
            <w:pPr>
              <w:pStyle w:val="Tableheadingrow"/>
              <w:jc w:val="center"/>
            </w:pPr>
            <w:r>
              <w:t>BAT</w:t>
            </w:r>
          </w:p>
        </w:tc>
        <w:tc>
          <w:tcPr>
            <w:tcW w:w="1021" w:type="pct"/>
            <w:tcBorders>
              <w:top w:val="single" w:sz="4" w:space="0" w:color="auto"/>
              <w:bottom w:val="single" w:sz="4" w:space="0" w:color="auto"/>
            </w:tcBorders>
            <w:shd w:val="clear" w:color="auto" w:fill="auto"/>
            <w:vAlign w:val="center"/>
          </w:tcPr>
          <w:p w14:paraId="671A4A3A" w14:textId="77777777" w:rsidR="00C05AB9" w:rsidRPr="00330DAA" w:rsidRDefault="00C05AB9" w:rsidP="009C7407">
            <w:pPr>
              <w:pStyle w:val="Tableheadingrow"/>
              <w:jc w:val="center"/>
              <w:rPr>
                <w:rFonts w:asciiTheme="minorHAnsi" w:hAnsiTheme="minorHAnsi"/>
              </w:rPr>
            </w:pPr>
            <w:r w:rsidRPr="00330DAA">
              <w:t xml:space="preserve">Absolute </w:t>
            </w:r>
            <w:r>
              <w:t>d</w:t>
            </w:r>
            <w:r w:rsidRPr="00330DAA">
              <w:t>ifference</w:t>
            </w:r>
          </w:p>
        </w:tc>
        <w:tc>
          <w:tcPr>
            <w:tcW w:w="758" w:type="pct"/>
            <w:tcBorders>
              <w:top w:val="single" w:sz="4" w:space="0" w:color="auto"/>
              <w:bottom w:val="single" w:sz="4" w:space="0" w:color="auto"/>
            </w:tcBorders>
            <w:shd w:val="clear" w:color="auto" w:fill="auto"/>
            <w:vAlign w:val="center"/>
          </w:tcPr>
          <w:p w14:paraId="769E6FFA" w14:textId="77777777" w:rsidR="00C05AB9" w:rsidRPr="00511320" w:rsidRDefault="00C05AB9" w:rsidP="009C7407">
            <w:pPr>
              <w:pStyle w:val="Tableheadingrow"/>
              <w:jc w:val="center"/>
            </w:pPr>
            <w:r w:rsidRPr="00511320">
              <w:t>HR (95% CI)</w:t>
            </w:r>
          </w:p>
        </w:tc>
      </w:tr>
      <w:tr w:rsidR="00FA2702" w:rsidRPr="00C67006" w14:paraId="702007F1" w14:textId="77777777" w:rsidTr="00FA2702">
        <w:trPr>
          <w:trHeight w:val="275"/>
        </w:trPr>
        <w:tc>
          <w:tcPr>
            <w:tcW w:w="1806" w:type="pct"/>
            <w:tcBorders>
              <w:right w:val="single" w:sz="4" w:space="0" w:color="auto"/>
            </w:tcBorders>
            <w:shd w:val="clear" w:color="auto" w:fill="auto"/>
          </w:tcPr>
          <w:p w14:paraId="66BE0A68" w14:textId="07839D8B" w:rsidR="00FA2702" w:rsidRPr="00330DAA" w:rsidRDefault="00FA2702" w:rsidP="009C7407">
            <w:pPr>
              <w:pStyle w:val="TableText"/>
              <w:keepLines/>
              <w:widowControl w:val="0"/>
            </w:pPr>
            <w:r w:rsidRPr="00330DAA">
              <w:t xml:space="preserve">Median </w:t>
            </w:r>
            <w:r>
              <w:t>duration of response (95% CI)</w:t>
            </w:r>
          </w:p>
        </w:tc>
        <w:tc>
          <w:tcPr>
            <w:tcW w:w="707" w:type="pct"/>
            <w:tcBorders>
              <w:left w:val="single" w:sz="4" w:space="0" w:color="auto"/>
              <w:right w:val="single" w:sz="4" w:space="0" w:color="auto"/>
            </w:tcBorders>
            <w:shd w:val="clear" w:color="auto" w:fill="auto"/>
          </w:tcPr>
          <w:p w14:paraId="23A21C56" w14:textId="30694C87" w:rsidR="00FA2702" w:rsidRPr="00330DAA" w:rsidRDefault="00FA2702" w:rsidP="009C7407">
            <w:pPr>
              <w:pStyle w:val="TableText"/>
              <w:keepLines/>
              <w:widowControl w:val="0"/>
              <w:jc w:val="center"/>
            </w:pPr>
            <w:r>
              <w:rPr>
                <w:rFonts w:cs="Times New Roman"/>
                <w:szCs w:val="20"/>
              </w:rPr>
              <w:t>168.0 (NR)</w:t>
            </w:r>
          </w:p>
        </w:tc>
        <w:tc>
          <w:tcPr>
            <w:tcW w:w="708" w:type="pct"/>
            <w:tcBorders>
              <w:left w:val="single" w:sz="4" w:space="0" w:color="auto"/>
              <w:right w:val="single" w:sz="4" w:space="0" w:color="auto"/>
            </w:tcBorders>
            <w:shd w:val="clear" w:color="auto" w:fill="auto"/>
          </w:tcPr>
          <w:p w14:paraId="1D25DFF1" w14:textId="76474CB5" w:rsidR="00FA2702" w:rsidRPr="00330DAA" w:rsidRDefault="00FA2702" w:rsidP="009C7407">
            <w:pPr>
              <w:pStyle w:val="TableText"/>
              <w:keepLines/>
              <w:widowControl w:val="0"/>
              <w:jc w:val="center"/>
            </w:pPr>
            <w:r>
              <w:rPr>
                <w:rFonts w:cs="Times New Roman"/>
                <w:szCs w:val="20"/>
              </w:rPr>
              <w:t>101.0 (NR)</w:t>
            </w:r>
          </w:p>
        </w:tc>
        <w:tc>
          <w:tcPr>
            <w:tcW w:w="1021" w:type="pct"/>
            <w:tcBorders>
              <w:left w:val="single" w:sz="4" w:space="0" w:color="auto"/>
              <w:right w:val="single" w:sz="4" w:space="0" w:color="auto"/>
            </w:tcBorders>
            <w:shd w:val="clear" w:color="auto" w:fill="auto"/>
          </w:tcPr>
          <w:p w14:paraId="510CEC14" w14:textId="320581E9" w:rsidR="00FA2702" w:rsidRPr="00330DAA" w:rsidRDefault="00FA2702" w:rsidP="009C7407">
            <w:pPr>
              <w:pStyle w:val="TableText"/>
              <w:keepLines/>
              <w:widowControl w:val="0"/>
              <w:jc w:val="center"/>
            </w:pPr>
            <w:r>
              <w:t>67.0</w:t>
            </w:r>
          </w:p>
        </w:tc>
        <w:tc>
          <w:tcPr>
            <w:tcW w:w="758" w:type="pct"/>
            <w:tcBorders>
              <w:left w:val="single" w:sz="4" w:space="0" w:color="auto"/>
            </w:tcBorders>
            <w:shd w:val="clear" w:color="auto" w:fill="auto"/>
            <w:vAlign w:val="center"/>
          </w:tcPr>
          <w:p w14:paraId="77C998B3" w14:textId="77777777" w:rsidR="00FA2702" w:rsidRPr="00C67006" w:rsidRDefault="00FA2702" w:rsidP="009C7407">
            <w:pPr>
              <w:pStyle w:val="TableText"/>
              <w:keepLines/>
              <w:widowControl w:val="0"/>
              <w:jc w:val="center"/>
            </w:pPr>
            <w:r>
              <w:t>NR</w:t>
            </w:r>
          </w:p>
        </w:tc>
      </w:tr>
    </w:tbl>
    <w:tbl>
      <w:tblPr>
        <w:tblW w:w="5000" w:type="pct"/>
        <w:tblLayout w:type="fixed"/>
        <w:tblCellMar>
          <w:left w:w="28" w:type="dxa"/>
          <w:right w:w="28" w:type="dxa"/>
        </w:tblCellMar>
        <w:tblLook w:val="04A0" w:firstRow="1" w:lastRow="0" w:firstColumn="1" w:lastColumn="0" w:noHBand="0" w:noVBand="1"/>
      </w:tblPr>
      <w:tblGrid>
        <w:gridCol w:w="2262"/>
        <w:gridCol w:w="994"/>
        <w:gridCol w:w="990"/>
        <w:gridCol w:w="1416"/>
        <w:gridCol w:w="994"/>
        <w:gridCol w:w="972"/>
        <w:gridCol w:w="1389"/>
      </w:tblGrid>
      <w:tr w:rsidR="005C5DF5" w:rsidRPr="00E2771E" w14:paraId="24AFDB67" w14:textId="77777777" w:rsidTr="009C7407">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FC858E" w14:textId="77777777" w:rsidR="00C05AB9" w:rsidRPr="00E2771E" w:rsidRDefault="00C05AB9" w:rsidP="009C7407">
            <w:pPr>
              <w:pStyle w:val="Tableheadingrow"/>
            </w:pPr>
            <w:r w:rsidRPr="00E2771E">
              <w:t xml:space="preserve">Harms </w:t>
            </w:r>
          </w:p>
        </w:tc>
      </w:tr>
      <w:tr w:rsidR="005C5DF5" w:rsidRPr="00E2771E" w14:paraId="07513696" w14:textId="77777777" w:rsidTr="005B07C7">
        <w:trPr>
          <w:trHeight w:val="70"/>
        </w:trPr>
        <w:tc>
          <w:tcPr>
            <w:tcW w:w="1255" w:type="pct"/>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490F9A95" w14:textId="77777777" w:rsidR="00C05AB9" w:rsidRPr="00DD7AF6" w:rsidRDefault="00C05AB9" w:rsidP="009C7407">
            <w:pPr>
              <w:pStyle w:val="Tableheadingrow"/>
              <w:rPr>
                <w:vertAlign w:val="superscript"/>
              </w:rPr>
            </w:pPr>
            <w:r>
              <w:t>Adverse event</w:t>
            </w:r>
            <w:r>
              <w:rPr>
                <w:vertAlign w:val="superscript"/>
              </w:rPr>
              <w:t>3</w:t>
            </w:r>
          </w:p>
        </w:tc>
        <w:tc>
          <w:tcPr>
            <w:tcW w:w="551" w:type="pct"/>
            <w:vMerge w:val="restart"/>
            <w:tcBorders>
              <w:top w:val="double" w:sz="4" w:space="0" w:color="auto"/>
              <w:left w:val="single" w:sz="4" w:space="0" w:color="auto"/>
              <w:bottom w:val="single" w:sz="4" w:space="0" w:color="auto"/>
              <w:right w:val="single" w:sz="4" w:space="0" w:color="auto"/>
            </w:tcBorders>
            <w:vAlign w:val="center"/>
          </w:tcPr>
          <w:p w14:paraId="76AA1553" w14:textId="77777777" w:rsidR="00C05AB9" w:rsidRDefault="00C05AB9" w:rsidP="009C7407">
            <w:pPr>
              <w:pStyle w:val="Tableheadingrow"/>
              <w:jc w:val="center"/>
            </w:pPr>
            <w:r>
              <w:t>Ruxolitinib</w:t>
            </w:r>
          </w:p>
          <w:p w14:paraId="76011120" w14:textId="77777777" w:rsidR="00C05AB9" w:rsidRPr="00E2771E" w:rsidRDefault="00C05AB9" w:rsidP="009C7407">
            <w:pPr>
              <w:pStyle w:val="Tableheadingrow"/>
              <w:jc w:val="center"/>
            </w:pPr>
            <w:r>
              <w:t>n/N</w:t>
            </w:r>
          </w:p>
        </w:tc>
        <w:tc>
          <w:tcPr>
            <w:tcW w:w="549" w:type="pct"/>
            <w:vMerge w:val="restart"/>
            <w:tcBorders>
              <w:top w:val="double" w:sz="4" w:space="0" w:color="auto"/>
              <w:left w:val="single" w:sz="4" w:space="0" w:color="auto"/>
              <w:bottom w:val="single" w:sz="4" w:space="0" w:color="auto"/>
              <w:right w:val="single" w:sz="4" w:space="0" w:color="auto"/>
            </w:tcBorders>
            <w:vAlign w:val="center"/>
          </w:tcPr>
          <w:p w14:paraId="21FB021F" w14:textId="77777777" w:rsidR="00C05AB9" w:rsidRDefault="00C05AB9" w:rsidP="009C7407">
            <w:pPr>
              <w:pStyle w:val="Tableheadingrow"/>
              <w:jc w:val="center"/>
            </w:pPr>
            <w:r>
              <w:t>BAT</w:t>
            </w:r>
          </w:p>
          <w:p w14:paraId="358D1EBA" w14:textId="77777777" w:rsidR="00C05AB9" w:rsidRPr="00E2771E" w:rsidRDefault="00C05AB9" w:rsidP="009C7407">
            <w:pPr>
              <w:pStyle w:val="Tableheadingrow"/>
              <w:jc w:val="center"/>
            </w:pPr>
            <w:r>
              <w:t>n/N</w:t>
            </w:r>
          </w:p>
        </w:tc>
        <w:tc>
          <w:tcPr>
            <w:tcW w:w="785" w:type="pct"/>
            <w:vMerge w:val="restart"/>
            <w:tcBorders>
              <w:top w:val="double" w:sz="4" w:space="0" w:color="auto"/>
              <w:left w:val="single" w:sz="4" w:space="0" w:color="auto"/>
              <w:bottom w:val="single" w:sz="4" w:space="0" w:color="auto"/>
              <w:right w:val="single" w:sz="4" w:space="0" w:color="auto"/>
            </w:tcBorders>
            <w:vAlign w:val="center"/>
          </w:tcPr>
          <w:p w14:paraId="01E099A5" w14:textId="77777777" w:rsidR="00C05AB9" w:rsidRPr="00E2771E" w:rsidRDefault="00C05AB9" w:rsidP="009C7407">
            <w:pPr>
              <w:pStyle w:val="Tableheadingrow"/>
              <w:jc w:val="center"/>
            </w:pPr>
            <w:r w:rsidRPr="00E2771E">
              <w:t>RR</w:t>
            </w:r>
          </w:p>
          <w:p w14:paraId="2072FAC7" w14:textId="77777777" w:rsidR="00C05AB9" w:rsidRPr="00E2771E" w:rsidRDefault="00C05AB9" w:rsidP="009C7407">
            <w:pPr>
              <w:pStyle w:val="Tableheadingrow"/>
              <w:jc w:val="center"/>
            </w:pPr>
            <w:r w:rsidRPr="00E2771E">
              <w:t>(95% CI)</w:t>
            </w:r>
          </w:p>
        </w:tc>
        <w:tc>
          <w:tcPr>
            <w:tcW w:w="1090" w:type="pct"/>
            <w:gridSpan w:val="2"/>
            <w:tcBorders>
              <w:top w:val="double" w:sz="4" w:space="0" w:color="auto"/>
              <w:left w:val="single" w:sz="4" w:space="0" w:color="auto"/>
              <w:bottom w:val="single" w:sz="4" w:space="0" w:color="auto"/>
              <w:right w:val="single" w:sz="4" w:space="0" w:color="auto"/>
            </w:tcBorders>
            <w:vAlign w:val="center"/>
          </w:tcPr>
          <w:p w14:paraId="760B61BC" w14:textId="77777777" w:rsidR="00C05AB9" w:rsidRPr="00E2771E" w:rsidRDefault="00C05AB9" w:rsidP="009C7407">
            <w:pPr>
              <w:pStyle w:val="Tableheadingrow"/>
              <w:jc w:val="center"/>
            </w:pPr>
            <w:r w:rsidRPr="00E2771E">
              <w:t>Event rate/100 patients</w:t>
            </w:r>
          </w:p>
        </w:tc>
        <w:tc>
          <w:tcPr>
            <w:tcW w:w="770" w:type="pct"/>
            <w:vMerge w:val="restart"/>
            <w:tcBorders>
              <w:top w:val="double" w:sz="4" w:space="0" w:color="auto"/>
              <w:left w:val="single" w:sz="4" w:space="0" w:color="auto"/>
              <w:bottom w:val="single" w:sz="4" w:space="0" w:color="auto"/>
              <w:right w:val="single" w:sz="4" w:space="0" w:color="auto"/>
            </w:tcBorders>
            <w:vAlign w:val="center"/>
          </w:tcPr>
          <w:p w14:paraId="2DB1580B" w14:textId="77777777" w:rsidR="00C05AB9" w:rsidRPr="00E2771E" w:rsidRDefault="00C05AB9" w:rsidP="009C7407">
            <w:pPr>
              <w:pStyle w:val="Tableheadingrow"/>
              <w:jc w:val="center"/>
            </w:pPr>
            <w:r w:rsidRPr="00E2771E">
              <w:t>RD</w:t>
            </w:r>
          </w:p>
          <w:p w14:paraId="078B6375" w14:textId="77777777" w:rsidR="00C05AB9" w:rsidRPr="00E2771E" w:rsidRDefault="00C05AB9" w:rsidP="009C7407">
            <w:pPr>
              <w:pStyle w:val="Tableheadingrow"/>
              <w:jc w:val="center"/>
            </w:pPr>
            <w:r w:rsidRPr="00E2771E">
              <w:t>(95% CI)</w:t>
            </w:r>
          </w:p>
        </w:tc>
      </w:tr>
      <w:tr w:rsidR="005C5DF5" w:rsidRPr="00E2771E" w14:paraId="0F034BD4" w14:textId="77777777" w:rsidTr="005B07C7">
        <w:trPr>
          <w:trHeight w:val="60"/>
        </w:trPr>
        <w:tc>
          <w:tcPr>
            <w:tcW w:w="125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5A81FA4" w14:textId="77777777" w:rsidR="00C05AB9" w:rsidRPr="00E2771E" w:rsidRDefault="00C05AB9" w:rsidP="009C7407">
            <w:pPr>
              <w:pStyle w:val="Tableheadingrow"/>
            </w:pPr>
          </w:p>
        </w:tc>
        <w:tc>
          <w:tcPr>
            <w:tcW w:w="551" w:type="pct"/>
            <w:vMerge/>
            <w:tcBorders>
              <w:top w:val="single" w:sz="4" w:space="0" w:color="auto"/>
              <w:left w:val="single" w:sz="4" w:space="0" w:color="auto"/>
              <w:bottom w:val="single" w:sz="4" w:space="0" w:color="auto"/>
              <w:right w:val="single" w:sz="4" w:space="0" w:color="auto"/>
            </w:tcBorders>
            <w:vAlign w:val="center"/>
          </w:tcPr>
          <w:p w14:paraId="3DD28BA1" w14:textId="77777777" w:rsidR="00C05AB9" w:rsidRPr="00E2771E" w:rsidRDefault="00C05AB9" w:rsidP="009C7407">
            <w:pPr>
              <w:pStyle w:val="Tableheadingrow"/>
            </w:pPr>
          </w:p>
        </w:tc>
        <w:tc>
          <w:tcPr>
            <w:tcW w:w="549" w:type="pct"/>
            <w:vMerge/>
            <w:tcBorders>
              <w:top w:val="single" w:sz="4" w:space="0" w:color="auto"/>
              <w:left w:val="single" w:sz="4" w:space="0" w:color="auto"/>
              <w:bottom w:val="single" w:sz="4" w:space="0" w:color="auto"/>
              <w:right w:val="single" w:sz="4" w:space="0" w:color="auto"/>
            </w:tcBorders>
            <w:vAlign w:val="center"/>
          </w:tcPr>
          <w:p w14:paraId="51436A0B" w14:textId="77777777" w:rsidR="00C05AB9" w:rsidRPr="00E2771E" w:rsidRDefault="00C05AB9" w:rsidP="009C7407">
            <w:pPr>
              <w:pStyle w:val="Tableheadingrow"/>
            </w:pPr>
          </w:p>
        </w:tc>
        <w:tc>
          <w:tcPr>
            <w:tcW w:w="785" w:type="pct"/>
            <w:vMerge/>
            <w:tcBorders>
              <w:top w:val="single" w:sz="4" w:space="0" w:color="auto"/>
              <w:left w:val="single" w:sz="4" w:space="0" w:color="auto"/>
              <w:bottom w:val="single" w:sz="4" w:space="0" w:color="auto"/>
              <w:right w:val="single" w:sz="4" w:space="0" w:color="auto"/>
            </w:tcBorders>
            <w:vAlign w:val="center"/>
          </w:tcPr>
          <w:p w14:paraId="2247F792" w14:textId="77777777" w:rsidR="00C05AB9" w:rsidRPr="00E2771E" w:rsidRDefault="00C05AB9" w:rsidP="009C7407">
            <w:pPr>
              <w:pStyle w:val="Tableheadingrow"/>
            </w:pPr>
          </w:p>
        </w:tc>
        <w:tc>
          <w:tcPr>
            <w:tcW w:w="551" w:type="pct"/>
            <w:tcBorders>
              <w:top w:val="single" w:sz="4" w:space="0" w:color="auto"/>
              <w:left w:val="single" w:sz="4" w:space="0" w:color="auto"/>
              <w:bottom w:val="single" w:sz="4" w:space="0" w:color="auto"/>
              <w:right w:val="single" w:sz="4" w:space="0" w:color="auto"/>
            </w:tcBorders>
            <w:vAlign w:val="center"/>
          </w:tcPr>
          <w:p w14:paraId="3DF17222" w14:textId="77777777" w:rsidR="00C05AB9" w:rsidRPr="00E2771E" w:rsidRDefault="00C05AB9" w:rsidP="009C7407">
            <w:pPr>
              <w:pStyle w:val="Tableheadingrow"/>
              <w:jc w:val="center"/>
            </w:pPr>
            <w:r>
              <w:t>Ruxolitinib</w:t>
            </w:r>
          </w:p>
        </w:tc>
        <w:tc>
          <w:tcPr>
            <w:tcW w:w="539" w:type="pct"/>
            <w:tcBorders>
              <w:top w:val="single" w:sz="4" w:space="0" w:color="auto"/>
              <w:left w:val="single" w:sz="4" w:space="0" w:color="auto"/>
              <w:bottom w:val="single" w:sz="4" w:space="0" w:color="auto"/>
              <w:right w:val="single" w:sz="4" w:space="0" w:color="auto"/>
            </w:tcBorders>
            <w:vAlign w:val="center"/>
          </w:tcPr>
          <w:p w14:paraId="72B450E0" w14:textId="77777777" w:rsidR="00C05AB9" w:rsidRPr="00E2771E" w:rsidRDefault="00C05AB9" w:rsidP="009C7407">
            <w:pPr>
              <w:pStyle w:val="Tableheadingrow"/>
              <w:jc w:val="center"/>
            </w:pPr>
            <w:r>
              <w:t>BAT</w:t>
            </w:r>
          </w:p>
        </w:tc>
        <w:tc>
          <w:tcPr>
            <w:tcW w:w="770" w:type="pct"/>
            <w:vMerge/>
            <w:tcBorders>
              <w:top w:val="single" w:sz="4" w:space="0" w:color="auto"/>
              <w:left w:val="single" w:sz="4" w:space="0" w:color="auto"/>
              <w:bottom w:val="single" w:sz="4" w:space="0" w:color="auto"/>
              <w:right w:val="single" w:sz="4" w:space="0" w:color="auto"/>
            </w:tcBorders>
            <w:vAlign w:val="center"/>
          </w:tcPr>
          <w:p w14:paraId="0A8F8901" w14:textId="77777777" w:rsidR="00C05AB9" w:rsidRPr="00E2771E" w:rsidRDefault="00C05AB9" w:rsidP="009C7407">
            <w:pPr>
              <w:pStyle w:val="Tableheadingrow"/>
            </w:pPr>
          </w:p>
        </w:tc>
      </w:tr>
      <w:tr w:rsidR="005C5DF5" w:rsidRPr="00E2771E" w14:paraId="28E59A48" w14:textId="77777777" w:rsidTr="005B07C7">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14:paraId="521BE1CF" w14:textId="77777777" w:rsidR="00C05AB9" w:rsidRPr="007C3CBE" w:rsidRDefault="00C05AB9" w:rsidP="009C7407">
            <w:pPr>
              <w:pStyle w:val="TableText"/>
            </w:pPr>
            <w:r w:rsidRPr="007C3CBE">
              <w:t>Grade ≥3 anaemia</w:t>
            </w:r>
          </w:p>
        </w:tc>
        <w:tc>
          <w:tcPr>
            <w:tcW w:w="551" w:type="pct"/>
            <w:tcBorders>
              <w:top w:val="single" w:sz="4" w:space="0" w:color="auto"/>
              <w:left w:val="single" w:sz="4" w:space="0" w:color="auto"/>
              <w:bottom w:val="single" w:sz="4" w:space="0" w:color="auto"/>
              <w:right w:val="single" w:sz="4" w:space="0" w:color="auto"/>
            </w:tcBorders>
            <w:vAlign w:val="center"/>
          </w:tcPr>
          <w:p w14:paraId="12B2AAE1" w14:textId="77777777" w:rsidR="00C05AB9" w:rsidRPr="00E2771E" w:rsidRDefault="00C05AB9" w:rsidP="009C7407">
            <w:pPr>
              <w:pStyle w:val="TableText"/>
              <w:jc w:val="center"/>
            </w:pPr>
            <w:r>
              <w:t>34/152</w:t>
            </w:r>
          </w:p>
        </w:tc>
        <w:tc>
          <w:tcPr>
            <w:tcW w:w="549" w:type="pct"/>
            <w:tcBorders>
              <w:top w:val="single" w:sz="4" w:space="0" w:color="auto"/>
              <w:left w:val="single" w:sz="4" w:space="0" w:color="auto"/>
              <w:bottom w:val="single" w:sz="4" w:space="0" w:color="auto"/>
              <w:right w:val="single" w:sz="4" w:space="0" w:color="auto"/>
            </w:tcBorders>
            <w:vAlign w:val="center"/>
          </w:tcPr>
          <w:p w14:paraId="6B5223B2" w14:textId="77777777" w:rsidR="00C05AB9" w:rsidRPr="00E2771E" w:rsidRDefault="00C05AB9" w:rsidP="009C7407">
            <w:pPr>
              <w:pStyle w:val="TableText"/>
              <w:jc w:val="center"/>
            </w:pPr>
            <w:r>
              <w:t>28/150</w:t>
            </w:r>
          </w:p>
        </w:tc>
        <w:tc>
          <w:tcPr>
            <w:tcW w:w="785" w:type="pct"/>
            <w:tcBorders>
              <w:top w:val="single" w:sz="4" w:space="0" w:color="auto"/>
              <w:left w:val="single" w:sz="4" w:space="0" w:color="auto"/>
              <w:bottom w:val="single" w:sz="4" w:space="0" w:color="auto"/>
              <w:right w:val="single" w:sz="4" w:space="0" w:color="auto"/>
            </w:tcBorders>
            <w:vAlign w:val="center"/>
          </w:tcPr>
          <w:p w14:paraId="49305914" w14:textId="77777777" w:rsidR="00C05AB9" w:rsidRPr="00E2771E" w:rsidRDefault="00C05AB9" w:rsidP="009C7407">
            <w:pPr>
              <w:pStyle w:val="TableText"/>
              <w:jc w:val="center"/>
            </w:pPr>
            <w:r w:rsidRPr="00AC1F2E">
              <w:t xml:space="preserve">1.20 </w:t>
            </w:r>
            <w:r>
              <w:t>(</w:t>
            </w:r>
            <w:r w:rsidRPr="00AC1F2E">
              <w:t>0.77</w:t>
            </w:r>
            <w:r>
              <w:t>,</w:t>
            </w:r>
            <w:r w:rsidRPr="00AC1F2E">
              <w:t xml:space="preserve"> 1.87</w:t>
            </w:r>
            <w:r>
              <w:t>)</w:t>
            </w:r>
          </w:p>
        </w:tc>
        <w:tc>
          <w:tcPr>
            <w:tcW w:w="551" w:type="pct"/>
            <w:tcBorders>
              <w:top w:val="single" w:sz="4" w:space="0" w:color="auto"/>
              <w:left w:val="single" w:sz="4" w:space="0" w:color="auto"/>
              <w:bottom w:val="single" w:sz="4" w:space="0" w:color="auto"/>
              <w:right w:val="single" w:sz="4" w:space="0" w:color="auto"/>
            </w:tcBorders>
            <w:vAlign w:val="center"/>
          </w:tcPr>
          <w:p w14:paraId="5ED62004" w14:textId="77777777" w:rsidR="00C05AB9" w:rsidRPr="00E2771E" w:rsidRDefault="00C05AB9" w:rsidP="009C7407">
            <w:pPr>
              <w:pStyle w:val="TableText"/>
              <w:jc w:val="center"/>
            </w:pPr>
            <w:r>
              <w:t>22.4</w:t>
            </w:r>
          </w:p>
        </w:tc>
        <w:tc>
          <w:tcPr>
            <w:tcW w:w="539" w:type="pct"/>
            <w:tcBorders>
              <w:top w:val="single" w:sz="4" w:space="0" w:color="auto"/>
              <w:left w:val="single" w:sz="4" w:space="0" w:color="auto"/>
              <w:bottom w:val="single" w:sz="4" w:space="0" w:color="auto"/>
              <w:right w:val="single" w:sz="4" w:space="0" w:color="auto"/>
            </w:tcBorders>
            <w:vAlign w:val="center"/>
          </w:tcPr>
          <w:p w14:paraId="57972BCB" w14:textId="77777777" w:rsidR="00C05AB9" w:rsidRPr="00E2771E" w:rsidRDefault="00C05AB9" w:rsidP="009C7407">
            <w:pPr>
              <w:pStyle w:val="TableText"/>
              <w:jc w:val="center"/>
            </w:pPr>
            <w:r>
              <w:t>18.7</w:t>
            </w:r>
          </w:p>
        </w:tc>
        <w:tc>
          <w:tcPr>
            <w:tcW w:w="770" w:type="pct"/>
            <w:tcBorders>
              <w:top w:val="single" w:sz="4" w:space="0" w:color="auto"/>
              <w:left w:val="single" w:sz="4" w:space="0" w:color="auto"/>
              <w:bottom w:val="single" w:sz="4" w:space="0" w:color="auto"/>
              <w:right w:val="single" w:sz="4" w:space="0" w:color="auto"/>
            </w:tcBorders>
            <w:vAlign w:val="center"/>
          </w:tcPr>
          <w:p w14:paraId="5D77EBA0" w14:textId="77777777" w:rsidR="00C05AB9" w:rsidRPr="00E2771E" w:rsidRDefault="00C05AB9" w:rsidP="009C7407">
            <w:pPr>
              <w:pStyle w:val="TableText"/>
              <w:jc w:val="center"/>
            </w:pPr>
            <w:r w:rsidRPr="00AC1F2E">
              <w:t xml:space="preserve">0.04 </w:t>
            </w:r>
            <w:r>
              <w:t>(</w:t>
            </w:r>
            <w:r w:rsidRPr="00AC1F2E">
              <w:t>-0.05</w:t>
            </w:r>
            <w:r>
              <w:t>,</w:t>
            </w:r>
            <w:r w:rsidRPr="00AC1F2E">
              <w:t xml:space="preserve"> 0.13</w:t>
            </w:r>
            <w:r>
              <w:t>)</w:t>
            </w:r>
          </w:p>
        </w:tc>
      </w:tr>
      <w:tr w:rsidR="005C5DF5" w:rsidRPr="00E2771E" w14:paraId="67753761" w14:textId="77777777" w:rsidTr="005B07C7">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14:paraId="347EA65F" w14:textId="77777777" w:rsidR="00C05AB9" w:rsidRPr="007C3CBE" w:rsidRDefault="00C05AB9" w:rsidP="009C7407">
            <w:pPr>
              <w:pStyle w:val="TableText"/>
            </w:pPr>
            <w:r w:rsidRPr="007C3CBE">
              <w:t>Grade ≥3 thrombocytopenia</w:t>
            </w:r>
          </w:p>
        </w:tc>
        <w:tc>
          <w:tcPr>
            <w:tcW w:w="551" w:type="pct"/>
            <w:tcBorders>
              <w:top w:val="single" w:sz="4" w:space="0" w:color="auto"/>
              <w:left w:val="single" w:sz="4" w:space="0" w:color="auto"/>
              <w:bottom w:val="single" w:sz="4" w:space="0" w:color="auto"/>
              <w:right w:val="single" w:sz="4" w:space="0" w:color="auto"/>
            </w:tcBorders>
            <w:vAlign w:val="center"/>
          </w:tcPr>
          <w:p w14:paraId="79C15596" w14:textId="77777777" w:rsidR="00C05AB9" w:rsidRPr="00E2771E" w:rsidRDefault="00C05AB9" w:rsidP="009C7407">
            <w:pPr>
              <w:pStyle w:val="TableText"/>
              <w:jc w:val="center"/>
            </w:pPr>
            <w:r>
              <w:t>41/152</w:t>
            </w:r>
          </w:p>
        </w:tc>
        <w:tc>
          <w:tcPr>
            <w:tcW w:w="549" w:type="pct"/>
            <w:tcBorders>
              <w:top w:val="single" w:sz="4" w:space="0" w:color="auto"/>
              <w:left w:val="single" w:sz="4" w:space="0" w:color="auto"/>
              <w:bottom w:val="single" w:sz="4" w:space="0" w:color="auto"/>
              <w:right w:val="single" w:sz="4" w:space="0" w:color="auto"/>
            </w:tcBorders>
            <w:vAlign w:val="center"/>
          </w:tcPr>
          <w:p w14:paraId="08FD5BD9" w14:textId="77777777" w:rsidR="00C05AB9" w:rsidRPr="00E2771E" w:rsidRDefault="00C05AB9" w:rsidP="009C7407">
            <w:pPr>
              <w:pStyle w:val="TableText"/>
              <w:jc w:val="center"/>
            </w:pPr>
            <w:r>
              <w:t>24/150</w:t>
            </w:r>
          </w:p>
        </w:tc>
        <w:tc>
          <w:tcPr>
            <w:tcW w:w="785" w:type="pct"/>
            <w:tcBorders>
              <w:top w:val="single" w:sz="4" w:space="0" w:color="auto"/>
              <w:left w:val="single" w:sz="4" w:space="0" w:color="auto"/>
              <w:bottom w:val="single" w:sz="4" w:space="0" w:color="auto"/>
              <w:right w:val="single" w:sz="4" w:space="0" w:color="auto"/>
            </w:tcBorders>
            <w:vAlign w:val="center"/>
          </w:tcPr>
          <w:p w14:paraId="7AB94D26" w14:textId="77777777" w:rsidR="00C05AB9" w:rsidRPr="00E2771E" w:rsidRDefault="00C05AB9" w:rsidP="009C7407">
            <w:pPr>
              <w:pStyle w:val="TableText"/>
              <w:jc w:val="center"/>
            </w:pPr>
            <w:r w:rsidRPr="00CA0E87">
              <w:t xml:space="preserve">1.69 </w:t>
            </w:r>
            <w:r>
              <w:t>(</w:t>
            </w:r>
            <w:r w:rsidRPr="00CA0E87">
              <w:t>1.07</w:t>
            </w:r>
            <w:r>
              <w:t>,</w:t>
            </w:r>
            <w:r w:rsidRPr="00CA0E87">
              <w:t xml:space="preserve"> 2.65</w:t>
            </w:r>
            <w:r>
              <w:t>)</w:t>
            </w:r>
          </w:p>
        </w:tc>
        <w:tc>
          <w:tcPr>
            <w:tcW w:w="551" w:type="pct"/>
            <w:tcBorders>
              <w:top w:val="single" w:sz="4" w:space="0" w:color="auto"/>
              <w:left w:val="single" w:sz="4" w:space="0" w:color="auto"/>
              <w:bottom w:val="single" w:sz="4" w:space="0" w:color="auto"/>
              <w:right w:val="single" w:sz="4" w:space="0" w:color="auto"/>
            </w:tcBorders>
            <w:vAlign w:val="center"/>
          </w:tcPr>
          <w:p w14:paraId="31D1A949" w14:textId="77777777" w:rsidR="00C05AB9" w:rsidRPr="00E2771E" w:rsidRDefault="00C05AB9" w:rsidP="009C7407">
            <w:pPr>
              <w:pStyle w:val="TableText"/>
              <w:jc w:val="center"/>
            </w:pPr>
            <w:r>
              <w:t>27.0</w:t>
            </w:r>
          </w:p>
        </w:tc>
        <w:tc>
          <w:tcPr>
            <w:tcW w:w="539" w:type="pct"/>
            <w:tcBorders>
              <w:top w:val="single" w:sz="4" w:space="0" w:color="auto"/>
              <w:left w:val="single" w:sz="4" w:space="0" w:color="auto"/>
              <w:bottom w:val="single" w:sz="4" w:space="0" w:color="auto"/>
              <w:right w:val="single" w:sz="4" w:space="0" w:color="auto"/>
            </w:tcBorders>
            <w:vAlign w:val="center"/>
          </w:tcPr>
          <w:p w14:paraId="5358205F" w14:textId="77777777" w:rsidR="00C05AB9" w:rsidRPr="00E2771E" w:rsidRDefault="00C05AB9" w:rsidP="009C7407">
            <w:pPr>
              <w:pStyle w:val="TableText"/>
              <w:jc w:val="center"/>
            </w:pPr>
            <w:r>
              <w:t>16.0</w:t>
            </w:r>
          </w:p>
        </w:tc>
        <w:tc>
          <w:tcPr>
            <w:tcW w:w="770" w:type="pct"/>
            <w:tcBorders>
              <w:top w:val="single" w:sz="4" w:space="0" w:color="auto"/>
              <w:left w:val="single" w:sz="4" w:space="0" w:color="auto"/>
              <w:bottom w:val="single" w:sz="4" w:space="0" w:color="auto"/>
              <w:right w:val="single" w:sz="4" w:space="0" w:color="auto"/>
            </w:tcBorders>
            <w:vAlign w:val="center"/>
          </w:tcPr>
          <w:p w14:paraId="76DEC7F5" w14:textId="77777777" w:rsidR="00C05AB9" w:rsidRPr="00E2771E" w:rsidRDefault="00C05AB9" w:rsidP="009C7407">
            <w:pPr>
              <w:pStyle w:val="TableText"/>
              <w:jc w:val="center"/>
            </w:pPr>
            <w:r w:rsidRPr="00CA0E87">
              <w:t xml:space="preserve">0.11 </w:t>
            </w:r>
            <w:r>
              <w:t>(</w:t>
            </w:r>
            <w:r w:rsidRPr="00CA0E87">
              <w:t>0.02</w:t>
            </w:r>
            <w:r>
              <w:t>,</w:t>
            </w:r>
            <w:r w:rsidRPr="00CA0E87">
              <w:t xml:space="preserve"> 0.20</w:t>
            </w:r>
            <w:r>
              <w:t>)</w:t>
            </w:r>
          </w:p>
        </w:tc>
      </w:tr>
      <w:tr w:rsidR="005C5DF5" w:rsidRPr="00E2771E" w14:paraId="244FFDF9" w14:textId="77777777" w:rsidTr="005B07C7">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14:paraId="211B5FEC" w14:textId="77777777" w:rsidR="00C05AB9" w:rsidRPr="007C3CBE" w:rsidRDefault="00C05AB9" w:rsidP="009C7407">
            <w:pPr>
              <w:pStyle w:val="TableText"/>
            </w:pPr>
            <w:r w:rsidRPr="007C3CBE">
              <w:t>Grade ≥3 neutropenia</w:t>
            </w:r>
          </w:p>
        </w:tc>
        <w:tc>
          <w:tcPr>
            <w:tcW w:w="551" w:type="pct"/>
            <w:tcBorders>
              <w:top w:val="single" w:sz="4" w:space="0" w:color="auto"/>
              <w:left w:val="single" w:sz="4" w:space="0" w:color="auto"/>
              <w:bottom w:val="single" w:sz="4" w:space="0" w:color="auto"/>
              <w:right w:val="single" w:sz="4" w:space="0" w:color="auto"/>
            </w:tcBorders>
            <w:vAlign w:val="center"/>
          </w:tcPr>
          <w:p w14:paraId="323B9AE1" w14:textId="77777777" w:rsidR="00C05AB9" w:rsidRPr="00E2771E" w:rsidRDefault="00C05AB9" w:rsidP="009C7407">
            <w:pPr>
              <w:pStyle w:val="TableText"/>
              <w:jc w:val="center"/>
            </w:pPr>
            <w:r>
              <w:t>20/152</w:t>
            </w:r>
          </w:p>
        </w:tc>
        <w:tc>
          <w:tcPr>
            <w:tcW w:w="549" w:type="pct"/>
            <w:tcBorders>
              <w:top w:val="single" w:sz="4" w:space="0" w:color="auto"/>
              <w:left w:val="single" w:sz="4" w:space="0" w:color="auto"/>
              <w:bottom w:val="single" w:sz="4" w:space="0" w:color="auto"/>
              <w:right w:val="single" w:sz="4" w:space="0" w:color="auto"/>
            </w:tcBorders>
            <w:vAlign w:val="center"/>
          </w:tcPr>
          <w:p w14:paraId="33B181C8" w14:textId="77777777" w:rsidR="00C05AB9" w:rsidRPr="00E2771E" w:rsidRDefault="00C05AB9" w:rsidP="009C7407">
            <w:pPr>
              <w:pStyle w:val="TableText"/>
              <w:jc w:val="center"/>
            </w:pPr>
            <w:r>
              <w:t>14/150</w:t>
            </w:r>
          </w:p>
        </w:tc>
        <w:tc>
          <w:tcPr>
            <w:tcW w:w="785" w:type="pct"/>
            <w:tcBorders>
              <w:top w:val="single" w:sz="4" w:space="0" w:color="auto"/>
              <w:left w:val="single" w:sz="4" w:space="0" w:color="auto"/>
              <w:bottom w:val="single" w:sz="4" w:space="0" w:color="auto"/>
              <w:right w:val="single" w:sz="4" w:space="0" w:color="auto"/>
            </w:tcBorders>
            <w:vAlign w:val="center"/>
          </w:tcPr>
          <w:p w14:paraId="3BCC998B" w14:textId="77777777" w:rsidR="00C05AB9" w:rsidRPr="00E2771E" w:rsidRDefault="00C05AB9" w:rsidP="009C7407">
            <w:pPr>
              <w:pStyle w:val="TableText"/>
              <w:jc w:val="center"/>
            </w:pPr>
            <w:r w:rsidRPr="00CA0E87">
              <w:t xml:space="preserve">1.41 </w:t>
            </w:r>
            <w:r>
              <w:t>(</w:t>
            </w:r>
            <w:r w:rsidRPr="00CA0E87">
              <w:t>0.74</w:t>
            </w:r>
            <w:r>
              <w:t>,</w:t>
            </w:r>
            <w:r w:rsidRPr="00CA0E87">
              <w:t xml:space="preserve"> 2.69</w:t>
            </w:r>
            <w:r>
              <w:t>)</w:t>
            </w:r>
          </w:p>
        </w:tc>
        <w:tc>
          <w:tcPr>
            <w:tcW w:w="551" w:type="pct"/>
            <w:tcBorders>
              <w:top w:val="single" w:sz="4" w:space="0" w:color="auto"/>
              <w:left w:val="single" w:sz="4" w:space="0" w:color="auto"/>
              <w:bottom w:val="single" w:sz="4" w:space="0" w:color="auto"/>
              <w:right w:val="single" w:sz="4" w:space="0" w:color="auto"/>
            </w:tcBorders>
            <w:vAlign w:val="center"/>
          </w:tcPr>
          <w:p w14:paraId="332B32B4" w14:textId="77777777" w:rsidR="00C05AB9" w:rsidRPr="00E2771E" w:rsidRDefault="00C05AB9" w:rsidP="009C7407">
            <w:pPr>
              <w:pStyle w:val="TableText"/>
              <w:jc w:val="center"/>
            </w:pPr>
            <w:r>
              <w:t>13.2</w:t>
            </w:r>
          </w:p>
        </w:tc>
        <w:tc>
          <w:tcPr>
            <w:tcW w:w="539" w:type="pct"/>
            <w:tcBorders>
              <w:top w:val="single" w:sz="4" w:space="0" w:color="auto"/>
              <w:left w:val="single" w:sz="4" w:space="0" w:color="auto"/>
              <w:bottom w:val="single" w:sz="4" w:space="0" w:color="auto"/>
              <w:right w:val="single" w:sz="4" w:space="0" w:color="auto"/>
            </w:tcBorders>
            <w:vAlign w:val="center"/>
          </w:tcPr>
          <w:p w14:paraId="1B44E8A0" w14:textId="77777777" w:rsidR="00C05AB9" w:rsidRPr="00E2771E" w:rsidRDefault="00C05AB9" w:rsidP="009C7407">
            <w:pPr>
              <w:pStyle w:val="TableText"/>
              <w:jc w:val="center"/>
            </w:pPr>
            <w:r>
              <w:t>9.3</w:t>
            </w:r>
          </w:p>
        </w:tc>
        <w:tc>
          <w:tcPr>
            <w:tcW w:w="770" w:type="pct"/>
            <w:tcBorders>
              <w:top w:val="single" w:sz="4" w:space="0" w:color="auto"/>
              <w:left w:val="single" w:sz="4" w:space="0" w:color="auto"/>
              <w:bottom w:val="single" w:sz="4" w:space="0" w:color="auto"/>
              <w:right w:val="single" w:sz="4" w:space="0" w:color="auto"/>
            </w:tcBorders>
            <w:vAlign w:val="center"/>
          </w:tcPr>
          <w:p w14:paraId="3D9D15AC" w14:textId="77777777" w:rsidR="00C05AB9" w:rsidRPr="00E2771E" w:rsidRDefault="00C05AB9" w:rsidP="009C7407">
            <w:pPr>
              <w:pStyle w:val="TableText"/>
              <w:jc w:val="center"/>
            </w:pPr>
            <w:r w:rsidRPr="00CA0E87">
              <w:t xml:space="preserve">0.04 </w:t>
            </w:r>
            <w:r>
              <w:t>(</w:t>
            </w:r>
            <w:r w:rsidRPr="00CA0E87">
              <w:t>-0.03</w:t>
            </w:r>
            <w:r>
              <w:t>,</w:t>
            </w:r>
            <w:r w:rsidRPr="00CA0E87">
              <w:t xml:space="preserve"> 0.11</w:t>
            </w:r>
            <w:r>
              <w:t>)</w:t>
            </w:r>
          </w:p>
        </w:tc>
      </w:tr>
    </w:tbl>
    <w:p w14:paraId="35031DFE" w14:textId="77777777" w:rsidR="00C05AB9" w:rsidRDefault="00C05AB9" w:rsidP="00C05AB9">
      <w:pPr>
        <w:pStyle w:val="TableFigureFooter"/>
      </w:pPr>
      <w:r>
        <w:t xml:space="preserve">Source: </w:t>
      </w:r>
      <w:r w:rsidRPr="009015F1">
        <w:t>Table 2(a).5-1, p160</w:t>
      </w:r>
      <w:r>
        <w:t xml:space="preserve">; </w:t>
      </w:r>
      <w:r w:rsidRPr="004D3699">
        <w:t>Table 2(a).5-4, p163</w:t>
      </w:r>
      <w:r>
        <w:t xml:space="preserve">; </w:t>
      </w:r>
      <w:r w:rsidRPr="004D3699">
        <w:t>Table 2(a).5-4, p163</w:t>
      </w:r>
      <w:r>
        <w:t>; Table 2(a).5-17, pp195-196 of the submission.</w:t>
      </w:r>
    </w:p>
    <w:p w14:paraId="53A26E64" w14:textId="77777777" w:rsidR="00C05AB9" w:rsidRDefault="00C05AB9" w:rsidP="00C05AB9">
      <w:pPr>
        <w:pStyle w:val="TableFigureFooter"/>
      </w:pPr>
      <w:r>
        <w:t>Abbreviations: BAT, best available therapy; CI, confidence interval; FFS, failure-free survival; HR, hazard ratio; NE, not estimable; NR, not reported; OR, odds ratio; ORR, overall response rate; OS, overall survival; HR, hazard ratio; RD, risk difference; RR, relative risk.</w:t>
      </w:r>
    </w:p>
    <w:p w14:paraId="1971D95B" w14:textId="77777777" w:rsidR="00C05AB9" w:rsidRDefault="00C05AB9" w:rsidP="00C05AB9">
      <w:pPr>
        <w:pStyle w:val="TableFigureFooter"/>
      </w:pPr>
      <w:r>
        <w:rPr>
          <w:vertAlign w:val="superscript"/>
        </w:rPr>
        <w:t>1</w:t>
      </w:r>
      <w:r>
        <w:t xml:space="preserve"> Proportion of patients tapered off corticosteroids at Day 56</w:t>
      </w:r>
    </w:p>
    <w:p w14:paraId="3FAC4888" w14:textId="77777777" w:rsidR="00C05AB9" w:rsidRDefault="00C05AB9" w:rsidP="00C05AB9">
      <w:pPr>
        <w:pStyle w:val="TableFigureFooter"/>
      </w:pPr>
      <w:r>
        <w:rPr>
          <w:vertAlign w:val="superscript"/>
        </w:rPr>
        <w:t>2</w:t>
      </w:r>
      <w:r>
        <w:t xml:space="preserve"> Duration of response among patients who achieved a response at Day 28.</w:t>
      </w:r>
    </w:p>
    <w:p w14:paraId="5BB03BA7" w14:textId="337C8BCE" w:rsidR="0016117B" w:rsidRPr="002E1071" w:rsidRDefault="00C05AB9" w:rsidP="005657C4">
      <w:pPr>
        <w:pStyle w:val="TableFigureFooter"/>
      </w:pPr>
      <w:r>
        <w:rPr>
          <w:vertAlign w:val="superscript"/>
        </w:rPr>
        <w:t>3</w:t>
      </w:r>
      <w:r>
        <w:t xml:space="preserve"> Mean duration of exposure 82.5 days for ruxolitinib and 45.5 days for BAT.</w:t>
      </w:r>
      <w:bookmarkEnd w:id="43"/>
      <w:bookmarkEnd w:id="44"/>
    </w:p>
    <w:p w14:paraId="6EF46841" w14:textId="2A41AEF5" w:rsidR="00F67915" w:rsidRDefault="00F67915" w:rsidP="00F67915">
      <w:pPr>
        <w:pStyle w:val="ExecSumBodyText"/>
        <w:numPr>
          <w:ilvl w:val="1"/>
          <w:numId w:val="1"/>
        </w:numPr>
        <w:contextualSpacing/>
      </w:pPr>
      <w:r>
        <w:t>On the basis of the direct evidence presented in the submission, for every 100 aGVHD patients treated with ruxolitinib in comparison with BAT:</w:t>
      </w:r>
    </w:p>
    <w:p w14:paraId="31506C44" w14:textId="34E1A44D" w:rsidR="00F67915" w:rsidRDefault="00F67915" w:rsidP="00A2582A">
      <w:pPr>
        <w:pStyle w:val="ExecSumBodyText"/>
        <w:numPr>
          <w:ilvl w:val="0"/>
          <w:numId w:val="14"/>
        </w:numPr>
        <w:spacing w:after="0"/>
        <w:ind w:left="1077" w:hanging="357"/>
      </w:pPr>
      <w:r>
        <w:t>Approximately 23 additional patients will achieve overall response at 28 days, with 15 additional patients achieving complete response and 8 additional patients achieving partial response.</w:t>
      </w:r>
    </w:p>
    <w:p w14:paraId="755640D8" w14:textId="76808D9B" w:rsidR="00F67915" w:rsidRDefault="00650CE6" w:rsidP="00A2582A">
      <w:pPr>
        <w:pStyle w:val="ExecSumBodyText"/>
        <w:numPr>
          <w:ilvl w:val="0"/>
          <w:numId w:val="14"/>
        </w:numPr>
        <w:spacing w:after="0"/>
        <w:ind w:left="1077" w:hanging="357"/>
      </w:pPr>
      <w:r>
        <w:t xml:space="preserve">Patients who achieve a response will experience an additional </w:t>
      </w:r>
      <w:r w:rsidR="00F67915">
        <w:t>67 days of response.</w:t>
      </w:r>
    </w:p>
    <w:p w14:paraId="09029E00" w14:textId="7AB98A44" w:rsidR="00F67915" w:rsidRDefault="00F67915" w:rsidP="00A2582A">
      <w:pPr>
        <w:pStyle w:val="ExecSumBodyText"/>
        <w:numPr>
          <w:ilvl w:val="0"/>
          <w:numId w:val="14"/>
        </w:numPr>
        <w:spacing w:after="0"/>
        <w:ind w:left="1077" w:hanging="357"/>
      </w:pPr>
      <w:r>
        <w:t>Approximately</w:t>
      </w:r>
      <w:r w:rsidR="00383502">
        <w:t xml:space="preserve"> 7 </w:t>
      </w:r>
      <w:r w:rsidR="00F127B0">
        <w:t xml:space="preserve">additional patients will </w:t>
      </w:r>
      <w:r w:rsidR="0051225C" w:rsidRPr="0051225C">
        <w:t xml:space="preserve">completely taper off systemic corticosteroids at </w:t>
      </w:r>
      <w:r w:rsidR="0051225C">
        <w:t>Day 56</w:t>
      </w:r>
      <w:r w:rsidR="0051225C" w:rsidRPr="0051225C">
        <w:t>.</w:t>
      </w:r>
    </w:p>
    <w:p w14:paraId="31801D87" w14:textId="5A106F9D" w:rsidR="00F127B0" w:rsidRDefault="00F127B0" w:rsidP="00A2582A">
      <w:pPr>
        <w:pStyle w:val="ExecSumBodyText"/>
        <w:numPr>
          <w:ilvl w:val="0"/>
          <w:numId w:val="14"/>
        </w:numPr>
        <w:spacing w:after="0"/>
        <w:ind w:left="1077" w:hanging="357"/>
      </w:pPr>
      <w:r>
        <w:t>An additional 4 patients will experience severe anaemia requiring medical intervention</w:t>
      </w:r>
      <w:r w:rsidR="00EA4176">
        <w:t xml:space="preserve"> (based on 5 months of follow-up for ruxolitinib and 3.8 months for BAT).</w:t>
      </w:r>
    </w:p>
    <w:p w14:paraId="1AF983E2" w14:textId="706CC8CA" w:rsidR="00F127B0" w:rsidRDefault="00F127B0" w:rsidP="00A2582A">
      <w:pPr>
        <w:pStyle w:val="ExecSumBodyText"/>
        <w:numPr>
          <w:ilvl w:val="0"/>
          <w:numId w:val="14"/>
        </w:numPr>
        <w:spacing w:after="0"/>
        <w:ind w:left="1077" w:hanging="357"/>
      </w:pPr>
      <w:r>
        <w:t>An additional 11 patients will experience severe thrombocytopenia requiring medical intervention</w:t>
      </w:r>
      <w:r w:rsidR="00EA4176">
        <w:t xml:space="preserve"> (based on 5 months of follow-up for ruxolitinib and 3.8 months for BAT).</w:t>
      </w:r>
    </w:p>
    <w:p w14:paraId="51787933" w14:textId="3BBE4DB5" w:rsidR="00F127B0" w:rsidRPr="003270E4" w:rsidRDefault="00F127B0" w:rsidP="00A2582A">
      <w:pPr>
        <w:pStyle w:val="ExecSumBodyText"/>
        <w:numPr>
          <w:ilvl w:val="0"/>
          <w:numId w:val="14"/>
        </w:numPr>
        <w:ind w:left="1077" w:hanging="357"/>
      </w:pPr>
      <w:r>
        <w:t xml:space="preserve">An additional 4 patients will experience severe neutropenia requiring medical </w:t>
      </w:r>
      <w:r w:rsidR="00EA4176">
        <w:t>intervention (based on 5 months of follow-up for ruxolitinib and 3.8 months for BAT).</w:t>
      </w:r>
    </w:p>
    <w:p w14:paraId="35E824A6" w14:textId="1C16246F" w:rsidR="00F67915" w:rsidRDefault="00F67915" w:rsidP="00F67915">
      <w:pPr>
        <w:pStyle w:val="3-SubsectionHeading"/>
      </w:pPr>
      <w:bookmarkStart w:id="45" w:name="_Toc22897644"/>
      <w:bookmarkStart w:id="46" w:name="_Toc22898856"/>
      <w:bookmarkStart w:id="47" w:name="_Toc103614219"/>
      <w:r w:rsidRPr="00C9624D">
        <w:t>Clinical claim</w:t>
      </w:r>
      <w:bookmarkEnd w:id="45"/>
      <w:bookmarkEnd w:id="46"/>
      <w:bookmarkEnd w:id="47"/>
    </w:p>
    <w:p w14:paraId="18807711" w14:textId="41C81176" w:rsidR="00DD28B5" w:rsidRPr="00B83C02" w:rsidRDefault="00B83C02" w:rsidP="002456D2">
      <w:pPr>
        <w:pStyle w:val="4-SubsectSubhead"/>
      </w:pPr>
      <w:r w:rsidRPr="00B83C02">
        <w:t xml:space="preserve">Chronic </w:t>
      </w:r>
      <w:r w:rsidR="00DD28B5" w:rsidRPr="00B83C02">
        <w:t>GVHD</w:t>
      </w:r>
    </w:p>
    <w:p w14:paraId="25D2B6EB" w14:textId="77777777" w:rsidR="00F67915" w:rsidRPr="00A6154D" w:rsidRDefault="00F67915" w:rsidP="00F67915">
      <w:pPr>
        <w:pStyle w:val="ExecSumBodyText"/>
        <w:numPr>
          <w:ilvl w:val="1"/>
          <w:numId w:val="1"/>
        </w:numPr>
      </w:pPr>
      <w:r w:rsidRPr="00A6154D">
        <w:t xml:space="preserve">The submission described ruxolitinib as superior in terms of effectiveness (based on the overall response rate at Week 24 and duration of response) and non-inferior in terms of safety compared to best available therapy for the treatment of patients aged </w:t>
      </w:r>
      <w:r w:rsidRPr="00A6154D">
        <w:rPr>
          <w:rFonts w:cs="Calibri"/>
        </w:rPr>
        <w:t>≥</w:t>
      </w:r>
      <w:r w:rsidRPr="00A6154D">
        <w:t>12 years with moderate to severe cGVHD who are refractory to, dependent on or intolerant to corticosteroids.</w:t>
      </w:r>
    </w:p>
    <w:p w14:paraId="045C28F8" w14:textId="4F68F9C2" w:rsidR="00BF1A6D" w:rsidRPr="00A6154D" w:rsidRDefault="008B6AC3" w:rsidP="009C7407">
      <w:pPr>
        <w:pStyle w:val="ExecSumBodyText"/>
      </w:pPr>
      <w:r w:rsidRPr="00A6154D">
        <w:t>The</w:t>
      </w:r>
      <w:r w:rsidR="00536D78" w:rsidRPr="00A6154D">
        <w:t xml:space="preserve"> ESC considered that the </w:t>
      </w:r>
      <w:r w:rsidRPr="00A6154D">
        <w:t xml:space="preserve">clinical claim </w:t>
      </w:r>
      <w:r w:rsidR="00536D78" w:rsidRPr="00A6154D">
        <w:t>was</w:t>
      </w:r>
      <w:r w:rsidRPr="00A6154D">
        <w:t xml:space="preserve"> reasonable for effectiveness</w:t>
      </w:r>
      <w:r w:rsidR="00E16584" w:rsidRPr="00A6154D">
        <w:t>. Treatment with ruxolitinib was associated with a statistically significant improvement in overall response rate at Week 24, failure-free survival and the proportion of patients with a response at Week 24 based on the modified Lee symptom scale total symptom score. From Week 8 onwards, a numerically higher proportion of patients in the ruxolitinib arm had completely tapered corticosteroids.</w:t>
      </w:r>
      <w:r w:rsidR="00D602CF" w:rsidRPr="00A6154D">
        <w:t xml:space="preserve"> H</w:t>
      </w:r>
      <w:r w:rsidR="00BF1A6D" w:rsidRPr="00A6154D">
        <w:t>owever</w:t>
      </w:r>
      <w:r w:rsidR="00FE0C1E" w:rsidRPr="00A6154D">
        <w:t>,</w:t>
      </w:r>
      <w:r w:rsidR="00BF1A6D" w:rsidRPr="00A6154D">
        <w:t xml:space="preserve"> the </w:t>
      </w:r>
      <w:r w:rsidR="00536D78" w:rsidRPr="00A6154D">
        <w:t xml:space="preserve">ESC noted the </w:t>
      </w:r>
      <w:r w:rsidR="00BF1A6D" w:rsidRPr="00A6154D">
        <w:t>following issues:</w:t>
      </w:r>
    </w:p>
    <w:p w14:paraId="006A2C04" w14:textId="094274E0" w:rsidR="005451F1" w:rsidRPr="00A6154D" w:rsidRDefault="00BF1A6D" w:rsidP="00A2582A">
      <w:pPr>
        <w:pStyle w:val="ListParagraph"/>
        <w:numPr>
          <w:ilvl w:val="0"/>
          <w:numId w:val="19"/>
        </w:numPr>
        <w:ind w:left="1077" w:hanging="357"/>
      </w:pPr>
      <w:r w:rsidRPr="00A6154D">
        <w:t xml:space="preserve">There was no difference between the ruxolitinib arm and the BAT arm in overall survival. Overall survival results were relatively immature (median overall survival was not reached in either arm) and </w:t>
      </w:r>
      <w:r w:rsidR="009E1B6D" w:rsidRPr="00A6154D">
        <w:t xml:space="preserve">were </w:t>
      </w:r>
      <w:r w:rsidRPr="00A6154D">
        <w:t xml:space="preserve">potentially affected by the use of subsequent treatments, including crossover of patients from the BAT arm to receive ruxolitinib after Week 24. </w:t>
      </w:r>
      <w:r w:rsidR="00B83C02" w:rsidRPr="00A6154D">
        <w:t>The PSCR noted that the REACH3 trial was not powered to detect a difference in OS.</w:t>
      </w:r>
    </w:p>
    <w:p w14:paraId="0B3E89F2" w14:textId="7AF4AA89" w:rsidR="00BF1A6D" w:rsidRPr="00B7714C" w:rsidRDefault="00BF1A6D" w:rsidP="00A2582A">
      <w:pPr>
        <w:pStyle w:val="ExecSumBodyText"/>
        <w:numPr>
          <w:ilvl w:val="0"/>
          <w:numId w:val="19"/>
        </w:numPr>
        <w:ind w:left="1077" w:hanging="357"/>
      </w:pPr>
      <w:r w:rsidRPr="00A6154D">
        <w:t xml:space="preserve">The </w:t>
      </w:r>
      <w:r w:rsidR="00383502" w:rsidRPr="00A6154D">
        <w:t xml:space="preserve">cGVHD </w:t>
      </w:r>
      <w:r w:rsidRPr="00A6154D">
        <w:t>treatments used in the REACH3 trial may not be representative of treatments that are used in Australian clinical practice due to differences in availability a</w:t>
      </w:r>
      <w:r w:rsidRPr="00B7714C">
        <w:t>nd utilisation of cGVHD therapies.</w:t>
      </w:r>
    </w:p>
    <w:p w14:paraId="79CA212B" w14:textId="611C56A4" w:rsidR="002456D2" w:rsidRPr="00B7714C" w:rsidRDefault="002456D2" w:rsidP="00F67915">
      <w:pPr>
        <w:pStyle w:val="ExecSumBodyText"/>
        <w:numPr>
          <w:ilvl w:val="1"/>
          <w:numId w:val="1"/>
        </w:numPr>
      </w:pPr>
      <w:r w:rsidRPr="001C47F4">
        <w:rPr>
          <w:iCs/>
        </w:rPr>
        <w:t>Overall, the</w:t>
      </w:r>
      <w:r w:rsidRPr="001C47F4">
        <w:rPr>
          <w:szCs w:val="20"/>
        </w:rPr>
        <w:t xml:space="preserve"> PBAC considered that the claim of superior comparative effectiveness was reasonable.</w:t>
      </w:r>
    </w:p>
    <w:p w14:paraId="02B61EC0" w14:textId="37772039" w:rsidR="00383502" w:rsidRPr="00220334" w:rsidRDefault="00383502" w:rsidP="00F67915">
      <w:pPr>
        <w:pStyle w:val="ExecSumBodyText"/>
        <w:numPr>
          <w:ilvl w:val="1"/>
          <w:numId w:val="1"/>
        </w:numPr>
      </w:pPr>
      <w:r w:rsidRPr="00A6154D">
        <w:t xml:space="preserve">The </w:t>
      </w:r>
      <w:r w:rsidR="00DF2327">
        <w:t xml:space="preserve">evaluators noted </w:t>
      </w:r>
      <w:r w:rsidR="00536D78" w:rsidRPr="00A6154D">
        <w:t xml:space="preserve">that the </w:t>
      </w:r>
      <w:r w:rsidRPr="00A6154D">
        <w:t xml:space="preserve">claim of non-inferior safety was </w:t>
      </w:r>
      <w:r w:rsidR="00DF2327">
        <w:t>not supported</w:t>
      </w:r>
      <w:r w:rsidRPr="00A6154D">
        <w:t xml:space="preserve"> given treatment-related adverse events were higher in the ruxolitinib arm compared to the BAT arm for treatment-emergent adverse events, serious adverse events, grade ≥3 adverse events, discontinuations due to adverse events, and fatal serious adverse events in the REACH3 trial.</w:t>
      </w:r>
      <w:r w:rsidR="00EC3A0B" w:rsidRPr="00A6154D">
        <w:t xml:space="preserve"> The PSCR stated that the safety profile of ruxolitinib was different compared to the BATs used in REACH3 and may be preferable depending on a patient’s co-morbidities.</w:t>
      </w:r>
      <w:r w:rsidR="005B07C7" w:rsidRPr="00A6154D">
        <w:t xml:space="preserve"> The ESC considered that although the broad range of BATs may have </w:t>
      </w:r>
      <w:r w:rsidR="005B07C7" w:rsidRPr="00220334">
        <w:t xml:space="preserve">exaggerated the </w:t>
      </w:r>
      <w:r w:rsidR="006B22FE" w:rsidRPr="00220334">
        <w:t xml:space="preserve">incremental </w:t>
      </w:r>
      <w:r w:rsidR="005B07C7" w:rsidRPr="00220334">
        <w:t>effect of adverse events in the ruxolitinib arms, there was uncertainty in the safety comparisons.</w:t>
      </w:r>
    </w:p>
    <w:p w14:paraId="5CF9BE6A" w14:textId="4F59B5E7" w:rsidR="002456D2" w:rsidRPr="00220334" w:rsidRDefault="002456D2" w:rsidP="002456D2">
      <w:pPr>
        <w:widowControl w:val="0"/>
        <w:numPr>
          <w:ilvl w:val="1"/>
          <w:numId w:val="1"/>
        </w:numPr>
        <w:spacing w:after="120"/>
        <w:ind w:left="720" w:hanging="720"/>
        <w:rPr>
          <w:rFonts w:asciiTheme="minorHAnsi" w:hAnsiTheme="minorHAnsi"/>
          <w:snapToGrid w:val="0"/>
          <w:szCs w:val="20"/>
        </w:rPr>
      </w:pPr>
      <w:r w:rsidRPr="00220334">
        <w:rPr>
          <w:rFonts w:asciiTheme="minorHAnsi" w:hAnsiTheme="minorHAnsi"/>
          <w:snapToGrid w:val="0"/>
          <w:szCs w:val="20"/>
        </w:rPr>
        <w:t>The PBAC considered that the claim of non-inferior comparative safety was reasonable.</w:t>
      </w:r>
    </w:p>
    <w:p w14:paraId="32CFC464" w14:textId="3119C57C" w:rsidR="00A6154D" w:rsidRPr="00220334" w:rsidRDefault="00792405" w:rsidP="002456D2">
      <w:pPr>
        <w:pStyle w:val="ExecSumBodyText"/>
        <w:numPr>
          <w:ilvl w:val="1"/>
          <w:numId w:val="1"/>
        </w:numPr>
        <w:rPr>
          <w:szCs w:val="20"/>
        </w:rPr>
      </w:pPr>
      <w:r w:rsidRPr="00220334">
        <w:t xml:space="preserve">The submission did not present a formal clinical claim for </w:t>
      </w:r>
      <w:r w:rsidR="00455906" w:rsidRPr="00220334">
        <w:t>ruxolitinib versus ECP.</w:t>
      </w:r>
      <w:bookmarkStart w:id="48" w:name="_Hlk76376200"/>
    </w:p>
    <w:bookmarkEnd w:id="48"/>
    <w:p w14:paraId="482EF52D" w14:textId="480DF0B2" w:rsidR="00DD28B5" w:rsidRPr="00220334" w:rsidRDefault="00B83C02" w:rsidP="002456D2">
      <w:pPr>
        <w:pStyle w:val="4-SubsectSubhead"/>
      </w:pPr>
      <w:r w:rsidRPr="00220334">
        <w:t xml:space="preserve">Acute </w:t>
      </w:r>
      <w:r w:rsidR="00DD28B5" w:rsidRPr="00220334">
        <w:t>GVHD</w:t>
      </w:r>
    </w:p>
    <w:p w14:paraId="27E07ED2" w14:textId="7FA54788" w:rsidR="00F67915" w:rsidRPr="00A6154D" w:rsidRDefault="00F67915" w:rsidP="00F67915">
      <w:pPr>
        <w:pStyle w:val="ExecSumBodyText"/>
        <w:numPr>
          <w:ilvl w:val="1"/>
          <w:numId w:val="1"/>
        </w:numPr>
      </w:pPr>
      <w:r w:rsidRPr="00B7521E">
        <w:t>The submission described ruxolitinib</w:t>
      </w:r>
      <w:r w:rsidRPr="00B16322">
        <w:t xml:space="preserve"> as superior in terms of effectiveness (based</w:t>
      </w:r>
      <w:r w:rsidRPr="00A6154D">
        <w:t xml:space="preserve"> on the overall response rate at Day 28 and duration of response) and non-inferior in terms of safety compared to best available therapy for the treatment of patients aged </w:t>
      </w:r>
      <w:r w:rsidRPr="00A6154D">
        <w:rPr>
          <w:rFonts w:cs="Calibri"/>
        </w:rPr>
        <w:t>≥</w:t>
      </w:r>
      <w:r w:rsidRPr="00A6154D">
        <w:t>12 years with moderate to severe aGVHD who are refractory to, dependent on or intolerant to corticosteroids.</w:t>
      </w:r>
    </w:p>
    <w:p w14:paraId="1D604213" w14:textId="4F169CDA" w:rsidR="0039655C" w:rsidRPr="00A6154D" w:rsidRDefault="0039655C" w:rsidP="00973CB5">
      <w:pPr>
        <w:pStyle w:val="ExecSumBodyText"/>
        <w:ind w:left="709" w:hanging="709"/>
      </w:pPr>
      <w:r w:rsidRPr="00A6154D">
        <w:t xml:space="preserve">The </w:t>
      </w:r>
      <w:r w:rsidR="00536D78" w:rsidRPr="00A6154D">
        <w:t xml:space="preserve">ESC considered that the </w:t>
      </w:r>
      <w:r w:rsidRPr="00A6154D">
        <w:t xml:space="preserve">clinical claim </w:t>
      </w:r>
      <w:r w:rsidR="00536D78" w:rsidRPr="00A6154D">
        <w:t>was</w:t>
      </w:r>
      <w:r w:rsidRPr="00A6154D">
        <w:t xml:space="preserve"> reasonable for effectiveness</w:t>
      </w:r>
      <w:r w:rsidR="00FE0C1E" w:rsidRPr="00A6154D">
        <w:t xml:space="preserve">. Treatment with ruxolitinib was associated with a statistically significant improvement in overall response rate at Day 28, durable overall response at Day 56, failure-free survival and the proportion of patients with a response at Week 24 based on the modified Lee symptom scale total symptom score. However, </w:t>
      </w:r>
      <w:r w:rsidR="00536D78" w:rsidRPr="00A6154D">
        <w:t xml:space="preserve">the ESC noted </w:t>
      </w:r>
      <w:r w:rsidRPr="00A6154D">
        <w:t xml:space="preserve">the following issues: </w:t>
      </w:r>
    </w:p>
    <w:p w14:paraId="18AD406A" w14:textId="1C652B6F" w:rsidR="00FA5B52" w:rsidRPr="00A6154D" w:rsidRDefault="00FA5B52" w:rsidP="00A2582A">
      <w:pPr>
        <w:pStyle w:val="ExecSumBodyText"/>
        <w:numPr>
          <w:ilvl w:val="0"/>
          <w:numId w:val="20"/>
        </w:numPr>
        <w:spacing w:after="0"/>
        <w:ind w:left="1077" w:hanging="357"/>
      </w:pPr>
      <w:r w:rsidRPr="00A6154D">
        <w:t xml:space="preserve">There was no statistically significant difference between </w:t>
      </w:r>
      <w:r w:rsidR="00FE0C1E" w:rsidRPr="00A6154D">
        <w:t xml:space="preserve">the </w:t>
      </w:r>
      <w:r w:rsidRPr="00A6154D">
        <w:t>ruxolitinib and BAT arm</w:t>
      </w:r>
      <w:r w:rsidR="00FE0C1E" w:rsidRPr="00A6154D">
        <w:t>s</w:t>
      </w:r>
      <w:r w:rsidRPr="00A6154D">
        <w:t xml:space="preserve"> in overall survival. However, overall survival results may have been affected by the use of subsequent treatments, including crossover of patients from the BAT arm to receive ruxolitinib.</w:t>
      </w:r>
      <w:r w:rsidR="00B83C02" w:rsidRPr="00A6154D">
        <w:t xml:space="preserve"> The PSCR noted that the REACH2 trial was not powered to detect a difference in OS.</w:t>
      </w:r>
    </w:p>
    <w:p w14:paraId="45F6782B" w14:textId="78051C63" w:rsidR="00FA5B52" w:rsidRPr="00E264B1" w:rsidRDefault="00FA5B52" w:rsidP="00A2582A">
      <w:pPr>
        <w:pStyle w:val="ExecSumBodyText"/>
        <w:numPr>
          <w:ilvl w:val="0"/>
          <w:numId w:val="20"/>
        </w:numPr>
        <w:ind w:left="1077" w:hanging="357"/>
      </w:pPr>
      <w:r w:rsidRPr="00A6154D">
        <w:t xml:space="preserve">The </w:t>
      </w:r>
      <w:r w:rsidR="00BE3363" w:rsidRPr="00A6154D">
        <w:t xml:space="preserve">aGVHD </w:t>
      </w:r>
      <w:r w:rsidRPr="00A6154D">
        <w:t xml:space="preserve">treatments used in the REACH2 trial may not be representative of </w:t>
      </w:r>
      <w:r w:rsidRPr="00B7714C">
        <w:t>treatments that are used in Australian clinical practice due to differences in availability and utilisation of aGVHD therapies.</w:t>
      </w:r>
    </w:p>
    <w:p w14:paraId="7C3396B1" w14:textId="34C6D27E" w:rsidR="00D36662" w:rsidRPr="001C47F4" w:rsidRDefault="00D36662" w:rsidP="00D36662">
      <w:pPr>
        <w:pStyle w:val="ExecSumBodyText"/>
      </w:pPr>
      <w:bookmarkStart w:id="49" w:name="_Toc22897645"/>
      <w:bookmarkStart w:id="50" w:name="_Toc22898857"/>
      <w:r w:rsidRPr="001C47F4">
        <w:rPr>
          <w:iCs/>
        </w:rPr>
        <w:t>Overall, the</w:t>
      </w:r>
      <w:r w:rsidRPr="001C47F4">
        <w:t xml:space="preserve"> PBAC considered that the claim of superior comparative effectiveness was reasonable.</w:t>
      </w:r>
    </w:p>
    <w:p w14:paraId="6F57C019" w14:textId="0D935424" w:rsidR="00F471CD" w:rsidRPr="00220334" w:rsidRDefault="00F471CD" w:rsidP="00F471CD">
      <w:pPr>
        <w:pStyle w:val="ExecSumBodyText"/>
      </w:pPr>
      <w:r w:rsidRPr="00A6154D">
        <w:t xml:space="preserve">The </w:t>
      </w:r>
      <w:r w:rsidR="00DF2327">
        <w:t>evaluators noted</w:t>
      </w:r>
      <w:r w:rsidR="00044277" w:rsidRPr="00A6154D">
        <w:t xml:space="preserve"> that the </w:t>
      </w:r>
      <w:r w:rsidRPr="00A6154D">
        <w:t>claim of non-inferior safety was not reasonable given treatment-related adverse events were higher in the ruxolitinib arm compared to the BAT arm for treatment-emergent adverse events, serious adverse events, grade ≥3 adverse events,</w:t>
      </w:r>
      <w:r w:rsidR="00E45E7C" w:rsidRPr="00A6154D">
        <w:t xml:space="preserve"> </w:t>
      </w:r>
      <w:r w:rsidR="0090704F" w:rsidRPr="00A6154D">
        <w:t>and discontinuations</w:t>
      </w:r>
      <w:r w:rsidRPr="00A6154D">
        <w:t xml:space="preserve"> due to adverse events</w:t>
      </w:r>
      <w:r w:rsidR="00E45E7C" w:rsidRPr="00A6154D">
        <w:t xml:space="preserve"> </w:t>
      </w:r>
      <w:r w:rsidRPr="00A6154D">
        <w:t>in the REACH</w:t>
      </w:r>
      <w:r w:rsidR="00E45E7C" w:rsidRPr="00A6154D">
        <w:t>2</w:t>
      </w:r>
      <w:r w:rsidRPr="00A6154D">
        <w:t xml:space="preserve"> trial.</w:t>
      </w:r>
      <w:r w:rsidR="00EC3A0B" w:rsidRPr="00A6154D">
        <w:t xml:space="preserve"> The PSCR stated that the safety profile of ruxolitinib was different compared to the BATs used in REACH2 and may be preferable depending on a patient’s co-morbidities.</w:t>
      </w:r>
      <w:r w:rsidR="005B07C7" w:rsidRPr="00A6154D">
        <w:t xml:space="preserve"> The ESC considered that although the broad range of BATs may have exaggerated the </w:t>
      </w:r>
      <w:r w:rsidR="00B6282D" w:rsidRPr="00A6154D">
        <w:t xml:space="preserve">incremental </w:t>
      </w:r>
      <w:r w:rsidR="005B07C7" w:rsidRPr="00A6154D">
        <w:t xml:space="preserve">effect of adverse events in the ruxolitinib arms, there was uncertainty in the safety </w:t>
      </w:r>
      <w:r w:rsidR="005B07C7" w:rsidRPr="00220334">
        <w:t>comparisons.</w:t>
      </w:r>
    </w:p>
    <w:p w14:paraId="79162D70" w14:textId="69075F10" w:rsidR="00A6154D" w:rsidRPr="00220334" w:rsidRDefault="00A6154D" w:rsidP="00A6154D">
      <w:pPr>
        <w:pStyle w:val="ExecSumBodyText"/>
      </w:pPr>
      <w:r w:rsidRPr="00220334">
        <w:t>The PBAC considered that the claim of non-inferior comparative safety was reasonable.</w:t>
      </w:r>
    </w:p>
    <w:p w14:paraId="1ABAB185" w14:textId="3F112F1B" w:rsidR="00F67915" w:rsidRPr="00C9624D" w:rsidRDefault="00F67915" w:rsidP="00F67915">
      <w:pPr>
        <w:pStyle w:val="3-SubsectionHeading"/>
      </w:pPr>
      <w:bookmarkStart w:id="51" w:name="_Toc103614220"/>
      <w:r w:rsidRPr="00220334">
        <w:t>Economic analysis</w:t>
      </w:r>
      <w:bookmarkEnd w:id="49"/>
      <w:bookmarkEnd w:id="50"/>
      <w:bookmarkEnd w:id="51"/>
    </w:p>
    <w:p w14:paraId="0738F444" w14:textId="558A7058" w:rsidR="00F67915" w:rsidRPr="00FD636A" w:rsidRDefault="00F67915" w:rsidP="00F67915">
      <w:pPr>
        <w:pStyle w:val="ExecSumBodyText"/>
        <w:numPr>
          <w:ilvl w:val="1"/>
          <w:numId w:val="1"/>
        </w:numPr>
        <w:contextualSpacing/>
        <w:rPr>
          <w:b/>
          <w:bCs/>
          <w:lang w:val="en-US"/>
        </w:rPr>
      </w:pPr>
      <w:r w:rsidRPr="00FD636A">
        <w:t>The submission presented the following modelled economic evaluations:</w:t>
      </w:r>
    </w:p>
    <w:p w14:paraId="2EFF89FA" w14:textId="3D13ECB0" w:rsidR="00F67915" w:rsidRPr="00FD636A" w:rsidRDefault="00BD6BA5" w:rsidP="00A2582A">
      <w:pPr>
        <w:pStyle w:val="ExecSumBodyText"/>
        <w:numPr>
          <w:ilvl w:val="1"/>
          <w:numId w:val="16"/>
        </w:numPr>
        <w:ind w:left="1077" w:hanging="357"/>
        <w:contextualSpacing/>
        <w:rPr>
          <w:b/>
          <w:bCs/>
          <w:lang w:val="en-US"/>
        </w:rPr>
      </w:pPr>
      <w:r>
        <w:t>A</w:t>
      </w:r>
      <w:r w:rsidR="00F67915" w:rsidRPr="00FD636A">
        <w:t xml:space="preserve"> modelled economic evaluation comparing initial treatment with ruxolitinib versus BAT, in patients with moderate to severe cGVHD who are steroid refractory/dependent. The economic model was based on the results of the REACH3 trial with additional modelled data.</w:t>
      </w:r>
    </w:p>
    <w:p w14:paraId="1C5D1B48" w14:textId="2CBAB9EF" w:rsidR="00F67915" w:rsidRPr="00914915" w:rsidRDefault="00BD6BA5" w:rsidP="00A2582A">
      <w:pPr>
        <w:pStyle w:val="ExecSumBodyText"/>
        <w:numPr>
          <w:ilvl w:val="1"/>
          <w:numId w:val="16"/>
        </w:numPr>
        <w:ind w:left="1077" w:hanging="357"/>
        <w:rPr>
          <w:lang w:val="en-US"/>
        </w:rPr>
      </w:pPr>
      <w:r>
        <w:rPr>
          <w:lang w:val="en-US"/>
        </w:rPr>
        <w:t>A</w:t>
      </w:r>
      <w:r w:rsidR="00F67915" w:rsidRPr="00914915">
        <w:rPr>
          <w:lang w:val="en-US"/>
        </w:rPr>
        <w:t xml:space="preserve"> modelled economic evaluation </w:t>
      </w:r>
      <w:r w:rsidR="00E93A09">
        <w:rPr>
          <w:lang w:val="en-US"/>
        </w:rPr>
        <w:t xml:space="preserve">comparing initial treatment with </w:t>
      </w:r>
      <w:r w:rsidR="00F67915" w:rsidRPr="00914915">
        <w:rPr>
          <w:lang w:val="en-US"/>
        </w:rPr>
        <w:t xml:space="preserve">ruxolitinib versus </w:t>
      </w:r>
      <w:r w:rsidR="00F67915">
        <w:rPr>
          <w:lang w:val="en-US"/>
        </w:rPr>
        <w:t>BAT</w:t>
      </w:r>
      <w:r w:rsidR="00F67915" w:rsidRPr="00914915">
        <w:rPr>
          <w:lang w:val="en-US"/>
        </w:rPr>
        <w:t>, in patients with Grade II to IV aGVHD who are steroid refractory/dependent. The economic model was based on the results of the REACH</w:t>
      </w:r>
      <w:r w:rsidR="00F67915">
        <w:rPr>
          <w:lang w:val="en-US"/>
        </w:rPr>
        <w:t>2</w:t>
      </w:r>
      <w:r w:rsidR="00F67915" w:rsidRPr="00914915">
        <w:rPr>
          <w:lang w:val="en-US"/>
        </w:rPr>
        <w:t xml:space="preserve"> trial with additional modelled data.</w:t>
      </w:r>
    </w:p>
    <w:p w14:paraId="3AEC5C5E" w14:textId="5C0AC4FE" w:rsidR="00F67915" w:rsidRPr="00641FB3" w:rsidRDefault="00CF7791" w:rsidP="00014A9C">
      <w:pPr>
        <w:pStyle w:val="TableFigureCaption"/>
      </w:pPr>
      <w:r w:rsidRPr="0042047F">
        <w:t xml:space="preserve">Table </w:t>
      </w:r>
      <w:fldSimple w:instr=" SEQ Table \* ARABIC " w:fldLock="1">
        <w:r w:rsidR="005A7A1C">
          <w:rPr>
            <w:noProof/>
          </w:rPr>
          <w:t>14</w:t>
        </w:r>
      </w:fldSimple>
      <w:r w:rsidR="00F67915" w:rsidRPr="00641FB3">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4: Summary of model structure, key inputs and rationale"/>
      </w:tblPr>
      <w:tblGrid>
        <w:gridCol w:w="1465"/>
        <w:gridCol w:w="3776"/>
        <w:gridCol w:w="3776"/>
      </w:tblGrid>
      <w:tr w:rsidR="00F67915" w:rsidRPr="003D1DE4" w14:paraId="5344B872" w14:textId="77777777" w:rsidTr="00A361A7">
        <w:trPr>
          <w:tblHeader/>
        </w:trPr>
        <w:tc>
          <w:tcPr>
            <w:tcW w:w="812" w:type="pct"/>
            <w:shd w:val="clear" w:color="auto" w:fill="auto"/>
            <w:vAlign w:val="center"/>
          </w:tcPr>
          <w:p w14:paraId="18A0595E" w14:textId="77777777" w:rsidR="00F67915" w:rsidRPr="00641FB3" w:rsidRDefault="00F67915" w:rsidP="00014A9C">
            <w:pPr>
              <w:pStyle w:val="Tableheadingrow"/>
            </w:pPr>
            <w:r w:rsidRPr="00641FB3">
              <w:t>Component</w:t>
            </w:r>
          </w:p>
        </w:tc>
        <w:tc>
          <w:tcPr>
            <w:tcW w:w="2094" w:type="pct"/>
            <w:shd w:val="clear" w:color="auto" w:fill="auto"/>
            <w:vAlign w:val="center"/>
          </w:tcPr>
          <w:p w14:paraId="5A912F1B" w14:textId="77777777" w:rsidR="00F67915" w:rsidRPr="00641FB3" w:rsidRDefault="00F67915" w:rsidP="00014A9C">
            <w:pPr>
              <w:pStyle w:val="Tableheadingrow"/>
              <w:jc w:val="center"/>
            </w:pPr>
            <w:r>
              <w:t>Chronic GVHD</w:t>
            </w:r>
          </w:p>
        </w:tc>
        <w:tc>
          <w:tcPr>
            <w:tcW w:w="2094" w:type="pct"/>
          </w:tcPr>
          <w:p w14:paraId="0EC91559" w14:textId="77777777" w:rsidR="00F67915" w:rsidRPr="00641FB3" w:rsidRDefault="00F67915" w:rsidP="00014A9C">
            <w:pPr>
              <w:pStyle w:val="Tableheadingrow"/>
              <w:jc w:val="center"/>
            </w:pPr>
            <w:r>
              <w:t>Acute GVHD</w:t>
            </w:r>
          </w:p>
        </w:tc>
      </w:tr>
      <w:tr w:rsidR="00F67915" w:rsidRPr="00E2771E" w14:paraId="01C3ABB1" w14:textId="77777777" w:rsidTr="00A361A7">
        <w:tc>
          <w:tcPr>
            <w:tcW w:w="812" w:type="pct"/>
            <w:shd w:val="clear" w:color="auto" w:fill="auto"/>
            <w:vAlign w:val="center"/>
          </w:tcPr>
          <w:p w14:paraId="0E64C156" w14:textId="77777777" w:rsidR="00F67915" w:rsidRPr="00E2771E" w:rsidRDefault="00F67915" w:rsidP="00014A9C">
            <w:pPr>
              <w:pStyle w:val="TableText"/>
            </w:pPr>
            <w:r>
              <w:t>Treatments</w:t>
            </w:r>
          </w:p>
        </w:tc>
        <w:tc>
          <w:tcPr>
            <w:tcW w:w="2094" w:type="pct"/>
            <w:shd w:val="clear" w:color="auto" w:fill="auto"/>
            <w:vAlign w:val="center"/>
          </w:tcPr>
          <w:p w14:paraId="4A59C480" w14:textId="77777777" w:rsidR="00F67915" w:rsidRDefault="00F67915" w:rsidP="00014A9C">
            <w:pPr>
              <w:pStyle w:val="TableText"/>
            </w:pPr>
            <w:r>
              <w:t>Ruxolitinib arm: i</w:t>
            </w:r>
            <w:r w:rsidRPr="00924284">
              <w:t xml:space="preserve">nitial treatment with </w:t>
            </w:r>
            <w:r>
              <w:t>ruxolitinib</w:t>
            </w:r>
            <w:r w:rsidRPr="00924284">
              <w:t xml:space="preserve"> followed by up to an additional 9 lines of cGVHD therapy</w:t>
            </w:r>
            <w:r>
              <w:t>.</w:t>
            </w:r>
          </w:p>
          <w:p w14:paraId="70D44E8B" w14:textId="77777777" w:rsidR="00F67915" w:rsidRPr="00E2771E" w:rsidRDefault="00F67915" w:rsidP="00014A9C">
            <w:pPr>
              <w:pStyle w:val="TableText"/>
            </w:pPr>
            <w:r>
              <w:t xml:space="preserve">BAT arm: up to 9 lines of </w:t>
            </w:r>
            <w:r w:rsidRPr="00924284">
              <w:t>cGVHD therapy.</w:t>
            </w:r>
          </w:p>
        </w:tc>
        <w:tc>
          <w:tcPr>
            <w:tcW w:w="2094" w:type="pct"/>
          </w:tcPr>
          <w:p w14:paraId="1D30F7AB" w14:textId="53F876F4" w:rsidR="008504E2" w:rsidRDefault="008504E2" w:rsidP="00014A9C">
            <w:pPr>
              <w:pStyle w:val="TableText"/>
            </w:pPr>
            <w:r>
              <w:t>Ruxolitinib arm: i</w:t>
            </w:r>
            <w:r w:rsidRPr="00924284">
              <w:t xml:space="preserve">nitial treatment with </w:t>
            </w:r>
            <w:r>
              <w:t>ruxolitinib</w:t>
            </w:r>
            <w:r w:rsidRPr="00924284">
              <w:t xml:space="preserve"> followed by up to an additional </w:t>
            </w:r>
            <w:r w:rsidR="00753421">
              <w:t>9 lines</w:t>
            </w:r>
            <w:r w:rsidRPr="00924284">
              <w:t xml:space="preserve"> of cGVHD therapy</w:t>
            </w:r>
            <w:r>
              <w:t>.</w:t>
            </w:r>
          </w:p>
          <w:p w14:paraId="1BD627DB" w14:textId="7DF85C1B" w:rsidR="00F67915" w:rsidRDefault="008504E2" w:rsidP="00014A9C">
            <w:pPr>
              <w:pStyle w:val="TableText"/>
            </w:pPr>
            <w:r>
              <w:t xml:space="preserve">BAT arm: up to </w:t>
            </w:r>
            <w:r w:rsidR="00753421">
              <w:t>9 lines</w:t>
            </w:r>
            <w:r>
              <w:t xml:space="preserve"> of </w:t>
            </w:r>
            <w:r w:rsidRPr="00924284">
              <w:t>cGVHD therapy.</w:t>
            </w:r>
          </w:p>
        </w:tc>
      </w:tr>
      <w:tr w:rsidR="00FD4C4F" w:rsidRPr="00E2771E" w14:paraId="619581A7" w14:textId="77777777" w:rsidTr="00A361A7">
        <w:tc>
          <w:tcPr>
            <w:tcW w:w="812" w:type="pct"/>
            <w:shd w:val="clear" w:color="auto" w:fill="auto"/>
            <w:vAlign w:val="center"/>
          </w:tcPr>
          <w:p w14:paraId="38B42703" w14:textId="5646B3CD" w:rsidR="00FD4C4F" w:rsidRPr="00E2771E" w:rsidRDefault="00FD4C4F" w:rsidP="00014A9C">
            <w:pPr>
              <w:pStyle w:val="TableText"/>
            </w:pPr>
            <w:r>
              <w:t xml:space="preserve">Age </w:t>
            </w:r>
          </w:p>
        </w:tc>
        <w:tc>
          <w:tcPr>
            <w:tcW w:w="2094" w:type="pct"/>
            <w:shd w:val="clear" w:color="auto" w:fill="auto"/>
          </w:tcPr>
          <w:p w14:paraId="72498244" w14:textId="7F2342A7" w:rsidR="00FD4C4F" w:rsidRDefault="00FD4C4F" w:rsidP="00014A9C">
            <w:pPr>
              <w:pStyle w:val="TableText"/>
            </w:pPr>
            <w:r>
              <w:t>Based on a normal distribution with a mean age (SD) of 46.5 years (15.92)</w:t>
            </w:r>
          </w:p>
        </w:tc>
        <w:tc>
          <w:tcPr>
            <w:tcW w:w="2094" w:type="pct"/>
          </w:tcPr>
          <w:p w14:paraId="0917654A" w14:textId="3CC72903" w:rsidR="00FD4C4F" w:rsidRPr="004F63C0" w:rsidRDefault="00C977EC" w:rsidP="00014A9C">
            <w:pPr>
              <w:pStyle w:val="TableText"/>
            </w:pPr>
            <w:r>
              <w:t>Based on a normal distribution with a mean age (SD) of 49.5 years (15.69)</w:t>
            </w:r>
          </w:p>
        </w:tc>
      </w:tr>
      <w:tr w:rsidR="00F67915" w:rsidRPr="00E2771E" w14:paraId="2D8C51F1" w14:textId="77777777" w:rsidTr="00A361A7">
        <w:tc>
          <w:tcPr>
            <w:tcW w:w="812" w:type="pct"/>
            <w:shd w:val="clear" w:color="auto" w:fill="auto"/>
            <w:vAlign w:val="center"/>
          </w:tcPr>
          <w:p w14:paraId="4A9E6271" w14:textId="77777777" w:rsidR="00F67915" w:rsidRPr="00E2771E" w:rsidRDefault="00F67915" w:rsidP="00014A9C">
            <w:pPr>
              <w:pStyle w:val="TableText"/>
            </w:pPr>
            <w:r w:rsidRPr="00E2771E">
              <w:t>Time horizon</w:t>
            </w:r>
          </w:p>
        </w:tc>
        <w:tc>
          <w:tcPr>
            <w:tcW w:w="2094" w:type="pct"/>
            <w:shd w:val="clear" w:color="auto" w:fill="auto"/>
          </w:tcPr>
          <w:p w14:paraId="39336B49" w14:textId="77777777" w:rsidR="00F67915" w:rsidRPr="00E2771E" w:rsidRDefault="00F67915" w:rsidP="00014A9C">
            <w:pPr>
              <w:pStyle w:val="TableText"/>
            </w:pPr>
            <w:r>
              <w:t>30 years in the base case versus median follow-up of 57.3 weeks in the REACH3 trial</w:t>
            </w:r>
          </w:p>
        </w:tc>
        <w:tc>
          <w:tcPr>
            <w:tcW w:w="2094" w:type="pct"/>
          </w:tcPr>
          <w:p w14:paraId="04A79F06" w14:textId="77777777" w:rsidR="00F67915" w:rsidRPr="00E2771E" w:rsidRDefault="00F67915" w:rsidP="00014A9C">
            <w:pPr>
              <w:pStyle w:val="TableText"/>
            </w:pPr>
            <w:r w:rsidRPr="004F63C0">
              <w:t>15 years in the base case versus median follow-up of 5.7 months in the REACH2 trial</w:t>
            </w:r>
          </w:p>
        </w:tc>
      </w:tr>
      <w:tr w:rsidR="00F67915" w:rsidRPr="00E2771E" w14:paraId="3E60FDD4" w14:textId="77777777" w:rsidTr="00A361A7">
        <w:tc>
          <w:tcPr>
            <w:tcW w:w="812" w:type="pct"/>
            <w:shd w:val="clear" w:color="auto" w:fill="auto"/>
            <w:vAlign w:val="center"/>
          </w:tcPr>
          <w:p w14:paraId="7B305D32" w14:textId="77777777" w:rsidR="00F67915" w:rsidRPr="00E2771E" w:rsidRDefault="00F67915" w:rsidP="00014A9C">
            <w:pPr>
              <w:pStyle w:val="TableText"/>
            </w:pPr>
            <w:r w:rsidRPr="00E2771E">
              <w:t>Outcomes</w:t>
            </w:r>
          </w:p>
        </w:tc>
        <w:tc>
          <w:tcPr>
            <w:tcW w:w="2094" w:type="pct"/>
            <w:shd w:val="clear" w:color="auto" w:fill="auto"/>
          </w:tcPr>
          <w:p w14:paraId="09742E6B" w14:textId="77777777" w:rsidR="00F67915" w:rsidRPr="00E2771E" w:rsidRDefault="00F67915" w:rsidP="00014A9C">
            <w:pPr>
              <w:pStyle w:val="TableText"/>
            </w:pPr>
            <w:r w:rsidRPr="002A72E6">
              <w:t>Quality-adjusted life years; life years gained.</w:t>
            </w:r>
          </w:p>
        </w:tc>
        <w:tc>
          <w:tcPr>
            <w:tcW w:w="2094" w:type="pct"/>
          </w:tcPr>
          <w:p w14:paraId="49257E09" w14:textId="77777777" w:rsidR="00F67915" w:rsidRPr="00E2771E" w:rsidRDefault="00F67915" w:rsidP="00014A9C">
            <w:pPr>
              <w:pStyle w:val="TableText"/>
            </w:pPr>
            <w:r w:rsidRPr="002A72E6">
              <w:t>Quality-adjusted life years; life years gained.</w:t>
            </w:r>
          </w:p>
        </w:tc>
      </w:tr>
      <w:tr w:rsidR="00F67915" w:rsidRPr="00E2771E" w14:paraId="04CEF2E2" w14:textId="77777777" w:rsidTr="00A361A7">
        <w:tc>
          <w:tcPr>
            <w:tcW w:w="812" w:type="pct"/>
            <w:shd w:val="clear" w:color="auto" w:fill="auto"/>
            <w:vAlign w:val="center"/>
          </w:tcPr>
          <w:p w14:paraId="29F690B3" w14:textId="77777777" w:rsidR="00F67915" w:rsidRPr="00E2771E" w:rsidRDefault="00F67915" w:rsidP="00014A9C">
            <w:pPr>
              <w:pStyle w:val="TableText"/>
            </w:pPr>
            <w:r w:rsidRPr="00E2771E">
              <w:t>Methods used to generate results</w:t>
            </w:r>
          </w:p>
        </w:tc>
        <w:tc>
          <w:tcPr>
            <w:tcW w:w="2094" w:type="pct"/>
            <w:shd w:val="clear" w:color="auto" w:fill="auto"/>
          </w:tcPr>
          <w:p w14:paraId="7319DEF8" w14:textId="77777777" w:rsidR="00F67915" w:rsidRPr="00E2771E" w:rsidRDefault="00F67915" w:rsidP="00014A9C">
            <w:pPr>
              <w:pStyle w:val="TableText"/>
            </w:pPr>
            <w:r>
              <w:t>Microsimulation model</w:t>
            </w:r>
          </w:p>
        </w:tc>
        <w:tc>
          <w:tcPr>
            <w:tcW w:w="2094" w:type="pct"/>
          </w:tcPr>
          <w:p w14:paraId="428BB5EC" w14:textId="77777777" w:rsidR="00F67915" w:rsidRPr="00E2771E" w:rsidRDefault="00F67915" w:rsidP="00014A9C">
            <w:pPr>
              <w:pStyle w:val="TableText"/>
            </w:pPr>
            <w:r>
              <w:t>Microsimulation model</w:t>
            </w:r>
          </w:p>
        </w:tc>
      </w:tr>
      <w:tr w:rsidR="00F67915" w:rsidRPr="00E2771E" w14:paraId="7F7073AA" w14:textId="77777777" w:rsidTr="00A361A7">
        <w:tc>
          <w:tcPr>
            <w:tcW w:w="812" w:type="pct"/>
            <w:shd w:val="clear" w:color="auto" w:fill="auto"/>
            <w:vAlign w:val="center"/>
          </w:tcPr>
          <w:p w14:paraId="12487AE8" w14:textId="77777777" w:rsidR="00F67915" w:rsidRPr="00E2771E" w:rsidRDefault="00F67915" w:rsidP="00014A9C">
            <w:pPr>
              <w:pStyle w:val="TableText"/>
            </w:pPr>
            <w:r w:rsidRPr="00E2771E">
              <w:t>Health states</w:t>
            </w:r>
          </w:p>
        </w:tc>
        <w:tc>
          <w:tcPr>
            <w:tcW w:w="2094" w:type="pct"/>
            <w:shd w:val="clear" w:color="auto" w:fill="auto"/>
          </w:tcPr>
          <w:p w14:paraId="019FCF9B" w14:textId="77777777" w:rsidR="00F67915" w:rsidRPr="00E2771E" w:rsidRDefault="00F67915" w:rsidP="00014A9C">
            <w:pPr>
              <w:pStyle w:val="TableText"/>
            </w:pPr>
            <w:r>
              <w:t>Responder; non-responder; dead.</w:t>
            </w:r>
          </w:p>
        </w:tc>
        <w:tc>
          <w:tcPr>
            <w:tcW w:w="2094" w:type="pct"/>
          </w:tcPr>
          <w:p w14:paraId="6AEC1F0F" w14:textId="77777777" w:rsidR="00F67915" w:rsidRPr="00E2771E" w:rsidRDefault="00F67915" w:rsidP="00014A9C">
            <w:pPr>
              <w:pStyle w:val="TableText"/>
            </w:pPr>
            <w:r>
              <w:t>Responder; non-responder; dead.</w:t>
            </w:r>
          </w:p>
        </w:tc>
      </w:tr>
      <w:tr w:rsidR="00F67915" w:rsidRPr="00E2771E" w14:paraId="7FF2E18E" w14:textId="77777777" w:rsidTr="00A361A7">
        <w:tc>
          <w:tcPr>
            <w:tcW w:w="812" w:type="pct"/>
            <w:shd w:val="clear" w:color="auto" w:fill="auto"/>
            <w:vAlign w:val="center"/>
          </w:tcPr>
          <w:p w14:paraId="181237D2" w14:textId="77777777" w:rsidR="00F67915" w:rsidRPr="00E2771E" w:rsidRDefault="00F67915" w:rsidP="00014A9C">
            <w:pPr>
              <w:pStyle w:val="TableText"/>
            </w:pPr>
            <w:r w:rsidRPr="00E2771E">
              <w:t>Cycle length</w:t>
            </w:r>
          </w:p>
        </w:tc>
        <w:tc>
          <w:tcPr>
            <w:tcW w:w="2094" w:type="pct"/>
            <w:shd w:val="clear" w:color="auto" w:fill="auto"/>
          </w:tcPr>
          <w:p w14:paraId="0DF43EE5" w14:textId="77777777" w:rsidR="00F67915" w:rsidRPr="00E2771E" w:rsidRDefault="00F67915" w:rsidP="00014A9C">
            <w:pPr>
              <w:pStyle w:val="TableText"/>
            </w:pPr>
            <w:r>
              <w:t>4 weeks</w:t>
            </w:r>
          </w:p>
        </w:tc>
        <w:tc>
          <w:tcPr>
            <w:tcW w:w="2094" w:type="pct"/>
          </w:tcPr>
          <w:p w14:paraId="6E1D953B" w14:textId="77777777" w:rsidR="00F67915" w:rsidRPr="00E2771E" w:rsidRDefault="00F67915" w:rsidP="00014A9C">
            <w:pPr>
              <w:pStyle w:val="TableText"/>
            </w:pPr>
            <w:r>
              <w:t>4 weeks</w:t>
            </w:r>
          </w:p>
        </w:tc>
      </w:tr>
      <w:tr w:rsidR="00F67915" w:rsidRPr="00E2771E" w14:paraId="4DAFC74A" w14:textId="77777777" w:rsidTr="00A361A7">
        <w:tc>
          <w:tcPr>
            <w:tcW w:w="812" w:type="pct"/>
            <w:shd w:val="clear" w:color="auto" w:fill="auto"/>
            <w:vAlign w:val="center"/>
          </w:tcPr>
          <w:p w14:paraId="3112957A" w14:textId="199D4179" w:rsidR="00F67915" w:rsidRPr="00E2771E" w:rsidRDefault="00F67915" w:rsidP="00014A9C">
            <w:pPr>
              <w:pStyle w:val="TableText"/>
            </w:pPr>
            <w:r w:rsidRPr="00E2771E">
              <w:t>Transition probabilities</w:t>
            </w:r>
          </w:p>
        </w:tc>
        <w:tc>
          <w:tcPr>
            <w:tcW w:w="2094" w:type="pct"/>
            <w:shd w:val="clear" w:color="auto" w:fill="auto"/>
          </w:tcPr>
          <w:p w14:paraId="30FD3A18" w14:textId="1148EC23" w:rsidR="00F67915" w:rsidRDefault="00F67915" w:rsidP="00014A9C">
            <w:pPr>
              <w:pStyle w:val="TableText"/>
            </w:pPr>
            <w:r>
              <w:t>Overall response at 24 weeks based on the overall response rate at 24 weeks reported in the REACH3 trial.</w:t>
            </w:r>
          </w:p>
          <w:p w14:paraId="1092804C" w14:textId="77777777" w:rsidR="00F67915" w:rsidRDefault="00F67915" w:rsidP="00014A9C">
            <w:pPr>
              <w:pStyle w:val="TableText"/>
            </w:pPr>
            <w:r>
              <w:t>Duration of response based on a post-hoc analysis of REACH3 trial data, with Kaplan-Meier estimates for the ruxolitinib and BAT arms extrapolated using exponential functions.</w:t>
            </w:r>
          </w:p>
          <w:p w14:paraId="34B7D686" w14:textId="77777777" w:rsidR="00F67915" w:rsidRDefault="00F67915" w:rsidP="00014A9C">
            <w:pPr>
              <w:pStyle w:val="TableText"/>
            </w:pPr>
            <w:r>
              <w:t>Survival to Week 24 based on overall survival for the ruxolitinib and BAT arms in the REACH3 trial. Survival beyond Week 24 based on a post-hoc analysis of REACH3 trial data, with Kaplan-Meier estimates of overall survival for responders and non-responders extrapolated using Weibull functions.</w:t>
            </w:r>
          </w:p>
          <w:p w14:paraId="1E9E1490" w14:textId="77777777" w:rsidR="00F67915" w:rsidRPr="00E2771E" w:rsidRDefault="00F67915" w:rsidP="00014A9C">
            <w:pPr>
              <w:pStyle w:val="TableText"/>
            </w:pPr>
            <w:r>
              <w:t>Treatment duration based on a post-hoc analysis of the REACH3 trial, with Kaplan-Meier estimates of time to treatment discontinuation for the ruxolitinib and BAT arms extrapolated using exponential functions.</w:t>
            </w:r>
          </w:p>
        </w:tc>
        <w:tc>
          <w:tcPr>
            <w:tcW w:w="2094" w:type="pct"/>
          </w:tcPr>
          <w:p w14:paraId="31879B13" w14:textId="3597BF93" w:rsidR="00F67915" w:rsidRDefault="00F67915" w:rsidP="00014A9C">
            <w:pPr>
              <w:pStyle w:val="TableText"/>
            </w:pPr>
            <w:r>
              <w:t>Overall response rate at Day 28 based on the REACH2 trial.</w:t>
            </w:r>
          </w:p>
          <w:p w14:paraId="6947D22B" w14:textId="77777777" w:rsidR="00F67915" w:rsidRDefault="00F67915" w:rsidP="00014A9C">
            <w:pPr>
              <w:pStyle w:val="TableText"/>
            </w:pPr>
            <w:r>
              <w:t>Duration of response based on post-hoc analysis of REACH2 trial. Kaplan-Meier estimates for ruxolitinib and BAT extrapolated using exponential and lognormal functions, respectively.</w:t>
            </w:r>
          </w:p>
          <w:p w14:paraId="2FA753E3" w14:textId="77777777" w:rsidR="00F67915" w:rsidRDefault="00F67915" w:rsidP="00014A9C">
            <w:pPr>
              <w:pStyle w:val="TableText"/>
            </w:pPr>
            <w:r>
              <w:t>Survival to Day 28 based on overall survival for the ruxolitinib and BAT arms in the REACH2 trial. Survival beyond Day 28 based on Kaplan-Meier estimates of overall survival for responders and non-responders in the REACH2 trial, extrapolated using a lognormal function.</w:t>
            </w:r>
          </w:p>
          <w:p w14:paraId="501EEE7B" w14:textId="6A5642AA" w:rsidR="00F67915" w:rsidRPr="00E2771E" w:rsidRDefault="00F67915" w:rsidP="00014A9C">
            <w:pPr>
              <w:pStyle w:val="TableText"/>
            </w:pPr>
            <w:r>
              <w:t>Treatment duration based on post-hoc analysis of REACH</w:t>
            </w:r>
            <w:r w:rsidR="00D36662">
              <w:t>2</w:t>
            </w:r>
            <w:r>
              <w:t xml:space="preserve"> trial. Kaplan-Meier estimates of time to treatment discontinuation for ruxolitinib and BAT extrapolated using an exponential distribution.</w:t>
            </w:r>
          </w:p>
        </w:tc>
      </w:tr>
      <w:tr w:rsidR="00F67915" w:rsidRPr="00E2771E" w14:paraId="1781B5A1" w14:textId="77777777" w:rsidTr="00A361A7">
        <w:tc>
          <w:tcPr>
            <w:tcW w:w="812" w:type="pct"/>
            <w:shd w:val="clear" w:color="auto" w:fill="auto"/>
            <w:vAlign w:val="center"/>
          </w:tcPr>
          <w:p w14:paraId="6B7D3D38" w14:textId="77777777" w:rsidR="00F67915" w:rsidRPr="001F4081" w:rsidRDefault="00F67915" w:rsidP="00014A9C">
            <w:pPr>
              <w:pStyle w:val="TableText"/>
            </w:pPr>
            <w:r>
              <w:t>Utilities</w:t>
            </w:r>
          </w:p>
        </w:tc>
        <w:tc>
          <w:tcPr>
            <w:tcW w:w="2094" w:type="pct"/>
            <w:shd w:val="clear" w:color="auto" w:fill="auto"/>
            <w:vAlign w:val="center"/>
          </w:tcPr>
          <w:p w14:paraId="3EA2774B" w14:textId="77777777" w:rsidR="00F67915" w:rsidRDefault="00F67915" w:rsidP="00014A9C">
            <w:pPr>
              <w:pStyle w:val="TableText"/>
            </w:pPr>
            <w:r>
              <w:t>Utility values according to response status (responder/non-responder) derived from EQ-5D-5L data collected in the REACH3 trial.</w:t>
            </w:r>
          </w:p>
          <w:p w14:paraId="36627658" w14:textId="77777777" w:rsidR="00F67915" w:rsidRDefault="00F67915" w:rsidP="00014A9C">
            <w:pPr>
              <w:pStyle w:val="TableText"/>
            </w:pPr>
            <w:r>
              <w:t>Higher utilities for r</w:t>
            </w:r>
            <w:r w:rsidRPr="00F61031">
              <w:t>esponder</w:t>
            </w:r>
            <w:r>
              <w:t>s</w:t>
            </w:r>
            <w:r w:rsidRPr="00F61031">
              <w:t xml:space="preserve"> and non-responder</w:t>
            </w:r>
            <w:r>
              <w:t>s</w:t>
            </w:r>
            <w:r w:rsidRPr="00F61031">
              <w:t xml:space="preserve"> are applied to the </w:t>
            </w:r>
            <w:r>
              <w:t>ruxolitinib</w:t>
            </w:r>
            <w:r w:rsidRPr="00F61031">
              <w:t xml:space="preserve"> </w:t>
            </w:r>
            <w:r>
              <w:t xml:space="preserve">arm versus the </w:t>
            </w:r>
            <w:r w:rsidRPr="00F61031">
              <w:t>BAT arm.</w:t>
            </w:r>
          </w:p>
          <w:p w14:paraId="79C74C16" w14:textId="4A2FFB72" w:rsidR="0014677B" w:rsidRPr="00E2771E" w:rsidRDefault="0014677B" w:rsidP="00014A9C">
            <w:pPr>
              <w:pStyle w:val="TableText"/>
            </w:pPr>
            <w:r>
              <w:t>No disutilities associated with adverse events were explicitly applied.</w:t>
            </w:r>
          </w:p>
        </w:tc>
        <w:tc>
          <w:tcPr>
            <w:tcW w:w="2094" w:type="pct"/>
          </w:tcPr>
          <w:p w14:paraId="6DBEF202" w14:textId="77777777" w:rsidR="00F67915" w:rsidRDefault="00F67915" w:rsidP="00014A9C">
            <w:pPr>
              <w:pStyle w:val="TableText"/>
            </w:pPr>
            <w:r>
              <w:t>Utility values according to response status (responder/non-responder) derived from EQ-5D-5L data collected in the REACH2 trial.</w:t>
            </w:r>
          </w:p>
          <w:p w14:paraId="48246855" w14:textId="77777777" w:rsidR="00F67915" w:rsidRDefault="00F67915" w:rsidP="00014A9C">
            <w:pPr>
              <w:pStyle w:val="TableText"/>
            </w:pPr>
            <w:r>
              <w:t>The same responder and non-responder utilities are applied to the ruxolitinib and BAT arms.</w:t>
            </w:r>
          </w:p>
          <w:p w14:paraId="5157270B" w14:textId="13CEC794" w:rsidR="00834692" w:rsidRDefault="00834692" w:rsidP="00014A9C">
            <w:pPr>
              <w:pStyle w:val="TableText"/>
            </w:pPr>
            <w:r w:rsidRPr="00834692">
              <w:t>No disutilities associated with adverse events were explicitly applied.</w:t>
            </w:r>
          </w:p>
        </w:tc>
      </w:tr>
    </w:tbl>
    <w:p w14:paraId="6F32D3A0" w14:textId="1D78CC85" w:rsidR="00F67915" w:rsidRDefault="00F67915" w:rsidP="00F96263">
      <w:pPr>
        <w:pStyle w:val="TableFooter"/>
      </w:pPr>
      <w:r>
        <w:t xml:space="preserve">Source: </w:t>
      </w:r>
      <w:r w:rsidR="00F96263" w:rsidRPr="00191822">
        <w:t>Source:</w:t>
      </w:r>
      <w:r w:rsidR="00F96263">
        <w:t xml:space="preserve"> Table 3.1-1, p230 of the submission; Table 3(a).1-1, pp298-299 of the submission.</w:t>
      </w:r>
    </w:p>
    <w:p w14:paraId="3E4AD1F3" w14:textId="47AFDD7E" w:rsidR="00F96263" w:rsidRPr="0072416F" w:rsidRDefault="00F96263" w:rsidP="00F96263">
      <w:pPr>
        <w:pStyle w:val="TableFooter"/>
      </w:pPr>
      <w:r>
        <w:t xml:space="preserve">Abbreviations: </w:t>
      </w:r>
      <w:r w:rsidR="00B551B4">
        <w:t xml:space="preserve">aGVHD, acute </w:t>
      </w:r>
      <w:r w:rsidR="005553CE">
        <w:t>graft-versus-host</w:t>
      </w:r>
      <w:r w:rsidR="00B551B4">
        <w:t xml:space="preserve"> disease; </w:t>
      </w:r>
      <w:r w:rsidR="00B965F4">
        <w:t xml:space="preserve">AR-DRGs, </w:t>
      </w:r>
      <w:r w:rsidR="00B965F4" w:rsidRPr="00B965F4">
        <w:t xml:space="preserve">Australian Refined Diagnosis Related Group; </w:t>
      </w:r>
      <w:r w:rsidR="00B551B4">
        <w:t xml:space="preserve">BAT, best available therapy; cGVHD, chronic </w:t>
      </w:r>
      <w:r w:rsidR="005553CE">
        <w:t>graft-versus-host</w:t>
      </w:r>
      <w:r w:rsidR="00B551B4">
        <w:t xml:space="preserve"> disease; ECP, extracorporeal photopheresis; EQ-5D-5L, EuroQol 5-Dimension 5-Level; </w:t>
      </w:r>
      <w:r w:rsidR="00404C2C">
        <w:t xml:space="preserve">GP, general practitioner; </w:t>
      </w:r>
      <w:r w:rsidR="00B551B4">
        <w:t>MBS, Medicare Benefits Schedule.</w:t>
      </w:r>
    </w:p>
    <w:p w14:paraId="0BED8F7F" w14:textId="77777777" w:rsidR="00F67915" w:rsidRPr="0075417D" w:rsidRDefault="00F67915" w:rsidP="00F67915">
      <w:pPr>
        <w:pStyle w:val="ExecSumBodyText"/>
        <w:numPr>
          <w:ilvl w:val="1"/>
          <w:numId w:val="1"/>
        </w:numPr>
      </w:pPr>
      <w:r w:rsidRPr="0075417D">
        <w:t>The figure below depicts the structure of the economic model for chronic and acute GVHD.</w:t>
      </w:r>
    </w:p>
    <w:p w14:paraId="33A6C40B" w14:textId="4C580816" w:rsidR="00F67915" w:rsidRPr="00191822" w:rsidRDefault="00513C76" w:rsidP="00CF7791">
      <w:pPr>
        <w:pStyle w:val="TableHeading"/>
      </w:pPr>
      <w:r>
        <w:t xml:space="preserve">Figure </w:t>
      </w:r>
      <w:fldSimple w:instr=" SEQ Figure \* ARABIC " w:fldLock="1">
        <w:r w:rsidR="005A7A1C">
          <w:rPr>
            <w:noProof/>
          </w:rPr>
          <w:t>4</w:t>
        </w:r>
      </w:fldSimple>
      <w:r w:rsidR="00F67915" w:rsidRPr="00191822">
        <w:t>: Structure of the economic model</w:t>
      </w:r>
      <w:r w:rsidR="00F67915">
        <w:t xml:space="preserve"> for chronic and acute GVHD</w:t>
      </w:r>
    </w:p>
    <w:p w14:paraId="1FBBA9B9" w14:textId="77777777" w:rsidR="00F67915" w:rsidRDefault="00F67915" w:rsidP="00F67915">
      <w:r w:rsidRPr="00974BCD">
        <w:rPr>
          <w:noProof/>
        </w:rPr>
        <w:drawing>
          <wp:inline distT="0" distB="0" distL="0" distR="0" wp14:anchorId="4E64E231" wp14:editId="34B7601C">
            <wp:extent cx="5732145" cy="3275602"/>
            <wp:effectExtent l="0" t="0" r="0" b="0"/>
            <wp:docPr id="13" name="Picture 13" descr="Figure 4: Structure of the economic model for chronic and acute GV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4: Structure of the economic model for chronic and acute GVH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2145" cy="3275602"/>
                    </a:xfrm>
                    <a:prstGeom prst="rect">
                      <a:avLst/>
                    </a:prstGeom>
                    <a:noFill/>
                  </pic:spPr>
                </pic:pic>
              </a:graphicData>
            </a:graphic>
          </wp:inline>
        </w:drawing>
      </w:r>
    </w:p>
    <w:p w14:paraId="7D6ADBDF" w14:textId="77777777" w:rsidR="00F67915" w:rsidRDefault="00F67915" w:rsidP="00F67915">
      <w:pPr>
        <w:pStyle w:val="TableFigureFooter"/>
      </w:pPr>
      <w:r>
        <w:t>Source: Figure 3.2.1, p248 of the submission.</w:t>
      </w:r>
    </w:p>
    <w:p w14:paraId="0781E6A9" w14:textId="77777777" w:rsidR="00F67915" w:rsidRDefault="00F67915" w:rsidP="00F67915">
      <w:pPr>
        <w:pStyle w:val="TableFigureFooter"/>
      </w:pPr>
      <w:r>
        <w:t>Abbreviations: QALY, quality-adjusted life year.</w:t>
      </w:r>
    </w:p>
    <w:p w14:paraId="40BF5A9C" w14:textId="77777777" w:rsidR="00E75F95" w:rsidRDefault="00E75F95" w:rsidP="00E75F95">
      <w:pPr>
        <w:pStyle w:val="4-SubsectSubhead"/>
      </w:pPr>
      <w:r>
        <w:t>Chronic GVHD</w:t>
      </w:r>
    </w:p>
    <w:p w14:paraId="034DE098" w14:textId="260E3145" w:rsidR="00CD3722" w:rsidRPr="00A6154D" w:rsidRDefault="00430F74" w:rsidP="00FD7B71">
      <w:pPr>
        <w:pStyle w:val="ExecSumBodyText"/>
        <w:numPr>
          <w:ilvl w:val="1"/>
          <w:numId w:val="1"/>
        </w:numPr>
      </w:pPr>
      <w:r w:rsidRPr="00A6154D">
        <w:t xml:space="preserve">Chronic </w:t>
      </w:r>
      <w:r w:rsidR="0062384B" w:rsidRPr="00A6154D">
        <w:t>GVHD</w:t>
      </w:r>
      <w:r w:rsidR="00A2707E" w:rsidRPr="00A6154D">
        <w:t xml:space="preserve"> treatments </w:t>
      </w:r>
      <w:r w:rsidR="0062384B" w:rsidRPr="00A6154D">
        <w:t>in</w:t>
      </w:r>
      <w:r w:rsidR="00A2707E" w:rsidRPr="00A6154D">
        <w:t xml:space="preserve"> the model were based on </w:t>
      </w:r>
      <w:r w:rsidR="00641776" w:rsidRPr="00A6154D">
        <w:t xml:space="preserve">the </w:t>
      </w:r>
      <w:r w:rsidR="00A2707E" w:rsidRPr="00A6154D">
        <w:t xml:space="preserve">initial treatments used in the </w:t>
      </w:r>
      <w:r w:rsidR="0062384B" w:rsidRPr="00A6154D">
        <w:t xml:space="preserve">BAT arm of the </w:t>
      </w:r>
      <w:r w:rsidR="00A2707E" w:rsidRPr="00A6154D">
        <w:t>REACH3 trial</w:t>
      </w:r>
      <w:r w:rsidR="00641776" w:rsidRPr="00A6154D">
        <w:t xml:space="preserve">, and included </w:t>
      </w:r>
      <w:r w:rsidR="00A2707E" w:rsidRPr="00A6154D">
        <w:t>methotrexate, mycophenolate mofetil, everolimus</w:t>
      </w:r>
      <w:r w:rsidR="00FD7B71" w:rsidRPr="00A6154D">
        <w:t xml:space="preserve">, </w:t>
      </w:r>
      <w:r w:rsidR="00A2707E" w:rsidRPr="00A6154D">
        <w:t>sirolimus, infliximab, rituximab, imatinib, ibrutinib and ECP.</w:t>
      </w:r>
      <w:r w:rsidR="00BA78DA" w:rsidRPr="00A6154D">
        <w:t xml:space="preserve"> </w:t>
      </w:r>
      <w:r w:rsidR="00CD3722" w:rsidRPr="00A6154D">
        <w:t xml:space="preserve">Patients in the ruxolitinib arm of the model receive initial treatment with ruxolitinib followed by up to an additional 9 lines of cGVHD therapy. Patients in the BAT arm receive up to 9 lines of cGVHD therapy. </w:t>
      </w:r>
      <w:r w:rsidR="001B261E" w:rsidRPr="00A6154D">
        <w:t xml:space="preserve">The initial therapy in the BAT arm was based on the distribution of initial treatments used by patients in the REACH3 trial. Subsequent treatments were randomly selected from the remaining therapies. </w:t>
      </w:r>
      <w:r w:rsidR="00DA75E0" w:rsidRPr="00A6154D">
        <w:t>Although t</w:t>
      </w:r>
      <w:r w:rsidR="00CD3722" w:rsidRPr="00A6154D">
        <w:t xml:space="preserve">he submission did not adequately justify the inclusion of so many lines of therapy, </w:t>
      </w:r>
      <w:r w:rsidR="00DA75E0" w:rsidRPr="00A6154D">
        <w:t xml:space="preserve">the ESC considered </w:t>
      </w:r>
      <w:r w:rsidR="006A4081" w:rsidRPr="00A6154D">
        <w:t xml:space="preserve">the multiple lines of therapy </w:t>
      </w:r>
      <w:r w:rsidR="00DA75E0" w:rsidRPr="00A6154D">
        <w:t xml:space="preserve">was reflective of </w:t>
      </w:r>
      <w:r w:rsidR="00CD3722" w:rsidRPr="00A6154D">
        <w:t>clinical practice.</w:t>
      </w:r>
    </w:p>
    <w:p w14:paraId="45162A2D" w14:textId="2052EC3B" w:rsidR="00927767" w:rsidRPr="00A6154D" w:rsidRDefault="00CD3722" w:rsidP="009C7407">
      <w:pPr>
        <w:pStyle w:val="ExecSumBodyText"/>
        <w:numPr>
          <w:ilvl w:val="1"/>
          <w:numId w:val="1"/>
        </w:numPr>
      </w:pPr>
      <w:r w:rsidRPr="00A6154D">
        <w:t xml:space="preserve">There are likely to be differences in </w:t>
      </w:r>
      <w:r w:rsidR="00055221" w:rsidRPr="00A6154D">
        <w:t xml:space="preserve">the </w:t>
      </w:r>
      <w:r w:rsidRPr="00A6154D">
        <w:t xml:space="preserve">availability and utilisation of cGVHD treatments between the REACH3 trial and Australian clinical practice that impact clinical outcomes and costs. </w:t>
      </w:r>
      <w:r w:rsidR="00A2707E" w:rsidRPr="00A6154D">
        <w:t xml:space="preserve">The most commonly used initial therapies in the BAT arm of the REACH3 trial were ECP (34.8%), mycophenolate mofetil (22.2%) and ibrutinib (17.1%). A number of the cGVHD therapies included in the trial, including ibrutinib, are not subsidised for </w:t>
      </w:r>
      <w:r w:rsidR="00D53BB3" w:rsidRPr="00A6154D">
        <w:t xml:space="preserve">treatment of cGVHD </w:t>
      </w:r>
      <w:r w:rsidR="00A2707E" w:rsidRPr="00A6154D">
        <w:t>in Australia, and therefore their use is likely to be limited.</w:t>
      </w:r>
    </w:p>
    <w:p w14:paraId="3D13CC86" w14:textId="4D328467" w:rsidR="00DC2FDD" w:rsidRPr="00A6154D" w:rsidRDefault="00DC2FDD" w:rsidP="00DC2FDD">
      <w:pPr>
        <w:pStyle w:val="ExecSumBodyText"/>
      </w:pPr>
      <w:r w:rsidRPr="00A6154D">
        <w:t>The economic model included the benefit of all treatments that comprise</w:t>
      </w:r>
      <w:r w:rsidR="00FD4C4F" w:rsidRPr="00A6154D">
        <w:t>d</w:t>
      </w:r>
      <w:r w:rsidRPr="00A6154D">
        <w:t xml:space="preserve"> BAT</w:t>
      </w:r>
      <w:r w:rsidR="00FD4C4F" w:rsidRPr="00A6154D">
        <w:t xml:space="preserve"> in the REACH3 trial</w:t>
      </w:r>
      <w:r w:rsidRPr="00A6154D">
        <w:t>, but only included the cost of medicines that are available on the PBS or MBS (ECP</w:t>
      </w:r>
      <w:r w:rsidR="001B6A58" w:rsidRPr="00A6154D">
        <w:t>, mycophenolate mofetil, methotrexate, sirolimus and everolimus</w:t>
      </w:r>
      <w:r w:rsidRPr="00A6154D">
        <w:t>). The impact of excluding these costs on the outcome of the economic model appeared to be small and favoured the comparator.</w:t>
      </w:r>
    </w:p>
    <w:p w14:paraId="4C73C11B" w14:textId="35801E0B" w:rsidR="001B6A58" w:rsidRPr="00A6154D" w:rsidRDefault="001B6A58" w:rsidP="00DC2FDD">
      <w:pPr>
        <w:pStyle w:val="ExecSumBodyText"/>
      </w:pPr>
      <w:r w:rsidRPr="00A6154D">
        <w:t>The model assumed that</w:t>
      </w:r>
      <w:r w:rsidR="006A4081" w:rsidRPr="00A6154D">
        <w:t>,</w:t>
      </w:r>
      <w:r w:rsidRPr="00A6154D">
        <w:t xml:space="preserve"> in the BAT arm, </w:t>
      </w:r>
      <w:r w:rsidR="006A4081" w:rsidRPr="00A6154D">
        <w:t>35% of patients would receive</w:t>
      </w:r>
      <w:r w:rsidRPr="00A6154D">
        <w:t xml:space="preserve"> ECP (plus methoxsalen) </w:t>
      </w:r>
      <w:r w:rsidR="006A4081" w:rsidRPr="00A6154D">
        <w:t xml:space="preserve">as their initial treatment, </w:t>
      </w:r>
      <w:r w:rsidR="00F8071A" w:rsidRPr="00A6154D">
        <w:t xml:space="preserve">with </w:t>
      </w:r>
      <w:r w:rsidRPr="00A6154D">
        <w:t xml:space="preserve">the </w:t>
      </w:r>
      <w:r w:rsidR="006A4081" w:rsidRPr="00A6154D">
        <w:t>model estimat</w:t>
      </w:r>
      <w:r w:rsidR="00F8071A" w:rsidRPr="00A6154D">
        <w:t>ing</w:t>
      </w:r>
      <w:r w:rsidR="006A4081" w:rsidRPr="00A6154D">
        <w:t xml:space="preserve"> that the </w:t>
      </w:r>
      <w:r w:rsidRPr="00A6154D">
        <w:t>overall average</w:t>
      </w:r>
      <w:r w:rsidR="00F8071A" w:rsidRPr="00A6154D">
        <w:t xml:space="preserve"> overall</w:t>
      </w:r>
      <w:r w:rsidRPr="00A6154D">
        <w:t xml:space="preserve"> cost for ECP in the BAT arm </w:t>
      </w:r>
      <w:r w:rsidR="006A4081" w:rsidRPr="00A6154D">
        <w:t>would be</w:t>
      </w:r>
      <w:r w:rsidRPr="00A6154D">
        <w:t xml:space="preserve"> $</w:t>
      </w:r>
      <w:r w:rsidR="00F8071A" w:rsidRPr="00A6154D">
        <w:t>51,510 per patient</w:t>
      </w:r>
      <w:r w:rsidRPr="00A6154D">
        <w:t xml:space="preserve">. The ESC considered that ECP </w:t>
      </w:r>
      <w:r w:rsidR="00F8071A" w:rsidRPr="00A6154D">
        <w:t xml:space="preserve">utilisation and </w:t>
      </w:r>
      <w:r w:rsidRPr="00A6154D">
        <w:t xml:space="preserve">costs may have been overestimated as uptake in the Australian setting is </w:t>
      </w:r>
      <w:r w:rsidR="00F8071A" w:rsidRPr="00A6154D">
        <w:t xml:space="preserve">currently </w:t>
      </w:r>
      <w:r w:rsidRPr="00A6154D">
        <w:t>limited due to</w:t>
      </w:r>
      <w:r w:rsidR="00F8071A" w:rsidRPr="00A6154D">
        <w:t xml:space="preserve"> its complexity and lack of</w:t>
      </w:r>
      <w:r w:rsidRPr="00A6154D">
        <w:t xml:space="preserve"> availability. </w:t>
      </w:r>
      <w:r w:rsidR="001B034A">
        <w:t>The pre-PBAC response noted that while access to ECP is currently limited, the PSD suggested that there would be an increase in uptake from 20</w:t>
      </w:r>
      <w:r w:rsidR="003B2F88">
        <w:t>%</w:t>
      </w:r>
      <w:r w:rsidR="001B034A">
        <w:t xml:space="preserve"> to 60% over the next 6 years (pp24-25</w:t>
      </w:r>
      <w:r w:rsidR="001B034A" w:rsidRPr="00A6154D">
        <w:t xml:space="preserve">, </w:t>
      </w:r>
      <w:r w:rsidR="001B034A">
        <w:t>E</w:t>
      </w:r>
      <w:r w:rsidR="001B034A" w:rsidRPr="00A6154D">
        <w:t xml:space="preserve">xtracorporeal photopheresis </w:t>
      </w:r>
      <w:r w:rsidR="001B034A">
        <w:t xml:space="preserve">(Application 1651) </w:t>
      </w:r>
      <w:r w:rsidR="001B034A" w:rsidRPr="00A6154D">
        <w:t>PSD, July 2021 MSAC meeting</w:t>
      </w:r>
      <w:r w:rsidR="001B034A">
        <w:t>) and that the assumption that 35% of patients would receive ECP treatment was likely to be underestimated.</w:t>
      </w:r>
    </w:p>
    <w:p w14:paraId="00DC55B5" w14:textId="0A4862BB" w:rsidR="001474AF" w:rsidRPr="00A6154D" w:rsidRDefault="001474AF" w:rsidP="001474AF">
      <w:pPr>
        <w:pStyle w:val="ExecSumBodyText"/>
      </w:pPr>
      <w:r w:rsidRPr="00A6154D">
        <w:t xml:space="preserve">GVHD mortality risk, duration of response among responding patients, and treatment duration were estimated from parametric extrapolation of Kaplan-Meier curves from the REACH3 trial. The </w:t>
      </w:r>
      <w:r w:rsidR="007C57CD" w:rsidRPr="00A6154D">
        <w:t xml:space="preserve">evaluation and ESC considered that the </w:t>
      </w:r>
      <w:r w:rsidRPr="00A6154D">
        <w:t xml:space="preserve">extrapolation of GVHD-related mortality, duration of response and treatment duration results from the REACH3 trial </w:t>
      </w:r>
      <w:r w:rsidR="0022544E" w:rsidRPr="00A6154D">
        <w:t>w</w:t>
      </w:r>
      <w:r w:rsidR="0022544E">
        <w:t>ere</w:t>
      </w:r>
      <w:r w:rsidR="0022544E" w:rsidRPr="00A6154D">
        <w:t xml:space="preserve"> </w:t>
      </w:r>
      <w:r w:rsidRPr="00A6154D">
        <w:t>highly uncertain due to the limited duration of clinical data compared to the modelled time horizons (30 years in the base case versus median follow-up of 57.3 weeks in the REACH3 tria</w:t>
      </w:r>
      <w:r w:rsidR="00C7641A" w:rsidRPr="00A6154D">
        <w:t>l)</w:t>
      </w:r>
      <w:r w:rsidRPr="00A6154D">
        <w:t>. The resulting extrapolations may not be reliable predictors of GVHD-related mortality, duration of response and duration of treatment in clinical practice.</w:t>
      </w:r>
    </w:p>
    <w:p w14:paraId="7D7D1556" w14:textId="40E574FB" w:rsidR="004B3C5E" w:rsidRPr="00A6154D" w:rsidRDefault="00CF14AC" w:rsidP="00C51C81">
      <w:pPr>
        <w:pStyle w:val="ExecSumBodyText"/>
      </w:pPr>
      <w:r w:rsidRPr="00A6154D">
        <w:t xml:space="preserve">Survival beyond Week 24 was extrapolated according to response status (responder/non-responder). </w:t>
      </w:r>
      <w:r w:rsidR="00506B7D" w:rsidRPr="00A6154D">
        <w:t>GVHD-related mortality in the model was based on the results of a post-hoc analysis of survival according to response status at Week 24 in the REACH3 trial (i.e., responder or non-responder).</w:t>
      </w:r>
      <w:r w:rsidR="00515650" w:rsidRPr="00A6154D">
        <w:t xml:space="preserve"> </w:t>
      </w:r>
      <w:r w:rsidR="00F43BE6" w:rsidRPr="00A6154D">
        <w:t xml:space="preserve">The submission noted that the Kaplan-Meier estimates for responders and non-responders were similar </w:t>
      </w:r>
      <w:r w:rsidR="00D53BB3" w:rsidRPr="00A6154D">
        <w:t>beyond</w:t>
      </w:r>
      <w:r w:rsidR="00F43BE6" w:rsidRPr="00A6154D">
        <w:t xml:space="preserve"> 75 weeks but argued that there was clear separation of the responder and non-responder survival curves prior to this, suggesting improved survival among patients who achieve a response. </w:t>
      </w:r>
      <w:r w:rsidRPr="00A6154D">
        <w:t xml:space="preserve">However, the evaluation </w:t>
      </w:r>
      <w:r w:rsidR="000F2539" w:rsidRPr="00A6154D">
        <w:t xml:space="preserve">and the ESC </w:t>
      </w:r>
      <w:r w:rsidRPr="00A6154D">
        <w:t>considered that while the tails of the curves were likely to be impacted by patient censoring</w:t>
      </w:r>
      <w:r w:rsidR="000F2539" w:rsidRPr="00A6154D">
        <w:t xml:space="preserve"> (and crossover, which commenced from Week 24)</w:t>
      </w:r>
      <w:r w:rsidRPr="00A6154D">
        <w:t xml:space="preserve">, it was unclear whether the censoring </w:t>
      </w:r>
      <w:r w:rsidR="000F2539" w:rsidRPr="00A6154D">
        <w:t xml:space="preserve">and crossover </w:t>
      </w:r>
      <w:r w:rsidRPr="00A6154D">
        <w:t>w</w:t>
      </w:r>
      <w:r w:rsidR="000F2539" w:rsidRPr="00A6154D">
        <w:t>ere the only reasons for</w:t>
      </w:r>
      <w:r w:rsidRPr="00A6154D">
        <w:t xml:space="preserve"> the convergence of the survival curves given that patients who did not achieve a response at Week 24 (or who had discontinued treatment prior to Week 24) may have achieved a response with a subsequent therapy.</w:t>
      </w:r>
    </w:p>
    <w:p w14:paraId="7ADC07B8" w14:textId="3DC59999" w:rsidR="004B3C5E" w:rsidRPr="00A6154D" w:rsidRDefault="00144FA8">
      <w:pPr>
        <w:pStyle w:val="ExecSumBodyText"/>
        <w:rPr>
          <w:lang w:eastAsia="en-US"/>
        </w:rPr>
      </w:pPr>
      <w:r w:rsidRPr="00A6154D">
        <w:t xml:space="preserve">While </w:t>
      </w:r>
      <w:r w:rsidR="00EF29EF" w:rsidRPr="00A6154D">
        <w:t xml:space="preserve">the submission </w:t>
      </w:r>
      <w:r w:rsidR="00CF14AC" w:rsidRPr="00A6154D">
        <w:t>acknowledg</w:t>
      </w:r>
      <w:r w:rsidR="00EF29EF" w:rsidRPr="00A6154D">
        <w:t xml:space="preserve">ed that </w:t>
      </w:r>
      <w:r w:rsidRPr="00A6154D">
        <w:t xml:space="preserve">an independent model </w:t>
      </w:r>
      <w:r w:rsidR="00EF29EF" w:rsidRPr="00A6154D">
        <w:t>would be</w:t>
      </w:r>
      <w:r w:rsidRPr="00A6154D">
        <w:t xml:space="preserve"> the most appropriate for extrapolation of the GVHD-related survival data</w:t>
      </w:r>
      <w:r w:rsidR="006B65F0" w:rsidRPr="00A6154D">
        <w:t xml:space="preserve"> (due to violation of the proportional hazards assumption)</w:t>
      </w:r>
      <w:r w:rsidRPr="00A6154D">
        <w:t xml:space="preserve">, </w:t>
      </w:r>
      <w:r w:rsidR="006B65F0" w:rsidRPr="00A6154D">
        <w:t xml:space="preserve">most of the tested parametric distributions </w:t>
      </w:r>
      <w:r w:rsidRPr="00A6154D">
        <w:t>favoured non-responders. The submission argued that this was not clinically plausible, and instead conducted extrapolation using a dependent parametric model</w:t>
      </w:r>
      <w:r w:rsidR="00756171" w:rsidRPr="00A6154D">
        <w:t xml:space="preserve"> based on a Weibull function</w:t>
      </w:r>
      <w:r w:rsidR="00EF29EF" w:rsidRPr="00A6154D">
        <w:t xml:space="preserve"> (shown in the figure below)</w:t>
      </w:r>
      <w:r w:rsidRPr="00A6154D">
        <w:t>.</w:t>
      </w:r>
    </w:p>
    <w:p w14:paraId="6E2213A2" w14:textId="6E96D95E" w:rsidR="00EF29EF" w:rsidRPr="00A6154D" w:rsidRDefault="00D27395" w:rsidP="00D27395">
      <w:pPr>
        <w:pStyle w:val="Caption"/>
        <w:spacing w:line="240" w:lineRule="auto"/>
        <w:rPr>
          <w:rFonts w:ascii="Arial Narrow" w:hAnsi="Arial Narrow"/>
          <w:sz w:val="20"/>
          <w:szCs w:val="20"/>
        </w:rPr>
      </w:pPr>
      <w:bookmarkStart w:id="52" w:name="_Hlk103542725"/>
      <w:r w:rsidRPr="00A6154D">
        <w:rPr>
          <w:rFonts w:ascii="Arial Narrow" w:hAnsi="Arial Narrow"/>
          <w:sz w:val="20"/>
          <w:szCs w:val="20"/>
        </w:rPr>
        <w:t xml:space="preserve">Figure </w:t>
      </w:r>
      <w:r w:rsidRPr="00A6154D">
        <w:rPr>
          <w:rFonts w:ascii="Arial Narrow" w:hAnsi="Arial Narrow"/>
          <w:sz w:val="20"/>
          <w:szCs w:val="20"/>
        </w:rPr>
        <w:fldChar w:fldCharType="begin" w:fldLock="1"/>
      </w:r>
      <w:r w:rsidRPr="00A6154D">
        <w:rPr>
          <w:rFonts w:ascii="Arial Narrow" w:hAnsi="Arial Narrow"/>
          <w:sz w:val="20"/>
          <w:szCs w:val="20"/>
        </w:rPr>
        <w:instrText xml:space="preserve"> SEQ Figure \* ARABIC </w:instrText>
      </w:r>
      <w:r w:rsidRPr="00A6154D">
        <w:rPr>
          <w:rFonts w:ascii="Arial Narrow" w:hAnsi="Arial Narrow"/>
          <w:sz w:val="20"/>
          <w:szCs w:val="20"/>
        </w:rPr>
        <w:fldChar w:fldCharType="separate"/>
      </w:r>
      <w:r w:rsidR="005A7A1C">
        <w:rPr>
          <w:rFonts w:ascii="Arial Narrow" w:hAnsi="Arial Narrow"/>
          <w:noProof/>
          <w:sz w:val="20"/>
          <w:szCs w:val="20"/>
        </w:rPr>
        <w:t>5</w:t>
      </w:r>
      <w:r w:rsidRPr="00A6154D">
        <w:rPr>
          <w:rFonts w:ascii="Arial Narrow" w:hAnsi="Arial Narrow"/>
          <w:sz w:val="20"/>
          <w:szCs w:val="20"/>
        </w:rPr>
        <w:fldChar w:fldCharType="end"/>
      </w:r>
      <w:r w:rsidR="00EF29EF" w:rsidRPr="00A6154D">
        <w:rPr>
          <w:rFonts w:ascii="Arial Narrow" w:hAnsi="Arial Narrow"/>
          <w:sz w:val="20"/>
          <w:szCs w:val="20"/>
        </w:rPr>
        <w:t>: Dependent parametric models fitted to the Kaplan-Meier plot of overall survival for</w:t>
      </w:r>
      <w:r w:rsidR="0039572F" w:rsidRPr="00A6154D">
        <w:rPr>
          <w:rFonts w:ascii="Arial Narrow" w:hAnsi="Arial Narrow"/>
          <w:sz w:val="20"/>
          <w:szCs w:val="20"/>
        </w:rPr>
        <w:t xml:space="preserve"> (A)</w:t>
      </w:r>
      <w:r w:rsidR="00EF29EF" w:rsidRPr="00A6154D">
        <w:rPr>
          <w:rFonts w:ascii="Arial Narrow" w:hAnsi="Arial Narrow"/>
          <w:sz w:val="20"/>
          <w:szCs w:val="20"/>
        </w:rPr>
        <w:t xml:space="preserve"> non-responders</w:t>
      </w:r>
      <w:r w:rsidR="0039572F" w:rsidRPr="00A6154D">
        <w:rPr>
          <w:rFonts w:ascii="Arial Narrow" w:hAnsi="Arial Narrow"/>
          <w:sz w:val="20"/>
          <w:szCs w:val="20"/>
        </w:rPr>
        <w:t>; and (B) responders</w:t>
      </w:r>
    </w:p>
    <w:p w14:paraId="5BB21631" w14:textId="135A4EA8" w:rsidR="00EF29EF" w:rsidRPr="00A6154D" w:rsidRDefault="00EF29EF" w:rsidP="00EF29EF">
      <w:pPr>
        <w:rPr>
          <w:lang w:val="en-US"/>
        </w:rPr>
      </w:pPr>
      <w:r w:rsidRPr="00A6154D">
        <w:rPr>
          <w:noProof/>
        </w:rPr>
        <w:drawing>
          <wp:inline distT="0" distB="0" distL="0" distR="0" wp14:anchorId="2A4A1C2C" wp14:editId="4EA0F949">
            <wp:extent cx="2811979" cy="1500554"/>
            <wp:effectExtent l="0" t="0" r="7620" b="4445"/>
            <wp:docPr id="15" name="Picture 15" descr="Figure 5: Dependent parametric models fitted to the Kaplan-Meier plot of overall survival for (A) non-responders; and (B) respo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5: Dependent parametric models fitted to the Kaplan-Meier plot of overall survival for (A) non-responders; and (B) respond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5977" cy="1508024"/>
                    </a:xfrm>
                    <a:prstGeom prst="rect">
                      <a:avLst/>
                    </a:prstGeom>
                    <a:noFill/>
                  </pic:spPr>
                </pic:pic>
              </a:graphicData>
            </a:graphic>
          </wp:inline>
        </w:drawing>
      </w:r>
      <w:r w:rsidRPr="00A6154D">
        <w:rPr>
          <w:noProof/>
        </w:rPr>
        <w:drawing>
          <wp:inline distT="0" distB="0" distL="0" distR="0" wp14:anchorId="5C2EBAAF" wp14:editId="71021651">
            <wp:extent cx="2768041" cy="1477108"/>
            <wp:effectExtent l="0" t="0" r="0" b="8890"/>
            <wp:docPr id="20" name="Picture 20" descr="Figure 5: Dependent parametric models fitted to the Kaplan-Meier plot of overall survival for (A) non-responders; and (B) respo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5: Dependent parametric models fitted to the Kaplan-Meier plot of overall survival for (A) non-responders; and (B) respond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3133" cy="1485161"/>
                    </a:xfrm>
                    <a:prstGeom prst="rect">
                      <a:avLst/>
                    </a:prstGeom>
                    <a:noFill/>
                  </pic:spPr>
                </pic:pic>
              </a:graphicData>
            </a:graphic>
          </wp:inline>
        </w:drawing>
      </w:r>
    </w:p>
    <w:p w14:paraId="265A7217" w14:textId="77777777" w:rsidR="0039572F" w:rsidRPr="00A6154D" w:rsidRDefault="0039572F" w:rsidP="0039572F">
      <w:pPr>
        <w:pStyle w:val="TableFooter"/>
      </w:pPr>
      <w:r w:rsidRPr="00A6154D">
        <w:t>Source: Figure 3.4-7, p259 of the submission.</w:t>
      </w:r>
    </w:p>
    <w:p w14:paraId="76D7A6C2" w14:textId="77777777" w:rsidR="0039572F" w:rsidRPr="00A6154D" w:rsidRDefault="0039572F" w:rsidP="00F93660">
      <w:pPr>
        <w:pStyle w:val="TableFooter"/>
        <w:spacing w:after="240"/>
      </w:pPr>
      <w:r w:rsidRPr="00A6154D">
        <w:t>Abbreviations: KM, Kaplan-Meier.</w:t>
      </w:r>
    </w:p>
    <w:p w14:paraId="5FA0C481" w14:textId="4C700289" w:rsidR="00F93660" w:rsidRPr="00A6154D" w:rsidRDefault="00FE36CC" w:rsidP="00FE36CC">
      <w:pPr>
        <w:pStyle w:val="ExecSumBodyText"/>
      </w:pPr>
      <w:r w:rsidRPr="00A6154D">
        <w:t>The submission claimed that a survival advantage for patients who achieve and maintain a response is consistent with the published literature and Australian clinician opinion. Further, the PSCR noted that there was biological plausibility that patients who achieved and maintained an overall response experienced improved survival compared to those who did not. However, t</w:t>
      </w:r>
      <w:r w:rsidR="00364E5F" w:rsidRPr="00A6154D">
        <w:t xml:space="preserve">he ESC considered the extrapolation was likely optimistic as the </w:t>
      </w:r>
      <w:bookmarkStart w:id="53" w:name="_Ref106278719"/>
      <w:r w:rsidR="00F93660" w:rsidRPr="00A6154D">
        <w:t xml:space="preserve">magnitude of any improvement in overall survival in responders, and thus improved overall survival with ruxolitinib </w:t>
      </w:r>
      <w:r w:rsidR="00364E5F" w:rsidRPr="00A6154D">
        <w:t xml:space="preserve">(given there were higher numbers of responders in the ruxolitinib arm) </w:t>
      </w:r>
      <w:r w:rsidR="00F93660" w:rsidRPr="00A6154D">
        <w:t xml:space="preserve">was uncertain. For example, there was no statistically significant difference in overall survival between responders and non-responders in the post-hoc analysis, and also no statistically significant difference in overall survival for ruxolitinib versus BAT in the REACH3 trial, noting that the overall survival data was immature. </w:t>
      </w:r>
      <w:r w:rsidRPr="00A6154D">
        <w:t>(</w:t>
      </w:r>
      <w:r w:rsidR="00F93660" w:rsidRPr="00A6154D">
        <w:t>However, the ESC acknowledged that the survival data may have been impacted by non-responders in the BAT arm crossing over to ruxolitinib</w:t>
      </w:r>
      <w:r w:rsidRPr="00A6154D">
        <w:t>)</w:t>
      </w:r>
      <w:r w:rsidR="00F93660" w:rsidRPr="00A6154D">
        <w:t xml:space="preserve">. </w:t>
      </w:r>
      <w:bookmarkEnd w:id="53"/>
      <w:r w:rsidR="007817C8">
        <w:t>The pre-PBAC response stated that the economic model incorporated survival impacts from subsequent lines of therapy and that the modelled discounted incremental survival for ruxolitinib was only 4.5 months over the 30 year time horizon.</w:t>
      </w:r>
    </w:p>
    <w:p w14:paraId="43CF289A" w14:textId="60A2694F" w:rsidR="0039572F" w:rsidRPr="00A6154D" w:rsidRDefault="00F93660" w:rsidP="00581B93">
      <w:pPr>
        <w:pStyle w:val="ExecSumBodyText"/>
      </w:pPr>
      <w:r w:rsidRPr="00A6154D">
        <w:t>The ESC noted that the various parametric extrapolations produced a wide range of survival outcomes</w:t>
      </w:r>
      <w:r w:rsidR="00364E5F" w:rsidRPr="00A6154D">
        <w:t xml:space="preserve">, further </w:t>
      </w:r>
      <w:r w:rsidR="00FE36CC" w:rsidRPr="00A6154D">
        <w:t xml:space="preserve">indicating </w:t>
      </w:r>
      <w:r w:rsidR="00C51C81" w:rsidRPr="00A6154D">
        <w:t xml:space="preserve">the </w:t>
      </w:r>
      <w:r w:rsidR="00364E5F" w:rsidRPr="00A6154D">
        <w:t>uncertainty with the extrapolation</w:t>
      </w:r>
      <w:r w:rsidR="0039572F" w:rsidRPr="00A6154D">
        <w:t>.</w:t>
      </w:r>
    </w:p>
    <w:p w14:paraId="31D98EF0" w14:textId="187017BD" w:rsidR="00581B93" w:rsidRPr="00A6154D" w:rsidRDefault="00DE7B2B" w:rsidP="00581B93">
      <w:pPr>
        <w:pStyle w:val="ExecSumBodyText"/>
      </w:pPr>
      <w:r w:rsidRPr="00A6154D">
        <w:t>Each time a patient initiate</w:t>
      </w:r>
      <w:r w:rsidR="00F33911" w:rsidRPr="00A6154D">
        <w:t>d</w:t>
      </w:r>
      <w:r w:rsidRPr="00A6154D">
        <w:t xml:space="preserve"> a new line of therapy, the overall response rate at Week 24 for the BAT arm was applied, regardless of which BAT therapy </w:t>
      </w:r>
      <w:r w:rsidR="0091411E" w:rsidRPr="00A6154D">
        <w:t>wa</w:t>
      </w:r>
      <w:r w:rsidRPr="00A6154D">
        <w:t xml:space="preserve">s being used. This may not </w:t>
      </w:r>
      <w:r w:rsidR="0091411E" w:rsidRPr="00A6154D">
        <w:t xml:space="preserve">have </w:t>
      </w:r>
      <w:r w:rsidRPr="00A6154D">
        <w:t>be</w:t>
      </w:r>
      <w:r w:rsidR="0091411E" w:rsidRPr="00A6154D">
        <w:t>en</w:t>
      </w:r>
      <w:r w:rsidRPr="00A6154D">
        <w:t xml:space="preserve"> reasonable given that response rates </w:t>
      </w:r>
      <w:r w:rsidR="0091411E" w:rsidRPr="00A6154D">
        <w:t>we</w:t>
      </w:r>
      <w:r w:rsidRPr="00A6154D">
        <w:t>re likely to decline following multiple failed therapies</w:t>
      </w:r>
      <w:bookmarkEnd w:id="52"/>
      <w:r w:rsidRPr="00A6154D">
        <w:t xml:space="preserve">. </w:t>
      </w:r>
      <w:r w:rsidR="00581B93" w:rsidRPr="00A6154D">
        <w:t xml:space="preserve">The PSCR stated that although the effectiveness of each individual BAT may reduce in each subsequent line of therapy, the magnitude of any reduction </w:t>
      </w:r>
      <w:r w:rsidR="0091411E" w:rsidRPr="00A6154D">
        <w:t>wa</w:t>
      </w:r>
      <w:r w:rsidR="00581B93" w:rsidRPr="00A6154D">
        <w:t>s unknown. The PSCR noted that although the effectiveness of each subsequent line of therapy may have been overestimated, as the assumption affected both arms the impact was expected to be small.</w:t>
      </w:r>
      <w:r w:rsidR="00450E68" w:rsidRPr="00A6154D">
        <w:t xml:space="preserve"> However, the ESC considered that the assumption that subsequent lines of therapy had the same effectiveness (overall response rate, duration of response and survival outcomes) as the initial treatment lacked face validity and did not appear to be clinically plausible.</w:t>
      </w:r>
    </w:p>
    <w:p w14:paraId="17294ACF" w14:textId="26361AA6" w:rsidR="00581B93" w:rsidRPr="00A6154D" w:rsidRDefault="00927767" w:rsidP="00581B93">
      <w:pPr>
        <w:pStyle w:val="ExecSumBodyText"/>
      </w:pPr>
      <w:r w:rsidRPr="00A6154D">
        <w:t xml:space="preserve">Health state utilities used in the model were derived from a post-hoc analysis of EQ-5D-5L quality of life data collected in the REACH3 trial. The model assumed a utility of 0.746 for responders receiving ruxolitinib, 0.687 for non-responders receiving ruxolitinib, 0.695 for responders receiving BAT treatment, and 0.636 for non-responders receiving BAT treatment. The </w:t>
      </w:r>
      <w:r w:rsidR="00B16322">
        <w:t xml:space="preserve">evaluation and the ESC considered that the </w:t>
      </w:r>
      <w:r w:rsidRPr="00A6154D">
        <w:t>inclusion of a utility benefit for being on treatment with ruxolitinib versus BAT was not adequately justified in the submission.</w:t>
      </w:r>
      <w:r w:rsidR="00581B93" w:rsidRPr="00A6154D">
        <w:t xml:space="preserve"> The PSCR stated that the utility of patients treated with ruxolitinib was more favourable than those treated with BAT as more patients achieve</w:t>
      </w:r>
      <w:r w:rsidR="0091411E" w:rsidRPr="00A6154D">
        <w:t>d</w:t>
      </w:r>
      <w:r w:rsidR="00581B93" w:rsidRPr="00A6154D">
        <w:t xml:space="preserve"> a complete response, which </w:t>
      </w:r>
      <w:r w:rsidR="0091411E" w:rsidRPr="00A6154D">
        <w:t>wa</w:t>
      </w:r>
      <w:r w:rsidR="00581B93" w:rsidRPr="00A6154D">
        <w:t xml:space="preserve">s defined as complete resolution of all signs and symptoms of cGVHD. In addition, the PSCR stated that the steroid-sparing </w:t>
      </w:r>
      <w:r w:rsidR="00310C08">
        <w:t>e</w:t>
      </w:r>
      <w:r w:rsidR="00310C08" w:rsidRPr="00A6154D">
        <w:t xml:space="preserve">ffect </w:t>
      </w:r>
      <w:r w:rsidR="00581B93" w:rsidRPr="00A6154D">
        <w:t xml:space="preserve">provided by ruxolitinib </w:t>
      </w:r>
      <w:r w:rsidR="0091411E" w:rsidRPr="00A6154D">
        <w:t>wa</w:t>
      </w:r>
      <w:r w:rsidR="00581B93" w:rsidRPr="00A6154D">
        <w:t>s likely to contribute to the higher utility values for patients responding to ruxolitinib.</w:t>
      </w:r>
      <w:r w:rsidR="004A2499" w:rsidRPr="00A6154D">
        <w:t xml:space="preserve"> </w:t>
      </w:r>
      <w:r w:rsidR="007C57CD" w:rsidRPr="00A6154D">
        <w:t>However,</w:t>
      </w:r>
      <w:r w:rsidR="00634EAF" w:rsidRPr="00A6154D">
        <w:t xml:space="preserve"> the ESC considered there was a high risk of bias with the EQ-5D results from REACH3 given it was an open-label trial and knowledge of treatment assignment may have influenced the EQ-5D results collected during the trial. </w:t>
      </w:r>
      <w:r w:rsidR="00450E68" w:rsidRPr="00A6154D">
        <w:t>The ESC considered that the extent and timing of missing EQ-5D data were unclear but noted t</w:t>
      </w:r>
      <w:r w:rsidR="00634EAF" w:rsidRPr="00A6154D">
        <w:t xml:space="preserve">here </w:t>
      </w:r>
      <w:r w:rsidR="00CE4FDD" w:rsidRPr="00A6154D">
        <w:t xml:space="preserve">was a low number of respondents included at later time periods, particularly in </w:t>
      </w:r>
      <w:r w:rsidR="00DC0920" w:rsidRPr="00A6154D">
        <w:t xml:space="preserve">the </w:t>
      </w:r>
      <w:r w:rsidR="00634EAF" w:rsidRPr="00A6154D">
        <w:t>BAT arm.</w:t>
      </w:r>
      <w:r w:rsidR="007C57CD" w:rsidRPr="00A6154D">
        <w:t xml:space="preserve"> </w:t>
      </w:r>
      <w:r w:rsidR="00634EAF" w:rsidRPr="00A6154D">
        <w:t xml:space="preserve">Overall, </w:t>
      </w:r>
      <w:r w:rsidR="007C57CD" w:rsidRPr="00A6154D">
        <w:t>t</w:t>
      </w:r>
      <w:r w:rsidR="004A2499" w:rsidRPr="00A6154D">
        <w:t xml:space="preserve">he ESC considered that the inclusion of a utility benefit for patients receiving/responding to ruxolitinib was </w:t>
      </w:r>
      <w:r w:rsidR="00634EAF" w:rsidRPr="00A6154D">
        <w:t>not adequately justified</w:t>
      </w:r>
      <w:r w:rsidR="004A2499" w:rsidRPr="00A6154D">
        <w:t>.</w:t>
      </w:r>
    </w:p>
    <w:p w14:paraId="6D7EE04B" w14:textId="51AED6A9" w:rsidR="00F67915" w:rsidRPr="00A6154D" w:rsidRDefault="00F67915" w:rsidP="00F67915">
      <w:pPr>
        <w:pStyle w:val="ExecSumBodyText"/>
        <w:numPr>
          <w:ilvl w:val="1"/>
          <w:numId w:val="1"/>
        </w:numPr>
      </w:pPr>
      <w:r w:rsidRPr="00A6154D">
        <w:t xml:space="preserve">Key drivers of the economic model </w:t>
      </w:r>
      <w:r w:rsidR="00B25676" w:rsidRPr="00A6154D">
        <w:t xml:space="preserve">for cGVHD </w:t>
      </w:r>
      <w:r w:rsidRPr="00A6154D">
        <w:t>are summarised in the table below.</w:t>
      </w:r>
    </w:p>
    <w:p w14:paraId="376F99A1" w14:textId="6A75C9E3" w:rsidR="00F67915" w:rsidRPr="00BB00B3" w:rsidRDefault="00CF7791" w:rsidP="00F67915">
      <w:pPr>
        <w:pStyle w:val="TableFigureCaption"/>
      </w:pPr>
      <w:r w:rsidRPr="0042047F">
        <w:t xml:space="preserve">Table </w:t>
      </w:r>
      <w:fldSimple w:instr=" SEQ Table \* ARABIC " w:fldLock="1">
        <w:r w:rsidR="005A7A1C">
          <w:rPr>
            <w:noProof/>
          </w:rPr>
          <w:t>15</w:t>
        </w:r>
      </w:fldSimple>
      <w:r w:rsidR="00F67915" w:rsidRPr="00BB00B3">
        <w:t>: Key drivers of the model</w:t>
      </w:r>
      <w:r w:rsidR="00F634D6">
        <w:t xml:space="preserve"> for cGVHD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Key drivers of the model for cGVHD"/>
      </w:tblPr>
      <w:tblGrid>
        <w:gridCol w:w="1128"/>
        <w:gridCol w:w="6664"/>
        <w:gridCol w:w="1225"/>
      </w:tblGrid>
      <w:tr w:rsidR="00F67915" w:rsidRPr="00FB0D10" w14:paraId="721BD83D" w14:textId="77777777" w:rsidTr="00014A9C">
        <w:trPr>
          <w:tblHeader/>
        </w:trPr>
        <w:tc>
          <w:tcPr>
            <w:tcW w:w="626" w:type="pct"/>
            <w:shd w:val="clear" w:color="auto" w:fill="auto"/>
            <w:vAlign w:val="center"/>
          </w:tcPr>
          <w:p w14:paraId="4F657D0B" w14:textId="77777777" w:rsidR="00F67915" w:rsidRPr="00FB0D10" w:rsidRDefault="00F67915" w:rsidP="00A361A7">
            <w:pPr>
              <w:pStyle w:val="Tableheadingrow"/>
              <w:jc w:val="center"/>
            </w:pPr>
            <w:r w:rsidRPr="00FB0D10">
              <w:t>Description</w:t>
            </w:r>
          </w:p>
        </w:tc>
        <w:tc>
          <w:tcPr>
            <w:tcW w:w="3695" w:type="pct"/>
            <w:shd w:val="clear" w:color="auto" w:fill="auto"/>
            <w:vAlign w:val="center"/>
          </w:tcPr>
          <w:p w14:paraId="037AFABF" w14:textId="77777777" w:rsidR="00F67915" w:rsidRPr="00FB0D10" w:rsidRDefault="00F67915" w:rsidP="00A361A7">
            <w:pPr>
              <w:pStyle w:val="Tableheadingrow"/>
              <w:jc w:val="center"/>
            </w:pPr>
            <w:r w:rsidRPr="00FB0D10">
              <w:t>Method/Value</w:t>
            </w:r>
          </w:p>
        </w:tc>
        <w:tc>
          <w:tcPr>
            <w:tcW w:w="679" w:type="pct"/>
            <w:shd w:val="clear" w:color="auto" w:fill="auto"/>
            <w:vAlign w:val="center"/>
          </w:tcPr>
          <w:p w14:paraId="28A236C4" w14:textId="54F2CDC7" w:rsidR="00F67915" w:rsidRPr="00FB0D10" w:rsidRDefault="00F67915" w:rsidP="00F50684">
            <w:pPr>
              <w:pStyle w:val="Tableheadingrow"/>
              <w:jc w:val="center"/>
            </w:pPr>
            <w:r w:rsidRPr="00FB0D10">
              <w:t>Impact</w:t>
            </w:r>
          </w:p>
        </w:tc>
      </w:tr>
      <w:tr w:rsidR="0062384B" w:rsidRPr="00FB0D10" w14:paraId="2109E086" w14:textId="77777777" w:rsidTr="00014A9C">
        <w:tc>
          <w:tcPr>
            <w:tcW w:w="626" w:type="pct"/>
            <w:shd w:val="clear" w:color="auto" w:fill="auto"/>
            <w:vAlign w:val="center"/>
          </w:tcPr>
          <w:p w14:paraId="16009AB9" w14:textId="07693C98" w:rsidR="0062384B" w:rsidRPr="00A6154D" w:rsidRDefault="0062384B" w:rsidP="00A361A7">
            <w:pPr>
              <w:pStyle w:val="TableText"/>
              <w:rPr>
                <w:lang w:val="en-US"/>
              </w:rPr>
            </w:pPr>
            <w:r w:rsidRPr="00A6154D">
              <w:rPr>
                <w:lang w:val="en-US"/>
              </w:rPr>
              <w:t>GVHD-related mortality</w:t>
            </w:r>
          </w:p>
        </w:tc>
        <w:tc>
          <w:tcPr>
            <w:tcW w:w="3695" w:type="pct"/>
            <w:shd w:val="clear" w:color="auto" w:fill="auto"/>
            <w:vAlign w:val="center"/>
          </w:tcPr>
          <w:p w14:paraId="303C7264" w14:textId="74B084F6" w:rsidR="00F50684" w:rsidRPr="00A6154D" w:rsidRDefault="00F50684" w:rsidP="00A361A7">
            <w:pPr>
              <w:pStyle w:val="TableText"/>
              <w:rPr>
                <w:lang w:val="en-US"/>
              </w:rPr>
            </w:pPr>
            <w:bookmarkStart w:id="54" w:name="_Hlk103541849"/>
            <w:r w:rsidRPr="00A6154D">
              <w:rPr>
                <w:lang w:val="en-US"/>
              </w:rPr>
              <w:t xml:space="preserve">GVHD-related mortality in the model was based on the results of a post-hoc analysis of survival according to response status at Week 24 in the REACH3 trial (i.e., responder or non-responder). </w:t>
            </w:r>
            <w:bookmarkEnd w:id="54"/>
            <w:r w:rsidRPr="00A6154D">
              <w:rPr>
                <w:lang w:val="en-US"/>
              </w:rPr>
              <w:t>The higher number of responders in the ruxolitinib arm resulted in a survival benefit being applied to the ruxolitinib arm</w:t>
            </w:r>
            <w:r w:rsidR="00CE4FDD" w:rsidRPr="00A6154D">
              <w:rPr>
                <w:lang w:val="en-US"/>
              </w:rPr>
              <w:t xml:space="preserve">, which the ESC considered may not be appropriate (refer to Paragraph </w:t>
            </w:r>
            <w:r w:rsidR="00CE4FDD" w:rsidRPr="00A6154D">
              <w:rPr>
                <w:lang w:val="en-US"/>
              </w:rPr>
              <w:fldChar w:fldCharType="begin" w:fldLock="1"/>
            </w:r>
            <w:r w:rsidR="00CE4FDD" w:rsidRPr="00A6154D">
              <w:rPr>
                <w:lang w:val="en-US"/>
              </w:rPr>
              <w:instrText xml:space="preserve"> REF _Ref106278719 \r \h  \* MERGEFORMAT </w:instrText>
            </w:r>
            <w:r w:rsidR="00CE4FDD" w:rsidRPr="00A6154D">
              <w:rPr>
                <w:lang w:val="en-US"/>
              </w:rPr>
            </w:r>
            <w:r w:rsidR="00CE4FDD" w:rsidRPr="00A6154D">
              <w:rPr>
                <w:lang w:val="en-US"/>
              </w:rPr>
              <w:fldChar w:fldCharType="separate"/>
            </w:r>
            <w:r w:rsidR="005A7A1C">
              <w:rPr>
                <w:lang w:val="en-US"/>
              </w:rPr>
              <w:t>6.81</w:t>
            </w:r>
            <w:r w:rsidR="00CE4FDD" w:rsidRPr="00A6154D">
              <w:rPr>
                <w:lang w:val="en-US"/>
              </w:rPr>
              <w:fldChar w:fldCharType="end"/>
            </w:r>
            <w:r w:rsidR="009116AC" w:rsidRPr="00A6154D">
              <w:rPr>
                <w:lang w:val="en-US"/>
              </w:rPr>
              <w:t>)</w:t>
            </w:r>
            <w:r w:rsidRPr="00A6154D">
              <w:rPr>
                <w:lang w:val="en-US"/>
              </w:rPr>
              <w:t xml:space="preserve">. </w:t>
            </w:r>
          </w:p>
        </w:tc>
        <w:tc>
          <w:tcPr>
            <w:tcW w:w="679" w:type="pct"/>
            <w:shd w:val="clear" w:color="auto" w:fill="auto"/>
            <w:vAlign w:val="center"/>
          </w:tcPr>
          <w:p w14:paraId="19FD2F3C" w14:textId="393BFCAB" w:rsidR="0062384B" w:rsidRPr="00FB0D10" w:rsidRDefault="0058730E" w:rsidP="00F50684">
            <w:pPr>
              <w:pStyle w:val="TableText"/>
              <w:jc w:val="center"/>
              <w:rPr>
                <w:lang w:val="en-US"/>
              </w:rPr>
            </w:pPr>
            <w:r w:rsidRPr="00FB0D10">
              <w:rPr>
                <w:lang w:val="en-US"/>
              </w:rPr>
              <w:t>High, favours ruxolitinib</w:t>
            </w:r>
          </w:p>
        </w:tc>
      </w:tr>
      <w:tr w:rsidR="00F5567E" w:rsidRPr="00FB0D10" w14:paraId="28406864" w14:textId="77777777" w:rsidTr="00014A9C">
        <w:tc>
          <w:tcPr>
            <w:tcW w:w="626" w:type="pct"/>
            <w:shd w:val="clear" w:color="auto" w:fill="auto"/>
            <w:vAlign w:val="center"/>
          </w:tcPr>
          <w:p w14:paraId="4794C9CD" w14:textId="708E707B" w:rsidR="00F5567E" w:rsidRPr="00A6154D" w:rsidRDefault="00F5567E" w:rsidP="00F5567E">
            <w:pPr>
              <w:pStyle w:val="TableText"/>
              <w:rPr>
                <w:lang w:val="en-US"/>
              </w:rPr>
            </w:pPr>
            <w:r w:rsidRPr="00A6154D">
              <w:rPr>
                <w:lang w:val="en-US"/>
              </w:rPr>
              <w:t>Utilities</w:t>
            </w:r>
          </w:p>
        </w:tc>
        <w:tc>
          <w:tcPr>
            <w:tcW w:w="3695" w:type="pct"/>
            <w:shd w:val="clear" w:color="auto" w:fill="auto"/>
            <w:vAlign w:val="center"/>
          </w:tcPr>
          <w:p w14:paraId="2A88A988" w14:textId="17525EE3" w:rsidR="00F5567E" w:rsidRPr="00A6154D" w:rsidRDefault="00F5567E" w:rsidP="00F5567E">
            <w:pPr>
              <w:pStyle w:val="TableText"/>
              <w:rPr>
                <w:lang w:val="en-US"/>
              </w:rPr>
            </w:pPr>
            <w:r w:rsidRPr="00A6154D">
              <w:rPr>
                <w:lang w:val="en-US"/>
              </w:rPr>
              <w:t>Health state utilities were derived from a post-hoc analysis of EQ-5D-5L data collected in the REACH3 trial. The model assumed utilit</w:t>
            </w:r>
            <w:r w:rsidR="00CE4FDD" w:rsidRPr="00A6154D">
              <w:rPr>
                <w:lang w:val="en-US"/>
              </w:rPr>
              <w:t>ies</w:t>
            </w:r>
            <w:r w:rsidRPr="00A6154D">
              <w:rPr>
                <w:lang w:val="en-US"/>
              </w:rPr>
              <w:t xml:space="preserve"> of 0.746 for responders and 0.687 for non-responders receiving ruxolitinib</w:t>
            </w:r>
            <w:r w:rsidR="00CE4FDD" w:rsidRPr="00A6154D">
              <w:rPr>
                <w:lang w:val="en-US"/>
              </w:rPr>
              <w:t xml:space="preserve">; and </w:t>
            </w:r>
            <w:r w:rsidRPr="00A6154D">
              <w:rPr>
                <w:lang w:val="en-US"/>
              </w:rPr>
              <w:t>0.695 for responders, 0.636 for non-responders</w:t>
            </w:r>
            <w:r w:rsidR="00CE4FDD" w:rsidRPr="00A6154D">
              <w:rPr>
                <w:lang w:val="en-US"/>
              </w:rPr>
              <w:t xml:space="preserve"> receiving BAT</w:t>
            </w:r>
            <w:r w:rsidRPr="00A6154D">
              <w:rPr>
                <w:lang w:val="en-US"/>
              </w:rPr>
              <w:t xml:space="preserve">. The inclusion of a </w:t>
            </w:r>
            <w:bookmarkStart w:id="55" w:name="_Hlk108168283"/>
            <w:r w:rsidRPr="00A6154D">
              <w:rPr>
                <w:lang w:val="en-US"/>
              </w:rPr>
              <w:t>utility benefit for being on treatment with ruxolitinib versus BAT</w:t>
            </w:r>
            <w:bookmarkEnd w:id="55"/>
            <w:r w:rsidRPr="00A6154D">
              <w:rPr>
                <w:lang w:val="en-US"/>
              </w:rPr>
              <w:t xml:space="preserve"> was not adequately justified.</w:t>
            </w:r>
          </w:p>
        </w:tc>
        <w:tc>
          <w:tcPr>
            <w:tcW w:w="679" w:type="pct"/>
            <w:shd w:val="clear" w:color="auto" w:fill="auto"/>
            <w:vAlign w:val="center"/>
          </w:tcPr>
          <w:p w14:paraId="42CC074A" w14:textId="38D577D1" w:rsidR="00F5567E" w:rsidRPr="00FB0D10" w:rsidRDefault="00F5567E" w:rsidP="00F5567E">
            <w:pPr>
              <w:pStyle w:val="TableText"/>
              <w:jc w:val="center"/>
              <w:rPr>
                <w:lang w:val="en-US"/>
              </w:rPr>
            </w:pPr>
            <w:r w:rsidRPr="00FB0D10">
              <w:rPr>
                <w:lang w:val="en-US"/>
              </w:rPr>
              <w:t>High, favours ruxolitinib</w:t>
            </w:r>
          </w:p>
        </w:tc>
      </w:tr>
      <w:tr w:rsidR="00F5567E" w:rsidRPr="00FB0D10" w14:paraId="6C47B288" w14:textId="77777777" w:rsidTr="00014A9C">
        <w:tc>
          <w:tcPr>
            <w:tcW w:w="626" w:type="pct"/>
            <w:shd w:val="clear" w:color="auto" w:fill="auto"/>
            <w:vAlign w:val="center"/>
          </w:tcPr>
          <w:p w14:paraId="49F19B3F" w14:textId="70625441" w:rsidR="00F5567E" w:rsidRPr="00A6154D" w:rsidRDefault="00F5567E" w:rsidP="00F5567E">
            <w:pPr>
              <w:pStyle w:val="TableText"/>
              <w:rPr>
                <w:lang w:val="en-US"/>
              </w:rPr>
            </w:pPr>
            <w:r w:rsidRPr="00A6154D">
              <w:rPr>
                <w:lang w:val="en-US"/>
              </w:rPr>
              <w:t>Time horizon</w:t>
            </w:r>
          </w:p>
        </w:tc>
        <w:tc>
          <w:tcPr>
            <w:tcW w:w="3695" w:type="pct"/>
            <w:shd w:val="clear" w:color="auto" w:fill="auto"/>
            <w:vAlign w:val="center"/>
          </w:tcPr>
          <w:p w14:paraId="54DD8E56" w14:textId="7CB205A9" w:rsidR="00F5567E" w:rsidRPr="00A6154D" w:rsidRDefault="00F5567E" w:rsidP="00F5567E">
            <w:pPr>
              <w:pStyle w:val="TableText"/>
              <w:rPr>
                <w:lang w:val="en-US"/>
              </w:rPr>
            </w:pPr>
            <w:r w:rsidRPr="00A6154D">
              <w:rPr>
                <w:lang w:val="en-US"/>
              </w:rPr>
              <w:t>30 years in the base case versus median follow-up of 57.3 weeks in the REACH3 trial.</w:t>
            </w:r>
            <w:r w:rsidRPr="00A6154D">
              <w:t xml:space="preserve"> </w:t>
            </w:r>
            <w:r w:rsidR="00426388" w:rsidRPr="00A6154D">
              <w:t xml:space="preserve">The submission noted that a 10-year time horizon was used in the ECP economic model considered by MSAC at the July 2021 meeting </w:t>
            </w:r>
            <w:r w:rsidR="0091411E" w:rsidRPr="00A6154D">
              <w:t xml:space="preserve">(the ESC noted that a 5 year time horizon was accepted by MSAC) </w:t>
            </w:r>
            <w:r w:rsidR="00426388" w:rsidRPr="00A6154D">
              <w:t xml:space="preserve">but argued that a 10-year time horizon would be too short to capture the clinical and economic outcomes for ruxolitinib and BAT in this patient population. </w:t>
            </w:r>
            <w:r w:rsidRPr="00A6154D">
              <w:rPr>
                <w:lang w:val="en-US"/>
              </w:rPr>
              <w:t>The extrapolation of GVHD-related mortality, duration of response and treatment duration results was highly uncertain given the limited duration of clinical data compared to the extrapolated time period</w:t>
            </w:r>
            <w:r w:rsidR="002551F1" w:rsidRPr="00A6154D">
              <w:rPr>
                <w:lang w:val="en-US"/>
              </w:rPr>
              <w:t xml:space="preserve"> (91.6% of incremental QALYs and 98.9% of incremental costs occur in the extrapolated period).</w:t>
            </w:r>
            <w:r w:rsidR="00357DA8" w:rsidRPr="00A6154D">
              <w:rPr>
                <w:lang w:val="en-US"/>
              </w:rPr>
              <w:t xml:space="preserve"> </w:t>
            </w:r>
            <w:r w:rsidRPr="00A6154D">
              <w:rPr>
                <w:lang w:val="en-US"/>
              </w:rPr>
              <w:t>The selection of the parametric models that were used to extrapolate the observed REACH3 trial data was highly subjective. The resulting extrapolations may not reliably characterise GVHD-related mortality, duration of response and duration of treatment in clinical practice</w:t>
            </w:r>
            <w:r w:rsidR="002551F1" w:rsidRPr="00A6154D">
              <w:rPr>
                <w:lang w:val="en-US"/>
              </w:rPr>
              <w:t xml:space="preserve">. </w:t>
            </w:r>
          </w:p>
        </w:tc>
        <w:tc>
          <w:tcPr>
            <w:tcW w:w="679" w:type="pct"/>
            <w:shd w:val="clear" w:color="auto" w:fill="auto"/>
            <w:vAlign w:val="center"/>
          </w:tcPr>
          <w:p w14:paraId="52AA59E6" w14:textId="5341C5D8" w:rsidR="00F5567E" w:rsidRPr="00FB0D10" w:rsidRDefault="00F5567E" w:rsidP="00F5567E">
            <w:pPr>
              <w:pStyle w:val="TableText"/>
              <w:jc w:val="center"/>
              <w:rPr>
                <w:lang w:val="en-US"/>
              </w:rPr>
            </w:pPr>
            <w:r w:rsidRPr="00FB0D10">
              <w:rPr>
                <w:lang w:val="en-US"/>
              </w:rPr>
              <w:t>High, favours ruxolitinib</w:t>
            </w:r>
          </w:p>
        </w:tc>
      </w:tr>
      <w:tr w:rsidR="00F5567E" w:rsidRPr="00FB0D10" w14:paraId="03AE13F0" w14:textId="77777777" w:rsidTr="00014A9C">
        <w:tc>
          <w:tcPr>
            <w:tcW w:w="626" w:type="pct"/>
            <w:shd w:val="clear" w:color="auto" w:fill="auto"/>
            <w:vAlign w:val="center"/>
          </w:tcPr>
          <w:p w14:paraId="1598ED6A" w14:textId="11FF8276" w:rsidR="00F5567E" w:rsidRPr="00A6154D" w:rsidRDefault="00F5567E" w:rsidP="00F5567E">
            <w:pPr>
              <w:pStyle w:val="TableText"/>
              <w:rPr>
                <w:lang w:val="en-US"/>
              </w:rPr>
            </w:pPr>
            <w:r w:rsidRPr="00A6154D">
              <w:rPr>
                <w:lang w:val="en-US"/>
              </w:rPr>
              <w:t>Subsequent treatments</w:t>
            </w:r>
          </w:p>
        </w:tc>
        <w:tc>
          <w:tcPr>
            <w:tcW w:w="3695" w:type="pct"/>
            <w:shd w:val="clear" w:color="auto" w:fill="auto"/>
            <w:vAlign w:val="center"/>
          </w:tcPr>
          <w:p w14:paraId="26D8C577" w14:textId="3806FCD8" w:rsidR="00F5567E" w:rsidRPr="00A6154D" w:rsidRDefault="00F5567E" w:rsidP="00F5567E">
            <w:pPr>
              <w:pStyle w:val="TableText"/>
              <w:rPr>
                <w:lang w:val="en-US"/>
              </w:rPr>
            </w:pPr>
            <w:r w:rsidRPr="00A6154D">
              <w:rPr>
                <w:lang w:val="en-US"/>
              </w:rPr>
              <w:t>Patients in the ruxolitinib arm receive</w:t>
            </w:r>
            <w:r w:rsidR="0091411E" w:rsidRPr="00A6154D">
              <w:rPr>
                <w:lang w:val="en-US"/>
              </w:rPr>
              <w:t>d</w:t>
            </w:r>
            <w:r w:rsidRPr="00A6154D">
              <w:rPr>
                <w:lang w:val="en-US"/>
              </w:rPr>
              <w:t xml:space="preserve"> initial treatment with ruxolitinib followed by up to 9 additional lines of cGVHD therapy. Patients in the BAT arm receive</w:t>
            </w:r>
            <w:r w:rsidR="0091411E" w:rsidRPr="00A6154D">
              <w:rPr>
                <w:lang w:val="en-US"/>
              </w:rPr>
              <w:t>d</w:t>
            </w:r>
            <w:r w:rsidRPr="00A6154D">
              <w:rPr>
                <w:lang w:val="en-US"/>
              </w:rPr>
              <w:t xml:space="preserve"> up to 9 lines of cGVHD therapy. The submission assumed that each time a new line of therapy was started, survival, response and response duration in responders was the same as for the initial therapy in the BAT arm. This assumption lacked face validity and </w:t>
            </w:r>
            <w:r w:rsidR="006119A2" w:rsidRPr="00A6154D">
              <w:rPr>
                <w:lang w:val="en-US"/>
              </w:rPr>
              <w:t>did not appear to be</w:t>
            </w:r>
            <w:r w:rsidRPr="00A6154D">
              <w:rPr>
                <w:lang w:val="en-US"/>
              </w:rPr>
              <w:t xml:space="preserve"> clinically plausible.</w:t>
            </w:r>
          </w:p>
        </w:tc>
        <w:tc>
          <w:tcPr>
            <w:tcW w:w="679" w:type="pct"/>
            <w:shd w:val="clear" w:color="auto" w:fill="auto"/>
            <w:vAlign w:val="center"/>
          </w:tcPr>
          <w:p w14:paraId="651C246B" w14:textId="3CE18FA3" w:rsidR="00F5567E" w:rsidRPr="00FB0D10" w:rsidRDefault="00F5567E" w:rsidP="00F5567E">
            <w:pPr>
              <w:pStyle w:val="TableText"/>
              <w:jc w:val="center"/>
              <w:rPr>
                <w:lang w:val="en-US"/>
              </w:rPr>
            </w:pPr>
            <w:r w:rsidRPr="00FB0D10">
              <w:rPr>
                <w:lang w:val="en-US"/>
              </w:rPr>
              <w:t>Unclear impact</w:t>
            </w:r>
          </w:p>
        </w:tc>
      </w:tr>
    </w:tbl>
    <w:p w14:paraId="495DC1A0" w14:textId="6AF88E20" w:rsidR="00F67915" w:rsidRDefault="00F67915" w:rsidP="00F67915">
      <w:pPr>
        <w:pStyle w:val="TableFigureFooter"/>
      </w:pPr>
      <w:r>
        <w:t xml:space="preserve">Source: </w:t>
      </w:r>
      <w:r w:rsidR="00D37FD6">
        <w:t>Constructed during the evaluation.</w:t>
      </w:r>
    </w:p>
    <w:p w14:paraId="5C71474D" w14:textId="50C53F7A" w:rsidR="00AF29B7" w:rsidRDefault="00AF29B7" w:rsidP="00F67915">
      <w:pPr>
        <w:pStyle w:val="TableFigureFooter"/>
      </w:pPr>
      <w:r>
        <w:t xml:space="preserve">Abbreviations: BAT, best available therapy; </w:t>
      </w:r>
      <w:r w:rsidR="00E03D01">
        <w:t xml:space="preserve">cGVHD, chronic </w:t>
      </w:r>
      <w:r w:rsidR="005553CE">
        <w:t>graft-versus-host</w:t>
      </w:r>
      <w:r w:rsidR="00E03D01">
        <w:t xml:space="preserve"> disease; </w:t>
      </w:r>
      <w:r>
        <w:t xml:space="preserve">EQ-5D-5L, </w:t>
      </w:r>
      <w:r w:rsidR="00E03D01">
        <w:t xml:space="preserve">EuroQol 5-Dimension 5-Level; GVHD, </w:t>
      </w:r>
      <w:r w:rsidR="005553CE">
        <w:t>graft-versus-host</w:t>
      </w:r>
      <w:r w:rsidR="00E03D01">
        <w:t xml:space="preserve"> disease.</w:t>
      </w:r>
    </w:p>
    <w:p w14:paraId="2A75CDE2" w14:textId="11DAF6DB" w:rsidR="00AD52E1" w:rsidRPr="00191822" w:rsidRDefault="00AD52E1" w:rsidP="00AD52E1">
      <w:pPr>
        <w:pStyle w:val="ExecSumBodyText"/>
        <w:numPr>
          <w:ilvl w:val="1"/>
          <w:numId w:val="1"/>
        </w:numPr>
      </w:pPr>
      <w:r w:rsidRPr="00191822">
        <w:t xml:space="preserve">Model traces for the </w:t>
      </w:r>
      <w:r w:rsidR="00B61D75">
        <w:t>ruxolitinib and BAT arms of the model are presented in the figure below.</w:t>
      </w:r>
    </w:p>
    <w:p w14:paraId="2BC90307" w14:textId="35C02EB7" w:rsidR="00B61D75" w:rsidRDefault="00B61D75" w:rsidP="00B61D75">
      <w:pPr>
        <w:pStyle w:val="TableHeading"/>
      </w:pPr>
      <w:r>
        <w:t xml:space="preserve">Figure </w:t>
      </w:r>
      <w:fldSimple w:instr=" SEQ Figure \* ARABIC " w:fldLock="1">
        <w:r w:rsidR="005A7A1C">
          <w:rPr>
            <w:noProof/>
          </w:rPr>
          <w:t>6</w:t>
        </w:r>
      </w:fldSimple>
      <w:r>
        <w:t>: Model traces for the ruxolitinib and BAT arms</w:t>
      </w:r>
    </w:p>
    <w:p w14:paraId="5985EA93" w14:textId="2EEAD1AA" w:rsidR="00B61D75" w:rsidRDefault="00A6325C" w:rsidP="00B61D75">
      <w:r>
        <w:rPr>
          <w:noProof/>
        </w:rPr>
        <w:drawing>
          <wp:inline distT="0" distB="0" distL="0" distR="0" wp14:anchorId="511DDD50" wp14:editId="56DE5B30">
            <wp:extent cx="5675630" cy="3950335"/>
            <wp:effectExtent l="0" t="0" r="1270" b="0"/>
            <wp:docPr id="3" name="Picture 3" descr="Figure 6: Model traces for the ruxolitinib and BAT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6: Model traces for the ruxolitinib and BAT arm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5630" cy="3950335"/>
                    </a:xfrm>
                    <a:prstGeom prst="rect">
                      <a:avLst/>
                    </a:prstGeom>
                    <a:noFill/>
                  </pic:spPr>
                </pic:pic>
              </a:graphicData>
            </a:graphic>
          </wp:inline>
        </w:drawing>
      </w:r>
    </w:p>
    <w:p w14:paraId="0184EABD" w14:textId="419F329F" w:rsidR="00B61D75" w:rsidRDefault="00B61D75" w:rsidP="00B61D75">
      <w:pPr>
        <w:pStyle w:val="TableFooter"/>
      </w:pPr>
      <w:r>
        <w:t>Source: Constructed during the evaluation using the ‘Jakavi (ruxolitinib) – cGVHD – CEA’ Excel workbook.</w:t>
      </w:r>
    </w:p>
    <w:p w14:paraId="43B41023" w14:textId="77777777" w:rsidR="00DF502A" w:rsidRDefault="00DF502A" w:rsidP="00DF502A">
      <w:pPr>
        <w:pStyle w:val="TableFooter"/>
      </w:pPr>
      <w:r>
        <w:t>Abbreviations: BAT, best available therapy.</w:t>
      </w:r>
    </w:p>
    <w:p w14:paraId="45E62DBF" w14:textId="4EDCE776" w:rsidR="00AD52E1" w:rsidRDefault="00F5567E" w:rsidP="00B61D75">
      <w:pPr>
        <w:pStyle w:val="ExecSumBodyText"/>
      </w:pPr>
      <w:r>
        <w:t>H</w:t>
      </w:r>
      <w:r w:rsidR="00B61D75">
        <w:t>igher proportion</w:t>
      </w:r>
      <w:r>
        <w:t>s</w:t>
      </w:r>
      <w:r w:rsidR="00B61D75">
        <w:t xml:space="preserve"> of patients in the ruxolitinib arm were alive compared to the BAT arm at 10 years (41% versus 37%), 20 years (18% versus 15%) and 30 years (7% versus 6%). </w:t>
      </w:r>
      <w:r w:rsidR="000B0000">
        <w:t>H</w:t>
      </w:r>
      <w:r w:rsidR="00B61D75">
        <w:t>igher proportion</w:t>
      </w:r>
      <w:r w:rsidR="000B0000">
        <w:t>s</w:t>
      </w:r>
      <w:r w:rsidR="00B61D75">
        <w:t xml:space="preserve"> of patients in the ruxolitinib </w:t>
      </w:r>
      <w:r w:rsidR="0084360C">
        <w:t xml:space="preserve">arm </w:t>
      </w:r>
      <w:r w:rsidR="00B61D75">
        <w:t xml:space="preserve">were in the responder health state compared to the BAT arm at 10 years (28% versus 17%) and 20 years (8% versus 2%). </w:t>
      </w:r>
      <w:r w:rsidR="000B0000">
        <w:t xml:space="preserve">Higher </w:t>
      </w:r>
      <w:r w:rsidR="00B61D75">
        <w:t>proportion</w:t>
      </w:r>
      <w:r w:rsidR="000B0000">
        <w:t>s</w:t>
      </w:r>
      <w:r w:rsidR="00B61D75">
        <w:t xml:space="preserve"> of patients in the ruxolitinib arm were on (any) treatment compared to the BAT arm at 10 years (11% versus 8%) and 20 years (2% versus 1%).</w:t>
      </w:r>
    </w:p>
    <w:p w14:paraId="5F5CFB39" w14:textId="0DC84E63" w:rsidR="00430F74" w:rsidRDefault="00430F74" w:rsidP="00F67915">
      <w:pPr>
        <w:pStyle w:val="ExecSumBodyText"/>
        <w:numPr>
          <w:ilvl w:val="1"/>
          <w:numId w:val="1"/>
        </w:numPr>
      </w:pPr>
      <w:r>
        <w:t>The table below summarises the results of the modelled economic evaluation for c</w:t>
      </w:r>
      <w:r w:rsidR="00324947">
        <w:t xml:space="preserve">hronic </w:t>
      </w:r>
      <w:r>
        <w:t>GVHD.</w:t>
      </w:r>
    </w:p>
    <w:p w14:paraId="629CFF86" w14:textId="74086F73" w:rsidR="009D602F" w:rsidRPr="002940FF" w:rsidRDefault="00CF7791" w:rsidP="009D602F">
      <w:pPr>
        <w:pStyle w:val="TableFigureCaption"/>
      </w:pPr>
      <w:r w:rsidRPr="0042047F">
        <w:t xml:space="preserve">Table </w:t>
      </w:r>
      <w:fldSimple w:instr=" SEQ Table \* ARABIC " w:fldLock="1">
        <w:r w:rsidR="005A7A1C">
          <w:rPr>
            <w:noProof/>
          </w:rPr>
          <w:t>16</w:t>
        </w:r>
      </w:fldSimple>
      <w:r w:rsidR="009D602F">
        <w:t xml:space="preserve">: </w:t>
      </w:r>
      <w:r w:rsidR="009D602F" w:rsidRPr="002940FF">
        <w:t>Results of the economic evaluation for c</w:t>
      </w:r>
      <w:r w:rsidR="009D602F">
        <w:t xml:space="preserve">hronic </w:t>
      </w:r>
      <w:r w:rsidR="009D602F" w:rsidRPr="002940FF">
        <w:t>GVHD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6: Results of the economic evaluation for chronic GVHD"/>
      </w:tblPr>
      <w:tblGrid>
        <w:gridCol w:w="2759"/>
        <w:gridCol w:w="2451"/>
        <w:gridCol w:w="2298"/>
        <w:gridCol w:w="1509"/>
      </w:tblGrid>
      <w:tr w:rsidR="009D602F" w:rsidRPr="00EF2EAE" w14:paraId="4C1C5BFD" w14:textId="77777777" w:rsidTr="00A361A7">
        <w:tc>
          <w:tcPr>
            <w:tcW w:w="1530" w:type="pct"/>
            <w:vAlign w:val="center"/>
          </w:tcPr>
          <w:p w14:paraId="3C03AC7E" w14:textId="77777777" w:rsidR="009D602F" w:rsidRPr="00EF2EAE" w:rsidRDefault="009D602F" w:rsidP="00A361A7">
            <w:pPr>
              <w:pStyle w:val="Tabletext0"/>
              <w:rPr>
                <w:b/>
              </w:rPr>
            </w:pPr>
          </w:p>
        </w:tc>
        <w:tc>
          <w:tcPr>
            <w:tcW w:w="1359" w:type="pct"/>
          </w:tcPr>
          <w:p w14:paraId="73FD3E6E" w14:textId="77777777" w:rsidR="009D602F" w:rsidRPr="00EF2EAE" w:rsidRDefault="009D602F" w:rsidP="00A361A7">
            <w:pPr>
              <w:pStyle w:val="Tabletext0"/>
              <w:jc w:val="center"/>
              <w:rPr>
                <w:b/>
              </w:rPr>
            </w:pPr>
            <w:r>
              <w:rPr>
                <w:b/>
              </w:rPr>
              <w:t>Ruxolitinib</w:t>
            </w:r>
          </w:p>
        </w:tc>
        <w:tc>
          <w:tcPr>
            <w:tcW w:w="1274" w:type="pct"/>
          </w:tcPr>
          <w:p w14:paraId="5550E7F0" w14:textId="77777777" w:rsidR="009D602F" w:rsidRPr="00EF2EAE" w:rsidRDefault="009D602F" w:rsidP="00A361A7">
            <w:pPr>
              <w:pStyle w:val="Tabletext0"/>
              <w:jc w:val="center"/>
              <w:rPr>
                <w:b/>
              </w:rPr>
            </w:pPr>
            <w:r>
              <w:rPr>
                <w:b/>
              </w:rPr>
              <w:t>BAT</w:t>
            </w:r>
          </w:p>
        </w:tc>
        <w:tc>
          <w:tcPr>
            <w:tcW w:w="837" w:type="pct"/>
          </w:tcPr>
          <w:p w14:paraId="1BDEC445" w14:textId="77777777" w:rsidR="009D602F" w:rsidRPr="00EF2EAE" w:rsidRDefault="009D602F" w:rsidP="00A361A7">
            <w:pPr>
              <w:pStyle w:val="Tabletext0"/>
              <w:jc w:val="center"/>
              <w:rPr>
                <w:b/>
              </w:rPr>
            </w:pPr>
            <w:r>
              <w:rPr>
                <w:b/>
              </w:rPr>
              <w:t>Increment</w:t>
            </w:r>
          </w:p>
        </w:tc>
      </w:tr>
      <w:tr w:rsidR="009D602F" w:rsidRPr="00E2771E" w14:paraId="20633933" w14:textId="77777777" w:rsidTr="00A361A7">
        <w:tc>
          <w:tcPr>
            <w:tcW w:w="1530" w:type="pct"/>
            <w:vAlign w:val="center"/>
          </w:tcPr>
          <w:p w14:paraId="044F2C28" w14:textId="77777777" w:rsidR="009D602F" w:rsidRPr="00E2771E" w:rsidRDefault="009D602F" w:rsidP="00A361A7">
            <w:pPr>
              <w:pStyle w:val="Tabletext0"/>
              <w:rPr>
                <w:rFonts w:ascii="Times" w:hAnsi="Times"/>
              </w:rPr>
            </w:pPr>
            <w:r w:rsidRPr="00E2771E">
              <w:t>Costs</w:t>
            </w:r>
          </w:p>
        </w:tc>
        <w:tc>
          <w:tcPr>
            <w:tcW w:w="1359" w:type="pct"/>
          </w:tcPr>
          <w:p w14:paraId="6C5DAAEF" w14:textId="770A06E2" w:rsidR="009D602F" w:rsidRPr="006D5726" w:rsidRDefault="009D602F" w:rsidP="00A361A7">
            <w:pPr>
              <w:pStyle w:val="Tabletext0"/>
              <w:jc w:val="center"/>
            </w:pPr>
            <w:r w:rsidRPr="00A74C11">
              <w:t>$</w:t>
            </w:r>
            <w:r w:rsidR="00F96E54" w:rsidRPr="00F96E54">
              <w:rPr>
                <w:color w:val="000000"/>
                <w:shd w:val="solid" w:color="000000" w:fill="000000"/>
                <w14:textFill>
                  <w14:solidFill>
                    <w14:srgbClr w14:val="000000">
                      <w14:alpha w14:val="100000"/>
                    </w14:srgbClr>
                  </w14:solidFill>
                </w14:textFill>
              </w:rPr>
              <w:t>|</w:t>
            </w:r>
          </w:p>
        </w:tc>
        <w:tc>
          <w:tcPr>
            <w:tcW w:w="1274" w:type="pct"/>
          </w:tcPr>
          <w:p w14:paraId="607379B3" w14:textId="77777777" w:rsidR="009D602F" w:rsidRPr="006D5726" w:rsidRDefault="009D602F" w:rsidP="00A361A7">
            <w:pPr>
              <w:pStyle w:val="Tabletext0"/>
              <w:jc w:val="center"/>
            </w:pPr>
            <w:r w:rsidRPr="00A74C11">
              <w:t>$100,561</w:t>
            </w:r>
          </w:p>
        </w:tc>
        <w:tc>
          <w:tcPr>
            <w:tcW w:w="837" w:type="pct"/>
          </w:tcPr>
          <w:p w14:paraId="4910B100" w14:textId="0FA321FA" w:rsidR="009D602F" w:rsidRPr="006D5726" w:rsidRDefault="009D602F" w:rsidP="00A361A7">
            <w:pPr>
              <w:pStyle w:val="Tabletext0"/>
              <w:jc w:val="center"/>
            </w:pPr>
            <w:r w:rsidRPr="00A74C11">
              <w:t>$</w:t>
            </w:r>
            <w:r w:rsidR="00F96E54" w:rsidRPr="00F96E54">
              <w:rPr>
                <w:color w:val="000000"/>
                <w:shd w:val="solid" w:color="000000" w:fill="000000"/>
                <w14:textFill>
                  <w14:solidFill>
                    <w14:srgbClr w14:val="000000">
                      <w14:alpha w14:val="100000"/>
                    </w14:srgbClr>
                  </w14:solidFill>
                </w14:textFill>
              </w:rPr>
              <w:t>|</w:t>
            </w:r>
          </w:p>
        </w:tc>
      </w:tr>
      <w:tr w:rsidR="002B7665" w:rsidRPr="00E2771E" w14:paraId="54EF398D" w14:textId="77777777" w:rsidTr="00FD4C4F">
        <w:tc>
          <w:tcPr>
            <w:tcW w:w="1530" w:type="pct"/>
          </w:tcPr>
          <w:p w14:paraId="448514AA" w14:textId="2876748C" w:rsidR="002B7665" w:rsidRPr="00E2771E" w:rsidRDefault="002B7665" w:rsidP="002B7665">
            <w:pPr>
              <w:pStyle w:val="Tabletext0"/>
            </w:pPr>
            <w:r w:rsidRPr="00CA2EAB">
              <w:t>Life-years gained</w:t>
            </w:r>
          </w:p>
        </w:tc>
        <w:tc>
          <w:tcPr>
            <w:tcW w:w="1359" w:type="pct"/>
          </w:tcPr>
          <w:p w14:paraId="40768BC2" w14:textId="1D17AE4E" w:rsidR="002B7665" w:rsidRPr="00A74C11" w:rsidRDefault="002B7665" w:rsidP="002B7665">
            <w:pPr>
              <w:pStyle w:val="Tabletext0"/>
              <w:jc w:val="center"/>
            </w:pPr>
            <w:r w:rsidRPr="00CA2EAB">
              <w:t>7.06</w:t>
            </w:r>
            <w:r w:rsidR="006A7316">
              <w:t>69</w:t>
            </w:r>
          </w:p>
        </w:tc>
        <w:tc>
          <w:tcPr>
            <w:tcW w:w="1274" w:type="pct"/>
          </w:tcPr>
          <w:p w14:paraId="1EDC6EB1" w14:textId="04422079" w:rsidR="002B7665" w:rsidRPr="00A74C11" w:rsidRDefault="002B7665" w:rsidP="002B7665">
            <w:pPr>
              <w:pStyle w:val="Tabletext0"/>
              <w:jc w:val="center"/>
            </w:pPr>
            <w:r w:rsidRPr="00CA2EAB">
              <w:t>6.70</w:t>
            </w:r>
            <w:r w:rsidR="006A7316">
              <w:t>59</w:t>
            </w:r>
          </w:p>
        </w:tc>
        <w:tc>
          <w:tcPr>
            <w:tcW w:w="837" w:type="pct"/>
          </w:tcPr>
          <w:p w14:paraId="098F2E48" w14:textId="606FC1B5" w:rsidR="002B7665" w:rsidRPr="00A74C11" w:rsidRDefault="002B7665" w:rsidP="002B7665">
            <w:pPr>
              <w:pStyle w:val="Tabletext0"/>
              <w:jc w:val="center"/>
            </w:pPr>
            <w:r w:rsidRPr="00CA2EAB">
              <w:t>0.361</w:t>
            </w:r>
            <w:r w:rsidR="006A7316">
              <w:t>0</w:t>
            </w:r>
          </w:p>
        </w:tc>
      </w:tr>
      <w:tr w:rsidR="009D602F" w:rsidRPr="00E2771E" w14:paraId="70ACD61F" w14:textId="77777777" w:rsidTr="00A361A7">
        <w:tc>
          <w:tcPr>
            <w:tcW w:w="1530" w:type="pct"/>
            <w:tcBorders>
              <w:bottom w:val="single" w:sz="4" w:space="0" w:color="auto"/>
            </w:tcBorders>
            <w:vAlign w:val="center"/>
          </w:tcPr>
          <w:p w14:paraId="19961818" w14:textId="77777777" w:rsidR="009D602F" w:rsidRPr="00E2771E" w:rsidRDefault="009D602F" w:rsidP="00A361A7">
            <w:pPr>
              <w:pStyle w:val="Tabletext0"/>
              <w:rPr>
                <w:rFonts w:ascii="Times" w:hAnsi="Times"/>
              </w:rPr>
            </w:pPr>
            <w:r>
              <w:t>QALYs</w:t>
            </w:r>
          </w:p>
        </w:tc>
        <w:tc>
          <w:tcPr>
            <w:tcW w:w="1359" w:type="pct"/>
            <w:tcBorders>
              <w:top w:val="single" w:sz="4" w:space="0" w:color="auto"/>
              <w:left w:val="single" w:sz="4" w:space="0" w:color="auto"/>
              <w:bottom w:val="single" w:sz="4" w:space="0" w:color="auto"/>
              <w:right w:val="single" w:sz="4" w:space="0" w:color="auto"/>
            </w:tcBorders>
          </w:tcPr>
          <w:p w14:paraId="2E271DE5" w14:textId="1BEAC1D4" w:rsidR="009D602F" w:rsidRPr="006D5726" w:rsidRDefault="00B24140" w:rsidP="00A361A7">
            <w:pPr>
              <w:pStyle w:val="Tabletext0"/>
              <w:jc w:val="center"/>
            </w:pPr>
            <w:r w:rsidRPr="00B24140">
              <w:t>4.9270</w:t>
            </w:r>
          </w:p>
        </w:tc>
        <w:tc>
          <w:tcPr>
            <w:tcW w:w="1274" w:type="pct"/>
            <w:tcBorders>
              <w:top w:val="single" w:sz="4" w:space="0" w:color="auto"/>
              <w:left w:val="single" w:sz="4" w:space="0" w:color="auto"/>
              <w:bottom w:val="single" w:sz="4" w:space="0" w:color="auto"/>
              <w:right w:val="single" w:sz="4" w:space="0" w:color="auto"/>
            </w:tcBorders>
          </w:tcPr>
          <w:p w14:paraId="2DB2B77B" w14:textId="537D3236" w:rsidR="009D602F" w:rsidRPr="006D5726" w:rsidRDefault="00B24140" w:rsidP="00A361A7">
            <w:pPr>
              <w:pStyle w:val="Tabletext0"/>
              <w:jc w:val="center"/>
            </w:pPr>
            <w:r w:rsidRPr="00B24140">
              <w:t>4.4795</w:t>
            </w:r>
          </w:p>
        </w:tc>
        <w:tc>
          <w:tcPr>
            <w:tcW w:w="837" w:type="pct"/>
            <w:tcBorders>
              <w:top w:val="single" w:sz="4" w:space="0" w:color="auto"/>
              <w:left w:val="single" w:sz="4" w:space="0" w:color="auto"/>
              <w:bottom w:val="single" w:sz="4" w:space="0" w:color="auto"/>
              <w:right w:val="single" w:sz="4" w:space="0" w:color="auto"/>
            </w:tcBorders>
          </w:tcPr>
          <w:p w14:paraId="3C35A2A1" w14:textId="77CC9C72" w:rsidR="009D602F" w:rsidRPr="006D5726" w:rsidRDefault="00B24140" w:rsidP="00A361A7">
            <w:pPr>
              <w:pStyle w:val="Tabletext0"/>
              <w:jc w:val="center"/>
            </w:pPr>
            <w:r w:rsidRPr="00B24140">
              <w:t>0.4475</w:t>
            </w:r>
          </w:p>
        </w:tc>
      </w:tr>
      <w:tr w:rsidR="009D602F" w:rsidRPr="00E2771E" w14:paraId="4FD845D9" w14:textId="77777777" w:rsidTr="00A361A7">
        <w:tc>
          <w:tcPr>
            <w:tcW w:w="4163" w:type="pct"/>
            <w:gridSpan w:val="3"/>
          </w:tcPr>
          <w:p w14:paraId="319F6916" w14:textId="77777777" w:rsidR="009D602F" w:rsidRPr="00E70F1C" w:rsidRDefault="009D602F" w:rsidP="00A361A7">
            <w:pPr>
              <w:pStyle w:val="Tabletext0"/>
              <w:jc w:val="left"/>
              <w:rPr>
                <w:b/>
                <w:vertAlign w:val="superscript"/>
              </w:rPr>
            </w:pPr>
            <w:r w:rsidRPr="00D52D00">
              <w:rPr>
                <w:rFonts w:eastAsia="Calibri"/>
                <w:b/>
              </w:rPr>
              <w:t>Incremental cost per QALY gained</w:t>
            </w:r>
          </w:p>
        </w:tc>
        <w:tc>
          <w:tcPr>
            <w:tcW w:w="837" w:type="pct"/>
            <w:vAlign w:val="center"/>
          </w:tcPr>
          <w:p w14:paraId="4B8F345A" w14:textId="7AF35F51" w:rsidR="009D602F" w:rsidRPr="00D2346A" w:rsidRDefault="009D602F" w:rsidP="00A361A7">
            <w:pPr>
              <w:pStyle w:val="Tabletext0"/>
              <w:jc w:val="center"/>
              <w:rPr>
                <w:b/>
                <w:vertAlign w:val="superscript"/>
              </w:rPr>
            </w:pPr>
            <w:r w:rsidRPr="00EA3180">
              <w:rPr>
                <w:b/>
              </w:rPr>
              <w:t>$</w:t>
            </w:r>
            <w:r w:rsidR="00F96E54" w:rsidRPr="00F96E54">
              <w:rPr>
                <w:b/>
                <w:color w:val="000000"/>
                <w:shd w:val="solid" w:color="000000" w:fill="000000"/>
                <w14:textFill>
                  <w14:solidFill>
                    <w14:srgbClr w14:val="000000">
                      <w14:alpha w14:val="100000"/>
                    </w14:srgbClr>
                  </w14:solidFill>
                </w14:textFill>
              </w:rPr>
              <w:t>|</w:t>
            </w:r>
            <w:r w:rsidR="0047021A">
              <w:rPr>
                <w:b/>
                <w:vertAlign w:val="superscript"/>
              </w:rPr>
              <w:t>1</w:t>
            </w:r>
          </w:p>
        </w:tc>
      </w:tr>
    </w:tbl>
    <w:p w14:paraId="7A253FD4" w14:textId="77777777" w:rsidR="009D602F" w:rsidRDefault="009D602F" w:rsidP="009D602F">
      <w:pPr>
        <w:pStyle w:val="TableFigureFooter"/>
      </w:pPr>
      <w:r>
        <w:t>Source: Table 3.8-1, p288 of the submission.</w:t>
      </w:r>
    </w:p>
    <w:p w14:paraId="020E9ABC" w14:textId="539247DE" w:rsidR="009D602F" w:rsidRDefault="009D602F" w:rsidP="00D2346A">
      <w:pPr>
        <w:pStyle w:val="TableFigureFooter"/>
        <w:spacing w:after="0"/>
      </w:pPr>
      <w:r>
        <w:t>Abbreviations: QALY, quality adjusted life year.</w:t>
      </w:r>
    </w:p>
    <w:p w14:paraId="6A1A60C0" w14:textId="77777777" w:rsidR="0047021A" w:rsidRPr="009A6D58" w:rsidRDefault="0047021A" w:rsidP="0047021A">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0FE965F" w14:textId="0840C7FE" w:rsidR="0047021A" w:rsidRPr="009A6D58" w:rsidRDefault="0047021A" w:rsidP="0047021A">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47021A">
        <w:rPr>
          <w:rFonts w:ascii="Arial Narrow" w:hAnsi="Arial Narrow"/>
          <w:i/>
          <w:sz w:val="18"/>
          <w:szCs w:val="18"/>
        </w:rPr>
        <w:t>$55,000 to &lt; $</w:t>
      </w:r>
      <w:r>
        <w:rPr>
          <w:rFonts w:ascii="Arial Narrow" w:hAnsi="Arial Narrow"/>
          <w:i/>
          <w:sz w:val="18"/>
          <w:szCs w:val="18"/>
        </w:rPr>
        <w:t>6</w:t>
      </w:r>
      <w:r w:rsidRPr="0047021A">
        <w:rPr>
          <w:rFonts w:ascii="Arial Narrow" w:hAnsi="Arial Narrow"/>
          <w:i/>
          <w:sz w:val="18"/>
          <w:szCs w:val="18"/>
        </w:rPr>
        <w:t>5,000</w:t>
      </w:r>
    </w:p>
    <w:p w14:paraId="2DDBF387" w14:textId="77777777" w:rsidR="0047021A" w:rsidRDefault="0047021A" w:rsidP="009D602F">
      <w:pPr>
        <w:pStyle w:val="TableFigureFooter"/>
      </w:pPr>
    </w:p>
    <w:p w14:paraId="2529687D" w14:textId="5F093C94" w:rsidR="00B34D38" w:rsidRDefault="009D602F" w:rsidP="00B34D38">
      <w:pPr>
        <w:pStyle w:val="ExecSumBodyText"/>
        <w:numPr>
          <w:ilvl w:val="1"/>
          <w:numId w:val="1"/>
        </w:numPr>
      </w:pPr>
      <w:r>
        <w:t>I</w:t>
      </w:r>
      <w:r w:rsidRPr="003D0A37">
        <w:t>n patients with moderate to severe cGVHD who are steroid refractory/dependent</w:t>
      </w:r>
      <w:r>
        <w:t xml:space="preserve">, initial </w:t>
      </w:r>
      <w:r w:rsidRPr="003D0A37">
        <w:t xml:space="preserve">treatment with ruxolitinib was associated with an incremental cost per QALY gained of </w:t>
      </w:r>
      <w:r w:rsidR="0047021A" w:rsidRPr="00AF0E02">
        <w:rPr>
          <w:rFonts w:cstheme="minorHAnsi"/>
          <w:color w:val="333333"/>
        </w:rPr>
        <w:t>$55,000 to &lt; $65,000</w:t>
      </w:r>
      <w:r w:rsidR="00C526F3">
        <w:rPr>
          <w:rFonts w:cstheme="minorHAnsi"/>
          <w:color w:val="333333"/>
        </w:rPr>
        <w:t xml:space="preserve"> </w:t>
      </w:r>
      <w:r w:rsidRPr="00C526F3">
        <w:rPr>
          <w:rFonts w:cstheme="minorHAnsi"/>
        </w:rPr>
        <w:t>compared</w:t>
      </w:r>
      <w:r w:rsidRPr="003D0A37">
        <w:t xml:space="preserve"> to </w:t>
      </w:r>
      <w:r>
        <w:t xml:space="preserve">initial </w:t>
      </w:r>
      <w:r w:rsidRPr="003D0A37">
        <w:t>treatment with BAT</w:t>
      </w:r>
      <w:r>
        <w:t>.</w:t>
      </w:r>
    </w:p>
    <w:p w14:paraId="7F2B50C1" w14:textId="17C762F1" w:rsidR="00B34D38" w:rsidRPr="00CD70CA" w:rsidRDefault="00B34D38" w:rsidP="00023429">
      <w:pPr>
        <w:pStyle w:val="ExecSumBodyText"/>
        <w:numPr>
          <w:ilvl w:val="1"/>
          <w:numId w:val="1"/>
        </w:numPr>
        <w:spacing w:after="0"/>
      </w:pPr>
      <w:bookmarkStart w:id="56" w:name="_Hlk103019859"/>
      <w:r w:rsidRPr="00CD70CA">
        <w:t xml:space="preserve">On average, for every patient with </w:t>
      </w:r>
      <w:r w:rsidR="00657DF0" w:rsidRPr="00CD70CA">
        <w:t xml:space="preserve">steroid refractory/dependent moderate to severe </w:t>
      </w:r>
      <w:r w:rsidRPr="00CD70CA">
        <w:t>cGVHD receiving initial treatment with ruxolitinib versus BAT and followed up to 30 years, the (undiscounted) economic model estimates that there would be:</w:t>
      </w:r>
    </w:p>
    <w:p w14:paraId="3BC5F38D" w14:textId="75B9CED5" w:rsidR="00B34D38" w:rsidRPr="00CD70CA" w:rsidRDefault="00B34D38" w:rsidP="00A2582A">
      <w:pPr>
        <w:pStyle w:val="ListParagraph"/>
        <w:numPr>
          <w:ilvl w:val="0"/>
          <w:numId w:val="17"/>
        </w:numPr>
        <w:ind w:left="1134" w:hanging="357"/>
      </w:pPr>
      <w:r w:rsidRPr="00CD70CA">
        <w:t>Ruxolitinib drug costs of $</w:t>
      </w:r>
      <w:r w:rsidR="00F96E54" w:rsidRPr="00AF0E02">
        <w:rPr>
          <w:color w:val="000000"/>
          <w:w w:val="15"/>
          <w:shd w:val="solid" w:color="000000" w:fill="000000"/>
          <w14:textFill>
            <w14:solidFill>
              <w14:srgbClr w14:val="000000">
                <w14:alpha w14:val="100000"/>
              </w14:srgbClr>
            </w14:solidFill>
          </w14:textFill>
        </w:rPr>
        <w:t xml:space="preserve">|  </w:t>
      </w:r>
      <w:r w:rsidR="00F96E54" w:rsidRPr="00AF0E02">
        <w:rPr>
          <w:color w:val="000000"/>
          <w:spacing w:val="-69"/>
          <w:w w:val="15"/>
          <w:shd w:val="solid" w:color="000000" w:fill="000000"/>
          <w14:textFill>
            <w14:solidFill>
              <w14:srgbClr w14:val="000000">
                <w14:alpha w14:val="100000"/>
              </w14:srgbClr>
            </w14:solidFill>
          </w14:textFill>
        </w:rPr>
        <w:t>|</w:t>
      </w:r>
      <w:r w:rsidRPr="00CD70CA">
        <w:t>, plus additional costs associated with treating adverse event</w:t>
      </w:r>
      <w:r w:rsidR="00CD70CA" w:rsidRPr="00CD70CA">
        <w:t>s</w:t>
      </w:r>
      <w:r w:rsidRPr="00CD70CA">
        <w:t xml:space="preserve"> of $</w:t>
      </w:r>
      <w:r w:rsidR="00F96E54" w:rsidRPr="00AF0E02">
        <w:rPr>
          <w:color w:val="000000"/>
          <w:w w:val="15"/>
          <w:shd w:val="solid" w:color="000000" w:fill="000000"/>
          <w14:textFill>
            <w14:solidFill>
              <w14:srgbClr w14:val="000000">
                <w14:alpha w14:val="100000"/>
              </w14:srgbClr>
            </w14:solidFill>
          </w14:textFill>
        </w:rPr>
        <w:t xml:space="preserve">|  </w:t>
      </w:r>
      <w:r w:rsidR="00F96E54" w:rsidRPr="00AF0E02">
        <w:rPr>
          <w:color w:val="000000"/>
          <w:spacing w:val="-69"/>
          <w:w w:val="15"/>
          <w:shd w:val="solid" w:color="000000" w:fill="000000"/>
          <w14:textFill>
            <w14:solidFill>
              <w14:srgbClr w14:val="000000">
                <w14:alpha w14:val="100000"/>
              </w14:srgbClr>
            </w14:solidFill>
          </w14:textFill>
        </w:rPr>
        <w:t>|</w:t>
      </w:r>
      <w:r w:rsidRPr="00CD70CA">
        <w:t>.</w:t>
      </w:r>
    </w:p>
    <w:p w14:paraId="341D3061" w14:textId="77777777" w:rsidR="00B34D38" w:rsidRPr="00CD70CA" w:rsidRDefault="00B34D38" w:rsidP="00A2582A">
      <w:pPr>
        <w:pStyle w:val="ListParagraph"/>
        <w:numPr>
          <w:ilvl w:val="0"/>
          <w:numId w:val="17"/>
        </w:numPr>
        <w:ind w:left="1134" w:hanging="357"/>
      </w:pPr>
      <w:r w:rsidRPr="00CD70CA">
        <w:t>Additional survival of 0.70 years.</w:t>
      </w:r>
    </w:p>
    <w:p w14:paraId="3851ED5F" w14:textId="24BBE95A" w:rsidR="00B34D38" w:rsidRPr="00CD70CA" w:rsidRDefault="00B34D38" w:rsidP="00A2582A">
      <w:pPr>
        <w:pStyle w:val="ListParagraph"/>
        <w:numPr>
          <w:ilvl w:val="0"/>
          <w:numId w:val="17"/>
        </w:numPr>
        <w:spacing w:after="120"/>
        <w:ind w:left="1134" w:hanging="357"/>
      </w:pPr>
      <w:r w:rsidRPr="00CD70CA">
        <w:t>Additional time in response of 2.14 years, which would be associated with savings in disease management costs of $</w:t>
      </w:r>
      <w:r w:rsidR="00F96E54" w:rsidRPr="00AF0E02">
        <w:rPr>
          <w:color w:val="000000"/>
          <w:w w:val="15"/>
          <w:shd w:val="solid" w:color="000000" w:fill="000000"/>
          <w14:textFill>
            <w14:solidFill>
              <w14:srgbClr w14:val="000000">
                <w14:alpha w14:val="100000"/>
              </w14:srgbClr>
            </w14:solidFill>
          </w14:textFill>
        </w:rPr>
        <w:t xml:space="preserve">|  </w:t>
      </w:r>
      <w:r w:rsidR="00F96E54" w:rsidRPr="00AF0E02">
        <w:rPr>
          <w:color w:val="000000"/>
          <w:spacing w:val="-69"/>
          <w:w w:val="15"/>
          <w:shd w:val="solid" w:color="000000" w:fill="000000"/>
          <w14:textFill>
            <w14:solidFill>
              <w14:srgbClr w14:val="000000">
                <w14:alpha w14:val="100000"/>
              </w14:srgbClr>
            </w14:solidFill>
          </w14:textFill>
        </w:rPr>
        <w:t>|</w:t>
      </w:r>
      <w:r w:rsidRPr="00CD70CA">
        <w:t xml:space="preserve"> and with improved quality of life.</w:t>
      </w:r>
    </w:p>
    <w:bookmarkEnd w:id="56"/>
    <w:p w14:paraId="2A2CF94B" w14:textId="67141ABB" w:rsidR="00324947" w:rsidRDefault="00324947" w:rsidP="00324947">
      <w:pPr>
        <w:pStyle w:val="ExecSumBodyText"/>
        <w:numPr>
          <w:ilvl w:val="1"/>
          <w:numId w:val="1"/>
        </w:numPr>
      </w:pPr>
      <w:r w:rsidRPr="00191822">
        <w:t xml:space="preserve">The results of sensitivity analyses presented in the </w:t>
      </w:r>
      <w:r w:rsidRPr="00FB0D10">
        <w:t>submission and conducted during the evaluation for the cGVHD model are summarised in the tab</w:t>
      </w:r>
      <w:r>
        <w:t>le below.</w:t>
      </w:r>
    </w:p>
    <w:p w14:paraId="0226EEFB" w14:textId="02D77BE8" w:rsidR="006C739C" w:rsidRPr="00656188" w:rsidRDefault="00CF7791" w:rsidP="00014A9C">
      <w:pPr>
        <w:pStyle w:val="TableFigureCaption"/>
      </w:pPr>
      <w:r w:rsidRPr="0042047F">
        <w:t xml:space="preserve">Table </w:t>
      </w:r>
      <w:fldSimple w:instr=" SEQ Table \* ARABIC " w:fldLock="1">
        <w:r w:rsidR="005A7A1C">
          <w:rPr>
            <w:noProof/>
          </w:rPr>
          <w:t>17</w:t>
        </w:r>
      </w:fldSimple>
      <w:r w:rsidR="006C739C" w:rsidRPr="00656188">
        <w:t>: Results of sensitivity analyses</w:t>
      </w:r>
      <w:r w:rsidR="006C739C">
        <w:t xml:space="preserve"> for the cGVHD model</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7: Results of sensitivity analyses for the cGVHD model"/>
      </w:tblPr>
      <w:tblGrid>
        <w:gridCol w:w="5807"/>
        <w:gridCol w:w="1273"/>
        <w:gridCol w:w="1137"/>
        <w:gridCol w:w="1086"/>
      </w:tblGrid>
      <w:tr w:rsidR="006C739C" w:rsidRPr="00A6154D" w14:paraId="55CCF002" w14:textId="77777777" w:rsidTr="00E03A5A">
        <w:trPr>
          <w:tblHeader/>
        </w:trPr>
        <w:tc>
          <w:tcPr>
            <w:tcW w:w="5807" w:type="dxa"/>
            <w:vAlign w:val="center"/>
          </w:tcPr>
          <w:p w14:paraId="2AAAC7DC" w14:textId="77777777" w:rsidR="006C739C" w:rsidRPr="00A6154D" w:rsidRDefault="006C739C" w:rsidP="00014A9C">
            <w:pPr>
              <w:pStyle w:val="Tableheadingrow"/>
            </w:pPr>
            <w:bookmarkStart w:id="57" w:name="_Hlk107554699"/>
            <w:r w:rsidRPr="00A6154D">
              <w:t>Analyses</w:t>
            </w:r>
          </w:p>
        </w:tc>
        <w:tc>
          <w:tcPr>
            <w:tcW w:w="1273" w:type="dxa"/>
          </w:tcPr>
          <w:p w14:paraId="74C210FF" w14:textId="77777777" w:rsidR="006C739C" w:rsidRPr="00A6154D" w:rsidRDefault="006C739C" w:rsidP="00014A9C">
            <w:pPr>
              <w:pStyle w:val="Tableheadingrow"/>
              <w:jc w:val="center"/>
            </w:pPr>
            <w:r w:rsidRPr="00A6154D">
              <w:t>Incremental cost</w:t>
            </w:r>
          </w:p>
        </w:tc>
        <w:tc>
          <w:tcPr>
            <w:tcW w:w="1137" w:type="dxa"/>
          </w:tcPr>
          <w:p w14:paraId="541301D1" w14:textId="77777777" w:rsidR="006C739C" w:rsidRPr="00A6154D" w:rsidRDefault="006C739C" w:rsidP="00014A9C">
            <w:pPr>
              <w:pStyle w:val="Tableheadingrow"/>
              <w:jc w:val="center"/>
            </w:pPr>
            <w:r w:rsidRPr="00A6154D">
              <w:t>Incremental QALY</w:t>
            </w:r>
          </w:p>
        </w:tc>
        <w:tc>
          <w:tcPr>
            <w:tcW w:w="1086" w:type="dxa"/>
            <w:vAlign w:val="center"/>
          </w:tcPr>
          <w:p w14:paraId="7839A070" w14:textId="77777777" w:rsidR="006C739C" w:rsidRPr="00A6154D" w:rsidRDefault="006C739C" w:rsidP="00014A9C">
            <w:pPr>
              <w:pStyle w:val="Tableheadingrow"/>
              <w:jc w:val="center"/>
            </w:pPr>
            <w:r w:rsidRPr="00A6154D">
              <w:t>ICER</w:t>
            </w:r>
          </w:p>
        </w:tc>
      </w:tr>
      <w:tr w:rsidR="006C739C" w:rsidRPr="00A6154D" w14:paraId="614382EE" w14:textId="77777777" w:rsidTr="00E03A5A">
        <w:tc>
          <w:tcPr>
            <w:tcW w:w="5807" w:type="dxa"/>
          </w:tcPr>
          <w:p w14:paraId="3220585D" w14:textId="77777777" w:rsidR="006C739C" w:rsidRPr="00A6154D" w:rsidRDefault="006C739C" w:rsidP="00014A9C">
            <w:pPr>
              <w:pStyle w:val="TableText"/>
              <w:rPr>
                <w:b/>
              </w:rPr>
            </w:pPr>
            <w:r w:rsidRPr="00A6154D">
              <w:rPr>
                <w:b/>
              </w:rPr>
              <w:t>Base case</w:t>
            </w:r>
          </w:p>
        </w:tc>
        <w:tc>
          <w:tcPr>
            <w:tcW w:w="1273" w:type="dxa"/>
          </w:tcPr>
          <w:p w14:paraId="1DEAC73F" w14:textId="52BF1FDF" w:rsidR="006C739C" w:rsidRPr="00A6154D" w:rsidRDefault="006C739C" w:rsidP="00014A9C">
            <w:pPr>
              <w:pStyle w:val="TableText"/>
              <w:jc w:val="center"/>
              <w:rPr>
                <w:b/>
              </w:rPr>
            </w:pPr>
            <w:r w:rsidRPr="00A6154D">
              <w:rPr>
                <w:b/>
              </w:rPr>
              <w:t>$</w:t>
            </w:r>
            <w:r w:rsidR="00F96E54" w:rsidRPr="00F96E54">
              <w:rPr>
                <w:rFonts w:hint="eastAsia"/>
                <w:b/>
                <w:color w:val="000000"/>
                <w:w w:val="25"/>
                <w:shd w:val="solid" w:color="000000" w:fill="000000"/>
                <w:fitText w:val="112" w:id="-1435343605"/>
                <w14:textFill>
                  <w14:solidFill>
                    <w14:srgbClr w14:val="000000">
                      <w14:alpha w14:val="100000"/>
                    </w14:srgbClr>
                  </w14:solidFill>
                </w14:textFill>
              </w:rPr>
              <w:t xml:space="preserve">　</w:t>
            </w:r>
            <w:r w:rsidR="00F96E54" w:rsidRPr="00F96E54">
              <w:rPr>
                <w:b/>
                <w:color w:val="000000"/>
                <w:w w:val="25"/>
                <w:shd w:val="solid" w:color="000000" w:fill="000000"/>
                <w:fitText w:val="112" w:id="-1435343605"/>
                <w14:textFill>
                  <w14:solidFill>
                    <w14:srgbClr w14:val="000000">
                      <w14:alpha w14:val="100000"/>
                    </w14:srgbClr>
                  </w14:solidFill>
                </w14:textFill>
              </w:rPr>
              <w:t>|</w:t>
            </w:r>
            <w:r w:rsidR="00F96E54" w:rsidRPr="00F96E54">
              <w:rPr>
                <w:rFonts w:hint="eastAsia"/>
                <w:b/>
                <w:color w:val="000000"/>
                <w:w w:val="25"/>
                <w:shd w:val="solid" w:color="000000" w:fill="000000"/>
                <w:fitText w:val="112" w:id="-1435343605"/>
                <w14:textFill>
                  <w14:solidFill>
                    <w14:srgbClr w14:val="000000">
                      <w14:alpha w14:val="100000"/>
                    </w14:srgbClr>
                  </w14:solidFill>
                </w14:textFill>
              </w:rPr>
              <w:t xml:space="preserve">　</w:t>
            </w:r>
          </w:p>
        </w:tc>
        <w:tc>
          <w:tcPr>
            <w:tcW w:w="1137" w:type="dxa"/>
          </w:tcPr>
          <w:p w14:paraId="52EA7F19" w14:textId="6CB67668" w:rsidR="006C739C" w:rsidRPr="00A6154D" w:rsidRDefault="00B24140" w:rsidP="00014A9C">
            <w:pPr>
              <w:pStyle w:val="TableText"/>
              <w:jc w:val="center"/>
              <w:rPr>
                <w:b/>
              </w:rPr>
            </w:pPr>
            <w:r w:rsidRPr="00A6154D">
              <w:rPr>
                <w:b/>
              </w:rPr>
              <w:t>0.4475</w:t>
            </w:r>
          </w:p>
        </w:tc>
        <w:tc>
          <w:tcPr>
            <w:tcW w:w="1086" w:type="dxa"/>
          </w:tcPr>
          <w:p w14:paraId="091AB94D" w14:textId="1EDECC57" w:rsidR="006C739C" w:rsidRPr="00C950B3" w:rsidRDefault="006C739C" w:rsidP="00014A9C">
            <w:pPr>
              <w:pStyle w:val="TableText"/>
              <w:jc w:val="center"/>
              <w:rPr>
                <w:b/>
                <w:vertAlign w:val="superscript"/>
              </w:rPr>
            </w:pPr>
            <w:r w:rsidRPr="00A6154D">
              <w:rPr>
                <w:b/>
              </w:rPr>
              <w:t>$</w:t>
            </w:r>
            <w:r w:rsidR="00F96E54" w:rsidRPr="00F96E54">
              <w:rPr>
                <w:b/>
                <w:color w:val="000000"/>
                <w:spacing w:val="43"/>
                <w:shd w:val="solid" w:color="000000" w:fill="000000"/>
                <w:fitText w:val="225" w:id="-1435343604"/>
                <w14:textFill>
                  <w14:solidFill>
                    <w14:srgbClr w14:val="000000">
                      <w14:alpha w14:val="100000"/>
                    </w14:srgbClr>
                  </w14:solidFill>
                </w14:textFill>
              </w:rPr>
              <w:t>||</w:t>
            </w:r>
            <w:r w:rsidR="00F96E54" w:rsidRPr="00F96E54">
              <w:rPr>
                <w:b/>
                <w:color w:val="000000"/>
                <w:spacing w:val="2"/>
                <w:shd w:val="solid" w:color="000000" w:fill="000000"/>
                <w:fitText w:val="225" w:id="-1435343604"/>
                <w14:textFill>
                  <w14:solidFill>
                    <w14:srgbClr w14:val="000000">
                      <w14:alpha w14:val="100000"/>
                    </w14:srgbClr>
                  </w14:solidFill>
                </w14:textFill>
              </w:rPr>
              <w:t>|</w:t>
            </w:r>
            <w:r w:rsidR="0047021A">
              <w:rPr>
                <w:b/>
                <w:vertAlign w:val="superscript"/>
              </w:rPr>
              <w:t>1</w:t>
            </w:r>
          </w:p>
        </w:tc>
      </w:tr>
      <w:bookmarkEnd w:id="57"/>
      <w:tr w:rsidR="006C739C" w:rsidRPr="00A6154D" w14:paraId="6698501C" w14:textId="77777777" w:rsidTr="00A361A7">
        <w:tc>
          <w:tcPr>
            <w:tcW w:w="9303" w:type="dxa"/>
            <w:gridSpan w:val="4"/>
          </w:tcPr>
          <w:p w14:paraId="7602DAFF" w14:textId="77777777" w:rsidR="006C739C" w:rsidRPr="00A6154D" w:rsidRDefault="006C739C" w:rsidP="00014A9C">
            <w:pPr>
              <w:pStyle w:val="TableText"/>
              <w:rPr>
                <w:b/>
              </w:rPr>
            </w:pPr>
            <w:r w:rsidRPr="00A6154D">
              <w:rPr>
                <w:b/>
              </w:rPr>
              <w:t>Initial randomisation seed (base case 53,149)</w:t>
            </w:r>
          </w:p>
        </w:tc>
      </w:tr>
      <w:tr w:rsidR="006C739C" w:rsidRPr="00A6154D" w14:paraId="2100779C" w14:textId="77777777" w:rsidTr="00E03A5A">
        <w:tc>
          <w:tcPr>
            <w:tcW w:w="5807" w:type="dxa"/>
          </w:tcPr>
          <w:p w14:paraId="212295AE" w14:textId="77777777" w:rsidR="006C739C" w:rsidRPr="00A6154D" w:rsidRDefault="006C739C" w:rsidP="00014A9C">
            <w:pPr>
              <w:pStyle w:val="TableText"/>
              <w:rPr>
                <w:b/>
              </w:rPr>
            </w:pPr>
            <w:r w:rsidRPr="00A6154D">
              <w:t>Initial seed 27</w:t>
            </w:r>
          </w:p>
        </w:tc>
        <w:tc>
          <w:tcPr>
            <w:tcW w:w="1273" w:type="dxa"/>
            <w:vAlign w:val="center"/>
          </w:tcPr>
          <w:p w14:paraId="46D4EFA1" w14:textId="6CB9CF13" w:rsidR="006C739C" w:rsidRPr="00A6154D" w:rsidRDefault="006C739C" w:rsidP="00014A9C">
            <w:pPr>
              <w:pStyle w:val="TableText"/>
              <w:jc w:val="center"/>
              <w:rPr>
                <w:b/>
              </w:rPr>
            </w:pPr>
            <w:r w:rsidRPr="00A6154D">
              <w:rPr>
                <w:szCs w:val="20"/>
              </w:rPr>
              <w:t>$</w:t>
            </w:r>
            <w:r w:rsidR="00F96E54" w:rsidRPr="00F96E54">
              <w:rPr>
                <w:rFonts w:hint="eastAsia"/>
                <w:color w:val="000000"/>
                <w:w w:val="15"/>
                <w:szCs w:val="20"/>
                <w:shd w:val="solid" w:color="000000" w:fill="000000"/>
                <w:fitText w:val="63" w:id="-1435343603"/>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603"/>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603"/>
                <w14:textFill>
                  <w14:solidFill>
                    <w14:srgbClr w14:val="000000">
                      <w14:alpha w14:val="100000"/>
                    </w14:srgbClr>
                  </w14:solidFill>
                </w14:textFill>
              </w:rPr>
              <w:t xml:space="preserve">　</w:t>
            </w:r>
          </w:p>
        </w:tc>
        <w:tc>
          <w:tcPr>
            <w:tcW w:w="1137" w:type="dxa"/>
            <w:vAlign w:val="center"/>
          </w:tcPr>
          <w:p w14:paraId="71F9CEE6" w14:textId="77777777" w:rsidR="006C739C" w:rsidRPr="00A6154D" w:rsidRDefault="006C739C" w:rsidP="00014A9C">
            <w:pPr>
              <w:pStyle w:val="TableText"/>
              <w:jc w:val="center"/>
              <w:rPr>
                <w:b/>
              </w:rPr>
            </w:pPr>
            <w:r w:rsidRPr="00A6154D">
              <w:rPr>
                <w:szCs w:val="20"/>
              </w:rPr>
              <w:t>0.5165</w:t>
            </w:r>
          </w:p>
        </w:tc>
        <w:tc>
          <w:tcPr>
            <w:tcW w:w="1086" w:type="dxa"/>
          </w:tcPr>
          <w:p w14:paraId="17833E79" w14:textId="4D44CD1E" w:rsidR="006C739C" w:rsidRPr="00A6154D" w:rsidRDefault="006C739C" w:rsidP="00014A9C">
            <w:pPr>
              <w:pStyle w:val="TableText"/>
              <w:jc w:val="center"/>
              <w:rPr>
                <w:b/>
              </w:rPr>
            </w:pPr>
            <w:r w:rsidRPr="00A6154D">
              <w:rPr>
                <w:szCs w:val="20"/>
              </w:rPr>
              <w:t>$</w:t>
            </w:r>
            <w:r w:rsidR="00F96E54" w:rsidRPr="00F96E54">
              <w:rPr>
                <w:color w:val="000000"/>
                <w:spacing w:val="102"/>
                <w:szCs w:val="20"/>
                <w:shd w:val="solid" w:color="000000" w:fill="000000"/>
                <w:fitText w:val="188" w:id="-1435343602"/>
                <w14:textFill>
                  <w14:solidFill>
                    <w14:srgbClr w14:val="000000">
                      <w14:alpha w14:val="100000"/>
                    </w14:srgbClr>
                  </w14:solidFill>
                </w14:textFill>
              </w:rPr>
              <w:t>|</w:t>
            </w:r>
            <w:r w:rsidR="00F96E54" w:rsidRPr="00F96E54">
              <w:rPr>
                <w:color w:val="000000"/>
                <w:spacing w:val="1"/>
                <w:szCs w:val="20"/>
                <w:shd w:val="solid" w:color="000000" w:fill="000000"/>
                <w:fitText w:val="188" w:id="-1435343602"/>
                <w14:textFill>
                  <w14:solidFill>
                    <w14:srgbClr w14:val="000000">
                      <w14:alpha w14:val="100000"/>
                    </w14:srgbClr>
                  </w14:solidFill>
                </w14:textFill>
              </w:rPr>
              <w:t>|</w:t>
            </w:r>
            <w:r w:rsidR="0047021A">
              <w:rPr>
                <w:b/>
                <w:vertAlign w:val="superscript"/>
              </w:rPr>
              <w:t>2</w:t>
            </w:r>
          </w:p>
        </w:tc>
      </w:tr>
      <w:tr w:rsidR="006C739C" w:rsidRPr="00A6154D" w14:paraId="587A6396" w14:textId="77777777" w:rsidTr="00E03A5A">
        <w:tc>
          <w:tcPr>
            <w:tcW w:w="5807" w:type="dxa"/>
          </w:tcPr>
          <w:p w14:paraId="29F9525F" w14:textId="77777777" w:rsidR="006C739C" w:rsidRPr="00A6154D" w:rsidRDefault="006C739C" w:rsidP="00014A9C">
            <w:pPr>
              <w:pStyle w:val="TableText"/>
              <w:rPr>
                <w:b/>
              </w:rPr>
            </w:pPr>
            <w:r w:rsidRPr="00A6154D">
              <w:t>Initial seed 256</w:t>
            </w:r>
          </w:p>
        </w:tc>
        <w:tc>
          <w:tcPr>
            <w:tcW w:w="1273" w:type="dxa"/>
            <w:vAlign w:val="center"/>
          </w:tcPr>
          <w:p w14:paraId="5CD9D0EA" w14:textId="459FF44A" w:rsidR="006C739C" w:rsidRPr="00A6154D" w:rsidRDefault="006C739C" w:rsidP="00014A9C">
            <w:pPr>
              <w:pStyle w:val="TableText"/>
              <w:jc w:val="center"/>
              <w:rPr>
                <w:b/>
              </w:rPr>
            </w:pPr>
            <w:r w:rsidRPr="00A6154D">
              <w:rPr>
                <w:szCs w:val="20"/>
              </w:rPr>
              <w:t>$</w:t>
            </w:r>
            <w:r w:rsidR="00F96E54" w:rsidRPr="00F96E54">
              <w:rPr>
                <w:rFonts w:hint="eastAsia"/>
                <w:color w:val="000000"/>
                <w:w w:val="15"/>
                <w:szCs w:val="20"/>
                <w:shd w:val="solid" w:color="000000" w:fill="000000"/>
                <w:fitText w:val="63" w:id="-1435343601"/>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601"/>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601"/>
                <w14:textFill>
                  <w14:solidFill>
                    <w14:srgbClr w14:val="000000">
                      <w14:alpha w14:val="100000"/>
                    </w14:srgbClr>
                  </w14:solidFill>
                </w14:textFill>
              </w:rPr>
              <w:t xml:space="preserve">　</w:t>
            </w:r>
          </w:p>
        </w:tc>
        <w:tc>
          <w:tcPr>
            <w:tcW w:w="1137" w:type="dxa"/>
          </w:tcPr>
          <w:p w14:paraId="2B308903" w14:textId="77777777" w:rsidR="006C739C" w:rsidRPr="00A6154D" w:rsidRDefault="006C739C" w:rsidP="00014A9C">
            <w:pPr>
              <w:pStyle w:val="TableText"/>
              <w:jc w:val="center"/>
              <w:rPr>
                <w:b/>
              </w:rPr>
            </w:pPr>
            <w:r w:rsidRPr="00A6154D">
              <w:rPr>
                <w:szCs w:val="20"/>
              </w:rPr>
              <w:t>0.4207</w:t>
            </w:r>
          </w:p>
        </w:tc>
        <w:tc>
          <w:tcPr>
            <w:tcW w:w="1086" w:type="dxa"/>
          </w:tcPr>
          <w:p w14:paraId="0004F011" w14:textId="52D7C8A5" w:rsidR="006C739C" w:rsidRPr="00A6154D" w:rsidRDefault="006C739C" w:rsidP="00014A9C">
            <w:pPr>
              <w:pStyle w:val="TableText"/>
              <w:jc w:val="center"/>
              <w:rPr>
                <w:b/>
              </w:rPr>
            </w:pPr>
            <w:r w:rsidRPr="00A6154D">
              <w:rPr>
                <w:szCs w:val="20"/>
              </w:rPr>
              <w:t>$</w:t>
            </w:r>
            <w:r w:rsidR="00F96E54" w:rsidRPr="00F96E54">
              <w:rPr>
                <w:color w:val="000000"/>
                <w:spacing w:val="102"/>
                <w:szCs w:val="20"/>
                <w:shd w:val="solid" w:color="000000" w:fill="000000"/>
                <w:fitText w:val="188" w:id="-1435343600"/>
                <w14:textFill>
                  <w14:solidFill>
                    <w14:srgbClr w14:val="000000">
                      <w14:alpha w14:val="100000"/>
                    </w14:srgbClr>
                  </w14:solidFill>
                </w14:textFill>
              </w:rPr>
              <w:t>|</w:t>
            </w:r>
            <w:r w:rsidR="00F96E54" w:rsidRPr="00F96E54">
              <w:rPr>
                <w:color w:val="000000"/>
                <w:spacing w:val="1"/>
                <w:szCs w:val="20"/>
                <w:shd w:val="solid" w:color="000000" w:fill="000000"/>
                <w:fitText w:val="188" w:id="-1435343600"/>
                <w14:textFill>
                  <w14:solidFill>
                    <w14:srgbClr w14:val="000000">
                      <w14:alpha w14:val="100000"/>
                    </w14:srgbClr>
                  </w14:solidFill>
                </w14:textFill>
              </w:rPr>
              <w:t>|</w:t>
            </w:r>
            <w:r w:rsidR="0047021A">
              <w:rPr>
                <w:b/>
                <w:vertAlign w:val="superscript"/>
              </w:rPr>
              <w:t>1</w:t>
            </w:r>
          </w:p>
        </w:tc>
      </w:tr>
      <w:tr w:rsidR="006C739C" w:rsidRPr="00A6154D" w14:paraId="15B3B45E" w14:textId="77777777" w:rsidTr="00A361A7">
        <w:trPr>
          <w:trHeight w:val="70"/>
        </w:trPr>
        <w:tc>
          <w:tcPr>
            <w:tcW w:w="9303" w:type="dxa"/>
            <w:gridSpan w:val="4"/>
          </w:tcPr>
          <w:p w14:paraId="42717574" w14:textId="77777777" w:rsidR="006C739C" w:rsidRPr="00A6154D" w:rsidRDefault="006C739C" w:rsidP="00014A9C">
            <w:pPr>
              <w:pStyle w:val="TableText"/>
              <w:rPr>
                <w:b/>
              </w:rPr>
            </w:pPr>
            <w:r w:rsidRPr="00A6154D">
              <w:rPr>
                <w:b/>
              </w:rPr>
              <w:t>Discount rate (base case: 5% for benefits and costs)</w:t>
            </w:r>
          </w:p>
        </w:tc>
      </w:tr>
      <w:tr w:rsidR="006C739C" w:rsidRPr="00A6154D" w14:paraId="1B370F02" w14:textId="77777777" w:rsidTr="00E03A5A">
        <w:tc>
          <w:tcPr>
            <w:tcW w:w="5807" w:type="dxa"/>
          </w:tcPr>
          <w:p w14:paraId="2A1B29BB" w14:textId="77777777" w:rsidR="006C739C" w:rsidRPr="00A6154D" w:rsidRDefault="006C739C" w:rsidP="00014A9C">
            <w:pPr>
              <w:pStyle w:val="TableText"/>
            </w:pPr>
            <w:r w:rsidRPr="00A6154D">
              <w:t>0% for costs and benefits</w:t>
            </w:r>
          </w:p>
        </w:tc>
        <w:tc>
          <w:tcPr>
            <w:tcW w:w="1273" w:type="dxa"/>
          </w:tcPr>
          <w:p w14:paraId="6F1CAB85" w14:textId="64B26BFB" w:rsidR="006C739C" w:rsidRPr="00A6154D" w:rsidRDefault="006C739C" w:rsidP="00014A9C">
            <w:pPr>
              <w:pStyle w:val="TableText"/>
              <w:jc w:val="center"/>
            </w:pPr>
            <w:r w:rsidRPr="00A6154D">
              <w:t>$</w:t>
            </w:r>
            <w:r w:rsidR="00F96E54" w:rsidRPr="00F96E54">
              <w:rPr>
                <w:rFonts w:hint="eastAsia"/>
                <w:color w:val="000000"/>
                <w:w w:val="15"/>
                <w:shd w:val="solid" w:color="000000" w:fill="000000"/>
                <w:fitText w:val="63" w:id="-1435343616"/>
                <w14:textFill>
                  <w14:solidFill>
                    <w14:srgbClr w14:val="000000">
                      <w14:alpha w14:val="100000"/>
                    </w14:srgbClr>
                  </w14:solidFill>
                </w14:textFill>
              </w:rPr>
              <w:t xml:space="preserve">　</w:t>
            </w:r>
            <w:r w:rsidR="00F96E54" w:rsidRPr="00F96E54">
              <w:rPr>
                <w:color w:val="000000"/>
                <w:w w:val="15"/>
                <w:shd w:val="solid" w:color="000000" w:fill="000000"/>
                <w:fitText w:val="63" w:id="-1435343616"/>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616"/>
                <w14:textFill>
                  <w14:solidFill>
                    <w14:srgbClr w14:val="000000">
                      <w14:alpha w14:val="100000"/>
                    </w14:srgbClr>
                  </w14:solidFill>
                </w14:textFill>
              </w:rPr>
              <w:t xml:space="preserve">　</w:t>
            </w:r>
          </w:p>
        </w:tc>
        <w:tc>
          <w:tcPr>
            <w:tcW w:w="1137" w:type="dxa"/>
          </w:tcPr>
          <w:p w14:paraId="39ECFD2F" w14:textId="758FC0BC" w:rsidR="006C739C" w:rsidRPr="00A6154D" w:rsidRDefault="006C739C" w:rsidP="00014A9C">
            <w:pPr>
              <w:pStyle w:val="TableText"/>
              <w:jc w:val="center"/>
            </w:pPr>
            <w:r w:rsidRPr="00A6154D">
              <w:t>0.7</w:t>
            </w:r>
            <w:r w:rsidR="000C630B" w:rsidRPr="00A6154D">
              <w:t>546</w:t>
            </w:r>
          </w:p>
        </w:tc>
        <w:tc>
          <w:tcPr>
            <w:tcW w:w="1086" w:type="dxa"/>
          </w:tcPr>
          <w:p w14:paraId="53B9D541" w14:textId="59AFFF64" w:rsidR="006C739C" w:rsidRPr="00A6154D" w:rsidRDefault="006C739C" w:rsidP="00014A9C">
            <w:pPr>
              <w:pStyle w:val="TableText"/>
              <w:jc w:val="center"/>
            </w:pPr>
            <w:r w:rsidRPr="00A6154D">
              <w:t>$</w:t>
            </w:r>
            <w:r w:rsidR="00F96E54" w:rsidRPr="00F96E54">
              <w:rPr>
                <w:color w:val="000000"/>
                <w:spacing w:val="102"/>
                <w:shd w:val="solid" w:color="000000" w:fill="000000"/>
                <w:fitText w:val="188" w:id="-1435343615"/>
                <w14:textFill>
                  <w14:solidFill>
                    <w14:srgbClr w14:val="000000">
                      <w14:alpha w14:val="100000"/>
                    </w14:srgbClr>
                  </w14:solidFill>
                </w14:textFill>
              </w:rPr>
              <w:t>|</w:t>
            </w:r>
            <w:r w:rsidR="00F96E54" w:rsidRPr="00F96E54">
              <w:rPr>
                <w:color w:val="000000"/>
                <w:spacing w:val="1"/>
                <w:shd w:val="solid" w:color="000000" w:fill="000000"/>
                <w:fitText w:val="188" w:id="-1435343615"/>
                <w14:textFill>
                  <w14:solidFill>
                    <w14:srgbClr w14:val="000000">
                      <w14:alpha w14:val="100000"/>
                    </w14:srgbClr>
                  </w14:solidFill>
                </w14:textFill>
              </w:rPr>
              <w:t>|</w:t>
            </w:r>
            <w:r w:rsidR="0047021A">
              <w:rPr>
                <w:b/>
                <w:vertAlign w:val="superscript"/>
              </w:rPr>
              <w:t>3</w:t>
            </w:r>
          </w:p>
        </w:tc>
      </w:tr>
      <w:tr w:rsidR="006C739C" w:rsidRPr="00A6154D" w14:paraId="60C9D33B" w14:textId="77777777" w:rsidTr="00E03A5A">
        <w:tc>
          <w:tcPr>
            <w:tcW w:w="5807" w:type="dxa"/>
          </w:tcPr>
          <w:p w14:paraId="2A4784E3" w14:textId="77777777" w:rsidR="006C739C" w:rsidRPr="00A6154D" w:rsidRDefault="006C739C" w:rsidP="00014A9C">
            <w:pPr>
              <w:pStyle w:val="TableText"/>
            </w:pPr>
            <w:r w:rsidRPr="00A6154D">
              <w:t>3.5% for costs and benefits</w:t>
            </w:r>
          </w:p>
        </w:tc>
        <w:tc>
          <w:tcPr>
            <w:tcW w:w="1273" w:type="dxa"/>
          </w:tcPr>
          <w:p w14:paraId="14C1C50B" w14:textId="7BFE2A5E" w:rsidR="006C739C" w:rsidRPr="00A6154D" w:rsidRDefault="006C739C" w:rsidP="00014A9C">
            <w:pPr>
              <w:pStyle w:val="TableText"/>
              <w:jc w:val="center"/>
            </w:pPr>
            <w:r w:rsidRPr="00A6154D">
              <w:t>$</w:t>
            </w:r>
            <w:r w:rsidR="00F96E54" w:rsidRPr="00F96E54">
              <w:rPr>
                <w:rFonts w:hint="eastAsia"/>
                <w:color w:val="000000"/>
                <w:w w:val="15"/>
                <w:shd w:val="solid" w:color="000000" w:fill="000000"/>
                <w:fitText w:val="63" w:id="-1435343614"/>
                <w14:textFill>
                  <w14:solidFill>
                    <w14:srgbClr w14:val="000000">
                      <w14:alpha w14:val="100000"/>
                    </w14:srgbClr>
                  </w14:solidFill>
                </w14:textFill>
              </w:rPr>
              <w:t xml:space="preserve">　</w:t>
            </w:r>
            <w:r w:rsidR="00F96E54" w:rsidRPr="00F96E54">
              <w:rPr>
                <w:color w:val="000000"/>
                <w:w w:val="15"/>
                <w:shd w:val="solid" w:color="000000" w:fill="000000"/>
                <w:fitText w:val="63" w:id="-1435343614"/>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614"/>
                <w14:textFill>
                  <w14:solidFill>
                    <w14:srgbClr w14:val="000000">
                      <w14:alpha w14:val="100000"/>
                    </w14:srgbClr>
                  </w14:solidFill>
                </w14:textFill>
              </w:rPr>
              <w:t xml:space="preserve">　</w:t>
            </w:r>
          </w:p>
        </w:tc>
        <w:tc>
          <w:tcPr>
            <w:tcW w:w="1137" w:type="dxa"/>
          </w:tcPr>
          <w:p w14:paraId="68B102E5" w14:textId="4972CB92" w:rsidR="006C739C" w:rsidRPr="00A6154D" w:rsidRDefault="006C739C" w:rsidP="00014A9C">
            <w:pPr>
              <w:pStyle w:val="TableText"/>
              <w:jc w:val="center"/>
            </w:pPr>
            <w:r w:rsidRPr="00A6154D">
              <w:t>0.</w:t>
            </w:r>
            <w:r w:rsidR="00B024CF" w:rsidRPr="00A6154D">
              <w:t>5159</w:t>
            </w:r>
          </w:p>
        </w:tc>
        <w:tc>
          <w:tcPr>
            <w:tcW w:w="1086" w:type="dxa"/>
          </w:tcPr>
          <w:p w14:paraId="69C90B77" w14:textId="4BBF83DD" w:rsidR="006C739C" w:rsidRPr="00A6154D" w:rsidRDefault="006C739C" w:rsidP="00014A9C">
            <w:pPr>
              <w:pStyle w:val="TableText"/>
              <w:jc w:val="center"/>
            </w:pPr>
            <w:r w:rsidRPr="00A6154D">
              <w:t>$</w:t>
            </w:r>
            <w:r w:rsidR="00F96E54" w:rsidRPr="00F96E54">
              <w:rPr>
                <w:color w:val="000000"/>
                <w:spacing w:val="102"/>
                <w:shd w:val="solid" w:color="000000" w:fill="000000"/>
                <w:fitText w:val="188" w:id="-1435343613"/>
                <w14:textFill>
                  <w14:solidFill>
                    <w14:srgbClr w14:val="000000">
                      <w14:alpha w14:val="100000"/>
                    </w14:srgbClr>
                  </w14:solidFill>
                </w14:textFill>
              </w:rPr>
              <w:t>|</w:t>
            </w:r>
            <w:r w:rsidR="00F96E54" w:rsidRPr="00F96E54">
              <w:rPr>
                <w:color w:val="000000"/>
                <w:spacing w:val="1"/>
                <w:shd w:val="solid" w:color="000000" w:fill="000000"/>
                <w:fitText w:val="188" w:id="-1435343613"/>
                <w14:textFill>
                  <w14:solidFill>
                    <w14:srgbClr w14:val="000000">
                      <w14:alpha w14:val="100000"/>
                    </w14:srgbClr>
                  </w14:solidFill>
                </w14:textFill>
              </w:rPr>
              <w:t>|</w:t>
            </w:r>
            <w:r w:rsidR="0047021A">
              <w:rPr>
                <w:b/>
                <w:vertAlign w:val="superscript"/>
              </w:rPr>
              <w:t>1</w:t>
            </w:r>
          </w:p>
        </w:tc>
      </w:tr>
      <w:tr w:rsidR="006C739C" w:rsidRPr="00A6154D" w14:paraId="1B8CACC7" w14:textId="77777777" w:rsidTr="00A361A7">
        <w:tc>
          <w:tcPr>
            <w:tcW w:w="9303" w:type="dxa"/>
            <w:gridSpan w:val="4"/>
          </w:tcPr>
          <w:p w14:paraId="39B97A11" w14:textId="77777777" w:rsidR="006C739C" w:rsidRPr="00A6154D" w:rsidRDefault="006C739C" w:rsidP="00014A9C">
            <w:pPr>
              <w:pStyle w:val="TableText"/>
            </w:pPr>
            <w:r w:rsidRPr="00A6154D">
              <w:rPr>
                <w:b/>
              </w:rPr>
              <w:t>Time horizon (base case: 30 years)</w:t>
            </w:r>
          </w:p>
        </w:tc>
      </w:tr>
      <w:tr w:rsidR="00034152" w:rsidRPr="00A6154D" w14:paraId="2F818A01" w14:textId="77777777" w:rsidTr="00E03A5A">
        <w:tc>
          <w:tcPr>
            <w:tcW w:w="5807" w:type="dxa"/>
          </w:tcPr>
          <w:p w14:paraId="43754B24" w14:textId="0405451F" w:rsidR="00034152" w:rsidRPr="00A6154D" w:rsidRDefault="00034152" w:rsidP="00014A9C">
            <w:pPr>
              <w:pStyle w:val="TableText"/>
            </w:pPr>
            <w:r w:rsidRPr="00A6154D">
              <w:t>5 years</w:t>
            </w:r>
          </w:p>
        </w:tc>
        <w:tc>
          <w:tcPr>
            <w:tcW w:w="1273" w:type="dxa"/>
          </w:tcPr>
          <w:p w14:paraId="05D07E39" w14:textId="5BD4D9D5" w:rsidR="00034152" w:rsidRPr="00A6154D" w:rsidRDefault="00612C91" w:rsidP="00014A9C">
            <w:pPr>
              <w:pStyle w:val="TableText"/>
              <w:jc w:val="center"/>
            </w:pPr>
            <w:r w:rsidRPr="00A6154D">
              <w:t>$</w:t>
            </w:r>
            <w:r w:rsidR="00F96E54" w:rsidRPr="00F96E54">
              <w:rPr>
                <w:rFonts w:hint="eastAsia"/>
                <w:color w:val="000000"/>
                <w:w w:val="15"/>
                <w:shd w:val="solid" w:color="000000" w:fill="000000"/>
                <w:fitText w:val="63" w:id="-1435343612"/>
                <w14:textFill>
                  <w14:solidFill>
                    <w14:srgbClr w14:val="000000">
                      <w14:alpha w14:val="100000"/>
                    </w14:srgbClr>
                  </w14:solidFill>
                </w14:textFill>
              </w:rPr>
              <w:t xml:space="preserve">　</w:t>
            </w:r>
            <w:r w:rsidR="00F96E54" w:rsidRPr="00F96E54">
              <w:rPr>
                <w:color w:val="000000"/>
                <w:w w:val="15"/>
                <w:shd w:val="solid" w:color="000000" w:fill="000000"/>
                <w:fitText w:val="63" w:id="-1435343612"/>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612"/>
                <w14:textFill>
                  <w14:solidFill>
                    <w14:srgbClr w14:val="000000">
                      <w14:alpha w14:val="100000"/>
                    </w14:srgbClr>
                  </w14:solidFill>
                </w14:textFill>
              </w:rPr>
              <w:t xml:space="preserve">　</w:t>
            </w:r>
          </w:p>
        </w:tc>
        <w:tc>
          <w:tcPr>
            <w:tcW w:w="1137" w:type="dxa"/>
          </w:tcPr>
          <w:p w14:paraId="2A86F187" w14:textId="3623447F" w:rsidR="00034152" w:rsidRPr="00A6154D" w:rsidRDefault="00612C91" w:rsidP="00014A9C">
            <w:pPr>
              <w:pStyle w:val="TableText"/>
              <w:jc w:val="center"/>
            </w:pPr>
            <w:r w:rsidRPr="00A6154D">
              <w:t>0.1158</w:t>
            </w:r>
          </w:p>
        </w:tc>
        <w:tc>
          <w:tcPr>
            <w:tcW w:w="1086" w:type="dxa"/>
          </w:tcPr>
          <w:p w14:paraId="15EC90F3" w14:textId="33AFBD47" w:rsidR="00034152" w:rsidRPr="00A6154D" w:rsidRDefault="00612C91" w:rsidP="00014A9C">
            <w:pPr>
              <w:pStyle w:val="TableText"/>
              <w:jc w:val="center"/>
            </w:pPr>
            <w:r w:rsidRPr="00A6154D">
              <w:t>$</w:t>
            </w:r>
            <w:r w:rsidR="00F96E54" w:rsidRPr="00F96E54">
              <w:rPr>
                <w:color w:val="000000"/>
                <w:spacing w:val="102"/>
                <w:shd w:val="solid" w:color="000000" w:fill="000000"/>
                <w:fitText w:val="188" w:id="-1435343611"/>
                <w14:textFill>
                  <w14:solidFill>
                    <w14:srgbClr w14:val="000000">
                      <w14:alpha w14:val="100000"/>
                    </w14:srgbClr>
                  </w14:solidFill>
                </w14:textFill>
              </w:rPr>
              <w:t>|</w:t>
            </w:r>
            <w:r w:rsidR="00F96E54" w:rsidRPr="00F96E54">
              <w:rPr>
                <w:color w:val="000000"/>
                <w:spacing w:val="1"/>
                <w:shd w:val="solid" w:color="000000" w:fill="000000"/>
                <w:fitText w:val="188" w:id="-1435343611"/>
                <w14:textFill>
                  <w14:solidFill>
                    <w14:srgbClr w14:val="000000">
                      <w14:alpha w14:val="100000"/>
                    </w14:srgbClr>
                  </w14:solidFill>
                </w14:textFill>
              </w:rPr>
              <w:t>|</w:t>
            </w:r>
            <w:r w:rsidR="0047021A">
              <w:rPr>
                <w:b/>
                <w:vertAlign w:val="superscript"/>
              </w:rPr>
              <w:t>4</w:t>
            </w:r>
          </w:p>
        </w:tc>
      </w:tr>
      <w:tr w:rsidR="006C739C" w:rsidRPr="00A6154D" w14:paraId="4ED876A2" w14:textId="77777777" w:rsidTr="00E03A5A">
        <w:tc>
          <w:tcPr>
            <w:tcW w:w="5807" w:type="dxa"/>
          </w:tcPr>
          <w:p w14:paraId="7ECD1685" w14:textId="77777777" w:rsidR="006C739C" w:rsidRPr="00A6154D" w:rsidRDefault="006C739C" w:rsidP="00014A9C">
            <w:pPr>
              <w:pStyle w:val="TableText"/>
            </w:pPr>
            <w:r w:rsidRPr="00A6154D">
              <w:t>10 years</w:t>
            </w:r>
          </w:p>
        </w:tc>
        <w:tc>
          <w:tcPr>
            <w:tcW w:w="1273" w:type="dxa"/>
          </w:tcPr>
          <w:p w14:paraId="1CE5F06B" w14:textId="35AE8201" w:rsidR="006C739C" w:rsidRPr="00A6154D" w:rsidRDefault="006C739C" w:rsidP="00014A9C">
            <w:pPr>
              <w:pStyle w:val="TableText"/>
              <w:jc w:val="center"/>
            </w:pPr>
            <w:r w:rsidRPr="00A6154D">
              <w:t>$</w:t>
            </w:r>
            <w:r w:rsidR="00F96E54" w:rsidRPr="00F96E54">
              <w:rPr>
                <w:rFonts w:hint="eastAsia"/>
                <w:color w:val="000000"/>
                <w:w w:val="15"/>
                <w:shd w:val="solid" w:color="000000" w:fill="000000"/>
                <w:fitText w:val="63" w:id="-1435343610"/>
                <w14:textFill>
                  <w14:solidFill>
                    <w14:srgbClr w14:val="000000">
                      <w14:alpha w14:val="100000"/>
                    </w14:srgbClr>
                  </w14:solidFill>
                </w14:textFill>
              </w:rPr>
              <w:t xml:space="preserve">　</w:t>
            </w:r>
            <w:r w:rsidR="00F96E54" w:rsidRPr="00F96E54">
              <w:rPr>
                <w:color w:val="000000"/>
                <w:w w:val="15"/>
                <w:shd w:val="solid" w:color="000000" w:fill="000000"/>
                <w:fitText w:val="63" w:id="-1435343610"/>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610"/>
                <w14:textFill>
                  <w14:solidFill>
                    <w14:srgbClr w14:val="000000">
                      <w14:alpha w14:val="100000"/>
                    </w14:srgbClr>
                  </w14:solidFill>
                </w14:textFill>
              </w:rPr>
              <w:t xml:space="preserve">　</w:t>
            </w:r>
          </w:p>
        </w:tc>
        <w:tc>
          <w:tcPr>
            <w:tcW w:w="1137" w:type="dxa"/>
          </w:tcPr>
          <w:p w14:paraId="3C44F557" w14:textId="3215745D" w:rsidR="006C739C" w:rsidRPr="00A6154D" w:rsidRDefault="006C739C" w:rsidP="00014A9C">
            <w:pPr>
              <w:pStyle w:val="TableText"/>
              <w:jc w:val="center"/>
            </w:pPr>
            <w:r w:rsidRPr="00A6154D">
              <w:t>0.2</w:t>
            </w:r>
            <w:r w:rsidR="00A347F4" w:rsidRPr="00A6154D">
              <w:t>460</w:t>
            </w:r>
          </w:p>
        </w:tc>
        <w:tc>
          <w:tcPr>
            <w:tcW w:w="1086" w:type="dxa"/>
          </w:tcPr>
          <w:p w14:paraId="3C84D47C" w14:textId="28F3BE87" w:rsidR="006C739C" w:rsidRPr="00A6154D" w:rsidRDefault="006C739C" w:rsidP="00014A9C">
            <w:pPr>
              <w:pStyle w:val="TableText"/>
              <w:jc w:val="center"/>
            </w:pPr>
            <w:r w:rsidRPr="00A6154D">
              <w:t>$</w:t>
            </w:r>
            <w:r w:rsidR="00F96E54" w:rsidRPr="00F96E54">
              <w:rPr>
                <w:color w:val="000000"/>
                <w:spacing w:val="102"/>
                <w:shd w:val="solid" w:color="000000" w:fill="000000"/>
                <w:fitText w:val="188" w:id="-1435343609"/>
                <w14:textFill>
                  <w14:solidFill>
                    <w14:srgbClr w14:val="000000">
                      <w14:alpha w14:val="100000"/>
                    </w14:srgbClr>
                  </w14:solidFill>
                </w14:textFill>
              </w:rPr>
              <w:t>|</w:t>
            </w:r>
            <w:r w:rsidR="00F96E54" w:rsidRPr="00F96E54">
              <w:rPr>
                <w:color w:val="000000"/>
                <w:spacing w:val="1"/>
                <w:shd w:val="solid" w:color="000000" w:fill="000000"/>
                <w:fitText w:val="188" w:id="-1435343609"/>
                <w14:textFill>
                  <w14:solidFill>
                    <w14:srgbClr w14:val="000000">
                      <w14:alpha w14:val="100000"/>
                    </w14:srgbClr>
                  </w14:solidFill>
                </w14:textFill>
              </w:rPr>
              <w:t>|</w:t>
            </w:r>
            <w:r w:rsidR="0047021A">
              <w:rPr>
                <w:b/>
                <w:vertAlign w:val="superscript"/>
              </w:rPr>
              <w:t>5</w:t>
            </w:r>
          </w:p>
        </w:tc>
      </w:tr>
      <w:tr w:rsidR="006C739C" w:rsidRPr="00A6154D" w14:paraId="2D60168E" w14:textId="77777777" w:rsidTr="00E03A5A">
        <w:tc>
          <w:tcPr>
            <w:tcW w:w="5807" w:type="dxa"/>
          </w:tcPr>
          <w:p w14:paraId="614BF9AB" w14:textId="77777777" w:rsidR="006C739C" w:rsidRPr="00A6154D" w:rsidRDefault="006C739C" w:rsidP="00014A9C">
            <w:pPr>
              <w:pStyle w:val="TableText"/>
            </w:pPr>
            <w:r w:rsidRPr="00A6154D">
              <w:t>15 years</w:t>
            </w:r>
          </w:p>
        </w:tc>
        <w:tc>
          <w:tcPr>
            <w:tcW w:w="1273" w:type="dxa"/>
          </w:tcPr>
          <w:p w14:paraId="3AB606A3" w14:textId="27157BA1" w:rsidR="006C739C" w:rsidRPr="00A6154D" w:rsidRDefault="006C739C" w:rsidP="00014A9C">
            <w:pPr>
              <w:pStyle w:val="TableText"/>
              <w:jc w:val="center"/>
            </w:pPr>
            <w:r w:rsidRPr="00A6154D">
              <w:t>$</w:t>
            </w:r>
            <w:r w:rsidR="00F96E54" w:rsidRPr="00F96E54">
              <w:rPr>
                <w:rFonts w:hint="eastAsia"/>
                <w:color w:val="000000"/>
                <w:w w:val="15"/>
                <w:shd w:val="solid" w:color="000000" w:fill="000000"/>
                <w:fitText w:val="63" w:id="-1435343360"/>
                <w14:textFill>
                  <w14:solidFill>
                    <w14:srgbClr w14:val="000000">
                      <w14:alpha w14:val="100000"/>
                    </w14:srgbClr>
                  </w14:solidFill>
                </w14:textFill>
              </w:rPr>
              <w:t xml:space="preserve">　</w:t>
            </w:r>
            <w:r w:rsidR="00F96E54" w:rsidRPr="00F96E54">
              <w:rPr>
                <w:color w:val="000000"/>
                <w:w w:val="15"/>
                <w:shd w:val="solid" w:color="000000" w:fill="000000"/>
                <w:fitText w:val="63" w:id="-1435343360"/>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60"/>
                <w14:textFill>
                  <w14:solidFill>
                    <w14:srgbClr w14:val="000000">
                      <w14:alpha w14:val="100000"/>
                    </w14:srgbClr>
                  </w14:solidFill>
                </w14:textFill>
              </w:rPr>
              <w:t xml:space="preserve">　</w:t>
            </w:r>
          </w:p>
        </w:tc>
        <w:tc>
          <w:tcPr>
            <w:tcW w:w="1137" w:type="dxa"/>
          </w:tcPr>
          <w:p w14:paraId="74297C2B" w14:textId="0190F3A1" w:rsidR="006C739C" w:rsidRPr="00A6154D" w:rsidRDefault="006C739C" w:rsidP="00014A9C">
            <w:pPr>
              <w:pStyle w:val="TableText"/>
              <w:jc w:val="center"/>
            </w:pPr>
            <w:r w:rsidRPr="00A6154D">
              <w:t>0.3</w:t>
            </w:r>
            <w:r w:rsidR="007B4795" w:rsidRPr="00A6154D">
              <w:t>471</w:t>
            </w:r>
          </w:p>
        </w:tc>
        <w:tc>
          <w:tcPr>
            <w:tcW w:w="1086" w:type="dxa"/>
          </w:tcPr>
          <w:p w14:paraId="768D7F78" w14:textId="791C9369" w:rsidR="006C739C" w:rsidRPr="00A6154D" w:rsidRDefault="006C739C" w:rsidP="00014A9C">
            <w:pPr>
              <w:pStyle w:val="TableText"/>
              <w:jc w:val="center"/>
            </w:pPr>
            <w:r w:rsidRPr="00A6154D">
              <w:t>$</w:t>
            </w:r>
            <w:r w:rsidR="00F96E54" w:rsidRPr="00F96E54">
              <w:rPr>
                <w:color w:val="000000"/>
                <w:spacing w:val="102"/>
                <w:shd w:val="solid" w:color="000000" w:fill="000000"/>
                <w:fitText w:val="188" w:id="-1435343359"/>
                <w14:textFill>
                  <w14:solidFill>
                    <w14:srgbClr w14:val="000000">
                      <w14:alpha w14:val="100000"/>
                    </w14:srgbClr>
                  </w14:solidFill>
                </w14:textFill>
              </w:rPr>
              <w:t>|</w:t>
            </w:r>
            <w:r w:rsidR="00F96E54" w:rsidRPr="00F96E54">
              <w:rPr>
                <w:color w:val="000000"/>
                <w:spacing w:val="1"/>
                <w:shd w:val="solid" w:color="000000" w:fill="000000"/>
                <w:fitText w:val="188" w:id="-1435343359"/>
                <w14:textFill>
                  <w14:solidFill>
                    <w14:srgbClr w14:val="000000">
                      <w14:alpha w14:val="100000"/>
                    </w14:srgbClr>
                  </w14:solidFill>
                </w14:textFill>
              </w:rPr>
              <w:t>|</w:t>
            </w:r>
            <w:r w:rsidR="0047021A">
              <w:rPr>
                <w:b/>
                <w:vertAlign w:val="superscript"/>
              </w:rPr>
              <w:t>6</w:t>
            </w:r>
          </w:p>
        </w:tc>
      </w:tr>
      <w:tr w:rsidR="006C739C" w:rsidRPr="00A6154D" w14:paraId="1B4E6AFE" w14:textId="77777777" w:rsidTr="00E03A5A">
        <w:tc>
          <w:tcPr>
            <w:tcW w:w="5807" w:type="dxa"/>
          </w:tcPr>
          <w:p w14:paraId="5A4E1815" w14:textId="77777777" w:rsidR="006C739C" w:rsidRPr="00A6154D" w:rsidRDefault="006C739C" w:rsidP="00014A9C">
            <w:pPr>
              <w:pStyle w:val="TableText"/>
            </w:pPr>
            <w:r w:rsidRPr="00A6154D">
              <w:t>20 years</w:t>
            </w:r>
          </w:p>
        </w:tc>
        <w:tc>
          <w:tcPr>
            <w:tcW w:w="1273" w:type="dxa"/>
          </w:tcPr>
          <w:p w14:paraId="00FEB6F3" w14:textId="7CD12B02" w:rsidR="006C739C" w:rsidRPr="00A6154D" w:rsidRDefault="006C739C" w:rsidP="00014A9C">
            <w:pPr>
              <w:pStyle w:val="TableText"/>
              <w:jc w:val="center"/>
            </w:pPr>
            <w:r w:rsidRPr="00A6154D">
              <w:t>$</w:t>
            </w:r>
            <w:r w:rsidR="00F96E54" w:rsidRPr="00F96E54">
              <w:rPr>
                <w:rFonts w:hint="eastAsia"/>
                <w:color w:val="000000"/>
                <w:w w:val="15"/>
                <w:shd w:val="solid" w:color="000000" w:fill="000000"/>
                <w:fitText w:val="63" w:id="-1435343358"/>
                <w14:textFill>
                  <w14:solidFill>
                    <w14:srgbClr w14:val="000000">
                      <w14:alpha w14:val="100000"/>
                    </w14:srgbClr>
                  </w14:solidFill>
                </w14:textFill>
              </w:rPr>
              <w:t xml:space="preserve">　</w:t>
            </w:r>
            <w:r w:rsidR="00F96E54" w:rsidRPr="00F96E54">
              <w:rPr>
                <w:color w:val="000000"/>
                <w:w w:val="15"/>
                <w:shd w:val="solid" w:color="000000" w:fill="000000"/>
                <w:fitText w:val="63" w:id="-1435343358"/>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8"/>
                <w14:textFill>
                  <w14:solidFill>
                    <w14:srgbClr w14:val="000000">
                      <w14:alpha w14:val="100000"/>
                    </w14:srgbClr>
                  </w14:solidFill>
                </w14:textFill>
              </w:rPr>
              <w:t xml:space="preserve">　</w:t>
            </w:r>
          </w:p>
        </w:tc>
        <w:tc>
          <w:tcPr>
            <w:tcW w:w="1137" w:type="dxa"/>
          </w:tcPr>
          <w:p w14:paraId="46BD292C" w14:textId="780543E2" w:rsidR="006C739C" w:rsidRPr="00A6154D" w:rsidRDefault="006C739C" w:rsidP="00014A9C">
            <w:pPr>
              <w:pStyle w:val="TableText"/>
              <w:jc w:val="center"/>
            </w:pPr>
            <w:r w:rsidRPr="00A6154D">
              <w:t>0.4</w:t>
            </w:r>
            <w:r w:rsidR="0072053E" w:rsidRPr="00A6154D">
              <w:t>060</w:t>
            </w:r>
          </w:p>
        </w:tc>
        <w:tc>
          <w:tcPr>
            <w:tcW w:w="1086" w:type="dxa"/>
          </w:tcPr>
          <w:p w14:paraId="61E14CDB" w14:textId="17C7167C" w:rsidR="006C739C" w:rsidRPr="00A6154D" w:rsidRDefault="006C739C" w:rsidP="00014A9C">
            <w:pPr>
              <w:pStyle w:val="TableText"/>
              <w:jc w:val="center"/>
            </w:pPr>
            <w:r w:rsidRPr="00A6154D">
              <w:t>$</w:t>
            </w:r>
            <w:r w:rsidR="00F96E54" w:rsidRPr="00F96E54">
              <w:rPr>
                <w:color w:val="000000"/>
                <w:spacing w:val="102"/>
                <w:shd w:val="solid" w:color="000000" w:fill="000000"/>
                <w:fitText w:val="188" w:id="-1435343357"/>
                <w14:textFill>
                  <w14:solidFill>
                    <w14:srgbClr w14:val="000000">
                      <w14:alpha w14:val="100000"/>
                    </w14:srgbClr>
                  </w14:solidFill>
                </w14:textFill>
              </w:rPr>
              <w:t>|</w:t>
            </w:r>
            <w:r w:rsidR="00F96E54" w:rsidRPr="00F96E54">
              <w:rPr>
                <w:color w:val="000000"/>
                <w:spacing w:val="1"/>
                <w:shd w:val="solid" w:color="000000" w:fill="000000"/>
                <w:fitText w:val="188" w:id="-1435343357"/>
                <w14:textFill>
                  <w14:solidFill>
                    <w14:srgbClr w14:val="000000">
                      <w14:alpha w14:val="100000"/>
                    </w14:srgbClr>
                  </w14:solidFill>
                </w14:textFill>
              </w:rPr>
              <w:t>|</w:t>
            </w:r>
            <w:r w:rsidR="001A02B8">
              <w:rPr>
                <w:b/>
                <w:vertAlign w:val="superscript"/>
              </w:rPr>
              <w:t>7</w:t>
            </w:r>
          </w:p>
        </w:tc>
      </w:tr>
      <w:tr w:rsidR="00C349E8" w:rsidRPr="00A6154D" w14:paraId="70D01F1F" w14:textId="77777777" w:rsidTr="00A361A7">
        <w:tc>
          <w:tcPr>
            <w:tcW w:w="9303" w:type="dxa"/>
            <w:gridSpan w:val="4"/>
          </w:tcPr>
          <w:p w14:paraId="05C4FAA4" w14:textId="069B2E41" w:rsidR="00C349E8" w:rsidRPr="00A6154D" w:rsidRDefault="00C349E8" w:rsidP="00014A9C">
            <w:pPr>
              <w:pStyle w:val="TableText"/>
              <w:rPr>
                <w:b/>
                <w:bCs w:val="0"/>
              </w:rPr>
            </w:pPr>
            <w:r w:rsidRPr="00A6154D">
              <w:rPr>
                <w:b/>
                <w:bCs w:val="0"/>
              </w:rPr>
              <w:t xml:space="preserve">Overall response rate (base case: </w:t>
            </w:r>
            <w:r w:rsidR="001D2637" w:rsidRPr="00A6154D">
              <w:rPr>
                <w:b/>
                <w:bCs w:val="0"/>
              </w:rPr>
              <w:t>ruxolitinib 49.70%; BAT 25.61%)</w:t>
            </w:r>
          </w:p>
        </w:tc>
      </w:tr>
      <w:tr w:rsidR="001D2637" w:rsidRPr="00A6154D" w14:paraId="7DF8BEC7" w14:textId="77777777" w:rsidTr="00E03A5A">
        <w:tc>
          <w:tcPr>
            <w:tcW w:w="5807" w:type="dxa"/>
          </w:tcPr>
          <w:p w14:paraId="0B9D98FE" w14:textId="77777777" w:rsidR="001D2637" w:rsidRPr="00A6154D" w:rsidRDefault="001D2637" w:rsidP="00014A9C">
            <w:pPr>
              <w:pStyle w:val="TableText"/>
            </w:pPr>
            <w:r w:rsidRPr="00A6154D">
              <w:t>Applying lower 95% CL to ruxolitinib ORR to derive BAT ORR</w:t>
            </w:r>
          </w:p>
          <w:p w14:paraId="0FDB54A2" w14:textId="380305A4" w:rsidR="001D2637" w:rsidRPr="00A6154D" w:rsidRDefault="001D2637" w:rsidP="00014A9C">
            <w:pPr>
              <w:pStyle w:val="TableText"/>
            </w:pPr>
            <w:r w:rsidRPr="00A6154D">
              <w:t>ORR: Ruxolitinib 49.7%; BAT 35.7%</w:t>
            </w:r>
          </w:p>
        </w:tc>
        <w:tc>
          <w:tcPr>
            <w:tcW w:w="1273" w:type="dxa"/>
            <w:vAlign w:val="center"/>
          </w:tcPr>
          <w:p w14:paraId="6C4A8E82" w14:textId="3E351555" w:rsidR="001D2637" w:rsidRPr="00A6154D" w:rsidRDefault="001D2637" w:rsidP="00014A9C">
            <w:pPr>
              <w:pStyle w:val="TableText"/>
              <w:jc w:val="center"/>
            </w:pPr>
            <w:r w:rsidRPr="00A6154D">
              <w:rPr>
                <w:szCs w:val="20"/>
              </w:rPr>
              <w:t>$</w:t>
            </w:r>
            <w:r w:rsidR="00F96E54" w:rsidRPr="00F96E54">
              <w:rPr>
                <w:rFonts w:hint="eastAsia"/>
                <w:color w:val="000000"/>
                <w:w w:val="15"/>
                <w:szCs w:val="20"/>
                <w:shd w:val="solid" w:color="000000" w:fill="000000"/>
                <w:fitText w:val="63" w:id="-1435343356"/>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6"/>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6"/>
                <w14:textFill>
                  <w14:solidFill>
                    <w14:srgbClr w14:val="000000">
                      <w14:alpha w14:val="100000"/>
                    </w14:srgbClr>
                  </w14:solidFill>
                </w14:textFill>
              </w:rPr>
              <w:t xml:space="preserve">　</w:t>
            </w:r>
          </w:p>
        </w:tc>
        <w:tc>
          <w:tcPr>
            <w:tcW w:w="1137" w:type="dxa"/>
            <w:vAlign w:val="center"/>
          </w:tcPr>
          <w:p w14:paraId="034A1242" w14:textId="79DE553C" w:rsidR="001D2637" w:rsidRPr="00A6154D" w:rsidRDefault="001D2637" w:rsidP="00014A9C">
            <w:pPr>
              <w:pStyle w:val="TableText"/>
              <w:jc w:val="center"/>
            </w:pPr>
            <w:r w:rsidRPr="00A6154D">
              <w:rPr>
                <w:szCs w:val="20"/>
              </w:rPr>
              <w:t>0.3632</w:t>
            </w:r>
          </w:p>
        </w:tc>
        <w:tc>
          <w:tcPr>
            <w:tcW w:w="1086" w:type="dxa"/>
            <w:vAlign w:val="center"/>
          </w:tcPr>
          <w:p w14:paraId="4BAB195C" w14:textId="5D0B8051" w:rsidR="001D2637" w:rsidRPr="00A6154D" w:rsidRDefault="001D2637" w:rsidP="00014A9C">
            <w:pPr>
              <w:pStyle w:val="TableText"/>
              <w:jc w:val="center"/>
            </w:pPr>
            <w:r w:rsidRPr="00A6154D">
              <w:rPr>
                <w:szCs w:val="20"/>
              </w:rPr>
              <w:t>$</w:t>
            </w:r>
            <w:r w:rsidR="00F96E54" w:rsidRPr="00F96E54">
              <w:rPr>
                <w:color w:val="000000"/>
                <w:spacing w:val="102"/>
                <w:szCs w:val="20"/>
                <w:shd w:val="solid" w:color="000000" w:fill="000000"/>
                <w:fitText w:val="188" w:id="-1435343355"/>
                <w14:textFill>
                  <w14:solidFill>
                    <w14:srgbClr w14:val="000000">
                      <w14:alpha w14:val="100000"/>
                    </w14:srgbClr>
                  </w14:solidFill>
                </w14:textFill>
              </w:rPr>
              <w:t>|</w:t>
            </w:r>
            <w:r w:rsidR="00F96E54" w:rsidRPr="00F96E54">
              <w:rPr>
                <w:color w:val="000000"/>
                <w:spacing w:val="1"/>
                <w:szCs w:val="20"/>
                <w:shd w:val="solid" w:color="000000" w:fill="000000"/>
                <w:fitText w:val="188" w:id="-1435343355"/>
                <w14:textFill>
                  <w14:solidFill>
                    <w14:srgbClr w14:val="000000">
                      <w14:alpha w14:val="100000"/>
                    </w14:srgbClr>
                  </w14:solidFill>
                </w14:textFill>
              </w:rPr>
              <w:t>|</w:t>
            </w:r>
            <w:r w:rsidR="001A02B8">
              <w:rPr>
                <w:b/>
                <w:vertAlign w:val="superscript"/>
              </w:rPr>
              <w:t>6</w:t>
            </w:r>
          </w:p>
        </w:tc>
      </w:tr>
      <w:tr w:rsidR="001D2637" w:rsidRPr="00A6154D" w14:paraId="53D3FE0E" w14:textId="77777777" w:rsidTr="00E03A5A">
        <w:tc>
          <w:tcPr>
            <w:tcW w:w="5807" w:type="dxa"/>
          </w:tcPr>
          <w:p w14:paraId="66FC3559" w14:textId="77777777" w:rsidR="001D2637" w:rsidRPr="00A6154D" w:rsidRDefault="001D2637" w:rsidP="00014A9C">
            <w:pPr>
              <w:pStyle w:val="TableText"/>
            </w:pPr>
            <w:r w:rsidRPr="00A6154D">
              <w:t>Applying upper 95% CL to ruxolitinib ORR to derive BAT ORR</w:t>
            </w:r>
          </w:p>
          <w:p w14:paraId="721CC23F" w14:textId="74979030" w:rsidR="001D2637" w:rsidRPr="00A6154D" w:rsidRDefault="001D2637" w:rsidP="00014A9C">
            <w:pPr>
              <w:pStyle w:val="TableText"/>
            </w:pPr>
            <w:r w:rsidRPr="00A6154D">
              <w:t>ORR: Ruxolitinib 49.7%; BAT 15.7%</w:t>
            </w:r>
          </w:p>
        </w:tc>
        <w:tc>
          <w:tcPr>
            <w:tcW w:w="1273" w:type="dxa"/>
            <w:vAlign w:val="center"/>
          </w:tcPr>
          <w:p w14:paraId="5454E060" w14:textId="628D48A6" w:rsidR="001D2637" w:rsidRPr="00A6154D" w:rsidRDefault="001D2637" w:rsidP="00014A9C">
            <w:pPr>
              <w:pStyle w:val="TableText"/>
              <w:jc w:val="center"/>
            </w:pPr>
            <w:r w:rsidRPr="00A6154D">
              <w:rPr>
                <w:szCs w:val="20"/>
              </w:rPr>
              <w:t>$</w:t>
            </w:r>
            <w:r w:rsidR="00F96E54" w:rsidRPr="00F96E54">
              <w:rPr>
                <w:rFonts w:hint="eastAsia"/>
                <w:color w:val="000000"/>
                <w:w w:val="15"/>
                <w:szCs w:val="20"/>
                <w:shd w:val="solid" w:color="000000" w:fill="000000"/>
                <w:fitText w:val="63" w:id="-1435343354"/>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4"/>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4"/>
                <w14:textFill>
                  <w14:solidFill>
                    <w14:srgbClr w14:val="000000">
                      <w14:alpha w14:val="100000"/>
                    </w14:srgbClr>
                  </w14:solidFill>
                </w14:textFill>
              </w:rPr>
              <w:t xml:space="preserve">　</w:t>
            </w:r>
          </w:p>
        </w:tc>
        <w:tc>
          <w:tcPr>
            <w:tcW w:w="1137" w:type="dxa"/>
            <w:vAlign w:val="center"/>
          </w:tcPr>
          <w:p w14:paraId="57309585" w14:textId="11683648" w:rsidR="001D2637" w:rsidRPr="00A6154D" w:rsidRDefault="001D2637" w:rsidP="00014A9C">
            <w:pPr>
              <w:pStyle w:val="TableText"/>
              <w:jc w:val="center"/>
            </w:pPr>
            <w:r w:rsidRPr="00A6154D">
              <w:rPr>
                <w:szCs w:val="20"/>
              </w:rPr>
              <w:t>0.5232</w:t>
            </w:r>
          </w:p>
        </w:tc>
        <w:tc>
          <w:tcPr>
            <w:tcW w:w="1086" w:type="dxa"/>
            <w:vAlign w:val="center"/>
          </w:tcPr>
          <w:p w14:paraId="7DE4F690" w14:textId="21FD9304" w:rsidR="001D2637" w:rsidRPr="00A6154D" w:rsidRDefault="001D2637" w:rsidP="00014A9C">
            <w:pPr>
              <w:pStyle w:val="TableText"/>
              <w:jc w:val="center"/>
            </w:pPr>
            <w:r w:rsidRPr="00A6154D">
              <w:rPr>
                <w:szCs w:val="20"/>
              </w:rPr>
              <w:t>$</w:t>
            </w:r>
            <w:r w:rsidR="00F96E54" w:rsidRPr="00F96E54">
              <w:rPr>
                <w:color w:val="000000"/>
                <w:spacing w:val="102"/>
                <w:szCs w:val="20"/>
                <w:shd w:val="solid" w:color="000000" w:fill="000000"/>
                <w:fitText w:val="188" w:id="-1435343353"/>
                <w14:textFill>
                  <w14:solidFill>
                    <w14:srgbClr w14:val="000000">
                      <w14:alpha w14:val="100000"/>
                    </w14:srgbClr>
                  </w14:solidFill>
                </w14:textFill>
              </w:rPr>
              <w:t>|</w:t>
            </w:r>
            <w:r w:rsidR="00F96E54" w:rsidRPr="00F96E54">
              <w:rPr>
                <w:color w:val="000000"/>
                <w:spacing w:val="1"/>
                <w:szCs w:val="20"/>
                <w:shd w:val="solid" w:color="000000" w:fill="000000"/>
                <w:fitText w:val="188" w:id="-1435343353"/>
                <w14:textFill>
                  <w14:solidFill>
                    <w14:srgbClr w14:val="000000">
                      <w14:alpha w14:val="100000"/>
                    </w14:srgbClr>
                  </w14:solidFill>
                </w14:textFill>
              </w:rPr>
              <w:t>|</w:t>
            </w:r>
            <w:r w:rsidR="0047021A">
              <w:rPr>
                <w:b/>
                <w:vertAlign w:val="superscript"/>
              </w:rPr>
              <w:t>2</w:t>
            </w:r>
          </w:p>
        </w:tc>
      </w:tr>
      <w:tr w:rsidR="001D2637" w:rsidRPr="00A6154D" w14:paraId="1A42576F" w14:textId="77777777" w:rsidTr="00E03A5A">
        <w:tc>
          <w:tcPr>
            <w:tcW w:w="5807" w:type="dxa"/>
          </w:tcPr>
          <w:p w14:paraId="7583811D" w14:textId="77777777" w:rsidR="001D2637" w:rsidRPr="00A6154D" w:rsidRDefault="001D2637" w:rsidP="00014A9C">
            <w:pPr>
              <w:pStyle w:val="TableText"/>
            </w:pPr>
            <w:r w:rsidRPr="00A6154D">
              <w:t>Applying lower 95% CL to BAT ORR to derive ruxolitinib ORR</w:t>
            </w:r>
          </w:p>
          <w:p w14:paraId="0C8C600B" w14:textId="50FD2328" w:rsidR="001D2637" w:rsidRPr="00A6154D" w:rsidRDefault="001D2637" w:rsidP="00014A9C">
            <w:pPr>
              <w:pStyle w:val="TableText"/>
            </w:pPr>
            <w:r w:rsidRPr="00A6154D">
              <w:t>ORR: Ruxolitinib 39.6%; BAT 25.6%</w:t>
            </w:r>
          </w:p>
        </w:tc>
        <w:tc>
          <w:tcPr>
            <w:tcW w:w="1273" w:type="dxa"/>
            <w:vAlign w:val="center"/>
          </w:tcPr>
          <w:p w14:paraId="004D3BB9" w14:textId="374F0C5E" w:rsidR="001D2637" w:rsidRPr="00A6154D" w:rsidRDefault="001D2637" w:rsidP="00014A9C">
            <w:pPr>
              <w:pStyle w:val="TableText"/>
              <w:jc w:val="center"/>
            </w:pPr>
            <w:r w:rsidRPr="00A6154D">
              <w:rPr>
                <w:szCs w:val="20"/>
              </w:rPr>
              <w:t>$</w:t>
            </w:r>
            <w:r w:rsidR="00F96E54" w:rsidRPr="00F96E54">
              <w:rPr>
                <w:rFonts w:hint="eastAsia"/>
                <w:color w:val="000000"/>
                <w:w w:val="15"/>
                <w:szCs w:val="20"/>
                <w:shd w:val="solid" w:color="000000" w:fill="000000"/>
                <w:fitText w:val="63" w:id="-1435343352"/>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2"/>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2"/>
                <w14:textFill>
                  <w14:solidFill>
                    <w14:srgbClr w14:val="000000">
                      <w14:alpha w14:val="100000"/>
                    </w14:srgbClr>
                  </w14:solidFill>
                </w14:textFill>
              </w:rPr>
              <w:t xml:space="preserve">　</w:t>
            </w:r>
          </w:p>
        </w:tc>
        <w:tc>
          <w:tcPr>
            <w:tcW w:w="1137" w:type="dxa"/>
            <w:vAlign w:val="center"/>
          </w:tcPr>
          <w:p w14:paraId="2DF8E4C0" w14:textId="66558534" w:rsidR="001D2637" w:rsidRPr="00A6154D" w:rsidRDefault="001D2637" w:rsidP="00014A9C">
            <w:pPr>
              <w:pStyle w:val="TableText"/>
              <w:jc w:val="center"/>
            </w:pPr>
            <w:r w:rsidRPr="00A6154D">
              <w:rPr>
                <w:szCs w:val="20"/>
              </w:rPr>
              <w:t>0.3210</w:t>
            </w:r>
          </w:p>
        </w:tc>
        <w:tc>
          <w:tcPr>
            <w:tcW w:w="1086" w:type="dxa"/>
            <w:vAlign w:val="center"/>
          </w:tcPr>
          <w:p w14:paraId="406C6A99" w14:textId="43B4FAF5" w:rsidR="001D2637" w:rsidRPr="00A6154D" w:rsidRDefault="001D2637" w:rsidP="00014A9C">
            <w:pPr>
              <w:pStyle w:val="TableText"/>
              <w:jc w:val="center"/>
            </w:pPr>
            <w:r w:rsidRPr="00A6154D">
              <w:rPr>
                <w:szCs w:val="20"/>
              </w:rPr>
              <w:t>$</w:t>
            </w:r>
            <w:r w:rsidR="00F96E54" w:rsidRPr="00F96E54">
              <w:rPr>
                <w:color w:val="000000"/>
                <w:spacing w:val="102"/>
                <w:szCs w:val="20"/>
                <w:shd w:val="solid" w:color="000000" w:fill="000000"/>
                <w:fitText w:val="188" w:id="-1435343351"/>
                <w14:textFill>
                  <w14:solidFill>
                    <w14:srgbClr w14:val="000000">
                      <w14:alpha w14:val="100000"/>
                    </w14:srgbClr>
                  </w14:solidFill>
                </w14:textFill>
              </w:rPr>
              <w:t>|</w:t>
            </w:r>
            <w:r w:rsidR="00F96E54" w:rsidRPr="00F96E54">
              <w:rPr>
                <w:color w:val="000000"/>
                <w:spacing w:val="1"/>
                <w:szCs w:val="20"/>
                <w:shd w:val="solid" w:color="000000" w:fill="000000"/>
                <w:fitText w:val="188" w:id="-1435343351"/>
                <w14:textFill>
                  <w14:solidFill>
                    <w14:srgbClr w14:val="000000">
                      <w14:alpha w14:val="100000"/>
                    </w14:srgbClr>
                  </w14:solidFill>
                </w14:textFill>
              </w:rPr>
              <w:t>|</w:t>
            </w:r>
            <w:r w:rsidR="001A02B8">
              <w:rPr>
                <w:b/>
                <w:vertAlign w:val="superscript"/>
              </w:rPr>
              <w:t>7</w:t>
            </w:r>
          </w:p>
        </w:tc>
      </w:tr>
      <w:tr w:rsidR="001D2637" w:rsidRPr="00A6154D" w14:paraId="731D3145" w14:textId="77777777" w:rsidTr="00E03A5A">
        <w:tc>
          <w:tcPr>
            <w:tcW w:w="5807" w:type="dxa"/>
          </w:tcPr>
          <w:p w14:paraId="1A3A857B" w14:textId="77777777" w:rsidR="001D2637" w:rsidRPr="00A6154D" w:rsidRDefault="001D2637" w:rsidP="00014A9C">
            <w:pPr>
              <w:pStyle w:val="TableText"/>
            </w:pPr>
            <w:r w:rsidRPr="00A6154D">
              <w:t>Applying upper 95% CL to BAT ORR to derive ruxolitinib ORR</w:t>
            </w:r>
          </w:p>
          <w:p w14:paraId="2C140936" w14:textId="521F9241" w:rsidR="001D2637" w:rsidRPr="00A6154D" w:rsidRDefault="001D2637" w:rsidP="00014A9C">
            <w:pPr>
              <w:pStyle w:val="TableText"/>
            </w:pPr>
            <w:r w:rsidRPr="00A6154D">
              <w:t>ORR: Ruxolitinib 59.6%; BAT 25.6%</w:t>
            </w:r>
          </w:p>
        </w:tc>
        <w:tc>
          <w:tcPr>
            <w:tcW w:w="1273" w:type="dxa"/>
            <w:vAlign w:val="center"/>
          </w:tcPr>
          <w:p w14:paraId="17B2303E" w14:textId="09CDCD83" w:rsidR="001D2637" w:rsidRPr="00A6154D" w:rsidRDefault="001D2637" w:rsidP="00014A9C">
            <w:pPr>
              <w:pStyle w:val="TableText"/>
              <w:jc w:val="center"/>
            </w:pPr>
            <w:r w:rsidRPr="00A6154D">
              <w:rPr>
                <w:szCs w:val="20"/>
              </w:rPr>
              <w:t>$</w:t>
            </w:r>
            <w:r w:rsidR="00F96E54" w:rsidRPr="00F96E54">
              <w:rPr>
                <w:rFonts w:hint="eastAsia"/>
                <w:color w:val="000000"/>
                <w:w w:val="15"/>
                <w:szCs w:val="20"/>
                <w:shd w:val="solid" w:color="000000" w:fill="000000"/>
                <w:fitText w:val="63" w:id="-1435343350"/>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0"/>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0"/>
                <w14:textFill>
                  <w14:solidFill>
                    <w14:srgbClr w14:val="000000">
                      <w14:alpha w14:val="100000"/>
                    </w14:srgbClr>
                  </w14:solidFill>
                </w14:textFill>
              </w:rPr>
              <w:t xml:space="preserve">　</w:t>
            </w:r>
          </w:p>
        </w:tc>
        <w:tc>
          <w:tcPr>
            <w:tcW w:w="1137" w:type="dxa"/>
            <w:vAlign w:val="center"/>
          </w:tcPr>
          <w:p w14:paraId="29F16E6A" w14:textId="688D3B5E" w:rsidR="001D2637" w:rsidRPr="00A6154D" w:rsidRDefault="001D2637" w:rsidP="00014A9C">
            <w:pPr>
              <w:pStyle w:val="TableText"/>
              <w:jc w:val="center"/>
            </w:pPr>
            <w:r w:rsidRPr="00A6154D">
              <w:rPr>
                <w:szCs w:val="20"/>
              </w:rPr>
              <w:t>0.5812</w:t>
            </w:r>
          </w:p>
        </w:tc>
        <w:tc>
          <w:tcPr>
            <w:tcW w:w="1086" w:type="dxa"/>
            <w:vAlign w:val="center"/>
          </w:tcPr>
          <w:p w14:paraId="2E2596F6" w14:textId="66612B1D" w:rsidR="001D2637" w:rsidRPr="00A6154D" w:rsidRDefault="001D2637" w:rsidP="00014A9C">
            <w:pPr>
              <w:pStyle w:val="TableText"/>
              <w:jc w:val="center"/>
            </w:pPr>
            <w:r w:rsidRPr="00A6154D">
              <w:rPr>
                <w:szCs w:val="20"/>
              </w:rPr>
              <w:t>$</w:t>
            </w:r>
            <w:r w:rsidR="00F96E54" w:rsidRPr="00F96E54">
              <w:rPr>
                <w:color w:val="000000"/>
                <w:spacing w:val="102"/>
                <w:szCs w:val="20"/>
                <w:shd w:val="solid" w:color="000000" w:fill="000000"/>
                <w:fitText w:val="188" w:id="-1435343349"/>
                <w14:textFill>
                  <w14:solidFill>
                    <w14:srgbClr w14:val="000000">
                      <w14:alpha w14:val="100000"/>
                    </w14:srgbClr>
                  </w14:solidFill>
                </w14:textFill>
              </w:rPr>
              <w:t>|</w:t>
            </w:r>
            <w:r w:rsidR="00F96E54" w:rsidRPr="00F96E54">
              <w:rPr>
                <w:color w:val="000000"/>
                <w:spacing w:val="1"/>
                <w:szCs w:val="20"/>
                <w:shd w:val="solid" w:color="000000" w:fill="000000"/>
                <w:fitText w:val="188" w:id="-1435343349"/>
                <w14:textFill>
                  <w14:solidFill>
                    <w14:srgbClr w14:val="000000">
                      <w14:alpha w14:val="100000"/>
                    </w14:srgbClr>
                  </w14:solidFill>
                </w14:textFill>
              </w:rPr>
              <w:t>|</w:t>
            </w:r>
            <w:r w:rsidR="0047021A">
              <w:rPr>
                <w:b/>
                <w:vertAlign w:val="superscript"/>
              </w:rPr>
              <w:t>2</w:t>
            </w:r>
          </w:p>
        </w:tc>
      </w:tr>
      <w:tr w:rsidR="00F156AD" w:rsidRPr="00A6154D" w14:paraId="5C81EEA4" w14:textId="77777777" w:rsidTr="00E03A5A">
        <w:tc>
          <w:tcPr>
            <w:tcW w:w="5807" w:type="dxa"/>
          </w:tcPr>
          <w:p w14:paraId="0E68CF6A" w14:textId="47B00D97" w:rsidR="00F156AD" w:rsidRPr="00A6154D" w:rsidRDefault="00F156AD" w:rsidP="00014A9C">
            <w:pPr>
              <w:pStyle w:val="TableText"/>
            </w:pPr>
            <w:r w:rsidRPr="00A6154D">
              <w:rPr>
                <w:lang w:eastAsia="en-US"/>
              </w:rPr>
              <w:t>10% relative decrease in ORR with each subsequent BAT therapy</w:t>
            </w:r>
          </w:p>
        </w:tc>
        <w:tc>
          <w:tcPr>
            <w:tcW w:w="1273" w:type="dxa"/>
            <w:vAlign w:val="center"/>
          </w:tcPr>
          <w:p w14:paraId="65E9D711" w14:textId="24AA891C" w:rsidR="00F156AD" w:rsidRPr="00A6154D" w:rsidRDefault="00F156AD" w:rsidP="00014A9C">
            <w:pPr>
              <w:pStyle w:val="TableText"/>
              <w:jc w:val="center"/>
              <w:rPr>
                <w:szCs w:val="20"/>
              </w:rPr>
            </w:pPr>
            <w:r w:rsidRPr="00A6154D">
              <w:rPr>
                <w:lang w:eastAsia="en-US"/>
              </w:rPr>
              <w:t>$</w:t>
            </w:r>
            <w:r w:rsidR="00F96E54" w:rsidRPr="00F96E54">
              <w:rPr>
                <w:rFonts w:hint="eastAsia"/>
                <w:color w:val="000000"/>
                <w:w w:val="15"/>
                <w:shd w:val="solid" w:color="000000" w:fill="000000"/>
                <w:fitText w:val="63" w:id="-1435343348"/>
                <w:lang w:eastAsia="en-US"/>
                <w14:textFill>
                  <w14:solidFill>
                    <w14:srgbClr w14:val="000000">
                      <w14:alpha w14:val="100000"/>
                    </w14:srgbClr>
                  </w14:solidFill>
                </w14:textFill>
              </w:rPr>
              <w:t xml:space="preserve">　</w:t>
            </w:r>
            <w:r w:rsidR="00F96E54" w:rsidRPr="00F96E54">
              <w:rPr>
                <w:color w:val="000000"/>
                <w:w w:val="15"/>
                <w:shd w:val="solid" w:color="000000" w:fill="000000"/>
                <w:fitText w:val="63" w:id="-1435343348"/>
                <w:lang w:eastAsia="en-US"/>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8"/>
                <w:lang w:eastAsia="en-US"/>
                <w14:textFill>
                  <w14:solidFill>
                    <w14:srgbClr w14:val="000000">
                      <w14:alpha w14:val="100000"/>
                    </w14:srgbClr>
                  </w14:solidFill>
                </w14:textFill>
              </w:rPr>
              <w:t xml:space="preserve">　</w:t>
            </w:r>
          </w:p>
        </w:tc>
        <w:tc>
          <w:tcPr>
            <w:tcW w:w="1137" w:type="dxa"/>
            <w:vAlign w:val="center"/>
          </w:tcPr>
          <w:p w14:paraId="56ECA4E8" w14:textId="33E84395" w:rsidR="00F156AD" w:rsidRPr="00A6154D" w:rsidRDefault="00F156AD" w:rsidP="00014A9C">
            <w:pPr>
              <w:pStyle w:val="TableText"/>
              <w:jc w:val="center"/>
              <w:rPr>
                <w:szCs w:val="20"/>
              </w:rPr>
            </w:pPr>
            <w:r w:rsidRPr="00A6154D">
              <w:rPr>
                <w:lang w:eastAsia="en-US"/>
              </w:rPr>
              <w:t>0.5165</w:t>
            </w:r>
          </w:p>
        </w:tc>
        <w:tc>
          <w:tcPr>
            <w:tcW w:w="1086" w:type="dxa"/>
            <w:vAlign w:val="center"/>
          </w:tcPr>
          <w:p w14:paraId="4F7F2A2D" w14:textId="6DDDD4E7" w:rsidR="00F156AD" w:rsidRPr="00A6154D" w:rsidRDefault="00F156AD" w:rsidP="00014A9C">
            <w:pPr>
              <w:pStyle w:val="TableText"/>
              <w:jc w:val="center"/>
              <w:rPr>
                <w:szCs w:val="20"/>
              </w:rPr>
            </w:pPr>
            <w:r w:rsidRPr="00A6154D">
              <w:rPr>
                <w:lang w:eastAsia="en-US"/>
              </w:rPr>
              <w:t>$</w:t>
            </w:r>
            <w:r w:rsidR="00F96E54" w:rsidRPr="00F96E54">
              <w:rPr>
                <w:color w:val="000000"/>
                <w:spacing w:val="102"/>
                <w:shd w:val="solid" w:color="000000" w:fill="000000"/>
                <w:fitText w:val="188" w:id="-1435343347"/>
                <w:lang w:eastAsia="en-US"/>
                <w14:textFill>
                  <w14:solidFill>
                    <w14:srgbClr w14:val="000000">
                      <w14:alpha w14:val="100000"/>
                    </w14:srgbClr>
                  </w14:solidFill>
                </w14:textFill>
              </w:rPr>
              <w:t>|</w:t>
            </w:r>
            <w:r w:rsidR="00F96E54" w:rsidRPr="00F96E54">
              <w:rPr>
                <w:color w:val="000000"/>
                <w:spacing w:val="1"/>
                <w:shd w:val="solid" w:color="000000" w:fill="000000"/>
                <w:fitText w:val="188" w:id="-1435343347"/>
                <w:lang w:eastAsia="en-US"/>
                <w14:textFill>
                  <w14:solidFill>
                    <w14:srgbClr w14:val="000000">
                      <w14:alpha w14:val="100000"/>
                    </w14:srgbClr>
                  </w14:solidFill>
                </w14:textFill>
              </w:rPr>
              <w:t>|</w:t>
            </w:r>
            <w:r w:rsidR="0047021A">
              <w:rPr>
                <w:b/>
                <w:vertAlign w:val="superscript"/>
              </w:rPr>
              <w:t>2</w:t>
            </w:r>
          </w:p>
        </w:tc>
      </w:tr>
      <w:tr w:rsidR="001D2637" w:rsidRPr="00A6154D" w14:paraId="11C6AD74" w14:textId="77777777" w:rsidTr="00A361A7">
        <w:tc>
          <w:tcPr>
            <w:tcW w:w="9303" w:type="dxa"/>
            <w:gridSpan w:val="4"/>
          </w:tcPr>
          <w:p w14:paraId="1E3FD477" w14:textId="77777777" w:rsidR="001D2637" w:rsidRPr="00A6154D" w:rsidRDefault="001D2637" w:rsidP="00014A9C">
            <w:pPr>
              <w:pStyle w:val="TableText"/>
              <w:rPr>
                <w:b/>
                <w:bCs w:val="0"/>
              </w:rPr>
            </w:pPr>
            <w:r w:rsidRPr="00A6154D">
              <w:rPr>
                <w:b/>
                <w:bCs w:val="0"/>
              </w:rPr>
              <w:t>GVHD-related mortality extrapolation (base case: dependent model – responder and non-responder Weibull)</w:t>
            </w:r>
          </w:p>
        </w:tc>
      </w:tr>
      <w:tr w:rsidR="001D2637" w:rsidRPr="00A6154D" w14:paraId="50175AAF" w14:textId="77777777" w:rsidTr="00E03A5A">
        <w:tc>
          <w:tcPr>
            <w:tcW w:w="5807" w:type="dxa"/>
          </w:tcPr>
          <w:p w14:paraId="0DF8F4EA" w14:textId="77777777" w:rsidR="001D2637" w:rsidRPr="00A6154D" w:rsidRDefault="001D2637" w:rsidP="00014A9C">
            <w:pPr>
              <w:pStyle w:val="TableText"/>
            </w:pPr>
            <w:r w:rsidRPr="00A6154D">
              <w:t>Dependent – responder and non-responder exponential</w:t>
            </w:r>
          </w:p>
        </w:tc>
        <w:tc>
          <w:tcPr>
            <w:tcW w:w="1273" w:type="dxa"/>
          </w:tcPr>
          <w:p w14:paraId="22D86A36" w14:textId="707DAB89" w:rsidR="001D2637" w:rsidRPr="00A6154D" w:rsidRDefault="001D2637" w:rsidP="00014A9C">
            <w:pPr>
              <w:pStyle w:val="TableText"/>
              <w:jc w:val="center"/>
            </w:pPr>
            <w:r w:rsidRPr="00A6154D">
              <w:t>$</w:t>
            </w:r>
            <w:r w:rsidR="00F96E54" w:rsidRPr="00F96E54">
              <w:rPr>
                <w:rFonts w:hint="eastAsia"/>
                <w:color w:val="000000"/>
                <w:w w:val="15"/>
                <w:shd w:val="solid" w:color="000000" w:fill="000000"/>
                <w:fitText w:val="63" w:id="-1435343346"/>
                <w14:textFill>
                  <w14:solidFill>
                    <w14:srgbClr w14:val="000000">
                      <w14:alpha w14:val="100000"/>
                    </w14:srgbClr>
                  </w14:solidFill>
                </w14:textFill>
              </w:rPr>
              <w:t xml:space="preserve">　</w:t>
            </w:r>
            <w:r w:rsidR="00F96E54" w:rsidRPr="00F96E54">
              <w:rPr>
                <w:color w:val="000000"/>
                <w:w w:val="15"/>
                <w:shd w:val="solid" w:color="000000" w:fill="000000"/>
                <w:fitText w:val="63" w:id="-1435343346"/>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6"/>
                <w14:textFill>
                  <w14:solidFill>
                    <w14:srgbClr w14:val="000000">
                      <w14:alpha w14:val="100000"/>
                    </w14:srgbClr>
                  </w14:solidFill>
                </w14:textFill>
              </w:rPr>
              <w:t xml:space="preserve">　</w:t>
            </w:r>
          </w:p>
        </w:tc>
        <w:tc>
          <w:tcPr>
            <w:tcW w:w="1137" w:type="dxa"/>
          </w:tcPr>
          <w:p w14:paraId="636F4BBE" w14:textId="6E5ED2A5" w:rsidR="001D2637" w:rsidRPr="00A6154D" w:rsidRDefault="001D2637" w:rsidP="00014A9C">
            <w:pPr>
              <w:pStyle w:val="TableText"/>
              <w:jc w:val="center"/>
            </w:pPr>
            <w:r w:rsidRPr="00A6154D">
              <w:t>0.2898</w:t>
            </w:r>
          </w:p>
        </w:tc>
        <w:tc>
          <w:tcPr>
            <w:tcW w:w="1086" w:type="dxa"/>
          </w:tcPr>
          <w:p w14:paraId="3FB9A5B8" w14:textId="2D362BCE" w:rsidR="001D2637" w:rsidRPr="00A6154D" w:rsidRDefault="001D2637" w:rsidP="00014A9C">
            <w:pPr>
              <w:pStyle w:val="TableText"/>
              <w:jc w:val="center"/>
            </w:pPr>
            <w:r w:rsidRPr="00A6154D">
              <w:t>$</w:t>
            </w:r>
            <w:r w:rsidR="00F96E54" w:rsidRPr="00F96E54">
              <w:rPr>
                <w:color w:val="000000"/>
                <w:spacing w:val="102"/>
                <w:shd w:val="solid" w:color="000000" w:fill="000000"/>
                <w:fitText w:val="188" w:id="-1435343345"/>
                <w14:textFill>
                  <w14:solidFill>
                    <w14:srgbClr w14:val="000000">
                      <w14:alpha w14:val="100000"/>
                    </w14:srgbClr>
                  </w14:solidFill>
                </w14:textFill>
              </w:rPr>
              <w:t>|</w:t>
            </w:r>
            <w:r w:rsidR="00F96E54" w:rsidRPr="00F96E54">
              <w:rPr>
                <w:color w:val="000000"/>
                <w:spacing w:val="1"/>
                <w:shd w:val="solid" w:color="000000" w:fill="000000"/>
                <w:fitText w:val="188" w:id="-1435343345"/>
                <w14:textFill>
                  <w14:solidFill>
                    <w14:srgbClr w14:val="000000">
                      <w14:alpha w14:val="100000"/>
                    </w14:srgbClr>
                  </w14:solidFill>
                </w14:textFill>
              </w:rPr>
              <w:t>|</w:t>
            </w:r>
            <w:r w:rsidR="001A02B8">
              <w:rPr>
                <w:b/>
                <w:vertAlign w:val="superscript"/>
              </w:rPr>
              <w:t>6</w:t>
            </w:r>
          </w:p>
        </w:tc>
      </w:tr>
      <w:tr w:rsidR="001D2637" w:rsidRPr="00A6154D" w14:paraId="77C1BFC1" w14:textId="77777777" w:rsidTr="00E03A5A">
        <w:tc>
          <w:tcPr>
            <w:tcW w:w="5807" w:type="dxa"/>
          </w:tcPr>
          <w:p w14:paraId="2AFED96C" w14:textId="77777777" w:rsidR="001D2637" w:rsidRPr="00A6154D" w:rsidRDefault="001D2637" w:rsidP="00014A9C">
            <w:pPr>
              <w:pStyle w:val="TableText"/>
            </w:pPr>
            <w:r w:rsidRPr="00A6154D">
              <w:t>Dependent – responder and non-responder loglogistic</w:t>
            </w:r>
          </w:p>
        </w:tc>
        <w:tc>
          <w:tcPr>
            <w:tcW w:w="1273" w:type="dxa"/>
          </w:tcPr>
          <w:p w14:paraId="0DE7C2A7" w14:textId="2AECFEA6" w:rsidR="001D2637" w:rsidRPr="00A6154D" w:rsidRDefault="001D2637" w:rsidP="00014A9C">
            <w:pPr>
              <w:pStyle w:val="TableText"/>
              <w:jc w:val="center"/>
            </w:pPr>
            <w:r w:rsidRPr="00A6154D">
              <w:t>$</w:t>
            </w:r>
            <w:r w:rsidR="00F96E54" w:rsidRPr="00F96E54">
              <w:rPr>
                <w:rFonts w:hint="eastAsia"/>
                <w:color w:val="000000"/>
                <w:w w:val="15"/>
                <w:shd w:val="solid" w:color="000000" w:fill="000000"/>
                <w:fitText w:val="63" w:id="-1435343344"/>
                <w14:textFill>
                  <w14:solidFill>
                    <w14:srgbClr w14:val="000000">
                      <w14:alpha w14:val="100000"/>
                    </w14:srgbClr>
                  </w14:solidFill>
                </w14:textFill>
              </w:rPr>
              <w:t xml:space="preserve">　</w:t>
            </w:r>
            <w:r w:rsidR="00F96E54" w:rsidRPr="00F96E54">
              <w:rPr>
                <w:color w:val="000000"/>
                <w:w w:val="15"/>
                <w:shd w:val="solid" w:color="000000" w:fill="000000"/>
                <w:fitText w:val="63" w:id="-1435343344"/>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4"/>
                <w14:textFill>
                  <w14:solidFill>
                    <w14:srgbClr w14:val="000000">
                      <w14:alpha w14:val="100000"/>
                    </w14:srgbClr>
                  </w14:solidFill>
                </w14:textFill>
              </w:rPr>
              <w:t xml:space="preserve">　</w:t>
            </w:r>
          </w:p>
        </w:tc>
        <w:tc>
          <w:tcPr>
            <w:tcW w:w="1137" w:type="dxa"/>
          </w:tcPr>
          <w:p w14:paraId="0F233FE9" w14:textId="64EEDE81" w:rsidR="001D2637" w:rsidRPr="00A6154D" w:rsidRDefault="001D2637" w:rsidP="00014A9C">
            <w:pPr>
              <w:pStyle w:val="TableText"/>
              <w:jc w:val="center"/>
            </w:pPr>
            <w:r w:rsidRPr="00A6154D">
              <w:t>0.4431</w:t>
            </w:r>
          </w:p>
        </w:tc>
        <w:tc>
          <w:tcPr>
            <w:tcW w:w="1086" w:type="dxa"/>
          </w:tcPr>
          <w:p w14:paraId="56578CCF" w14:textId="5D8015EC" w:rsidR="001D2637" w:rsidRPr="00A6154D" w:rsidRDefault="001D2637" w:rsidP="00014A9C">
            <w:pPr>
              <w:pStyle w:val="TableText"/>
              <w:jc w:val="center"/>
            </w:pPr>
            <w:r w:rsidRPr="00A6154D">
              <w:t>$</w:t>
            </w:r>
            <w:r w:rsidR="00F96E54" w:rsidRPr="00F96E54">
              <w:rPr>
                <w:color w:val="000000"/>
                <w:spacing w:val="102"/>
                <w:shd w:val="solid" w:color="000000" w:fill="000000"/>
                <w:fitText w:val="188" w:id="-1435343360"/>
                <w14:textFill>
                  <w14:solidFill>
                    <w14:srgbClr w14:val="000000">
                      <w14:alpha w14:val="100000"/>
                    </w14:srgbClr>
                  </w14:solidFill>
                </w14:textFill>
              </w:rPr>
              <w:t>|</w:t>
            </w:r>
            <w:r w:rsidR="00F96E54" w:rsidRPr="00F96E54">
              <w:rPr>
                <w:color w:val="000000"/>
                <w:spacing w:val="1"/>
                <w:shd w:val="solid" w:color="000000" w:fill="000000"/>
                <w:fitText w:val="188" w:id="-1435343360"/>
                <w14:textFill>
                  <w14:solidFill>
                    <w14:srgbClr w14:val="000000">
                      <w14:alpha w14:val="100000"/>
                    </w14:srgbClr>
                  </w14:solidFill>
                </w14:textFill>
              </w:rPr>
              <w:t>|</w:t>
            </w:r>
            <w:r w:rsidR="0047021A">
              <w:rPr>
                <w:b/>
                <w:vertAlign w:val="superscript"/>
              </w:rPr>
              <w:t>1</w:t>
            </w:r>
          </w:p>
        </w:tc>
      </w:tr>
      <w:tr w:rsidR="001D2637" w:rsidRPr="00A6154D" w14:paraId="4EC8FB1C" w14:textId="77777777" w:rsidTr="00E03A5A">
        <w:tc>
          <w:tcPr>
            <w:tcW w:w="5807" w:type="dxa"/>
          </w:tcPr>
          <w:p w14:paraId="3AA76D31" w14:textId="77777777" w:rsidR="001D2637" w:rsidRPr="00A6154D" w:rsidRDefault="001D2637" w:rsidP="00014A9C">
            <w:pPr>
              <w:pStyle w:val="TableText"/>
            </w:pPr>
            <w:r w:rsidRPr="00A6154D">
              <w:t>Independent - responder lognormal; non-responder exponential</w:t>
            </w:r>
          </w:p>
        </w:tc>
        <w:tc>
          <w:tcPr>
            <w:tcW w:w="1273" w:type="dxa"/>
            <w:vAlign w:val="center"/>
          </w:tcPr>
          <w:p w14:paraId="4414D62E" w14:textId="263DEFB2" w:rsidR="001D2637" w:rsidRPr="00A6154D" w:rsidRDefault="001D2637" w:rsidP="00014A9C">
            <w:pPr>
              <w:pStyle w:val="TableText"/>
              <w:jc w:val="center"/>
            </w:pPr>
            <w:r w:rsidRPr="00A6154D">
              <w:t>$</w:t>
            </w:r>
            <w:r w:rsidR="00F96E54" w:rsidRPr="00F96E54">
              <w:rPr>
                <w:rFonts w:hint="eastAsia"/>
                <w:color w:val="000000"/>
                <w:w w:val="15"/>
                <w:shd w:val="solid" w:color="000000" w:fill="000000"/>
                <w:fitText w:val="63" w:id="-1435343359"/>
                <w14:textFill>
                  <w14:solidFill>
                    <w14:srgbClr w14:val="000000">
                      <w14:alpha w14:val="100000"/>
                    </w14:srgbClr>
                  </w14:solidFill>
                </w14:textFill>
              </w:rPr>
              <w:t xml:space="preserve">　</w:t>
            </w:r>
            <w:r w:rsidR="00F96E54" w:rsidRPr="00F96E54">
              <w:rPr>
                <w:color w:val="000000"/>
                <w:w w:val="15"/>
                <w:shd w:val="solid" w:color="000000" w:fill="000000"/>
                <w:fitText w:val="63" w:id="-1435343359"/>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9"/>
                <w14:textFill>
                  <w14:solidFill>
                    <w14:srgbClr w14:val="000000">
                      <w14:alpha w14:val="100000"/>
                    </w14:srgbClr>
                  </w14:solidFill>
                </w14:textFill>
              </w:rPr>
              <w:t xml:space="preserve">　</w:t>
            </w:r>
          </w:p>
        </w:tc>
        <w:tc>
          <w:tcPr>
            <w:tcW w:w="1137" w:type="dxa"/>
            <w:vAlign w:val="center"/>
          </w:tcPr>
          <w:p w14:paraId="6E6981B8" w14:textId="3A4DD76F" w:rsidR="001D2637" w:rsidRPr="00A6154D" w:rsidRDefault="001D2637" w:rsidP="00014A9C">
            <w:pPr>
              <w:pStyle w:val="TableText"/>
              <w:jc w:val="center"/>
            </w:pPr>
            <w:r w:rsidRPr="00A6154D">
              <w:t>0.3114</w:t>
            </w:r>
          </w:p>
        </w:tc>
        <w:tc>
          <w:tcPr>
            <w:tcW w:w="1086" w:type="dxa"/>
            <w:vAlign w:val="center"/>
          </w:tcPr>
          <w:p w14:paraId="60A255F8" w14:textId="1CEE3697" w:rsidR="001D2637" w:rsidRPr="00A6154D" w:rsidRDefault="001D2637" w:rsidP="00014A9C">
            <w:pPr>
              <w:pStyle w:val="TableText"/>
              <w:jc w:val="center"/>
            </w:pPr>
            <w:r w:rsidRPr="00A6154D">
              <w:t>$</w:t>
            </w:r>
            <w:r w:rsidR="00F96E54" w:rsidRPr="00F96E54">
              <w:rPr>
                <w:color w:val="000000"/>
                <w:spacing w:val="102"/>
                <w:shd w:val="solid" w:color="000000" w:fill="000000"/>
                <w:fitText w:val="188" w:id="-1435343358"/>
                <w14:textFill>
                  <w14:solidFill>
                    <w14:srgbClr w14:val="000000">
                      <w14:alpha w14:val="100000"/>
                    </w14:srgbClr>
                  </w14:solidFill>
                </w14:textFill>
              </w:rPr>
              <w:t>|</w:t>
            </w:r>
            <w:r w:rsidR="00F96E54" w:rsidRPr="00F96E54">
              <w:rPr>
                <w:color w:val="000000"/>
                <w:spacing w:val="1"/>
                <w:shd w:val="solid" w:color="000000" w:fill="000000"/>
                <w:fitText w:val="188" w:id="-1435343358"/>
                <w14:textFill>
                  <w14:solidFill>
                    <w14:srgbClr w14:val="000000">
                      <w14:alpha w14:val="100000"/>
                    </w14:srgbClr>
                  </w14:solidFill>
                </w14:textFill>
              </w:rPr>
              <w:t>|</w:t>
            </w:r>
            <w:r w:rsidR="001A02B8">
              <w:rPr>
                <w:b/>
                <w:vertAlign w:val="superscript"/>
              </w:rPr>
              <w:t>6</w:t>
            </w:r>
          </w:p>
        </w:tc>
      </w:tr>
      <w:tr w:rsidR="001D2637" w:rsidRPr="00A6154D" w14:paraId="45C1E1CB" w14:textId="77777777" w:rsidTr="00E03A5A">
        <w:tc>
          <w:tcPr>
            <w:tcW w:w="5807" w:type="dxa"/>
          </w:tcPr>
          <w:p w14:paraId="28DD9EB6" w14:textId="6183A861" w:rsidR="001D2637" w:rsidRPr="00A6154D" w:rsidRDefault="001D2637" w:rsidP="00014A9C">
            <w:pPr>
              <w:pStyle w:val="TableText"/>
            </w:pPr>
            <w:r w:rsidRPr="00A6154D">
              <w:t>Exclude general population mortality</w:t>
            </w:r>
          </w:p>
        </w:tc>
        <w:tc>
          <w:tcPr>
            <w:tcW w:w="1273" w:type="dxa"/>
            <w:vAlign w:val="center"/>
          </w:tcPr>
          <w:p w14:paraId="591E6E6D" w14:textId="4361CA51" w:rsidR="001D2637" w:rsidRPr="00A6154D" w:rsidRDefault="001D2637" w:rsidP="00014A9C">
            <w:pPr>
              <w:pStyle w:val="TableText"/>
              <w:jc w:val="center"/>
            </w:pPr>
            <w:r w:rsidRPr="00A6154D">
              <w:t>$</w:t>
            </w:r>
            <w:r w:rsidR="00F96E54" w:rsidRPr="00F96E54">
              <w:rPr>
                <w:rFonts w:hint="eastAsia"/>
                <w:color w:val="000000"/>
                <w:w w:val="15"/>
                <w:shd w:val="solid" w:color="000000" w:fill="000000"/>
                <w:fitText w:val="63" w:id="-1435343357"/>
                <w14:textFill>
                  <w14:solidFill>
                    <w14:srgbClr w14:val="000000">
                      <w14:alpha w14:val="100000"/>
                    </w14:srgbClr>
                  </w14:solidFill>
                </w14:textFill>
              </w:rPr>
              <w:t xml:space="preserve">　</w:t>
            </w:r>
            <w:r w:rsidR="00F96E54" w:rsidRPr="00F96E54">
              <w:rPr>
                <w:color w:val="000000"/>
                <w:w w:val="15"/>
                <w:shd w:val="solid" w:color="000000" w:fill="000000"/>
                <w:fitText w:val="63" w:id="-1435343357"/>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7"/>
                <w14:textFill>
                  <w14:solidFill>
                    <w14:srgbClr w14:val="000000">
                      <w14:alpha w14:val="100000"/>
                    </w14:srgbClr>
                  </w14:solidFill>
                </w14:textFill>
              </w:rPr>
              <w:t xml:space="preserve">　</w:t>
            </w:r>
          </w:p>
        </w:tc>
        <w:tc>
          <w:tcPr>
            <w:tcW w:w="1137" w:type="dxa"/>
            <w:vAlign w:val="center"/>
          </w:tcPr>
          <w:p w14:paraId="7F7F4248" w14:textId="1C8913DC" w:rsidR="001D2637" w:rsidRPr="00A6154D" w:rsidRDefault="001D2637" w:rsidP="00014A9C">
            <w:pPr>
              <w:pStyle w:val="TableText"/>
              <w:jc w:val="center"/>
            </w:pPr>
            <w:r w:rsidRPr="00A6154D">
              <w:t>0.4916</w:t>
            </w:r>
          </w:p>
        </w:tc>
        <w:tc>
          <w:tcPr>
            <w:tcW w:w="1086" w:type="dxa"/>
            <w:vAlign w:val="center"/>
          </w:tcPr>
          <w:p w14:paraId="501EB991" w14:textId="4CC5F6EE" w:rsidR="001D2637" w:rsidRPr="00A6154D" w:rsidRDefault="001D2637" w:rsidP="00014A9C">
            <w:pPr>
              <w:pStyle w:val="TableText"/>
              <w:jc w:val="center"/>
            </w:pPr>
            <w:r w:rsidRPr="00A6154D">
              <w:t>$</w:t>
            </w:r>
            <w:r w:rsidR="00F96E54" w:rsidRPr="00F96E54">
              <w:rPr>
                <w:color w:val="000000"/>
                <w:spacing w:val="102"/>
                <w:shd w:val="solid" w:color="000000" w:fill="000000"/>
                <w:fitText w:val="188" w:id="-1435343356"/>
                <w14:textFill>
                  <w14:solidFill>
                    <w14:srgbClr w14:val="000000">
                      <w14:alpha w14:val="100000"/>
                    </w14:srgbClr>
                  </w14:solidFill>
                </w14:textFill>
              </w:rPr>
              <w:t>|</w:t>
            </w:r>
            <w:r w:rsidR="00F96E54" w:rsidRPr="00F96E54">
              <w:rPr>
                <w:color w:val="000000"/>
                <w:spacing w:val="1"/>
                <w:shd w:val="solid" w:color="000000" w:fill="000000"/>
                <w:fitText w:val="188" w:id="-1435343356"/>
                <w14:textFill>
                  <w14:solidFill>
                    <w14:srgbClr w14:val="000000">
                      <w14:alpha w14:val="100000"/>
                    </w14:srgbClr>
                  </w14:solidFill>
                </w14:textFill>
              </w:rPr>
              <w:t>|</w:t>
            </w:r>
            <w:r w:rsidR="0047021A">
              <w:rPr>
                <w:b/>
                <w:vertAlign w:val="superscript"/>
              </w:rPr>
              <w:t>1</w:t>
            </w:r>
          </w:p>
        </w:tc>
      </w:tr>
      <w:tr w:rsidR="001D2637" w:rsidRPr="00A6154D" w14:paraId="7D502F29" w14:textId="77777777" w:rsidTr="00A361A7">
        <w:tc>
          <w:tcPr>
            <w:tcW w:w="9303" w:type="dxa"/>
            <w:gridSpan w:val="4"/>
          </w:tcPr>
          <w:p w14:paraId="0F565038" w14:textId="77777777" w:rsidR="001D2637" w:rsidRPr="00A6154D" w:rsidRDefault="001D2637" w:rsidP="00014A9C">
            <w:pPr>
              <w:pStyle w:val="TableText"/>
              <w:rPr>
                <w:b/>
                <w:bCs w:val="0"/>
              </w:rPr>
            </w:pPr>
            <w:r w:rsidRPr="00A6154D">
              <w:rPr>
                <w:b/>
                <w:bCs w:val="0"/>
              </w:rPr>
              <w:t>Time to treatment discontinuation extrapolation (base case: independent model – ruxolitinib and BAT exponential)</w:t>
            </w:r>
          </w:p>
        </w:tc>
      </w:tr>
      <w:tr w:rsidR="001D2637" w:rsidRPr="00A6154D" w14:paraId="57B666FD" w14:textId="77777777" w:rsidTr="00E03A5A">
        <w:tc>
          <w:tcPr>
            <w:tcW w:w="5807" w:type="dxa"/>
          </w:tcPr>
          <w:p w14:paraId="082E284A" w14:textId="77777777" w:rsidR="001D2637" w:rsidRPr="00A6154D" w:rsidRDefault="001D2637" w:rsidP="00014A9C">
            <w:pPr>
              <w:pStyle w:val="TableText"/>
            </w:pPr>
            <w:r w:rsidRPr="00A6154D">
              <w:t>Independent – ruxolitinib and BAT Weibull</w:t>
            </w:r>
          </w:p>
        </w:tc>
        <w:tc>
          <w:tcPr>
            <w:tcW w:w="1273" w:type="dxa"/>
          </w:tcPr>
          <w:p w14:paraId="6DCC640A" w14:textId="718CE8B7" w:rsidR="001D2637" w:rsidRPr="00A6154D" w:rsidRDefault="001D2637" w:rsidP="00014A9C">
            <w:pPr>
              <w:pStyle w:val="TableText"/>
              <w:jc w:val="center"/>
            </w:pPr>
            <w:r w:rsidRPr="00A6154D">
              <w:t>$</w:t>
            </w:r>
            <w:r w:rsidR="00F96E54" w:rsidRPr="00F96E54">
              <w:rPr>
                <w:rFonts w:hint="eastAsia"/>
                <w:color w:val="000000"/>
                <w:w w:val="15"/>
                <w:shd w:val="solid" w:color="000000" w:fill="000000"/>
                <w:fitText w:val="63" w:id="-1435343355"/>
                <w14:textFill>
                  <w14:solidFill>
                    <w14:srgbClr w14:val="000000">
                      <w14:alpha w14:val="100000"/>
                    </w14:srgbClr>
                  </w14:solidFill>
                </w14:textFill>
              </w:rPr>
              <w:t xml:space="preserve">　</w:t>
            </w:r>
            <w:r w:rsidR="00F96E54" w:rsidRPr="00F96E54">
              <w:rPr>
                <w:color w:val="000000"/>
                <w:w w:val="15"/>
                <w:shd w:val="solid" w:color="000000" w:fill="000000"/>
                <w:fitText w:val="63" w:id="-1435343355"/>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5"/>
                <w14:textFill>
                  <w14:solidFill>
                    <w14:srgbClr w14:val="000000">
                      <w14:alpha w14:val="100000"/>
                    </w14:srgbClr>
                  </w14:solidFill>
                </w14:textFill>
              </w:rPr>
              <w:t xml:space="preserve">　</w:t>
            </w:r>
          </w:p>
        </w:tc>
        <w:tc>
          <w:tcPr>
            <w:tcW w:w="1137" w:type="dxa"/>
          </w:tcPr>
          <w:p w14:paraId="5526C692" w14:textId="53B7259A" w:rsidR="001D2637" w:rsidRPr="00A6154D" w:rsidRDefault="001D2637" w:rsidP="00014A9C">
            <w:pPr>
              <w:pStyle w:val="TableText"/>
              <w:jc w:val="center"/>
            </w:pPr>
            <w:r w:rsidRPr="00A6154D">
              <w:t>0.4475</w:t>
            </w:r>
          </w:p>
        </w:tc>
        <w:tc>
          <w:tcPr>
            <w:tcW w:w="1086" w:type="dxa"/>
          </w:tcPr>
          <w:p w14:paraId="4B9CC174" w14:textId="6240A7F0" w:rsidR="001D2637" w:rsidRPr="00A6154D" w:rsidRDefault="001D2637" w:rsidP="00014A9C">
            <w:pPr>
              <w:pStyle w:val="TableText"/>
              <w:jc w:val="center"/>
            </w:pPr>
            <w:r w:rsidRPr="00A6154D">
              <w:t>$</w:t>
            </w:r>
            <w:r w:rsidR="00F96E54" w:rsidRPr="00F96E54">
              <w:rPr>
                <w:color w:val="000000"/>
                <w:spacing w:val="102"/>
                <w:shd w:val="solid" w:color="000000" w:fill="000000"/>
                <w:fitText w:val="188" w:id="-1435343354"/>
                <w14:textFill>
                  <w14:solidFill>
                    <w14:srgbClr w14:val="000000">
                      <w14:alpha w14:val="100000"/>
                    </w14:srgbClr>
                  </w14:solidFill>
                </w14:textFill>
              </w:rPr>
              <w:t>|</w:t>
            </w:r>
            <w:r w:rsidR="00F96E54" w:rsidRPr="00F96E54">
              <w:rPr>
                <w:color w:val="000000"/>
                <w:spacing w:val="1"/>
                <w:shd w:val="solid" w:color="000000" w:fill="000000"/>
                <w:fitText w:val="188" w:id="-1435343354"/>
                <w14:textFill>
                  <w14:solidFill>
                    <w14:srgbClr w14:val="000000">
                      <w14:alpha w14:val="100000"/>
                    </w14:srgbClr>
                  </w14:solidFill>
                </w14:textFill>
              </w:rPr>
              <w:t>|</w:t>
            </w:r>
            <w:r w:rsidR="0047021A">
              <w:rPr>
                <w:b/>
                <w:vertAlign w:val="superscript"/>
              </w:rPr>
              <w:t>1</w:t>
            </w:r>
          </w:p>
        </w:tc>
      </w:tr>
      <w:tr w:rsidR="001D2637" w:rsidRPr="00A6154D" w14:paraId="12D188E2" w14:textId="77777777" w:rsidTr="00E03A5A">
        <w:tc>
          <w:tcPr>
            <w:tcW w:w="5807" w:type="dxa"/>
          </w:tcPr>
          <w:p w14:paraId="0B99EEAD" w14:textId="77777777" w:rsidR="001D2637" w:rsidRPr="00A6154D" w:rsidRDefault="001D2637" w:rsidP="00014A9C">
            <w:pPr>
              <w:pStyle w:val="TableText"/>
            </w:pPr>
            <w:r w:rsidRPr="00A6154D">
              <w:t xml:space="preserve">Independent – ruxolitinib Weibull; BAT exponential </w:t>
            </w:r>
          </w:p>
        </w:tc>
        <w:tc>
          <w:tcPr>
            <w:tcW w:w="1273" w:type="dxa"/>
          </w:tcPr>
          <w:p w14:paraId="2B661281" w14:textId="6E5014D6" w:rsidR="001D2637" w:rsidRPr="00A6154D" w:rsidRDefault="001D2637" w:rsidP="00014A9C">
            <w:pPr>
              <w:pStyle w:val="TableText"/>
              <w:jc w:val="center"/>
            </w:pPr>
            <w:r w:rsidRPr="00A6154D">
              <w:t>$</w:t>
            </w:r>
            <w:r w:rsidR="00F96E54" w:rsidRPr="00F96E54">
              <w:rPr>
                <w:rFonts w:hint="eastAsia"/>
                <w:color w:val="000000"/>
                <w:w w:val="15"/>
                <w:shd w:val="solid" w:color="000000" w:fill="000000"/>
                <w:fitText w:val="63" w:id="-1435343353"/>
                <w14:textFill>
                  <w14:solidFill>
                    <w14:srgbClr w14:val="000000">
                      <w14:alpha w14:val="100000"/>
                    </w14:srgbClr>
                  </w14:solidFill>
                </w14:textFill>
              </w:rPr>
              <w:t xml:space="preserve">　</w:t>
            </w:r>
            <w:r w:rsidR="00F96E54" w:rsidRPr="00F96E54">
              <w:rPr>
                <w:color w:val="000000"/>
                <w:w w:val="15"/>
                <w:shd w:val="solid" w:color="000000" w:fill="000000"/>
                <w:fitText w:val="63" w:id="-1435343353"/>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3"/>
                <w14:textFill>
                  <w14:solidFill>
                    <w14:srgbClr w14:val="000000">
                      <w14:alpha w14:val="100000"/>
                    </w14:srgbClr>
                  </w14:solidFill>
                </w14:textFill>
              </w:rPr>
              <w:t xml:space="preserve">　</w:t>
            </w:r>
          </w:p>
        </w:tc>
        <w:tc>
          <w:tcPr>
            <w:tcW w:w="1137" w:type="dxa"/>
          </w:tcPr>
          <w:p w14:paraId="05E0A66C" w14:textId="056596D8" w:rsidR="001D2637" w:rsidRPr="00A6154D" w:rsidRDefault="001D2637" w:rsidP="00014A9C">
            <w:pPr>
              <w:pStyle w:val="TableText"/>
              <w:jc w:val="center"/>
            </w:pPr>
            <w:r w:rsidRPr="00A6154D">
              <w:t>0.4475</w:t>
            </w:r>
          </w:p>
        </w:tc>
        <w:tc>
          <w:tcPr>
            <w:tcW w:w="1086" w:type="dxa"/>
          </w:tcPr>
          <w:p w14:paraId="165D429F" w14:textId="0B3A1941" w:rsidR="001D2637" w:rsidRPr="00A6154D" w:rsidRDefault="001D2637" w:rsidP="00014A9C">
            <w:pPr>
              <w:pStyle w:val="TableText"/>
              <w:jc w:val="center"/>
            </w:pPr>
            <w:r w:rsidRPr="00A6154D">
              <w:t>$</w:t>
            </w:r>
            <w:r w:rsidR="00F96E54" w:rsidRPr="00F96E54">
              <w:rPr>
                <w:color w:val="000000"/>
                <w:spacing w:val="102"/>
                <w:shd w:val="solid" w:color="000000" w:fill="000000"/>
                <w:fitText w:val="188" w:id="-1435343352"/>
                <w14:textFill>
                  <w14:solidFill>
                    <w14:srgbClr w14:val="000000">
                      <w14:alpha w14:val="100000"/>
                    </w14:srgbClr>
                  </w14:solidFill>
                </w14:textFill>
              </w:rPr>
              <w:t>|</w:t>
            </w:r>
            <w:r w:rsidR="00F96E54" w:rsidRPr="00F96E54">
              <w:rPr>
                <w:color w:val="000000"/>
                <w:spacing w:val="1"/>
                <w:shd w:val="solid" w:color="000000" w:fill="000000"/>
                <w:fitText w:val="188" w:id="-1435343352"/>
                <w14:textFill>
                  <w14:solidFill>
                    <w14:srgbClr w14:val="000000">
                      <w14:alpha w14:val="100000"/>
                    </w14:srgbClr>
                  </w14:solidFill>
                </w14:textFill>
              </w:rPr>
              <w:t>|</w:t>
            </w:r>
            <w:r w:rsidR="0047021A">
              <w:rPr>
                <w:b/>
                <w:vertAlign w:val="superscript"/>
              </w:rPr>
              <w:t>1</w:t>
            </w:r>
          </w:p>
        </w:tc>
      </w:tr>
      <w:tr w:rsidR="001D2637" w:rsidRPr="00A6154D" w14:paraId="564E3F9D" w14:textId="77777777" w:rsidTr="00A361A7">
        <w:tc>
          <w:tcPr>
            <w:tcW w:w="9303" w:type="dxa"/>
            <w:gridSpan w:val="4"/>
          </w:tcPr>
          <w:p w14:paraId="0B7D05A5" w14:textId="77777777" w:rsidR="001D2637" w:rsidRPr="00A6154D" w:rsidRDefault="001D2637" w:rsidP="00014A9C">
            <w:pPr>
              <w:pStyle w:val="TableText"/>
              <w:rPr>
                <w:b/>
                <w:bCs w:val="0"/>
              </w:rPr>
            </w:pPr>
            <w:r w:rsidRPr="00A6154D">
              <w:rPr>
                <w:b/>
                <w:bCs w:val="0"/>
              </w:rPr>
              <w:t>Duration of response extrapolation (base case: dependent model – ruxolitinib and BAT exponential)</w:t>
            </w:r>
          </w:p>
        </w:tc>
      </w:tr>
      <w:tr w:rsidR="001D2637" w:rsidRPr="00A6154D" w14:paraId="50DB58A5" w14:textId="77777777" w:rsidTr="00E03A5A">
        <w:tc>
          <w:tcPr>
            <w:tcW w:w="5807" w:type="dxa"/>
          </w:tcPr>
          <w:p w14:paraId="39C42EE4" w14:textId="77777777" w:rsidR="001D2637" w:rsidRPr="00A6154D" w:rsidRDefault="001D2637" w:rsidP="00014A9C">
            <w:pPr>
              <w:pStyle w:val="TableText"/>
            </w:pPr>
            <w:r w:rsidRPr="00A6154D">
              <w:t>Dependent – ruxolitinib and BAT loglogistic</w:t>
            </w:r>
          </w:p>
        </w:tc>
        <w:tc>
          <w:tcPr>
            <w:tcW w:w="1273" w:type="dxa"/>
          </w:tcPr>
          <w:p w14:paraId="3647C65B" w14:textId="7633AAF6" w:rsidR="001D2637" w:rsidRPr="00A6154D" w:rsidRDefault="001D2637" w:rsidP="00014A9C">
            <w:pPr>
              <w:pStyle w:val="TableText"/>
              <w:jc w:val="center"/>
            </w:pPr>
            <w:r w:rsidRPr="00A6154D">
              <w:t>$</w:t>
            </w:r>
            <w:r w:rsidR="00F96E54" w:rsidRPr="00F96E54">
              <w:rPr>
                <w:rFonts w:hint="eastAsia"/>
                <w:color w:val="000000"/>
                <w:w w:val="15"/>
                <w:shd w:val="solid" w:color="000000" w:fill="000000"/>
                <w:fitText w:val="63" w:id="-1435343351"/>
                <w14:textFill>
                  <w14:solidFill>
                    <w14:srgbClr w14:val="000000">
                      <w14:alpha w14:val="100000"/>
                    </w14:srgbClr>
                  </w14:solidFill>
                </w14:textFill>
              </w:rPr>
              <w:t xml:space="preserve">　</w:t>
            </w:r>
            <w:r w:rsidR="00F96E54" w:rsidRPr="00F96E54">
              <w:rPr>
                <w:color w:val="000000"/>
                <w:w w:val="15"/>
                <w:shd w:val="solid" w:color="000000" w:fill="000000"/>
                <w:fitText w:val="63" w:id="-1435343351"/>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1"/>
                <w14:textFill>
                  <w14:solidFill>
                    <w14:srgbClr w14:val="000000">
                      <w14:alpha w14:val="100000"/>
                    </w14:srgbClr>
                  </w14:solidFill>
                </w14:textFill>
              </w:rPr>
              <w:t xml:space="preserve">　</w:t>
            </w:r>
          </w:p>
        </w:tc>
        <w:tc>
          <w:tcPr>
            <w:tcW w:w="1137" w:type="dxa"/>
          </w:tcPr>
          <w:p w14:paraId="7A916F9D" w14:textId="1EC2613C" w:rsidR="001D2637" w:rsidRPr="00A6154D" w:rsidRDefault="001D2637" w:rsidP="00014A9C">
            <w:pPr>
              <w:pStyle w:val="TableText"/>
              <w:jc w:val="center"/>
            </w:pPr>
            <w:r w:rsidRPr="00A6154D">
              <w:t>0.3974</w:t>
            </w:r>
          </w:p>
        </w:tc>
        <w:tc>
          <w:tcPr>
            <w:tcW w:w="1086" w:type="dxa"/>
          </w:tcPr>
          <w:p w14:paraId="3873E314" w14:textId="64AB4FF9" w:rsidR="001D2637" w:rsidRPr="00A6154D" w:rsidRDefault="001D2637" w:rsidP="00014A9C">
            <w:pPr>
              <w:pStyle w:val="TableText"/>
              <w:jc w:val="center"/>
            </w:pPr>
            <w:r w:rsidRPr="00A6154D">
              <w:t>$</w:t>
            </w:r>
            <w:r w:rsidR="00F96E54" w:rsidRPr="00F96E54">
              <w:rPr>
                <w:color w:val="000000"/>
                <w:spacing w:val="102"/>
                <w:shd w:val="solid" w:color="000000" w:fill="000000"/>
                <w:fitText w:val="188" w:id="-1435343350"/>
                <w14:textFill>
                  <w14:solidFill>
                    <w14:srgbClr w14:val="000000">
                      <w14:alpha w14:val="100000"/>
                    </w14:srgbClr>
                  </w14:solidFill>
                </w14:textFill>
              </w:rPr>
              <w:t>|</w:t>
            </w:r>
            <w:r w:rsidR="00F96E54" w:rsidRPr="00F96E54">
              <w:rPr>
                <w:color w:val="000000"/>
                <w:spacing w:val="1"/>
                <w:shd w:val="solid" w:color="000000" w:fill="000000"/>
                <w:fitText w:val="188" w:id="-1435343350"/>
                <w14:textFill>
                  <w14:solidFill>
                    <w14:srgbClr w14:val="000000">
                      <w14:alpha w14:val="100000"/>
                    </w14:srgbClr>
                  </w14:solidFill>
                </w14:textFill>
              </w:rPr>
              <w:t>|</w:t>
            </w:r>
            <w:r w:rsidR="001A02B8">
              <w:rPr>
                <w:b/>
                <w:vertAlign w:val="superscript"/>
              </w:rPr>
              <w:t>7</w:t>
            </w:r>
          </w:p>
        </w:tc>
      </w:tr>
      <w:tr w:rsidR="001D2637" w:rsidRPr="00A6154D" w14:paraId="521CBD56" w14:textId="77777777" w:rsidTr="00E03A5A">
        <w:trPr>
          <w:trHeight w:val="70"/>
        </w:trPr>
        <w:tc>
          <w:tcPr>
            <w:tcW w:w="5807" w:type="dxa"/>
          </w:tcPr>
          <w:p w14:paraId="09E49EBE" w14:textId="77777777" w:rsidR="001D2637" w:rsidRPr="00A6154D" w:rsidRDefault="001D2637" w:rsidP="00014A9C">
            <w:pPr>
              <w:pStyle w:val="TableText"/>
            </w:pPr>
            <w:r w:rsidRPr="00A6154D">
              <w:t>Dependent – ruxolitinib and BAT lognormal</w:t>
            </w:r>
          </w:p>
        </w:tc>
        <w:tc>
          <w:tcPr>
            <w:tcW w:w="1273" w:type="dxa"/>
          </w:tcPr>
          <w:p w14:paraId="22AA889C" w14:textId="3BF3B0A7" w:rsidR="001D2637" w:rsidRPr="00A6154D" w:rsidRDefault="001D2637" w:rsidP="00014A9C">
            <w:pPr>
              <w:pStyle w:val="TableText"/>
              <w:jc w:val="center"/>
            </w:pPr>
            <w:r w:rsidRPr="00A6154D">
              <w:t>$</w:t>
            </w:r>
            <w:r w:rsidR="00F96E54" w:rsidRPr="00F96E54">
              <w:rPr>
                <w:rFonts w:hint="eastAsia"/>
                <w:color w:val="000000"/>
                <w:w w:val="15"/>
                <w:shd w:val="solid" w:color="000000" w:fill="000000"/>
                <w:fitText w:val="63" w:id="-1435343349"/>
                <w14:textFill>
                  <w14:solidFill>
                    <w14:srgbClr w14:val="000000">
                      <w14:alpha w14:val="100000"/>
                    </w14:srgbClr>
                  </w14:solidFill>
                </w14:textFill>
              </w:rPr>
              <w:t xml:space="preserve">　</w:t>
            </w:r>
            <w:r w:rsidR="00F96E54" w:rsidRPr="00F96E54">
              <w:rPr>
                <w:color w:val="000000"/>
                <w:w w:val="15"/>
                <w:shd w:val="solid" w:color="000000" w:fill="000000"/>
                <w:fitText w:val="63" w:id="-1435343349"/>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9"/>
                <w14:textFill>
                  <w14:solidFill>
                    <w14:srgbClr w14:val="000000">
                      <w14:alpha w14:val="100000"/>
                    </w14:srgbClr>
                  </w14:solidFill>
                </w14:textFill>
              </w:rPr>
              <w:t xml:space="preserve">　</w:t>
            </w:r>
          </w:p>
        </w:tc>
        <w:tc>
          <w:tcPr>
            <w:tcW w:w="1137" w:type="dxa"/>
          </w:tcPr>
          <w:p w14:paraId="03479B3F" w14:textId="205EF1CF" w:rsidR="001D2637" w:rsidRPr="00A6154D" w:rsidRDefault="001D2637" w:rsidP="00014A9C">
            <w:pPr>
              <w:pStyle w:val="TableText"/>
              <w:jc w:val="center"/>
            </w:pPr>
            <w:r w:rsidRPr="00A6154D">
              <w:t>0.4159</w:t>
            </w:r>
          </w:p>
        </w:tc>
        <w:tc>
          <w:tcPr>
            <w:tcW w:w="1086" w:type="dxa"/>
          </w:tcPr>
          <w:p w14:paraId="6D1B79CE" w14:textId="4FBE410F" w:rsidR="001D2637" w:rsidRPr="00A6154D" w:rsidRDefault="001D2637" w:rsidP="00014A9C">
            <w:pPr>
              <w:pStyle w:val="TableText"/>
              <w:jc w:val="center"/>
            </w:pPr>
            <w:r w:rsidRPr="00A6154D">
              <w:t>$</w:t>
            </w:r>
            <w:r w:rsidR="00F96E54" w:rsidRPr="00F96E54">
              <w:rPr>
                <w:color w:val="000000"/>
                <w:spacing w:val="102"/>
                <w:shd w:val="solid" w:color="000000" w:fill="000000"/>
                <w:fitText w:val="188" w:id="-1435343348"/>
                <w14:textFill>
                  <w14:solidFill>
                    <w14:srgbClr w14:val="000000">
                      <w14:alpha w14:val="100000"/>
                    </w14:srgbClr>
                  </w14:solidFill>
                </w14:textFill>
              </w:rPr>
              <w:t>|</w:t>
            </w:r>
            <w:r w:rsidR="00F96E54" w:rsidRPr="00F96E54">
              <w:rPr>
                <w:color w:val="000000"/>
                <w:spacing w:val="1"/>
                <w:shd w:val="solid" w:color="000000" w:fill="000000"/>
                <w:fitText w:val="188" w:id="-1435343348"/>
                <w14:textFill>
                  <w14:solidFill>
                    <w14:srgbClr w14:val="000000">
                      <w14:alpha w14:val="100000"/>
                    </w14:srgbClr>
                  </w14:solidFill>
                </w14:textFill>
              </w:rPr>
              <w:t>|</w:t>
            </w:r>
            <w:r w:rsidR="0047021A">
              <w:rPr>
                <w:b/>
                <w:vertAlign w:val="superscript"/>
              </w:rPr>
              <w:t>1</w:t>
            </w:r>
          </w:p>
        </w:tc>
      </w:tr>
      <w:tr w:rsidR="001D2637" w:rsidRPr="00A6154D" w14:paraId="7F0C6734" w14:textId="77777777" w:rsidTr="00E03A5A">
        <w:tc>
          <w:tcPr>
            <w:tcW w:w="5807" w:type="dxa"/>
          </w:tcPr>
          <w:p w14:paraId="33987392" w14:textId="77777777" w:rsidR="001D2637" w:rsidRPr="00A6154D" w:rsidRDefault="001D2637" w:rsidP="00014A9C">
            <w:pPr>
              <w:pStyle w:val="TableText"/>
            </w:pPr>
            <w:r w:rsidRPr="00A6154D">
              <w:t>Independent – ruxolitinib and BAT exponential</w:t>
            </w:r>
          </w:p>
        </w:tc>
        <w:tc>
          <w:tcPr>
            <w:tcW w:w="1273" w:type="dxa"/>
          </w:tcPr>
          <w:p w14:paraId="7A966E05" w14:textId="0EC2DB3E" w:rsidR="001D2637" w:rsidRPr="00A6154D" w:rsidRDefault="001D2637" w:rsidP="00014A9C">
            <w:pPr>
              <w:pStyle w:val="TableText"/>
              <w:jc w:val="center"/>
            </w:pPr>
            <w:r w:rsidRPr="00A6154D">
              <w:t>$</w:t>
            </w:r>
            <w:r w:rsidR="00F96E54" w:rsidRPr="00F96E54">
              <w:rPr>
                <w:rFonts w:hint="eastAsia"/>
                <w:color w:val="000000"/>
                <w:w w:val="15"/>
                <w:shd w:val="solid" w:color="000000" w:fill="000000"/>
                <w:fitText w:val="63" w:id="-1435343347"/>
                <w14:textFill>
                  <w14:solidFill>
                    <w14:srgbClr w14:val="000000">
                      <w14:alpha w14:val="100000"/>
                    </w14:srgbClr>
                  </w14:solidFill>
                </w14:textFill>
              </w:rPr>
              <w:t xml:space="preserve">　</w:t>
            </w:r>
            <w:r w:rsidR="00F96E54" w:rsidRPr="00F96E54">
              <w:rPr>
                <w:color w:val="000000"/>
                <w:w w:val="15"/>
                <w:shd w:val="solid" w:color="000000" w:fill="000000"/>
                <w:fitText w:val="63" w:id="-1435343347"/>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7"/>
                <w14:textFill>
                  <w14:solidFill>
                    <w14:srgbClr w14:val="000000">
                      <w14:alpha w14:val="100000"/>
                    </w14:srgbClr>
                  </w14:solidFill>
                </w14:textFill>
              </w:rPr>
              <w:t xml:space="preserve">　</w:t>
            </w:r>
          </w:p>
        </w:tc>
        <w:tc>
          <w:tcPr>
            <w:tcW w:w="1137" w:type="dxa"/>
          </w:tcPr>
          <w:p w14:paraId="7807A8AE" w14:textId="6BAB3C41" w:rsidR="001D2637" w:rsidRPr="00A6154D" w:rsidRDefault="001D2637" w:rsidP="00014A9C">
            <w:pPr>
              <w:pStyle w:val="TableText"/>
              <w:jc w:val="center"/>
            </w:pPr>
            <w:r w:rsidRPr="00A6154D">
              <w:t>0.4475</w:t>
            </w:r>
          </w:p>
        </w:tc>
        <w:tc>
          <w:tcPr>
            <w:tcW w:w="1086" w:type="dxa"/>
          </w:tcPr>
          <w:p w14:paraId="58DF0695" w14:textId="197DDD65" w:rsidR="001D2637" w:rsidRPr="00A6154D" w:rsidRDefault="001D2637" w:rsidP="00014A9C">
            <w:pPr>
              <w:pStyle w:val="TableText"/>
              <w:jc w:val="center"/>
            </w:pPr>
            <w:r w:rsidRPr="00A6154D">
              <w:t>$</w:t>
            </w:r>
            <w:r w:rsidR="00F96E54" w:rsidRPr="00F96E54">
              <w:rPr>
                <w:color w:val="000000"/>
                <w:spacing w:val="102"/>
                <w:shd w:val="solid" w:color="000000" w:fill="000000"/>
                <w:fitText w:val="188" w:id="-1435343346"/>
                <w14:textFill>
                  <w14:solidFill>
                    <w14:srgbClr w14:val="000000">
                      <w14:alpha w14:val="100000"/>
                    </w14:srgbClr>
                  </w14:solidFill>
                </w14:textFill>
              </w:rPr>
              <w:t>|</w:t>
            </w:r>
            <w:r w:rsidR="00F96E54" w:rsidRPr="00F96E54">
              <w:rPr>
                <w:color w:val="000000"/>
                <w:spacing w:val="1"/>
                <w:shd w:val="solid" w:color="000000" w:fill="000000"/>
                <w:fitText w:val="188" w:id="-1435343346"/>
                <w14:textFill>
                  <w14:solidFill>
                    <w14:srgbClr w14:val="000000">
                      <w14:alpha w14:val="100000"/>
                    </w14:srgbClr>
                  </w14:solidFill>
                </w14:textFill>
              </w:rPr>
              <w:t>|</w:t>
            </w:r>
            <w:r w:rsidR="0047021A">
              <w:rPr>
                <w:b/>
                <w:vertAlign w:val="superscript"/>
              </w:rPr>
              <w:t>1</w:t>
            </w:r>
          </w:p>
        </w:tc>
      </w:tr>
      <w:tr w:rsidR="001D2637" w:rsidRPr="00A6154D" w14:paraId="12A3E2AF" w14:textId="77777777" w:rsidTr="00E03A5A">
        <w:tc>
          <w:tcPr>
            <w:tcW w:w="5807" w:type="dxa"/>
          </w:tcPr>
          <w:p w14:paraId="24C21AA3" w14:textId="77777777" w:rsidR="001D2637" w:rsidRPr="00A6154D" w:rsidRDefault="001D2637" w:rsidP="001D2637">
            <w:pPr>
              <w:pStyle w:val="TableText"/>
              <w:keepNext w:val="0"/>
            </w:pPr>
            <w:r w:rsidRPr="00A6154D">
              <w:t>Independent – ruxolitinib and BAT loglogistic</w:t>
            </w:r>
          </w:p>
        </w:tc>
        <w:tc>
          <w:tcPr>
            <w:tcW w:w="1273" w:type="dxa"/>
          </w:tcPr>
          <w:p w14:paraId="4584934A" w14:textId="01A39C01" w:rsidR="001D2637" w:rsidRPr="00A6154D" w:rsidRDefault="001D2637" w:rsidP="001D2637">
            <w:pPr>
              <w:pStyle w:val="TableText"/>
              <w:keepNext w:val="0"/>
              <w:jc w:val="center"/>
            </w:pPr>
            <w:r w:rsidRPr="00A6154D">
              <w:t>$</w:t>
            </w:r>
            <w:r w:rsidR="00F96E54" w:rsidRPr="00F96E54">
              <w:rPr>
                <w:rFonts w:hint="eastAsia"/>
                <w:color w:val="000000"/>
                <w:w w:val="15"/>
                <w:shd w:val="solid" w:color="000000" w:fill="000000"/>
                <w:fitText w:val="63" w:id="-1435343345"/>
                <w14:textFill>
                  <w14:solidFill>
                    <w14:srgbClr w14:val="000000">
                      <w14:alpha w14:val="100000"/>
                    </w14:srgbClr>
                  </w14:solidFill>
                </w14:textFill>
              </w:rPr>
              <w:t xml:space="preserve">　</w:t>
            </w:r>
            <w:r w:rsidR="00F96E54" w:rsidRPr="00F96E54">
              <w:rPr>
                <w:color w:val="000000"/>
                <w:w w:val="15"/>
                <w:shd w:val="solid" w:color="000000" w:fill="000000"/>
                <w:fitText w:val="63" w:id="-1435343345"/>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5"/>
                <w14:textFill>
                  <w14:solidFill>
                    <w14:srgbClr w14:val="000000">
                      <w14:alpha w14:val="100000"/>
                    </w14:srgbClr>
                  </w14:solidFill>
                </w14:textFill>
              </w:rPr>
              <w:t xml:space="preserve">　</w:t>
            </w:r>
          </w:p>
        </w:tc>
        <w:tc>
          <w:tcPr>
            <w:tcW w:w="1137" w:type="dxa"/>
          </w:tcPr>
          <w:p w14:paraId="0A1360F1" w14:textId="3A7319AB" w:rsidR="001D2637" w:rsidRPr="00A6154D" w:rsidRDefault="001D2637" w:rsidP="001D2637">
            <w:pPr>
              <w:pStyle w:val="TableText"/>
              <w:keepNext w:val="0"/>
              <w:jc w:val="center"/>
            </w:pPr>
            <w:r w:rsidRPr="00A6154D">
              <w:t>0.2456</w:t>
            </w:r>
          </w:p>
        </w:tc>
        <w:tc>
          <w:tcPr>
            <w:tcW w:w="1086" w:type="dxa"/>
          </w:tcPr>
          <w:p w14:paraId="247AB5F9" w14:textId="21D8304B" w:rsidR="001D2637" w:rsidRPr="00A6154D" w:rsidRDefault="001D2637" w:rsidP="001D2637">
            <w:pPr>
              <w:pStyle w:val="TableText"/>
              <w:keepNext w:val="0"/>
              <w:jc w:val="center"/>
            </w:pPr>
            <w:r w:rsidRPr="00A6154D">
              <w:t>$</w:t>
            </w:r>
            <w:r w:rsidR="00F96E54" w:rsidRPr="00F96E54">
              <w:rPr>
                <w:color w:val="000000"/>
                <w:spacing w:val="102"/>
                <w:shd w:val="solid" w:color="000000" w:fill="000000"/>
                <w:fitText w:val="188" w:id="-1435343344"/>
                <w14:textFill>
                  <w14:solidFill>
                    <w14:srgbClr w14:val="000000">
                      <w14:alpha w14:val="100000"/>
                    </w14:srgbClr>
                  </w14:solidFill>
                </w14:textFill>
              </w:rPr>
              <w:t>|</w:t>
            </w:r>
            <w:r w:rsidR="00F96E54" w:rsidRPr="00F96E54">
              <w:rPr>
                <w:color w:val="000000"/>
                <w:spacing w:val="1"/>
                <w:shd w:val="solid" w:color="000000" w:fill="000000"/>
                <w:fitText w:val="188" w:id="-1435343344"/>
                <w14:textFill>
                  <w14:solidFill>
                    <w14:srgbClr w14:val="000000">
                      <w14:alpha w14:val="100000"/>
                    </w14:srgbClr>
                  </w14:solidFill>
                </w14:textFill>
              </w:rPr>
              <w:t>|</w:t>
            </w:r>
            <w:r w:rsidR="001A02B8">
              <w:rPr>
                <w:b/>
                <w:vertAlign w:val="superscript"/>
              </w:rPr>
              <w:t>8</w:t>
            </w:r>
          </w:p>
        </w:tc>
      </w:tr>
      <w:tr w:rsidR="001D2637" w:rsidRPr="00A6154D" w14:paraId="7D51D61E" w14:textId="77777777" w:rsidTr="00A361A7">
        <w:tc>
          <w:tcPr>
            <w:tcW w:w="9303" w:type="dxa"/>
            <w:gridSpan w:val="4"/>
          </w:tcPr>
          <w:p w14:paraId="343C0328" w14:textId="77777777" w:rsidR="001D2637" w:rsidRPr="00A6154D" w:rsidRDefault="001D2637" w:rsidP="001D2637">
            <w:pPr>
              <w:pStyle w:val="TableText"/>
              <w:keepNext w:val="0"/>
              <w:rPr>
                <w:b/>
                <w:bCs w:val="0"/>
              </w:rPr>
            </w:pPr>
            <w:r w:rsidRPr="00A6154D">
              <w:rPr>
                <w:b/>
                <w:bCs w:val="0"/>
              </w:rPr>
              <w:t>Utilities (baseline: ruxolitinib responder 0.746, non-responder 0.687; BAT responder 0.695, non-responder 0.636)</w:t>
            </w:r>
          </w:p>
        </w:tc>
      </w:tr>
      <w:tr w:rsidR="001D2637" w:rsidRPr="00A6154D" w14:paraId="14409C31" w14:textId="77777777" w:rsidTr="00E03A5A">
        <w:tc>
          <w:tcPr>
            <w:tcW w:w="5807" w:type="dxa"/>
          </w:tcPr>
          <w:p w14:paraId="47902CC4" w14:textId="77777777" w:rsidR="001D2637" w:rsidRPr="00A6154D" w:rsidRDefault="001D2637" w:rsidP="001D2637">
            <w:pPr>
              <w:pStyle w:val="TableText"/>
              <w:keepNext w:val="0"/>
            </w:pPr>
            <w:r w:rsidRPr="00A6154D">
              <w:t>Alternative model: Ruxolitinib responder 0.716, non-responder 0.687; BAT responder 0.669, non-responder 0.640</w:t>
            </w:r>
          </w:p>
        </w:tc>
        <w:tc>
          <w:tcPr>
            <w:tcW w:w="1273" w:type="dxa"/>
            <w:vAlign w:val="center"/>
          </w:tcPr>
          <w:p w14:paraId="01123C64" w14:textId="3E450BE2" w:rsidR="001D2637" w:rsidRPr="00A6154D" w:rsidRDefault="001D2637" w:rsidP="001D2637">
            <w:pPr>
              <w:pStyle w:val="TableText"/>
              <w:keepNext w:val="0"/>
              <w:jc w:val="center"/>
            </w:pPr>
            <w:r w:rsidRPr="00A6154D">
              <w:t>$</w:t>
            </w:r>
            <w:r w:rsidR="00F96E54" w:rsidRPr="00F96E54">
              <w:rPr>
                <w:rFonts w:hint="eastAsia"/>
                <w:color w:val="000000"/>
                <w:w w:val="15"/>
                <w:shd w:val="solid" w:color="000000" w:fill="000000"/>
                <w:fitText w:val="63" w:id="-1435343360"/>
                <w14:textFill>
                  <w14:solidFill>
                    <w14:srgbClr w14:val="000000">
                      <w14:alpha w14:val="100000"/>
                    </w14:srgbClr>
                  </w14:solidFill>
                </w14:textFill>
              </w:rPr>
              <w:t xml:space="preserve">　</w:t>
            </w:r>
            <w:r w:rsidR="00F96E54" w:rsidRPr="00F96E54">
              <w:rPr>
                <w:color w:val="000000"/>
                <w:w w:val="15"/>
                <w:shd w:val="solid" w:color="000000" w:fill="000000"/>
                <w:fitText w:val="63" w:id="-1435343360"/>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60"/>
                <w14:textFill>
                  <w14:solidFill>
                    <w14:srgbClr w14:val="000000">
                      <w14:alpha w14:val="100000"/>
                    </w14:srgbClr>
                  </w14:solidFill>
                </w14:textFill>
              </w:rPr>
              <w:t xml:space="preserve">　</w:t>
            </w:r>
          </w:p>
        </w:tc>
        <w:tc>
          <w:tcPr>
            <w:tcW w:w="1137" w:type="dxa"/>
            <w:vAlign w:val="center"/>
          </w:tcPr>
          <w:p w14:paraId="33A36BFF" w14:textId="2802C823" w:rsidR="001D2637" w:rsidRPr="00A6154D" w:rsidRDefault="001D2637" w:rsidP="001D2637">
            <w:pPr>
              <w:pStyle w:val="TableText"/>
              <w:keepNext w:val="0"/>
              <w:jc w:val="center"/>
            </w:pPr>
            <w:r w:rsidRPr="00A6154D">
              <w:t>0.3983</w:t>
            </w:r>
          </w:p>
        </w:tc>
        <w:tc>
          <w:tcPr>
            <w:tcW w:w="1086" w:type="dxa"/>
            <w:vAlign w:val="center"/>
          </w:tcPr>
          <w:p w14:paraId="1F72DACD" w14:textId="50C3E4C6" w:rsidR="001D2637" w:rsidRPr="00A6154D" w:rsidRDefault="001D2637" w:rsidP="001D2637">
            <w:pPr>
              <w:pStyle w:val="TableText"/>
              <w:keepNext w:val="0"/>
              <w:jc w:val="center"/>
            </w:pPr>
            <w:r w:rsidRPr="00A6154D">
              <w:t>$</w:t>
            </w:r>
            <w:r w:rsidR="00F96E54" w:rsidRPr="00F96E54">
              <w:rPr>
                <w:color w:val="000000"/>
                <w:spacing w:val="102"/>
                <w:shd w:val="solid" w:color="000000" w:fill="000000"/>
                <w:fitText w:val="188" w:id="-1435343359"/>
                <w14:textFill>
                  <w14:solidFill>
                    <w14:srgbClr w14:val="000000">
                      <w14:alpha w14:val="100000"/>
                    </w14:srgbClr>
                  </w14:solidFill>
                </w14:textFill>
              </w:rPr>
              <w:t>|</w:t>
            </w:r>
            <w:r w:rsidR="00F96E54" w:rsidRPr="00F96E54">
              <w:rPr>
                <w:color w:val="000000"/>
                <w:spacing w:val="1"/>
                <w:shd w:val="solid" w:color="000000" w:fill="000000"/>
                <w:fitText w:val="188" w:id="-1435343359"/>
                <w14:textFill>
                  <w14:solidFill>
                    <w14:srgbClr w14:val="000000">
                      <w14:alpha w14:val="100000"/>
                    </w14:srgbClr>
                  </w14:solidFill>
                </w14:textFill>
              </w:rPr>
              <w:t>|</w:t>
            </w:r>
            <w:r w:rsidR="001A02B8">
              <w:rPr>
                <w:b/>
                <w:vertAlign w:val="superscript"/>
              </w:rPr>
              <w:t>7</w:t>
            </w:r>
          </w:p>
        </w:tc>
      </w:tr>
      <w:tr w:rsidR="001D2637" w:rsidRPr="00A6154D" w14:paraId="79F4EE9A" w14:textId="77777777" w:rsidTr="00E03A5A">
        <w:tc>
          <w:tcPr>
            <w:tcW w:w="5807" w:type="dxa"/>
          </w:tcPr>
          <w:p w14:paraId="0DB4B7FE" w14:textId="77777777" w:rsidR="001D2637" w:rsidRPr="00A6154D" w:rsidRDefault="001D2637" w:rsidP="001D2637">
            <w:pPr>
              <w:pStyle w:val="TableText"/>
              <w:keepNext w:val="0"/>
            </w:pPr>
            <w:r w:rsidRPr="00A6154D">
              <w:t>Using ruxolitinib utilities in both arms</w:t>
            </w:r>
          </w:p>
        </w:tc>
        <w:tc>
          <w:tcPr>
            <w:tcW w:w="1273" w:type="dxa"/>
            <w:vAlign w:val="center"/>
          </w:tcPr>
          <w:p w14:paraId="69033F3C" w14:textId="62543768" w:rsidR="001D2637" w:rsidRPr="00A6154D" w:rsidRDefault="001D2637" w:rsidP="001D2637">
            <w:pPr>
              <w:pStyle w:val="TableText"/>
              <w:keepNext w:val="0"/>
              <w:jc w:val="center"/>
            </w:pPr>
            <w:r w:rsidRPr="00A6154D">
              <w:rPr>
                <w:szCs w:val="20"/>
              </w:rPr>
              <w:t>$</w:t>
            </w:r>
            <w:r w:rsidR="00F96E54" w:rsidRPr="00F96E54">
              <w:rPr>
                <w:rFonts w:hint="eastAsia"/>
                <w:color w:val="000000"/>
                <w:w w:val="15"/>
                <w:szCs w:val="20"/>
                <w:shd w:val="solid" w:color="000000" w:fill="000000"/>
                <w:fitText w:val="63" w:id="-1435343358"/>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8"/>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8"/>
                <w14:textFill>
                  <w14:solidFill>
                    <w14:srgbClr w14:val="000000">
                      <w14:alpha w14:val="100000"/>
                    </w14:srgbClr>
                  </w14:solidFill>
                </w14:textFill>
              </w:rPr>
              <w:t xml:space="preserve">　</w:t>
            </w:r>
          </w:p>
        </w:tc>
        <w:tc>
          <w:tcPr>
            <w:tcW w:w="1137" w:type="dxa"/>
          </w:tcPr>
          <w:p w14:paraId="3C9DCC95" w14:textId="77777777" w:rsidR="001D2637" w:rsidRPr="00A6154D" w:rsidRDefault="001D2637" w:rsidP="001D2637">
            <w:pPr>
              <w:pStyle w:val="TableText"/>
              <w:keepNext w:val="0"/>
              <w:jc w:val="center"/>
            </w:pPr>
            <w:r w:rsidRPr="00A6154D">
              <w:rPr>
                <w:szCs w:val="20"/>
              </w:rPr>
              <w:t>0.3260</w:t>
            </w:r>
          </w:p>
        </w:tc>
        <w:tc>
          <w:tcPr>
            <w:tcW w:w="1086" w:type="dxa"/>
          </w:tcPr>
          <w:p w14:paraId="0CBE41F4" w14:textId="20994FC2" w:rsidR="001D2637" w:rsidRPr="00A6154D" w:rsidRDefault="001D2637" w:rsidP="001D2637">
            <w:pPr>
              <w:pStyle w:val="TableText"/>
              <w:keepNext w:val="0"/>
              <w:jc w:val="center"/>
            </w:pPr>
            <w:r w:rsidRPr="00A6154D">
              <w:rPr>
                <w:szCs w:val="20"/>
              </w:rPr>
              <w:t>$</w:t>
            </w:r>
            <w:r w:rsidR="00F96E54" w:rsidRPr="00F96E54">
              <w:rPr>
                <w:color w:val="000000"/>
                <w:spacing w:val="102"/>
                <w:szCs w:val="20"/>
                <w:shd w:val="solid" w:color="000000" w:fill="000000"/>
                <w:fitText w:val="188" w:id="-1435343357"/>
                <w14:textFill>
                  <w14:solidFill>
                    <w14:srgbClr w14:val="000000">
                      <w14:alpha w14:val="100000"/>
                    </w14:srgbClr>
                  </w14:solidFill>
                </w14:textFill>
              </w:rPr>
              <w:t>|</w:t>
            </w:r>
            <w:r w:rsidR="00F96E54" w:rsidRPr="00F96E54">
              <w:rPr>
                <w:color w:val="000000"/>
                <w:spacing w:val="1"/>
                <w:szCs w:val="20"/>
                <w:shd w:val="solid" w:color="000000" w:fill="000000"/>
                <w:fitText w:val="188" w:id="-1435343357"/>
                <w14:textFill>
                  <w14:solidFill>
                    <w14:srgbClr w14:val="000000">
                      <w14:alpha w14:val="100000"/>
                    </w14:srgbClr>
                  </w14:solidFill>
                </w14:textFill>
              </w:rPr>
              <w:t>|</w:t>
            </w:r>
            <w:r w:rsidR="001A02B8">
              <w:rPr>
                <w:b/>
                <w:vertAlign w:val="superscript"/>
              </w:rPr>
              <w:t>6</w:t>
            </w:r>
          </w:p>
        </w:tc>
      </w:tr>
      <w:tr w:rsidR="001D2637" w:rsidRPr="00A6154D" w14:paraId="294BD116" w14:textId="77777777" w:rsidTr="00E03A5A">
        <w:tc>
          <w:tcPr>
            <w:tcW w:w="5807" w:type="dxa"/>
          </w:tcPr>
          <w:p w14:paraId="4472764B" w14:textId="77777777" w:rsidR="001D2637" w:rsidRPr="00A6154D" w:rsidRDefault="001D2637" w:rsidP="001D2637">
            <w:pPr>
              <w:pStyle w:val="TableText"/>
              <w:keepNext w:val="0"/>
            </w:pPr>
            <w:r w:rsidRPr="00A6154D">
              <w:t>Using BAT utilities in both arms</w:t>
            </w:r>
          </w:p>
        </w:tc>
        <w:tc>
          <w:tcPr>
            <w:tcW w:w="1273" w:type="dxa"/>
            <w:vAlign w:val="center"/>
          </w:tcPr>
          <w:p w14:paraId="7630E7E5" w14:textId="77F4D094" w:rsidR="001D2637" w:rsidRPr="00A6154D" w:rsidRDefault="001D2637" w:rsidP="001D2637">
            <w:pPr>
              <w:pStyle w:val="TableText"/>
              <w:keepNext w:val="0"/>
              <w:jc w:val="center"/>
            </w:pPr>
            <w:r w:rsidRPr="00A6154D">
              <w:rPr>
                <w:szCs w:val="20"/>
              </w:rPr>
              <w:t>$</w:t>
            </w:r>
            <w:r w:rsidR="00F96E54" w:rsidRPr="00F96E54">
              <w:rPr>
                <w:rFonts w:hint="eastAsia"/>
                <w:color w:val="000000"/>
                <w:w w:val="15"/>
                <w:szCs w:val="20"/>
                <w:shd w:val="solid" w:color="000000" w:fill="000000"/>
                <w:fitText w:val="63" w:id="-1435343356"/>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6"/>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6"/>
                <w14:textFill>
                  <w14:solidFill>
                    <w14:srgbClr w14:val="000000">
                      <w14:alpha w14:val="100000"/>
                    </w14:srgbClr>
                  </w14:solidFill>
                </w14:textFill>
              </w:rPr>
              <w:t xml:space="preserve">　</w:t>
            </w:r>
          </w:p>
        </w:tc>
        <w:tc>
          <w:tcPr>
            <w:tcW w:w="1137" w:type="dxa"/>
          </w:tcPr>
          <w:p w14:paraId="4D3D356D" w14:textId="77777777" w:rsidR="001D2637" w:rsidRPr="00A6154D" w:rsidRDefault="001D2637" w:rsidP="001D2637">
            <w:pPr>
              <w:pStyle w:val="TableText"/>
              <w:keepNext w:val="0"/>
              <w:jc w:val="center"/>
            </w:pPr>
            <w:r w:rsidRPr="00A6154D">
              <w:rPr>
                <w:szCs w:val="20"/>
              </w:rPr>
              <w:t>0.3076</w:t>
            </w:r>
          </w:p>
        </w:tc>
        <w:tc>
          <w:tcPr>
            <w:tcW w:w="1086" w:type="dxa"/>
          </w:tcPr>
          <w:p w14:paraId="40376C8A" w14:textId="392D2512" w:rsidR="001D2637" w:rsidRPr="00A6154D" w:rsidRDefault="001D2637" w:rsidP="001D2637">
            <w:pPr>
              <w:pStyle w:val="TableText"/>
              <w:keepNext w:val="0"/>
              <w:jc w:val="center"/>
            </w:pPr>
            <w:r w:rsidRPr="00A6154D">
              <w:rPr>
                <w:szCs w:val="20"/>
              </w:rPr>
              <w:t>$</w:t>
            </w:r>
            <w:r w:rsidR="00F96E54" w:rsidRPr="00F96E54">
              <w:rPr>
                <w:color w:val="000000"/>
                <w:spacing w:val="102"/>
                <w:szCs w:val="20"/>
                <w:shd w:val="solid" w:color="000000" w:fill="000000"/>
                <w:fitText w:val="188" w:id="-1435343355"/>
                <w14:textFill>
                  <w14:solidFill>
                    <w14:srgbClr w14:val="000000">
                      <w14:alpha w14:val="100000"/>
                    </w14:srgbClr>
                  </w14:solidFill>
                </w14:textFill>
              </w:rPr>
              <w:t>|</w:t>
            </w:r>
            <w:r w:rsidR="00F96E54" w:rsidRPr="00F96E54">
              <w:rPr>
                <w:color w:val="000000"/>
                <w:spacing w:val="1"/>
                <w:szCs w:val="20"/>
                <w:shd w:val="solid" w:color="000000" w:fill="000000"/>
                <w:fitText w:val="188" w:id="-1435343355"/>
                <w14:textFill>
                  <w14:solidFill>
                    <w14:srgbClr w14:val="000000">
                      <w14:alpha w14:val="100000"/>
                    </w14:srgbClr>
                  </w14:solidFill>
                </w14:textFill>
              </w:rPr>
              <w:t>|</w:t>
            </w:r>
            <w:r w:rsidR="001A02B8">
              <w:rPr>
                <w:b/>
                <w:vertAlign w:val="superscript"/>
              </w:rPr>
              <w:t>9</w:t>
            </w:r>
          </w:p>
        </w:tc>
      </w:tr>
      <w:tr w:rsidR="001D2637" w:rsidRPr="00A6154D" w14:paraId="27E9A33F" w14:textId="77777777" w:rsidTr="00A361A7">
        <w:tc>
          <w:tcPr>
            <w:tcW w:w="9303" w:type="dxa"/>
            <w:gridSpan w:val="4"/>
          </w:tcPr>
          <w:p w14:paraId="5CA1027F" w14:textId="77777777" w:rsidR="001D2637" w:rsidRPr="00A6154D" w:rsidRDefault="001D2637" w:rsidP="001D2637">
            <w:pPr>
              <w:pStyle w:val="TableText"/>
              <w:keepNext w:val="0"/>
              <w:rPr>
                <w:b/>
                <w:bCs w:val="0"/>
              </w:rPr>
            </w:pPr>
            <w:r w:rsidRPr="00A6154D">
              <w:rPr>
                <w:b/>
                <w:bCs w:val="0"/>
              </w:rPr>
              <w:t>Number of lines of BAT therapy (base case: 9)</w:t>
            </w:r>
          </w:p>
        </w:tc>
      </w:tr>
      <w:tr w:rsidR="001D2637" w:rsidRPr="00A6154D" w14:paraId="4BD84D60" w14:textId="77777777" w:rsidTr="00E03A5A">
        <w:tc>
          <w:tcPr>
            <w:tcW w:w="5807" w:type="dxa"/>
          </w:tcPr>
          <w:p w14:paraId="49286AF3" w14:textId="77777777" w:rsidR="001D2637" w:rsidRPr="00A6154D" w:rsidRDefault="001D2637" w:rsidP="001D2637">
            <w:pPr>
              <w:pStyle w:val="TableText"/>
              <w:keepNext w:val="0"/>
            </w:pPr>
            <w:r w:rsidRPr="00A6154D">
              <w:t>1 line of BAT therapy</w:t>
            </w:r>
          </w:p>
        </w:tc>
        <w:tc>
          <w:tcPr>
            <w:tcW w:w="1273" w:type="dxa"/>
          </w:tcPr>
          <w:p w14:paraId="2E9BB58F" w14:textId="0F3BC4BE" w:rsidR="001D2637" w:rsidRPr="00A6154D" w:rsidRDefault="001D2637" w:rsidP="001D2637">
            <w:pPr>
              <w:pStyle w:val="TableText"/>
              <w:keepNext w:val="0"/>
              <w:jc w:val="center"/>
            </w:pPr>
            <w:r w:rsidRPr="00A6154D">
              <w:rPr>
                <w:szCs w:val="20"/>
              </w:rPr>
              <w:t>$</w:t>
            </w:r>
            <w:r w:rsidR="00F96E54" w:rsidRPr="00F96E54">
              <w:rPr>
                <w:rFonts w:hint="eastAsia"/>
                <w:color w:val="000000"/>
                <w:w w:val="15"/>
                <w:szCs w:val="20"/>
                <w:shd w:val="solid" w:color="000000" w:fill="000000"/>
                <w:fitText w:val="63" w:id="-1435343354"/>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4"/>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4"/>
                <w14:textFill>
                  <w14:solidFill>
                    <w14:srgbClr w14:val="000000">
                      <w14:alpha w14:val="100000"/>
                    </w14:srgbClr>
                  </w14:solidFill>
                </w14:textFill>
              </w:rPr>
              <w:t xml:space="preserve">　</w:t>
            </w:r>
          </w:p>
        </w:tc>
        <w:tc>
          <w:tcPr>
            <w:tcW w:w="1137" w:type="dxa"/>
          </w:tcPr>
          <w:p w14:paraId="2690FB27" w14:textId="77777777" w:rsidR="001D2637" w:rsidRPr="00A6154D" w:rsidRDefault="001D2637" w:rsidP="001D2637">
            <w:pPr>
              <w:pStyle w:val="TableText"/>
              <w:keepNext w:val="0"/>
              <w:jc w:val="center"/>
            </w:pPr>
            <w:r w:rsidRPr="00A6154D">
              <w:rPr>
                <w:szCs w:val="20"/>
              </w:rPr>
              <w:t>0.5192</w:t>
            </w:r>
          </w:p>
        </w:tc>
        <w:tc>
          <w:tcPr>
            <w:tcW w:w="1086" w:type="dxa"/>
          </w:tcPr>
          <w:p w14:paraId="22FFD698" w14:textId="5F6D3EED" w:rsidR="001D2637" w:rsidRPr="00A6154D" w:rsidRDefault="001D2637" w:rsidP="001D2637">
            <w:pPr>
              <w:pStyle w:val="TableText"/>
              <w:keepNext w:val="0"/>
              <w:jc w:val="center"/>
            </w:pPr>
            <w:r w:rsidRPr="00A6154D">
              <w:rPr>
                <w:szCs w:val="20"/>
              </w:rPr>
              <w:t>$</w:t>
            </w:r>
            <w:r w:rsidR="00F96E54" w:rsidRPr="00F96E54">
              <w:rPr>
                <w:color w:val="000000"/>
                <w:spacing w:val="102"/>
                <w:szCs w:val="20"/>
                <w:shd w:val="solid" w:color="000000" w:fill="000000"/>
                <w:fitText w:val="188" w:id="-1435343353"/>
                <w14:textFill>
                  <w14:solidFill>
                    <w14:srgbClr w14:val="000000">
                      <w14:alpha w14:val="100000"/>
                    </w14:srgbClr>
                  </w14:solidFill>
                </w14:textFill>
              </w:rPr>
              <w:t>|</w:t>
            </w:r>
            <w:r w:rsidR="00F96E54" w:rsidRPr="00F96E54">
              <w:rPr>
                <w:color w:val="000000"/>
                <w:spacing w:val="1"/>
                <w:szCs w:val="20"/>
                <w:shd w:val="solid" w:color="000000" w:fill="000000"/>
                <w:fitText w:val="188" w:id="-1435343353"/>
                <w14:textFill>
                  <w14:solidFill>
                    <w14:srgbClr w14:val="000000">
                      <w14:alpha w14:val="100000"/>
                    </w14:srgbClr>
                  </w14:solidFill>
                </w14:textFill>
              </w:rPr>
              <w:t>|</w:t>
            </w:r>
            <w:r w:rsidR="0047021A">
              <w:rPr>
                <w:b/>
                <w:vertAlign w:val="superscript"/>
              </w:rPr>
              <w:t>1</w:t>
            </w:r>
          </w:p>
        </w:tc>
      </w:tr>
      <w:tr w:rsidR="001D2637" w:rsidRPr="00A6154D" w14:paraId="27674BF9" w14:textId="77777777" w:rsidTr="00E03A5A">
        <w:tc>
          <w:tcPr>
            <w:tcW w:w="5807" w:type="dxa"/>
          </w:tcPr>
          <w:p w14:paraId="441D32A4" w14:textId="77777777" w:rsidR="001D2637" w:rsidRPr="00A6154D" w:rsidRDefault="001D2637" w:rsidP="001D2637">
            <w:pPr>
              <w:pStyle w:val="TableText"/>
              <w:keepNext w:val="0"/>
            </w:pPr>
            <w:r w:rsidRPr="00A6154D">
              <w:t>3 lines of BAT therapy</w:t>
            </w:r>
          </w:p>
        </w:tc>
        <w:tc>
          <w:tcPr>
            <w:tcW w:w="1273" w:type="dxa"/>
          </w:tcPr>
          <w:p w14:paraId="2F2CA475" w14:textId="6FB57D0B" w:rsidR="001D2637" w:rsidRPr="00A6154D" w:rsidRDefault="001D2637" w:rsidP="001D2637">
            <w:pPr>
              <w:pStyle w:val="TableText"/>
              <w:keepNext w:val="0"/>
              <w:jc w:val="center"/>
            </w:pPr>
            <w:r w:rsidRPr="00A6154D">
              <w:rPr>
                <w:szCs w:val="20"/>
              </w:rPr>
              <w:t>$</w:t>
            </w:r>
            <w:r w:rsidR="00F96E54" w:rsidRPr="00F96E54">
              <w:rPr>
                <w:rFonts w:hint="eastAsia"/>
                <w:color w:val="000000"/>
                <w:w w:val="15"/>
                <w:szCs w:val="20"/>
                <w:shd w:val="solid" w:color="000000" w:fill="000000"/>
                <w:fitText w:val="63" w:id="-1435343352"/>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2"/>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2"/>
                <w14:textFill>
                  <w14:solidFill>
                    <w14:srgbClr w14:val="000000">
                      <w14:alpha w14:val="100000"/>
                    </w14:srgbClr>
                  </w14:solidFill>
                </w14:textFill>
              </w:rPr>
              <w:t xml:space="preserve">　</w:t>
            </w:r>
          </w:p>
        </w:tc>
        <w:tc>
          <w:tcPr>
            <w:tcW w:w="1137" w:type="dxa"/>
          </w:tcPr>
          <w:p w14:paraId="5EADDF0A" w14:textId="77777777" w:rsidR="001D2637" w:rsidRPr="00A6154D" w:rsidRDefault="001D2637" w:rsidP="001D2637">
            <w:pPr>
              <w:pStyle w:val="TableText"/>
              <w:keepNext w:val="0"/>
              <w:jc w:val="center"/>
            </w:pPr>
            <w:r w:rsidRPr="00A6154D">
              <w:rPr>
                <w:szCs w:val="20"/>
              </w:rPr>
              <w:t>0.4930</w:t>
            </w:r>
          </w:p>
        </w:tc>
        <w:tc>
          <w:tcPr>
            <w:tcW w:w="1086" w:type="dxa"/>
          </w:tcPr>
          <w:p w14:paraId="4F5267DC" w14:textId="7EF1557E" w:rsidR="001D2637" w:rsidRPr="00A6154D" w:rsidRDefault="001D2637" w:rsidP="001D2637">
            <w:pPr>
              <w:pStyle w:val="TableText"/>
              <w:keepNext w:val="0"/>
              <w:jc w:val="center"/>
            </w:pPr>
            <w:r w:rsidRPr="00A6154D">
              <w:rPr>
                <w:szCs w:val="20"/>
              </w:rPr>
              <w:t>$</w:t>
            </w:r>
            <w:r w:rsidR="00F96E54" w:rsidRPr="00F96E54">
              <w:rPr>
                <w:color w:val="000000"/>
                <w:spacing w:val="102"/>
                <w:szCs w:val="20"/>
                <w:shd w:val="solid" w:color="000000" w:fill="000000"/>
                <w:fitText w:val="188" w:id="-1435343351"/>
                <w14:textFill>
                  <w14:solidFill>
                    <w14:srgbClr w14:val="000000">
                      <w14:alpha w14:val="100000"/>
                    </w14:srgbClr>
                  </w14:solidFill>
                </w14:textFill>
              </w:rPr>
              <w:t>|</w:t>
            </w:r>
            <w:r w:rsidR="00F96E54" w:rsidRPr="00F96E54">
              <w:rPr>
                <w:color w:val="000000"/>
                <w:spacing w:val="1"/>
                <w:szCs w:val="20"/>
                <w:shd w:val="solid" w:color="000000" w:fill="000000"/>
                <w:fitText w:val="188" w:id="-1435343351"/>
                <w14:textFill>
                  <w14:solidFill>
                    <w14:srgbClr w14:val="000000">
                      <w14:alpha w14:val="100000"/>
                    </w14:srgbClr>
                  </w14:solidFill>
                </w14:textFill>
              </w:rPr>
              <w:t>|</w:t>
            </w:r>
            <w:r w:rsidR="0047021A">
              <w:rPr>
                <w:b/>
                <w:vertAlign w:val="superscript"/>
              </w:rPr>
              <w:t>2</w:t>
            </w:r>
          </w:p>
        </w:tc>
      </w:tr>
      <w:tr w:rsidR="001D2637" w:rsidRPr="00A6154D" w14:paraId="612F778A" w14:textId="77777777" w:rsidTr="00E03A5A">
        <w:tc>
          <w:tcPr>
            <w:tcW w:w="5807" w:type="dxa"/>
          </w:tcPr>
          <w:p w14:paraId="40DA5C42" w14:textId="77777777" w:rsidR="001D2637" w:rsidRPr="00A6154D" w:rsidRDefault="001D2637" w:rsidP="001D2637">
            <w:pPr>
              <w:pStyle w:val="TableText"/>
              <w:keepNext w:val="0"/>
            </w:pPr>
            <w:r w:rsidRPr="00A6154D">
              <w:t>6 lines of BAT therapy</w:t>
            </w:r>
          </w:p>
        </w:tc>
        <w:tc>
          <w:tcPr>
            <w:tcW w:w="1273" w:type="dxa"/>
          </w:tcPr>
          <w:p w14:paraId="141230C9" w14:textId="197298F0" w:rsidR="001D2637" w:rsidRPr="00A6154D" w:rsidRDefault="001D2637" w:rsidP="001D2637">
            <w:pPr>
              <w:pStyle w:val="TableText"/>
              <w:keepNext w:val="0"/>
              <w:jc w:val="center"/>
            </w:pPr>
            <w:r w:rsidRPr="00A6154D">
              <w:rPr>
                <w:szCs w:val="20"/>
              </w:rPr>
              <w:t>$</w:t>
            </w:r>
            <w:r w:rsidR="00F96E54" w:rsidRPr="00F96E54">
              <w:rPr>
                <w:rFonts w:hint="eastAsia"/>
                <w:color w:val="000000"/>
                <w:w w:val="15"/>
                <w:szCs w:val="20"/>
                <w:shd w:val="solid" w:color="000000" w:fill="000000"/>
                <w:fitText w:val="63" w:id="-1435343350"/>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0"/>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0"/>
                <w14:textFill>
                  <w14:solidFill>
                    <w14:srgbClr w14:val="000000">
                      <w14:alpha w14:val="100000"/>
                    </w14:srgbClr>
                  </w14:solidFill>
                </w14:textFill>
              </w:rPr>
              <w:t xml:space="preserve">　</w:t>
            </w:r>
          </w:p>
        </w:tc>
        <w:tc>
          <w:tcPr>
            <w:tcW w:w="1137" w:type="dxa"/>
          </w:tcPr>
          <w:p w14:paraId="18E65C93" w14:textId="77777777" w:rsidR="001D2637" w:rsidRPr="00A6154D" w:rsidRDefault="001D2637" w:rsidP="001D2637">
            <w:pPr>
              <w:pStyle w:val="TableText"/>
              <w:keepNext w:val="0"/>
              <w:jc w:val="center"/>
            </w:pPr>
            <w:r w:rsidRPr="00A6154D">
              <w:rPr>
                <w:szCs w:val="20"/>
              </w:rPr>
              <w:t>0.4862</w:t>
            </w:r>
          </w:p>
        </w:tc>
        <w:tc>
          <w:tcPr>
            <w:tcW w:w="1086" w:type="dxa"/>
          </w:tcPr>
          <w:p w14:paraId="587A26CD" w14:textId="7BFD3B52" w:rsidR="001D2637" w:rsidRPr="00A6154D" w:rsidRDefault="001D2637" w:rsidP="001D2637">
            <w:pPr>
              <w:pStyle w:val="TableText"/>
              <w:keepNext w:val="0"/>
              <w:jc w:val="center"/>
            </w:pPr>
            <w:r w:rsidRPr="00A6154D">
              <w:rPr>
                <w:szCs w:val="20"/>
              </w:rPr>
              <w:t>$</w:t>
            </w:r>
            <w:r w:rsidR="00F96E54" w:rsidRPr="00F96E54">
              <w:rPr>
                <w:color w:val="000000"/>
                <w:spacing w:val="102"/>
                <w:szCs w:val="20"/>
                <w:shd w:val="solid" w:color="000000" w:fill="000000"/>
                <w:fitText w:val="188" w:id="-1435343349"/>
                <w14:textFill>
                  <w14:solidFill>
                    <w14:srgbClr w14:val="000000">
                      <w14:alpha w14:val="100000"/>
                    </w14:srgbClr>
                  </w14:solidFill>
                </w14:textFill>
              </w:rPr>
              <w:t>|</w:t>
            </w:r>
            <w:r w:rsidR="00F96E54" w:rsidRPr="00F96E54">
              <w:rPr>
                <w:color w:val="000000"/>
                <w:spacing w:val="1"/>
                <w:szCs w:val="20"/>
                <w:shd w:val="solid" w:color="000000" w:fill="000000"/>
                <w:fitText w:val="188" w:id="-1435343349"/>
                <w14:textFill>
                  <w14:solidFill>
                    <w14:srgbClr w14:val="000000">
                      <w14:alpha w14:val="100000"/>
                    </w14:srgbClr>
                  </w14:solidFill>
                </w14:textFill>
              </w:rPr>
              <w:t>|</w:t>
            </w:r>
            <w:r w:rsidR="0047021A">
              <w:rPr>
                <w:b/>
                <w:vertAlign w:val="superscript"/>
              </w:rPr>
              <w:t>2</w:t>
            </w:r>
          </w:p>
        </w:tc>
      </w:tr>
      <w:tr w:rsidR="001D2637" w:rsidRPr="00A6154D" w14:paraId="131675CC" w14:textId="77777777" w:rsidTr="00A361A7">
        <w:tc>
          <w:tcPr>
            <w:tcW w:w="9303" w:type="dxa"/>
            <w:gridSpan w:val="4"/>
          </w:tcPr>
          <w:p w14:paraId="7509C6A4" w14:textId="56341460" w:rsidR="001D2637" w:rsidRPr="00A6154D" w:rsidRDefault="00AC2D08" w:rsidP="001D2637">
            <w:pPr>
              <w:pStyle w:val="TableText"/>
              <w:keepNext w:val="0"/>
            </w:pPr>
            <w:r w:rsidRPr="00A6154D">
              <w:rPr>
                <w:b/>
                <w:bCs w:val="0"/>
              </w:rPr>
              <w:t>Costs (base case: $0 for therapies not listed on the PBS; adverse event</w:t>
            </w:r>
            <w:r w:rsidR="00F305B9" w:rsidRPr="00A6154D">
              <w:rPr>
                <w:b/>
                <w:bCs w:val="0"/>
              </w:rPr>
              <w:t xml:space="preserve">, </w:t>
            </w:r>
            <w:r w:rsidRPr="00A6154D">
              <w:rPr>
                <w:b/>
                <w:bCs w:val="0"/>
              </w:rPr>
              <w:t>disease monitoring and hospitalisation costs included)</w:t>
            </w:r>
          </w:p>
        </w:tc>
      </w:tr>
      <w:tr w:rsidR="001D2637" w:rsidRPr="00A6154D" w14:paraId="55280180" w14:textId="77777777" w:rsidTr="00E03A5A">
        <w:tc>
          <w:tcPr>
            <w:tcW w:w="5807" w:type="dxa"/>
          </w:tcPr>
          <w:p w14:paraId="5FB1BC18" w14:textId="77777777" w:rsidR="001D2637" w:rsidRPr="00A6154D" w:rsidRDefault="001D2637" w:rsidP="001D2637">
            <w:pPr>
              <w:pStyle w:val="TableText"/>
              <w:keepNext w:val="0"/>
            </w:pPr>
            <w:r w:rsidRPr="00A6154D">
              <w:t>Using average cost of 4 therapies on the PBS for all lines of BAT therapy ($277.74 per cycle)</w:t>
            </w:r>
          </w:p>
        </w:tc>
        <w:tc>
          <w:tcPr>
            <w:tcW w:w="1273" w:type="dxa"/>
            <w:vAlign w:val="center"/>
          </w:tcPr>
          <w:p w14:paraId="4089CC45" w14:textId="283598B3" w:rsidR="001D2637" w:rsidRPr="00A6154D" w:rsidRDefault="001D2637" w:rsidP="001D2637">
            <w:pPr>
              <w:pStyle w:val="TableText"/>
              <w:keepNext w:val="0"/>
              <w:jc w:val="center"/>
            </w:pPr>
            <w:r w:rsidRPr="00A6154D">
              <w:t>$</w:t>
            </w:r>
            <w:r w:rsidR="00F96E54" w:rsidRPr="00F96E54">
              <w:rPr>
                <w:rFonts w:hint="eastAsia"/>
                <w:color w:val="000000"/>
                <w:w w:val="15"/>
                <w:shd w:val="solid" w:color="000000" w:fill="000000"/>
                <w:fitText w:val="63" w:id="-1435343348"/>
                <w14:textFill>
                  <w14:solidFill>
                    <w14:srgbClr w14:val="000000">
                      <w14:alpha w14:val="100000"/>
                    </w14:srgbClr>
                  </w14:solidFill>
                </w14:textFill>
              </w:rPr>
              <w:t xml:space="preserve">　</w:t>
            </w:r>
            <w:r w:rsidR="00F96E54" w:rsidRPr="00F96E54">
              <w:rPr>
                <w:color w:val="000000"/>
                <w:w w:val="15"/>
                <w:shd w:val="solid" w:color="000000" w:fill="000000"/>
                <w:fitText w:val="63" w:id="-1435343348"/>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8"/>
                <w14:textFill>
                  <w14:solidFill>
                    <w14:srgbClr w14:val="000000">
                      <w14:alpha w14:val="100000"/>
                    </w14:srgbClr>
                  </w14:solidFill>
                </w14:textFill>
              </w:rPr>
              <w:t xml:space="preserve">　</w:t>
            </w:r>
          </w:p>
        </w:tc>
        <w:tc>
          <w:tcPr>
            <w:tcW w:w="1137" w:type="dxa"/>
            <w:vAlign w:val="center"/>
          </w:tcPr>
          <w:p w14:paraId="016E4DF5" w14:textId="77777777" w:rsidR="001D2637" w:rsidRPr="00A6154D" w:rsidRDefault="001D2637" w:rsidP="001D2637">
            <w:pPr>
              <w:pStyle w:val="TableText"/>
              <w:keepNext w:val="0"/>
              <w:jc w:val="center"/>
            </w:pPr>
            <w:r w:rsidRPr="00A6154D">
              <w:t>0.4475</w:t>
            </w:r>
          </w:p>
        </w:tc>
        <w:tc>
          <w:tcPr>
            <w:tcW w:w="1086" w:type="dxa"/>
            <w:vAlign w:val="center"/>
          </w:tcPr>
          <w:p w14:paraId="7FB17024" w14:textId="6E4633EC" w:rsidR="001D2637" w:rsidRPr="00A6154D" w:rsidRDefault="001D2637" w:rsidP="001D2637">
            <w:pPr>
              <w:pStyle w:val="TableText"/>
              <w:keepNext w:val="0"/>
              <w:jc w:val="center"/>
            </w:pPr>
            <w:r w:rsidRPr="00A6154D">
              <w:t>$</w:t>
            </w:r>
            <w:r w:rsidR="00F96E54" w:rsidRPr="00F96E54">
              <w:rPr>
                <w:color w:val="000000"/>
                <w:spacing w:val="102"/>
                <w:shd w:val="solid" w:color="000000" w:fill="000000"/>
                <w:fitText w:val="188" w:id="-1435343347"/>
                <w14:textFill>
                  <w14:solidFill>
                    <w14:srgbClr w14:val="000000">
                      <w14:alpha w14:val="100000"/>
                    </w14:srgbClr>
                  </w14:solidFill>
                </w14:textFill>
              </w:rPr>
              <w:t>|</w:t>
            </w:r>
            <w:r w:rsidR="00F96E54" w:rsidRPr="00F96E54">
              <w:rPr>
                <w:color w:val="000000"/>
                <w:spacing w:val="1"/>
                <w:shd w:val="solid" w:color="000000" w:fill="000000"/>
                <w:fitText w:val="188" w:id="-1435343347"/>
                <w14:textFill>
                  <w14:solidFill>
                    <w14:srgbClr w14:val="000000">
                      <w14:alpha w14:val="100000"/>
                    </w14:srgbClr>
                  </w14:solidFill>
                </w14:textFill>
              </w:rPr>
              <w:t>|</w:t>
            </w:r>
            <w:r w:rsidR="0047021A">
              <w:rPr>
                <w:b/>
                <w:vertAlign w:val="superscript"/>
              </w:rPr>
              <w:t>1</w:t>
            </w:r>
          </w:p>
        </w:tc>
      </w:tr>
      <w:tr w:rsidR="004B5C93" w:rsidRPr="00A6154D" w14:paraId="63CD53A7" w14:textId="77777777" w:rsidTr="00E03A5A">
        <w:tc>
          <w:tcPr>
            <w:tcW w:w="5807" w:type="dxa"/>
          </w:tcPr>
          <w:p w14:paraId="409543B0" w14:textId="71CF6D87" w:rsidR="004B5C93" w:rsidRPr="00A6154D" w:rsidRDefault="004B5C93" w:rsidP="001D2637">
            <w:pPr>
              <w:pStyle w:val="TableText"/>
              <w:keepNext w:val="0"/>
            </w:pPr>
            <w:r w:rsidRPr="00A6154D">
              <w:t>Disease monitoring costs and hospitalisation costs excluded</w:t>
            </w:r>
          </w:p>
        </w:tc>
        <w:tc>
          <w:tcPr>
            <w:tcW w:w="1273" w:type="dxa"/>
            <w:vAlign w:val="center"/>
          </w:tcPr>
          <w:p w14:paraId="39529546" w14:textId="51CE1F15" w:rsidR="004B5C93" w:rsidRPr="00A6154D" w:rsidRDefault="00E0108A" w:rsidP="001D2637">
            <w:pPr>
              <w:pStyle w:val="TableText"/>
              <w:keepNext w:val="0"/>
              <w:jc w:val="center"/>
            </w:pPr>
            <w:r w:rsidRPr="00A6154D">
              <w:t>$</w:t>
            </w:r>
            <w:r w:rsidR="00F96E54" w:rsidRPr="00F96E54">
              <w:rPr>
                <w:rFonts w:hint="eastAsia"/>
                <w:color w:val="000000"/>
                <w:w w:val="15"/>
                <w:shd w:val="solid" w:color="000000" w:fill="000000"/>
                <w:fitText w:val="63" w:id="-1435343346"/>
                <w14:textFill>
                  <w14:solidFill>
                    <w14:srgbClr w14:val="000000">
                      <w14:alpha w14:val="100000"/>
                    </w14:srgbClr>
                  </w14:solidFill>
                </w14:textFill>
              </w:rPr>
              <w:t xml:space="preserve">　</w:t>
            </w:r>
            <w:r w:rsidR="00F96E54" w:rsidRPr="00F96E54">
              <w:rPr>
                <w:color w:val="000000"/>
                <w:w w:val="15"/>
                <w:shd w:val="solid" w:color="000000" w:fill="000000"/>
                <w:fitText w:val="63" w:id="-1435343346"/>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6"/>
                <w14:textFill>
                  <w14:solidFill>
                    <w14:srgbClr w14:val="000000">
                      <w14:alpha w14:val="100000"/>
                    </w14:srgbClr>
                  </w14:solidFill>
                </w14:textFill>
              </w:rPr>
              <w:t xml:space="preserve">　</w:t>
            </w:r>
          </w:p>
        </w:tc>
        <w:tc>
          <w:tcPr>
            <w:tcW w:w="1137" w:type="dxa"/>
            <w:vAlign w:val="center"/>
          </w:tcPr>
          <w:p w14:paraId="30356C35" w14:textId="424B55B3" w:rsidR="004B5C93" w:rsidRPr="00A6154D" w:rsidRDefault="00E0108A" w:rsidP="001D2637">
            <w:pPr>
              <w:pStyle w:val="TableText"/>
              <w:keepNext w:val="0"/>
              <w:jc w:val="center"/>
            </w:pPr>
            <w:r w:rsidRPr="00A6154D">
              <w:t>0.4475</w:t>
            </w:r>
          </w:p>
        </w:tc>
        <w:tc>
          <w:tcPr>
            <w:tcW w:w="1086" w:type="dxa"/>
            <w:vAlign w:val="center"/>
          </w:tcPr>
          <w:p w14:paraId="0C84F590" w14:textId="45B01F6B" w:rsidR="004B5C93" w:rsidRPr="00A6154D" w:rsidRDefault="00E0108A" w:rsidP="001D2637">
            <w:pPr>
              <w:pStyle w:val="TableText"/>
              <w:keepNext w:val="0"/>
              <w:jc w:val="center"/>
            </w:pPr>
            <w:r w:rsidRPr="00A6154D">
              <w:t>$</w:t>
            </w:r>
            <w:r w:rsidR="00F96E54" w:rsidRPr="00F96E54">
              <w:rPr>
                <w:color w:val="000000"/>
                <w:spacing w:val="102"/>
                <w:shd w:val="solid" w:color="000000" w:fill="000000"/>
                <w:fitText w:val="188" w:id="-1435343345"/>
                <w14:textFill>
                  <w14:solidFill>
                    <w14:srgbClr w14:val="000000">
                      <w14:alpha w14:val="100000"/>
                    </w14:srgbClr>
                  </w14:solidFill>
                </w14:textFill>
              </w:rPr>
              <w:t>|</w:t>
            </w:r>
            <w:r w:rsidR="00F96E54" w:rsidRPr="00F96E54">
              <w:rPr>
                <w:color w:val="000000"/>
                <w:spacing w:val="1"/>
                <w:shd w:val="solid" w:color="000000" w:fill="000000"/>
                <w:fitText w:val="188" w:id="-1435343345"/>
                <w14:textFill>
                  <w14:solidFill>
                    <w14:srgbClr w14:val="000000">
                      <w14:alpha w14:val="100000"/>
                    </w14:srgbClr>
                  </w14:solidFill>
                </w14:textFill>
              </w:rPr>
              <w:t>|</w:t>
            </w:r>
            <w:r w:rsidR="001A02B8">
              <w:rPr>
                <w:b/>
                <w:vertAlign w:val="superscript"/>
              </w:rPr>
              <w:t>6</w:t>
            </w:r>
          </w:p>
        </w:tc>
      </w:tr>
      <w:tr w:rsidR="00520DBA" w:rsidRPr="00A6154D" w14:paraId="2EDACBB4" w14:textId="77777777" w:rsidTr="00520DBA">
        <w:tc>
          <w:tcPr>
            <w:tcW w:w="9303" w:type="dxa"/>
            <w:gridSpan w:val="4"/>
          </w:tcPr>
          <w:p w14:paraId="5965BB99" w14:textId="7874C5B5" w:rsidR="00520DBA" w:rsidRPr="00A6154D" w:rsidRDefault="00520DBA" w:rsidP="00520DBA">
            <w:pPr>
              <w:pStyle w:val="TableText"/>
              <w:keepNext w:val="0"/>
              <w:rPr>
                <w:b/>
                <w:bCs w:val="0"/>
              </w:rPr>
            </w:pPr>
            <w:bookmarkStart w:id="58" w:name="_Hlk107554689"/>
            <w:r w:rsidRPr="00A6154D">
              <w:rPr>
                <w:b/>
                <w:bCs w:val="0"/>
              </w:rPr>
              <w:t>Multivariate sensitivity analyses</w:t>
            </w:r>
          </w:p>
        </w:tc>
      </w:tr>
      <w:tr w:rsidR="0014365D" w:rsidRPr="00A6154D" w14:paraId="036A912D" w14:textId="77777777" w:rsidTr="00E03A5A">
        <w:tc>
          <w:tcPr>
            <w:tcW w:w="5807" w:type="dxa"/>
          </w:tcPr>
          <w:p w14:paraId="1D2161C8" w14:textId="156B8127" w:rsidR="0014365D" w:rsidRPr="00A6154D" w:rsidRDefault="0014365D" w:rsidP="001D2637">
            <w:pPr>
              <w:pStyle w:val="TableText"/>
              <w:keepNext w:val="0"/>
            </w:pPr>
            <w:r>
              <w:t>5 year time horizon and ruxolitinib utilities in both arms</w:t>
            </w:r>
          </w:p>
        </w:tc>
        <w:tc>
          <w:tcPr>
            <w:tcW w:w="1273" w:type="dxa"/>
            <w:vAlign w:val="center"/>
          </w:tcPr>
          <w:p w14:paraId="24B0EC0E" w14:textId="447F2A1C" w:rsidR="0014365D" w:rsidRPr="00A6154D" w:rsidRDefault="0014365D" w:rsidP="001D2637">
            <w:pPr>
              <w:pStyle w:val="TableText"/>
              <w:keepNext w:val="0"/>
              <w:jc w:val="center"/>
            </w:pPr>
            <w:r>
              <w:t>$</w:t>
            </w:r>
            <w:r w:rsidR="00F96E54" w:rsidRPr="00F96E54">
              <w:rPr>
                <w:rFonts w:hint="eastAsia"/>
                <w:color w:val="000000"/>
                <w:w w:val="15"/>
                <w:shd w:val="solid" w:color="000000" w:fill="000000"/>
                <w:fitText w:val="63" w:id="-1435343344"/>
                <w14:textFill>
                  <w14:solidFill>
                    <w14:srgbClr w14:val="000000">
                      <w14:alpha w14:val="100000"/>
                    </w14:srgbClr>
                  </w14:solidFill>
                </w14:textFill>
              </w:rPr>
              <w:t xml:space="preserve">　</w:t>
            </w:r>
            <w:r w:rsidR="00F96E54" w:rsidRPr="00F96E54">
              <w:rPr>
                <w:color w:val="000000"/>
                <w:w w:val="15"/>
                <w:shd w:val="solid" w:color="000000" w:fill="000000"/>
                <w:fitText w:val="63" w:id="-1435343344"/>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4"/>
                <w14:textFill>
                  <w14:solidFill>
                    <w14:srgbClr w14:val="000000">
                      <w14:alpha w14:val="100000"/>
                    </w14:srgbClr>
                  </w14:solidFill>
                </w14:textFill>
              </w:rPr>
              <w:t xml:space="preserve">　</w:t>
            </w:r>
          </w:p>
        </w:tc>
        <w:tc>
          <w:tcPr>
            <w:tcW w:w="1137" w:type="dxa"/>
            <w:vAlign w:val="center"/>
          </w:tcPr>
          <w:p w14:paraId="325CA9FB" w14:textId="480DD23C" w:rsidR="0014365D" w:rsidRPr="00A6154D" w:rsidRDefault="0014365D" w:rsidP="001D2637">
            <w:pPr>
              <w:pStyle w:val="TableText"/>
              <w:keepNext w:val="0"/>
              <w:jc w:val="center"/>
            </w:pPr>
            <w:r>
              <w:t>0.0285</w:t>
            </w:r>
          </w:p>
        </w:tc>
        <w:tc>
          <w:tcPr>
            <w:tcW w:w="1086" w:type="dxa"/>
            <w:vAlign w:val="center"/>
          </w:tcPr>
          <w:p w14:paraId="27F1D44F" w14:textId="02C3F8D3" w:rsidR="0014365D" w:rsidRPr="00A6154D" w:rsidRDefault="0014365D" w:rsidP="001D2637">
            <w:pPr>
              <w:pStyle w:val="TableText"/>
              <w:keepNext w:val="0"/>
              <w:jc w:val="center"/>
            </w:pPr>
            <w:r>
              <w:t>$</w:t>
            </w:r>
            <w:r w:rsidR="00F96E54" w:rsidRPr="00F96E54">
              <w:rPr>
                <w:color w:val="000000"/>
                <w:spacing w:val="42"/>
                <w:shd w:val="solid" w:color="000000" w:fill="000000"/>
                <w:fitText w:val="213" w:id="-1435343360"/>
                <w14:textFill>
                  <w14:solidFill>
                    <w14:srgbClr w14:val="000000">
                      <w14:alpha w14:val="100000"/>
                    </w14:srgbClr>
                  </w14:solidFill>
                </w14:textFill>
              </w:rPr>
              <w:t>||</w:t>
            </w:r>
            <w:r w:rsidR="00F96E54" w:rsidRPr="00F96E54">
              <w:rPr>
                <w:color w:val="000000"/>
                <w:spacing w:val="2"/>
                <w:shd w:val="solid" w:color="000000" w:fill="000000"/>
                <w:fitText w:val="213" w:id="-1435343360"/>
                <w14:textFill>
                  <w14:solidFill>
                    <w14:srgbClr w14:val="000000">
                      <w14:alpha w14:val="100000"/>
                    </w14:srgbClr>
                  </w14:solidFill>
                </w14:textFill>
              </w:rPr>
              <w:t>|</w:t>
            </w:r>
            <w:r w:rsidR="001A02B8">
              <w:rPr>
                <w:b/>
                <w:vertAlign w:val="superscript"/>
              </w:rPr>
              <w:t>10</w:t>
            </w:r>
          </w:p>
        </w:tc>
      </w:tr>
      <w:tr w:rsidR="00520DBA" w:rsidRPr="00A6154D" w14:paraId="66B45E80" w14:textId="77777777" w:rsidTr="00E03A5A">
        <w:tc>
          <w:tcPr>
            <w:tcW w:w="5807" w:type="dxa"/>
          </w:tcPr>
          <w:p w14:paraId="16A8606C" w14:textId="0DC9A106" w:rsidR="00520DBA" w:rsidRPr="00A6154D" w:rsidRDefault="008D747D" w:rsidP="001D2637">
            <w:pPr>
              <w:pStyle w:val="TableText"/>
              <w:keepNext w:val="0"/>
            </w:pPr>
            <w:r w:rsidRPr="00A6154D">
              <w:t>10 year time horizon and ruxolitinib utilities in both arms</w:t>
            </w:r>
          </w:p>
        </w:tc>
        <w:tc>
          <w:tcPr>
            <w:tcW w:w="1273" w:type="dxa"/>
            <w:vAlign w:val="center"/>
          </w:tcPr>
          <w:p w14:paraId="5487C4A8" w14:textId="3C1D4586" w:rsidR="00520DBA" w:rsidRPr="00A6154D" w:rsidRDefault="00D368DA" w:rsidP="001D2637">
            <w:pPr>
              <w:pStyle w:val="TableText"/>
              <w:keepNext w:val="0"/>
              <w:jc w:val="center"/>
            </w:pPr>
            <w:r w:rsidRPr="00A6154D">
              <w:t>$</w:t>
            </w:r>
            <w:r w:rsidR="00F96E54" w:rsidRPr="00F96E54">
              <w:rPr>
                <w:rFonts w:hint="eastAsia"/>
                <w:color w:val="000000"/>
                <w:w w:val="15"/>
                <w:shd w:val="solid" w:color="000000" w:fill="000000"/>
                <w:fitText w:val="63" w:id="-1435343359"/>
                <w14:textFill>
                  <w14:solidFill>
                    <w14:srgbClr w14:val="000000">
                      <w14:alpha w14:val="100000"/>
                    </w14:srgbClr>
                  </w14:solidFill>
                </w14:textFill>
              </w:rPr>
              <w:t xml:space="preserve">　</w:t>
            </w:r>
            <w:r w:rsidR="00F96E54" w:rsidRPr="00F96E54">
              <w:rPr>
                <w:color w:val="000000"/>
                <w:w w:val="15"/>
                <w:shd w:val="solid" w:color="000000" w:fill="000000"/>
                <w:fitText w:val="63" w:id="-1435343359"/>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9"/>
                <w14:textFill>
                  <w14:solidFill>
                    <w14:srgbClr w14:val="000000">
                      <w14:alpha w14:val="100000"/>
                    </w14:srgbClr>
                  </w14:solidFill>
                </w14:textFill>
              </w:rPr>
              <w:t xml:space="preserve">　</w:t>
            </w:r>
          </w:p>
        </w:tc>
        <w:tc>
          <w:tcPr>
            <w:tcW w:w="1137" w:type="dxa"/>
            <w:vAlign w:val="center"/>
          </w:tcPr>
          <w:p w14:paraId="77904E6C" w14:textId="58D5579B" w:rsidR="00520DBA" w:rsidRPr="00A6154D" w:rsidRDefault="00D368DA" w:rsidP="001D2637">
            <w:pPr>
              <w:pStyle w:val="TableText"/>
              <w:keepNext w:val="0"/>
              <w:jc w:val="center"/>
            </w:pPr>
            <w:r w:rsidRPr="00A6154D">
              <w:t>0.1339</w:t>
            </w:r>
          </w:p>
        </w:tc>
        <w:tc>
          <w:tcPr>
            <w:tcW w:w="1086" w:type="dxa"/>
            <w:vAlign w:val="center"/>
          </w:tcPr>
          <w:p w14:paraId="761D8CED" w14:textId="2EA8584F" w:rsidR="00520DBA" w:rsidRPr="00A6154D" w:rsidRDefault="00D368DA" w:rsidP="001D2637">
            <w:pPr>
              <w:pStyle w:val="TableText"/>
              <w:keepNext w:val="0"/>
              <w:jc w:val="center"/>
            </w:pPr>
            <w:r w:rsidRPr="00A6154D">
              <w:t>$</w:t>
            </w:r>
            <w:r w:rsidR="00F96E54" w:rsidRPr="00F96E54">
              <w:rPr>
                <w:color w:val="000000"/>
                <w:spacing w:val="102"/>
                <w:shd w:val="solid" w:color="000000" w:fill="000000"/>
                <w:fitText w:val="188" w:id="-1435343358"/>
                <w14:textFill>
                  <w14:solidFill>
                    <w14:srgbClr w14:val="000000">
                      <w14:alpha w14:val="100000"/>
                    </w14:srgbClr>
                  </w14:solidFill>
                </w14:textFill>
              </w:rPr>
              <w:t>|</w:t>
            </w:r>
            <w:r w:rsidR="00F96E54" w:rsidRPr="00F96E54">
              <w:rPr>
                <w:color w:val="000000"/>
                <w:spacing w:val="1"/>
                <w:shd w:val="solid" w:color="000000" w:fill="000000"/>
                <w:fitText w:val="188" w:id="-1435343358"/>
                <w14:textFill>
                  <w14:solidFill>
                    <w14:srgbClr w14:val="000000">
                      <w14:alpha w14:val="100000"/>
                    </w14:srgbClr>
                  </w14:solidFill>
                </w14:textFill>
              </w:rPr>
              <w:t>|</w:t>
            </w:r>
            <w:r w:rsidR="0047021A">
              <w:rPr>
                <w:b/>
                <w:vertAlign w:val="superscript"/>
              </w:rPr>
              <w:t>4</w:t>
            </w:r>
          </w:p>
        </w:tc>
      </w:tr>
      <w:tr w:rsidR="00520DBA" w:rsidRPr="00A6154D" w14:paraId="2B2FCCAA" w14:textId="77777777" w:rsidTr="00E03A5A">
        <w:tc>
          <w:tcPr>
            <w:tcW w:w="5807" w:type="dxa"/>
          </w:tcPr>
          <w:p w14:paraId="277239E8" w14:textId="4AFCD1FC" w:rsidR="00520DBA" w:rsidRPr="00A6154D" w:rsidRDefault="008D747D" w:rsidP="001D2637">
            <w:pPr>
              <w:pStyle w:val="TableText"/>
              <w:keepNext w:val="0"/>
            </w:pPr>
            <w:r w:rsidRPr="00A6154D">
              <w:t>15 year time horizon and ruxolitinib utilities in both arms</w:t>
            </w:r>
          </w:p>
        </w:tc>
        <w:tc>
          <w:tcPr>
            <w:tcW w:w="1273" w:type="dxa"/>
            <w:vAlign w:val="center"/>
          </w:tcPr>
          <w:p w14:paraId="64243EF6" w14:textId="22664308" w:rsidR="00520DBA" w:rsidRPr="00A6154D" w:rsidRDefault="00D368DA" w:rsidP="001D2637">
            <w:pPr>
              <w:pStyle w:val="TableText"/>
              <w:keepNext w:val="0"/>
              <w:jc w:val="center"/>
            </w:pPr>
            <w:r w:rsidRPr="00A6154D">
              <w:t>$</w:t>
            </w:r>
            <w:r w:rsidR="00F96E54" w:rsidRPr="00F96E54">
              <w:rPr>
                <w:rFonts w:hint="eastAsia"/>
                <w:color w:val="000000"/>
                <w:w w:val="15"/>
                <w:shd w:val="solid" w:color="000000" w:fill="000000"/>
                <w:fitText w:val="63" w:id="-1435343357"/>
                <w14:textFill>
                  <w14:solidFill>
                    <w14:srgbClr w14:val="000000">
                      <w14:alpha w14:val="100000"/>
                    </w14:srgbClr>
                  </w14:solidFill>
                </w14:textFill>
              </w:rPr>
              <w:t xml:space="preserve">　</w:t>
            </w:r>
            <w:r w:rsidR="00F96E54" w:rsidRPr="00F96E54">
              <w:rPr>
                <w:color w:val="000000"/>
                <w:w w:val="15"/>
                <w:shd w:val="solid" w:color="000000" w:fill="000000"/>
                <w:fitText w:val="63" w:id="-1435343357"/>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7"/>
                <w14:textFill>
                  <w14:solidFill>
                    <w14:srgbClr w14:val="000000">
                      <w14:alpha w14:val="100000"/>
                    </w14:srgbClr>
                  </w14:solidFill>
                </w14:textFill>
              </w:rPr>
              <w:t xml:space="preserve">　</w:t>
            </w:r>
          </w:p>
        </w:tc>
        <w:tc>
          <w:tcPr>
            <w:tcW w:w="1137" w:type="dxa"/>
            <w:vAlign w:val="center"/>
          </w:tcPr>
          <w:p w14:paraId="5D9060B9" w14:textId="732B4E9B" w:rsidR="00520DBA" w:rsidRPr="00A6154D" w:rsidRDefault="00D368DA" w:rsidP="001D2637">
            <w:pPr>
              <w:pStyle w:val="TableText"/>
              <w:keepNext w:val="0"/>
              <w:jc w:val="center"/>
            </w:pPr>
            <w:r w:rsidRPr="00A6154D">
              <w:t>0.2281</w:t>
            </w:r>
          </w:p>
        </w:tc>
        <w:tc>
          <w:tcPr>
            <w:tcW w:w="1086" w:type="dxa"/>
            <w:vAlign w:val="center"/>
          </w:tcPr>
          <w:p w14:paraId="06DB6EA1" w14:textId="608CD755" w:rsidR="00520DBA" w:rsidRPr="00A6154D" w:rsidRDefault="00D368DA" w:rsidP="001D2637">
            <w:pPr>
              <w:pStyle w:val="TableText"/>
              <w:keepNext w:val="0"/>
              <w:jc w:val="center"/>
            </w:pPr>
            <w:r w:rsidRPr="00A6154D">
              <w:t>$</w:t>
            </w:r>
            <w:r w:rsidR="00F96E54" w:rsidRPr="00F96E54">
              <w:rPr>
                <w:color w:val="000000"/>
                <w:spacing w:val="102"/>
                <w:shd w:val="solid" w:color="000000" w:fill="000000"/>
                <w:fitText w:val="188" w:id="-1435343356"/>
                <w14:textFill>
                  <w14:solidFill>
                    <w14:srgbClr w14:val="000000">
                      <w14:alpha w14:val="100000"/>
                    </w14:srgbClr>
                  </w14:solidFill>
                </w14:textFill>
              </w:rPr>
              <w:t>|</w:t>
            </w:r>
            <w:r w:rsidR="00F96E54" w:rsidRPr="00F96E54">
              <w:rPr>
                <w:color w:val="000000"/>
                <w:spacing w:val="1"/>
                <w:shd w:val="solid" w:color="000000" w:fill="000000"/>
                <w:fitText w:val="188" w:id="-1435343356"/>
                <w14:textFill>
                  <w14:solidFill>
                    <w14:srgbClr w14:val="000000">
                      <w14:alpha w14:val="100000"/>
                    </w14:srgbClr>
                  </w14:solidFill>
                </w14:textFill>
              </w:rPr>
              <w:t>|</w:t>
            </w:r>
            <w:r w:rsidR="001A02B8">
              <w:rPr>
                <w:b/>
                <w:vertAlign w:val="superscript"/>
              </w:rPr>
              <w:t>8</w:t>
            </w:r>
          </w:p>
        </w:tc>
      </w:tr>
    </w:tbl>
    <w:bookmarkEnd w:id="58"/>
    <w:p w14:paraId="64F3F612" w14:textId="74726A6C" w:rsidR="006C739C" w:rsidRDefault="006C739C" w:rsidP="006C739C">
      <w:pPr>
        <w:pStyle w:val="TableFigureFooter"/>
      </w:pPr>
      <w:r>
        <w:t>Source: Table 3.9-1, p291 of the submission</w:t>
      </w:r>
      <w:r w:rsidR="00E70D89">
        <w:t>; additional analyses conducted using the ‘Jakavi (ruxolitinib) – cGVHD – CEA’ Excel spreadsheet.</w:t>
      </w:r>
    </w:p>
    <w:p w14:paraId="23485008" w14:textId="0DF18592" w:rsidR="00E03A5A" w:rsidRDefault="006C739C" w:rsidP="00C950B3">
      <w:pPr>
        <w:pStyle w:val="TableFigureFooter"/>
        <w:spacing w:after="0"/>
      </w:pPr>
      <w:r>
        <w:t xml:space="preserve">Abbreviations: BAT, best available therapy; GVHD, </w:t>
      </w:r>
      <w:r w:rsidR="005553CE">
        <w:t>graft-versus-host</w:t>
      </w:r>
      <w:r>
        <w:t xml:space="preserve"> disease; ICER, incremental cost-effectiveness ratio; QALY, quality-adjusted life year.</w:t>
      </w:r>
    </w:p>
    <w:p w14:paraId="149A94B7" w14:textId="77777777" w:rsidR="001A02B8" w:rsidRPr="009A6D58" w:rsidRDefault="001A02B8" w:rsidP="001A02B8">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947F20C" w14:textId="3D0FC248" w:rsidR="001A02B8" w:rsidRPr="009A6D58" w:rsidRDefault="001A02B8" w:rsidP="001A02B8">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1A02B8">
        <w:rPr>
          <w:rFonts w:ascii="Arial Narrow" w:hAnsi="Arial Narrow"/>
          <w:i/>
          <w:sz w:val="18"/>
          <w:szCs w:val="18"/>
        </w:rPr>
        <w:t>$55,000 to &lt; $</w:t>
      </w:r>
      <w:r>
        <w:rPr>
          <w:rFonts w:ascii="Arial Narrow" w:hAnsi="Arial Narrow"/>
          <w:i/>
          <w:sz w:val="18"/>
          <w:szCs w:val="18"/>
        </w:rPr>
        <w:t>6</w:t>
      </w:r>
      <w:r w:rsidRPr="001A02B8">
        <w:rPr>
          <w:rFonts w:ascii="Arial Narrow" w:hAnsi="Arial Narrow"/>
          <w:i/>
          <w:sz w:val="18"/>
          <w:szCs w:val="18"/>
        </w:rPr>
        <w:t>5,000</w:t>
      </w:r>
    </w:p>
    <w:p w14:paraId="281D675D" w14:textId="35F253D2" w:rsidR="001A02B8" w:rsidRPr="009A6D58" w:rsidRDefault="001A02B8" w:rsidP="001A02B8">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1A02B8">
        <w:rPr>
          <w:rFonts w:ascii="Arial Narrow" w:hAnsi="Arial Narrow"/>
          <w:i/>
          <w:sz w:val="18"/>
          <w:szCs w:val="18"/>
        </w:rPr>
        <w:t>$</w:t>
      </w:r>
      <w:r>
        <w:rPr>
          <w:rFonts w:ascii="Arial Narrow" w:hAnsi="Arial Narrow"/>
          <w:i/>
          <w:sz w:val="18"/>
          <w:szCs w:val="18"/>
        </w:rPr>
        <w:t>4</w:t>
      </w:r>
      <w:r w:rsidRPr="001A02B8">
        <w:rPr>
          <w:rFonts w:ascii="Arial Narrow" w:hAnsi="Arial Narrow"/>
          <w:i/>
          <w:sz w:val="18"/>
          <w:szCs w:val="18"/>
        </w:rPr>
        <w:t>5,000 to &lt; $</w:t>
      </w:r>
      <w:r>
        <w:rPr>
          <w:rFonts w:ascii="Arial Narrow" w:hAnsi="Arial Narrow"/>
          <w:i/>
          <w:sz w:val="18"/>
          <w:szCs w:val="18"/>
        </w:rPr>
        <w:t>5</w:t>
      </w:r>
      <w:r w:rsidRPr="001A02B8">
        <w:rPr>
          <w:rFonts w:ascii="Arial Narrow" w:hAnsi="Arial Narrow"/>
          <w:i/>
          <w:sz w:val="18"/>
          <w:szCs w:val="18"/>
        </w:rPr>
        <w:t>5,000</w:t>
      </w:r>
    </w:p>
    <w:p w14:paraId="0B132CAF" w14:textId="75D3C086" w:rsidR="001A02B8" w:rsidRDefault="001A02B8" w:rsidP="001A02B8">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1A02B8">
        <w:rPr>
          <w:rFonts w:ascii="Arial Narrow" w:hAnsi="Arial Narrow"/>
          <w:i/>
          <w:sz w:val="18"/>
          <w:szCs w:val="18"/>
        </w:rPr>
        <w:t>$</w:t>
      </w:r>
      <w:r>
        <w:rPr>
          <w:rFonts w:ascii="Arial Narrow" w:hAnsi="Arial Narrow"/>
          <w:i/>
          <w:sz w:val="18"/>
          <w:szCs w:val="18"/>
        </w:rPr>
        <w:t>3</w:t>
      </w:r>
      <w:r w:rsidRPr="001A02B8">
        <w:rPr>
          <w:rFonts w:ascii="Arial Narrow" w:hAnsi="Arial Narrow"/>
          <w:i/>
          <w:sz w:val="18"/>
          <w:szCs w:val="18"/>
        </w:rPr>
        <w:t>5,000 to &lt; $</w:t>
      </w:r>
      <w:r>
        <w:rPr>
          <w:rFonts w:ascii="Arial Narrow" w:hAnsi="Arial Narrow"/>
          <w:i/>
          <w:sz w:val="18"/>
          <w:szCs w:val="18"/>
        </w:rPr>
        <w:t>4</w:t>
      </w:r>
      <w:r w:rsidRPr="001A02B8">
        <w:rPr>
          <w:rFonts w:ascii="Arial Narrow" w:hAnsi="Arial Narrow"/>
          <w:i/>
          <w:sz w:val="18"/>
          <w:szCs w:val="18"/>
        </w:rPr>
        <w:t>5,000</w:t>
      </w:r>
    </w:p>
    <w:p w14:paraId="79A5FD81" w14:textId="24405781" w:rsidR="001A02B8" w:rsidRDefault="001A02B8" w:rsidP="001A02B8">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1A02B8">
        <w:rPr>
          <w:rFonts w:ascii="Arial Narrow" w:hAnsi="Arial Narrow"/>
          <w:i/>
          <w:sz w:val="18"/>
          <w:szCs w:val="18"/>
        </w:rPr>
        <w:t>$155,000 to &lt; $255,000</w:t>
      </w:r>
    </w:p>
    <w:p w14:paraId="180DAF61" w14:textId="77777777" w:rsidR="001A02B8" w:rsidRDefault="001A02B8" w:rsidP="001A02B8">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1A02B8">
        <w:rPr>
          <w:rFonts w:ascii="Arial Narrow" w:hAnsi="Arial Narrow"/>
          <w:i/>
          <w:sz w:val="18"/>
          <w:szCs w:val="18"/>
        </w:rPr>
        <w:t>$95,000 to &lt; $115,000</w:t>
      </w:r>
    </w:p>
    <w:p w14:paraId="10F10D4F" w14:textId="0489083D" w:rsidR="001A02B8" w:rsidRDefault="001A02B8" w:rsidP="001A02B8">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1A02B8">
        <w:rPr>
          <w:rFonts w:ascii="Arial Narrow" w:hAnsi="Arial Narrow"/>
          <w:i/>
          <w:sz w:val="18"/>
          <w:szCs w:val="18"/>
        </w:rPr>
        <w:t>$</w:t>
      </w:r>
      <w:r>
        <w:rPr>
          <w:rFonts w:ascii="Arial Narrow" w:hAnsi="Arial Narrow"/>
          <w:i/>
          <w:sz w:val="18"/>
          <w:szCs w:val="18"/>
        </w:rPr>
        <w:t>7</w:t>
      </w:r>
      <w:r w:rsidRPr="001A02B8">
        <w:rPr>
          <w:rFonts w:ascii="Arial Narrow" w:hAnsi="Arial Narrow"/>
          <w:i/>
          <w:sz w:val="18"/>
          <w:szCs w:val="18"/>
        </w:rPr>
        <w:t>5,000 to &lt; $</w:t>
      </w:r>
      <w:r>
        <w:rPr>
          <w:rFonts w:ascii="Arial Narrow" w:hAnsi="Arial Narrow"/>
          <w:i/>
          <w:sz w:val="18"/>
          <w:szCs w:val="18"/>
        </w:rPr>
        <w:t>8</w:t>
      </w:r>
      <w:r w:rsidRPr="001A02B8">
        <w:rPr>
          <w:rFonts w:ascii="Arial Narrow" w:hAnsi="Arial Narrow"/>
          <w:i/>
          <w:sz w:val="18"/>
          <w:szCs w:val="18"/>
        </w:rPr>
        <w:t>5,000</w:t>
      </w:r>
    </w:p>
    <w:p w14:paraId="37FD97C1" w14:textId="728E5C19" w:rsidR="001A02B8" w:rsidRDefault="001A02B8" w:rsidP="001A02B8">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1A02B8">
        <w:rPr>
          <w:rFonts w:ascii="Arial Narrow" w:hAnsi="Arial Narrow"/>
          <w:i/>
          <w:sz w:val="18"/>
          <w:szCs w:val="18"/>
        </w:rPr>
        <w:t>$</w:t>
      </w:r>
      <w:r>
        <w:rPr>
          <w:rFonts w:ascii="Arial Narrow" w:hAnsi="Arial Narrow"/>
          <w:i/>
          <w:sz w:val="18"/>
          <w:szCs w:val="18"/>
        </w:rPr>
        <w:t>6</w:t>
      </w:r>
      <w:r w:rsidRPr="001A02B8">
        <w:rPr>
          <w:rFonts w:ascii="Arial Narrow" w:hAnsi="Arial Narrow"/>
          <w:i/>
          <w:sz w:val="18"/>
          <w:szCs w:val="18"/>
        </w:rPr>
        <w:t>5,000 to &lt; $</w:t>
      </w:r>
      <w:r>
        <w:rPr>
          <w:rFonts w:ascii="Arial Narrow" w:hAnsi="Arial Narrow"/>
          <w:i/>
          <w:sz w:val="18"/>
          <w:szCs w:val="18"/>
        </w:rPr>
        <w:t>7</w:t>
      </w:r>
      <w:r w:rsidRPr="001A02B8">
        <w:rPr>
          <w:rFonts w:ascii="Arial Narrow" w:hAnsi="Arial Narrow"/>
          <w:i/>
          <w:sz w:val="18"/>
          <w:szCs w:val="18"/>
        </w:rPr>
        <w:t>5,000</w:t>
      </w:r>
    </w:p>
    <w:p w14:paraId="16B38681" w14:textId="68903602" w:rsidR="001A02B8" w:rsidRDefault="001A02B8" w:rsidP="001A02B8">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1A02B8">
        <w:rPr>
          <w:rFonts w:ascii="Arial Narrow" w:hAnsi="Arial Narrow"/>
          <w:i/>
          <w:sz w:val="18"/>
          <w:szCs w:val="18"/>
        </w:rPr>
        <w:t>$115,000 to &lt; $135,000</w:t>
      </w:r>
    </w:p>
    <w:p w14:paraId="003BCFF8" w14:textId="47F45287" w:rsidR="001A02B8" w:rsidRDefault="001A02B8" w:rsidP="001A02B8">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Pr="001A02B8">
        <w:rPr>
          <w:rFonts w:ascii="Arial Narrow" w:hAnsi="Arial Narrow"/>
          <w:i/>
          <w:sz w:val="18"/>
          <w:szCs w:val="18"/>
        </w:rPr>
        <w:t>$</w:t>
      </w:r>
      <w:r>
        <w:rPr>
          <w:rFonts w:ascii="Arial Narrow" w:hAnsi="Arial Narrow"/>
          <w:i/>
          <w:sz w:val="18"/>
          <w:szCs w:val="18"/>
        </w:rPr>
        <w:t>8</w:t>
      </w:r>
      <w:r w:rsidRPr="001A02B8">
        <w:rPr>
          <w:rFonts w:ascii="Arial Narrow" w:hAnsi="Arial Narrow"/>
          <w:i/>
          <w:sz w:val="18"/>
          <w:szCs w:val="18"/>
        </w:rPr>
        <w:t>5,000 to &lt; $</w:t>
      </w:r>
      <w:r>
        <w:rPr>
          <w:rFonts w:ascii="Arial Narrow" w:hAnsi="Arial Narrow"/>
          <w:i/>
          <w:sz w:val="18"/>
          <w:szCs w:val="18"/>
        </w:rPr>
        <w:t>9</w:t>
      </w:r>
      <w:r w:rsidRPr="001A02B8">
        <w:rPr>
          <w:rFonts w:ascii="Arial Narrow" w:hAnsi="Arial Narrow"/>
          <w:i/>
          <w:sz w:val="18"/>
          <w:szCs w:val="18"/>
        </w:rPr>
        <w:t>5,000</w:t>
      </w:r>
    </w:p>
    <w:p w14:paraId="11A60D0D" w14:textId="657CE239" w:rsidR="001A02B8" w:rsidRDefault="001A02B8" w:rsidP="001A02B8">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Pr="001A02B8">
        <w:rPr>
          <w:rFonts w:ascii="Arial Narrow" w:hAnsi="Arial Narrow"/>
          <w:i/>
          <w:sz w:val="18"/>
          <w:szCs w:val="18"/>
        </w:rPr>
        <w:t>$655,000 to &lt; $755,000</w:t>
      </w:r>
    </w:p>
    <w:p w14:paraId="059DDFAD" w14:textId="77777777" w:rsidR="001A02B8" w:rsidRDefault="001A02B8" w:rsidP="006C739C">
      <w:pPr>
        <w:pStyle w:val="TableFigureFooter"/>
      </w:pPr>
    </w:p>
    <w:p w14:paraId="40CC18AD" w14:textId="3B6DFEDE" w:rsidR="006C739C" w:rsidRPr="00A6154D" w:rsidRDefault="006C739C" w:rsidP="00A55A6A">
      <w:pPr>
        <w:pStyle w:val="ExecSumBodyText"/>
      </w:pPr>
      <w:r w:rsidRPr="00A6154D">
        <w:t xml:space="preserve">The model was most sensitive to changes in the discount rate, the time horizon, </w:t>
      </w:r>
      <w:r w:rsidR="00F8441D" w:rsidRPr="00A6154D">
        <w:t xml:space="preserve">response rates, </w:t>
      </w:r>
      <w:r w:rsidRPr="00A6154D">
        <w:t>the choice of GVHD-related mortality extrapolation method and changes in utility values (including the removal of the benefit associated with being on ruxolitinib treatment).</w:t>
      </w:r>
      <w:r w:rsidR="00A55A6A" w:rsidRPr="00A6154D">
        <w:t xml:space="preserve"> </w:t>
      </w:r>
      <w:r w:rsidRPr="00A6154D">
        <w:t>The modelled results appeared to be relatively consistent when alternative random number generator seeds were used.</w:t>
      </w:r>
    </w:p>
    <w:p w14:paraId="1D0F52B6" w14:textId="1D2BB286" w:rsidR="00226FED" w:rsidRPr="00A6154D" w:rsidRDefault="00247568" w:rsidP="0063792E">
      <w:pPr>
        <w:pStyle w:val="ExecSumBodyText"/>
      </w:pPr>
      <w:bookmarkStart w:id="59" w:name="_Ref106288922"/>
      <w:r w:rsidRPr="00A6154D">
        <w:t>The ESC considered the submission’s base case ICER of $</w:t>
      </w:r>
      <w:r w:rsidR="001A02B8">
        <w:t>6</w:t>
      </w:r>
      <w:r w:rsidR="001A02B8" w:rsidRPr="001A02B8">
        <w:t>5,000</w:t>
      </w:r>
      <w:r w:rsidR="001A02B8">
        <w:t xml:space="preserve"> </w:t>
      </w:r>
      <w:r w:rsidR="001A02B8" w:rsidRPr="001A02B8">
        <w:t>to</w:t>
      </w:r>
      <w:r w:rsidR="001A02B8">
        <w:t xml:space="preserve"> </w:t>
      </w:r>
      <w:r w:rsidR="001A02B8" w:rsidRPr="001A02B8">
        <w:t>&lt; $75,000</w:t>
      </w:r>
      <w:r w:rsidR="001A02B8">
        <w:t xml:space="preserve"> </w:t>
      </w:r>
      <w:r w:rsidRPr="00A6154D">
        <w:t xml:space="preserve">per QALY was optimistic given the uncertain and likely optimistic model extrapolations </w:t>
      </w:r>
      <w:r w:rsidR="00C51C81" w:rsidRPr="00A6154D">
        <w:t xml:space="preserve">(particularly for GVHD-related mortality) </w:t>
      </w:r>
      <w:r w:rsidRPr="00A6154D">
        <w:t xml:space="preserve">in the context of </w:t>
      </w:r>
      <w:r w:rsidR="00034152" w:rsidRPr="00A6154D">
        <w:t>the</w:t>
      </w:r>
      <w:r w:rsidRPr="00A6154D">
        <w:t xml:space="preserve"> long modelled time horizon (30 years) </w:t>
      </w:r>
      <w:r w:rsidR="00C51C81" w:rsidRPr="00A6154D">
        <w:t xml:space="preserve">compared with the limited </w:t>
      </w:r>
      <w:r w:rsidRPr="00A6154D">
        <w:t xml:space="preserve">duration </w:t>
      </w:r>
      <w:r w:rsidR="00C51C81" w:rsidRPr="00A6154D">
        <w:t xml:space="preserve">of trial data (57.3 weeks follow-up </w:t>
      </w:r>
      <w:r w:rsidRPr="00A6154D">
        <w:t>in the REACH3 trial</w:t>
      </w:r>
      <w:r w:rsidR="00C51C81" w:rsidRPr="00A6154D">
        <w:t>)</w:t>
      </w:r>
      <w:r w:rsidRPr="00A6154D">
        <w:t>.</w:t>
      </w:r>
    </w:p>
    <w:p w14:paraId="7FCA4BF0" w14:textId="71A7C8E5" w:rsidR="00247568" w:rsidRPr="00A6154D" w:rsidRDefault="00247568" w:rsidP="00A55A6A">
      <w:pPr>
        <w:pStyle w:val="ExecSumBodyText"/>
      </w:pPr>
      <w:r w:rsidRPr="00A6154D">
        <w:t>The ESC considered that</w:t>
      </w:r>
      <w:r w:rsidR="009B7F7B">
        <w:t xml:space="preserve"> </w:t>
      </w:r>
      <w:r w:rsidR="00FF3AFD" w:rsidRPr="00A6154D">
        <w:t>a more appropriate base case</w:t>
      </w:r>
      <w:r w:rsidR="001E15CB" w:rsidRPr="00A6154D">
        <w:t xml:space="preserve"> </w:t>
      </w:r>
      <w:r w:rsidR="00FF3AFD" w:rsidRPr="00A6154D">
        <w:t xml:space="preserve">would include: a </w:t>
      </w:r>
      <w:r w:rsidRPr="00A6154D">
        <w:t>shorter time horizon</w:t>
      </w:r>
      <w:r w:rsidR="00FF3AFD" w:rsidRPr="00A6154D">
        <w:t>;</w:t>
      </w:r>
      <w:r w:rsidRPr="00A6154D">
        <w:t xml:space="preserve"> more conservative extrapolation</w:t>
      </w:r>
      <w:r w:rsidR="00FF3AFD" w:rsidRPr="00A6154D">
        <w:t>s;</w:t>
      </w:r>
      <w:r w:rsidRPr="00A6154D">
        <w:t xml:space="preserve"> removal of the utility benefit associated with being on ruxolitinib</w:t>
      </w:r>
      <w:r w:rsidR="00FF3AFD" w:rsidRPr="00A6154D">
        <w:t>; and reduced use of ECP</w:t>
      </w:r>
      <w:r w:rsidRPr="00A6154D">
        <w:t xml:space="preserve">. The ESC noted that the time horizon accepted by MSAC for ECP </w:t>
      </w:r>
      <w:r w:rsidR="007A780D" w:rsidRPr="00A6154D">
        <w:t xml:space="preserve">in July 2021 </w:t>
      </w:r>
      <w:r w:rsidRPr="00A6154D">
        <w:t>was 5 years</w:t>
      </w:r>
      <w:r w:rsidR="006A4081" w:rsidRPr="00A6154D">
        <w:t>, which the MSAC considered adequately addressed the uncertainty relating to the duration of response in that application. Further, the MSAC noted t</w:t>
      </w:r>
      <w:r w:rsidRPr="00A6154D">
        <w:t>his was consistent with published models which used 5 and 7 year time horizons.</w:t>
      </w:r>
      <w:bookmarkEnd w:id="59"/>
    </w:p>
    <w:p w14:paraId="10F91D09" w14:textId="7FEB5360" w:rsidR="004D37C9" w:rsidRPr="00A6154D" w:rsidRDefault="004D37C9" w:rsidP="00DD1EF2">
      <w:pPr>
        <w:pStyle w:val="ExecSumBodyText"/>
      </w:pPr>
      <w:bookmarkStart w:id="60" w:name="_Ref106288693"/>
      <w:r w:rsidRPr="00A6154D">
        <w:t xml:space="preserve">Further, the ESC considered that adjusting the REACH3 results for crossover </w:t>
      </w:r>
      <w:r w:rsidR="00DD1EF2" w:rsidRPr="00A6154D">
        <w:t xml:space="preserve">(treatment switching) may </w:t>
      </w:r>
      <w:r w:rsidR="000F2539" w:rsidRPr="00A6154D">
        <w:t>be informative</w:t>
      </w:r>
      <w:r w:rsidR="00DD1EF2" w:rsidRPr="00A6154D">
        <w:t>, but also acknowledged that methods for adjusting rely on assumptions that are difficult to validate</w:t>
      </w:r>
      <w:r w:rsidR="00B6391C" w:rsidRPr="00A6154D">
        <w:t xml:space="preserve"> and may be problematic given the extent of crossover (37% of patients in the BAT arm crossed over to receive ruxolitinib) and the multiple lines of subsequent therapy.</w:t>
      </w:r>
      <w:bookmarkEnd w:id="60"/>
    </w:p>
    <w:p w14:paraId="0EF1A1C1" w14:textId="65028FA3" w:rsidR="00E75F95" w:rsidRPr="00A6154D" w:rsidRDefault="00E75F95" w:rsidP="00E75F95">
      <w:pPr>
        <w:pStyle w:val="4-SubsectSubhead"/>
      </w:pPr>
      <w:r w:rsidRPr="00A6154D">
        <w:t>Acute GVHD</w:t>
      </w:r>
    </w:p>
    <w:p w14:paraId="7AFA21D3" w14:textId="01B46B26" w:rsidR="00F634D6" w:rsidRPr="00A6154D" w:rsidRDefault="00430F74" w:rsidP="00F634D6">
      <w:pPr>
        <w:pStyle w:val="ExecSumBodyText"/>
        <w:numPr>
          <w:ilvl w:val="1"/>
          <w:numId w:val="1"/>
        </w:numPr>
      </w:pPr>
      <w:r w:rsidRPr="00A6154D">
        <w:t>Acute GVHD treatments in the model were based on initial treatments used in the BAT arm of the REACH</w:t>
      </w:r>
      <w:r w:rsidR="00F634D6" w:rsidRPr="00A6154D">
        <w:t>2</w:t>
      </w:r>
      <w:r w:rsidRPr="00A6154D">
        <w:t xml:space="preserve"> trial</w:t>
      </w:r>
      <w:r w:rsidR="00121111" w:rsidRPr="00A6154D">
        <w:t xml:space="preserve">, and included </w:t>
      </w:r>
      <w:r w:rsidR="00F634D6" w:rsidRPr="00A6154D">
        <w:t>anti-thymocyte globulin, ECP, mesenchymal stromal cells, low-dose methotrexate, mycophenolate mofetil, everolimus</w:t>
      </w:r>
      <w:r w:rsidR="00121111" w:rsidRPr="00A6154D">
        <w:t xml:space="preserve">, </w:t>
      </w:r>
      <w:r w:rsidR="00F634D6" w:rsidRPr="00A6154D">
        <w:t xml:space="preserve">etanercept, </w:t>
      </w:r>
      <w:r w:rsidR="00121111" w:rsidRPr="00A6154D">
        <w:t xml:space="preserve">and </w:t>
      </w:r>
      <w:r w:rsidR="00F634D6" w:rsidRPr="00A6154D">
        <w:t>infliximab.</w:t>
      </w:r>
      <w:r w:rsidRPr="00A6154D">
        <w:t xml:space="preserve"> </w:t>
      </w:r>
      <w:r w:rsidR="00D547C9" w:rsidRPr="00A6154D">
        <w:t xml:space="preserve">Patients in the ruxolitinib arm of the model receive initial treatment with ruxolitinib followed by up to an additional </w:t>
      </w:r>
      <w:r w:rsidR="00753421" w:rsidRPr="00A6154D">
        <w:t>9 lines</w:t>
      </w:r>
      <w:r w:rsidR="00D547C9" w:rsidRPr="00A6154D">
        <w:t xml:space="preserve"> of aGVHD therapy. Patients in the BAT arm receive up to </w:t>
      </w:r>
      <w:r w:rsidR="00753421" w:rsidRPr="00A6154D">
        <w:t>9 lines</w:t>
      </w:r>
      <w:r w:rsidR="00D547C9" w:rsidRPr="00A6154D">
        <w:t xml:space="preserve"> of aGVHD therapy. </w:t>
      </w:r>
      <w:r w:rsidR="001B261E" w:rsidRPr="00A6154D">
        <w:t xml:space="preserve">The initial therapy in the BAT arm was based on the distribution of initial treatments used by patients in the REACH2 trial. Subsequent treatments were randomly selected from the remaining therapies. </w:t>
      </w:r>
      <w:r w:rsidR="00DA75E0" w:rsidRPr="00A6154D">
        <w:t>Although, t</w:t>
      </w:r>
      <w:r w:rsidR="00D547C9" w:rsidRPr="00A6154D">
        <w:t xml:space="preserve">he submission did not adequately justify the inclusion of so many lines of therapy, </w:t>
      </w:r>
      <w:r w:rsidR="00DA75E0" w:rsidRPr="00421487">
        <w:t>the ESC considered it was reflective of</w:t>
      </w:r>
      <w:r w:rsidR="00DA75E0" w:rsidRPr="00A6154D">
        <w:t xml:space="preserve"> </w:t>
      </w:r>
      <w:r w:rsidR="00D547C9" w:rsidRPr="00A6154D">
        <w:t>clinical practice.</w:t>
      </w:r>
    </w:p>
    <w:p w14:paraId="75F4F379" w14:textId="4CD2E95C" w:rsidR="00774FA8" w:rsidRPr="00A6154D" w:rsidRDefault="00F349EC" w:rsidP="00F349EC">
      <w:pPr>
        <w:pStyle w:val="ExecSumBodyText"/>
        <w:numPr>
          <w:ilvl w:val="1"/>
          <w:numId w:val="1"/>
        </w:numPr>
      </w:pPr>
      <w:r w:rsidRPr="00A6154D">
        <w:t xml:space="preserve">There are likely to be differences in </w:t>
      </w:r>
      <w:r w:rsidR="00055221" w:rsidRPr="00A6154D">
        <w:t xml:space="preserve">the </w:t>
      </w:r>
      <w:r w:rsidRPr="00A6154D">
        <w:t xml:space="preserve">availability and utilisation of </w:t>
      </w:r>
      <w:r w:rsidR="00C977EC" w:rsidRPr="00A6154D">
        <w:t>a</w:t>
      </w:r>
      <w:r w:rsidRPr="00A6154D">
        <w:t>GVHD treatments between the REACH</w:t>
      </w:r>
      <w:r w:rsidR="00C977EC" w:rsidRPr="00A6154D">
        <w:t>2</w:t>
      </w:r>
      <w:r w:rsidRPr="00A6154D">
        <w:t xml:space="preserve"> trial and Australian clinical practice that impact clinical outcomes and costs. </w:t>
      </w:r>
      <w:r w:rsidR="00F634D6" w:rsidRPr="00A6154D">
        <w:t>The most commonly used initial treatments in the BAT arm of the REACH2 trial were ECP (27.3%), mycophenolate mofetil (16.7%) and etanercept (14.7%). A number of the aGVHD treatments included in the trial, including ECP and etanercept, are not subsidised in Australia for the treatment of aGVHD, which is likely to limit their use.</w:t>
      </w:r>
    </w:p>
    <w:p w14:paraId="462CC14B" w14:textId="24C35DDF" w:rsidR="00896191" w:rsidRPr="00A6154D" w:rsidRDefault="00015F58" w:rsidP="00F349EC">
      <w:pPr>
        <w:pStyle w:val="ExecSumBodyText"/>
        <w:numPr>
          <w:ilvl w:val="1"/>
          <w:numId w:val="1"/>
        </w:numPr>
      </w:pPr>
      <w:r w:rsidRPr="00A6154D">
        <w:t>The economic model included the benefit of all treatments that comprise BAT, but only included the cost of medicines that are available on the PBS</w:t>
      </w:r>
      <w:r w:rsidR="00896191" w:rsidRPr="00A6154D">
        <w:t>.</w:t>
      </w:r>
      <w:r w:rsidRPr="00A6154D">
        <w:t xml:space="preserve"> The impact of excluding these costs on the outcome of the economic model appeared to be small and favoured the comparator.</w:t>
      </w:r>
    </w:p>
    <w:p w14:paraId="285B35E8" w14:textId="0D423E7B" w:rsidR="00C7641A" w:rsidRPr="00A6154D" w:rsidRDefault="00C7641A" w:rsidP="00C7641A">
      <w:pPr>
        <w:pStyle w:val="ExecSumBodyText"/>
      </w:pPr>
      <w:r w:rsidRPr="00A6154D">
        <w:t>GVHD mortality risk, and the duration of response among responding patients were estimated from parametric extrapolation of Kaplan-Meier curves from the REACH2 trial. The extrapolation of GVHD-related mortality</w:t>
      </w:r>
      <w:r w:rsidR="00B07B37" w:rsidRPr="00A6154D">
        <w:t xml:space="preserve"> and </w:t>
      </w:r>
      <w:r w:rsidRPr="00A6154D">
        <w:t>duration of response from the REACH</w:t>
      </w:r>
      <w:r w:rsidR="00B07B37" w:rsidRPr="00A6154D">
        <w:t>2</w:t>
      </w:r>
      <w:r w:rsidRPr="00A6154D">
        <w:t xml:space="preserve"> trial was considered uncertain due to the limited duration of clinical data compared to the modelled time horizons (15 years in the base case versus median follow-up of 5.7 months in the REACH2 trial). </w:t>
      </w:r>
      <w:r w:rsidR="00AE6D89" w:rsidRPr="00A6154D">
        <w:t>The evaluation considered that it was</w:t>
      </w:r>
      <w:r w:rsidR="00DF7B0F" w:rsidRPr="00A6154D">
        <w:t xml:space="preserve"> unclear whether the </w:t>
      </w:r>
      <w:r w:rsidRPr="00A6154D">
        <w:t xml:space="preserve">resulting extrapolations </w:t>
      </w:r>
      <w:r w:rsidR="00DF7B0F" w:rsidRPr="00A6154D">
        <w:t xml:space="preserve">are </w:t>
      </w:r>
      <w:r w:rsidRPr="00A6154D">
        <w:t>reliable predictors of GVHD-related mortality</w:t>
      </w:r>
      <w:r w:rsidR="00DF7B0F" w:rsidRPr="00A6154D">
        <w:t xml:space="preserve"> or </w:t>
      </w:r>
      <w:r w:rsidRPr="00A6154D">
        <w:t>duration of response</w:t>
      </w:r>
      <w:r w:rsidR="00DF7B0F" w:rsidRPr="00A6154D">
        <w:t xml:space="preserve"> </w:t>
      </w:r>
      <w:r w:rsidRPr="00A6154D">
        <w:t>in clinical practice.</w:t>
      </w:r>
    </w:p>
    <w:p w14:paraId="6EDEF664" w14:textId="4163A5FD" w:rsidR="004A2499" w:rsidRPr="007817C8" w:rsidRDefault="00DF7B0F" w:rsidP="004A2499">
      <w:pPr>
        <w:pStyle w:val="ExecSumBodyText"/>
      </w:pPr>
      <w:r w:rsidRPr="00A6154D">
        <w:t xml:space="preserve">GVHD-related mortality in the model was based on the results of a </w:t>
      </w:r>
      <w:r w:rsidRPr="00A6154D">
        <w:rPr>
          <w:i/>
          <w:iCs/>
        </w:rPr>
        <w:t>post-hoc</w:t>
      </w:r>
      <w:r w:rsidRPr="00A6154D">
        <w:t xml:space="preserve"> analysis of survival according to response status at Day 28 in the REACH2 trial (i.e., responder or non-responder). The submission argued that there was clear separation of the curves favouring responders beginning at approximately 4 to 8 weeks, suggesting improved survival among patients who achieve a response. The submission claimed that a survival advantage for patients who achieve and maintain a response is consistent with the published literature and Australian clinician opinion. </w:t>
      </w:r>
      <w:r w:rsidR="004A2499" w:rsidRPr="007817C8">
        <w:t>The ESC noted that there was a lack of longer-term survival data for patients with Grade II to IV steroid refractory/dependent aGVHD available for comparison.</w:t>
      </w:r>
    </w:p>
    <w:p w14:paraId="3CFF33C9" w14:textId="7F1897A7" w:rsidR="00C924E7" w:rsidRPr="00A6154D" w:rsidRDefault="00B07B37" w:rsidP="001B5AC0">
      <w:pPr>
        <w:pStyle w:val="ExecSumBodyText"/>
      </w:pPr>
      <w:bookmarkStart w:id="61" w:name="_Ref106285025"/>
      <w:r w:rsidRPr="00A6154D">
        <w:t>The resulting e</w:t>
      </w:r>
      <w:r w:rsidR="00C924E7" w:rsidRPr="00A6154D">
        <w:t>xtrapolation</w:t>
      </w:r>
      <w:r w:rsidRPr="00A6154D">
        <w:t xml:space="preserve">s of GVHD-related mortality for responders and non-responders </w:t>
      </w:r>
      <w:r w:rsidR="00C924E7" w:rsidRPr="00A6154D">
        <w:t xml:space="preserve">assumed more favourable survival for patients who achieved a response at </w:t>
      </w:r>
      <w:r w:rsidR="001B5AC0" w:rsidRPr="00A6154D">
        <w:t>28 days</w:t>
      </w:r>
      <w:r w:rsidR="00C924E7" w:rsidRPr="00A6154D">
        <w:t>.</w:t>
      </w:r>
      <w:r w:rsidRPr="00A6154D">
        <w:t xml:space="preserve"> This resulted in a </w:t>
      </w:r>
      <w:r w:rsidR="00D6554A" w:rsidRPr="00A6154D">
        <w:t xml:space="preserve">survival benefit being applied to the ruxolitinib arm due to the higher number of responders in the ruxolitinib arm. </w:t>
      </w:r>
      <w:r w:rsidR="001B5AC0" w:rsidRPr="00A6154D">
        <w:t>While treatment with ruxolitinib in the REACH2 was associated with longer median overall survival compared to the BAT (10.7 months versus 5.8 months at the January 2020 data cut), the difference was not statistically significant. However, the reported overall survival outcomes may have been impacted by patients in the BAT arm crossing over to receive treatment with ruxolitinib.</w:t>
      </w:r>
      <w:bookmarkEnd w:id="61"/>
      <w:r w:rsidR="007817C8">
        <w:t xml:space="preserve"> The pre-PBAC response stated that the </w:t>
      </w:r>
      <w:r w:rsidR="007A66CE">
        <w:t>un</w:t>
      </w:r>
      <w:r w:rsidR="007817C8">
        <w:t xml:space="preserve">discounted incremental overall survival for ruxolitinib was </w:t>
      </w:r>
      <w:r w:rsidR="007A66CE">
        <w:t>5.4</w:t>
      </w:r>
      <w:r w:rsidR="007817C8">
        <w:t xml:space="preserve"> months over the 15 year time horizon</w:t>
      </w:r>
      <w:r w:rsidR="007A66CE">
        <w:t>, which was comparable to the observed improvement in median overall survival in REACH2 (4.9 months).</w:t>
      </w:r>
    </w:p>
    <w:p w14:paraId="7B4D6545" w14:textId="1F22FFC6" w:rsidR="00D6554A" w:rsidRPr="007817C8" w:rsidRDefault="00D6554A" w:rsidP="00D6554A">
      <w:pPr>
        <w:pStyle w:val="ExecSumBodyText"/>
      </w:pPr>
      <w:r w:rsidRPr="00A6154D">
        <w:t>Each time a patient initiate</w:t>
      </w:r>
      <w:r w:rsidR="005646DD" w:rsidRPr="00A6154D">
        <w:t>d</w:t>
      </w:r>
      <w:r w:rsidRPr="00A6154D">
        <w:t xml:space="preserve"> a new line of therapy, the overall response rate at Day 28 for the BAT arm was applied, regardless of which BAT therapy </w:t>
      </w:r>
      <w:r w:rsidR="005646DD" w:rsidRPr="00A6154D">
        <w:t>wa</w:t>
      </w:r>
      <w:r w:rsidRPr="00A6154D">
        <w:t xml:space="preserve">s being used. </w:t>
      </w:r>
      <w:r w:rsidR="00774FA8" w:rsidRPr="007817C8">
        <w:t xml:space="preserve">The PSCR stated that although the effectiveness of each individual BAT may reduce in each subsequent line of therapy, the magnitude of any reduction </w:t>
      </w:r>
      <w:r w:rsidR="005646DD" w:rsidRPr="007817C8">
        <w:t>wa</w:t>
      </w:r>
      <w:r w:rsidR="00774FA8" w:rsidRPr="007817C8">
        <w:t>s unknown. The PSCR noted that although the effectiveness of each subsequent line of therapy may have been overestimated, as the assumption affected both arms the impact was expected to be small.</w:t>
      </w:r>
      <w:r w:rsidRPr="007817C8">
        <w:t xml:space="preserve"> </w:t>
      </w:r>
      <w:r w:rsidR="00AE6D89" w:rsidRPr="007817C8">
        <w:t>However, the ESC considered that the assumption that subsequent lines of therapy had the same effectiveness (overall response rate, duration of response and survival outcomes) as the initial treatment lacked face validity and did not appear to be clinically plausible.</w:t>
      </w:r>
    </w:p>
    <w:p w14:paraId="195FDDDC" w14:textId="5A377295" w:rsidR="00D6554A" w:rsidRPr="00A6154D" w:rsidRDefault="00D6554A" w:rsidP="00D6554A">
      <w:pPr>
        <w:pStyle w:val="ExecSumBodyText"/>
      </w:pPr>
      <w:r w:rsidRPr="00A6154D">
        <w:t>Health state utilities used in the model were derived from a post-hoc analysis of EQ-5D-5L quality of life data collected in the REACH2</w:t>
      </w:r>
      <w:r w:rsidR="00D44697" w:rsidRPr="00A6154D">
        <w:t xml:space="preserve"> </w:t>
      </w:r>
      <w:r w:rsidRPr="00A6154D">
        <w:t xml:space="preserve">trial. The model assumed a utility of </w:t>
      </w:r>
      <w:r w:rsidR="002C276C" w:rsidRPr="00A6154D">
        <w:t xml:space="preserve">0.553 for </w:t>
      </w:r>
      <w:r w:rsidRPr="00A6154D">
        <w:t>responders</w:t>
      </w:r>
      <w:r w:rsidR="002C276C" w:rsidRPr="00A6154D">
        <w:t xml:space="preserve"> and 0.441 for non-responders. No utility benefit was included for being on treatment with ruxolitinib in the aGVHD model</w:t>
      </w:r>
      <w:r w:rsidRPr="00A6154D">
        <w:t>.</w:t>
      </w:r>
    </w:p>
    <w:p w14:paraId="2F025DAF" w14:textId="524F451D" w:rsidR="00430F74" w:rsidRPr="00A6154D" w:rsidRDefault="00430F74" w:rsidP="00430F74">
      <w:pPr>
        <w:pStyle w:val="ExecSumBodyText"/>
        <w:numPr>
          <w:ilvl w:val="1"/>
          <w:numId w:val="1"/>
        </w:numPr>
      </w:pPr>
      <w:r w:rsidRPr="00A6154D">
        <w:t xml:space="preserve">Key drivers of the economic model for </w:t>
      </w:r>
      <w:r w:rsidR="00F634D6" w:rsidRPr="00A6154D">
        <w:t>a</w:t>
      </w:r>
      <w:r w:rsidRPr="00A6154D">
        <w:t>GVHD are summarised in the table below.</w:t>
      </w:r>
    </w:p>
    <w:p w14:paraId="08D0DB38" w14:textId="4D7DE87D" w:rsidR="00430F74" w:rsidRPr="00A6154D" w:rsidRDefault="00CF7791" w:rsidP="00430F74">
      <w:pPr>
        <w:pStyle w:val="TableFigureCaption"/>
      </w:pPr>
      <w:r w:rsidRPr="00A6154D">
        <w:t xml:space="preserve">Table </w:t>
      </w:r>
      <w:fldSimple w:instr=" SEQ Table \* ARABIC " w:fldLock="1">
        <w:r w:rsidR="005A7A1C">
          <w:rPr>
            <w:noProof/>
          </w:rPr>
          <w:t>18</w:t>
        </w:r>
      </w:fldSimple>
      <w:r w:rsidR="00430F74" w:rsidRPr="00A6154D">
        <w:t>: Key drivers of the model</w:t>
      </w:r>
      <w:r w:rsidR="00F634D6" w:rsidRPr="00A6154D">
        <w:t xml:space="preserve"> for aGVHD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8: Key drivers of the model for aGVHD"/>
      </w:tblPr>
      <w:tblGrid>
        <w:gridCol w:w="1128"/>
        <w:gridCol w:w="6664"/>
        <w:gridCol w:w="1225"/>
      </w:tblGrid>
      <w:tr w:rsidR="00430F74" w:rsidRPr="00FB0D10" w14:paraId="23B97156" w14:textId="77777777" w:rsidTr="00014A9C">
        <w:trPr>
          <w:tblHeader/>
        </w:trPr>
        <w:tc>
          <w:tcPr>
            <w:tcW w:w="626" w:type="pct"/>
            <w:shd w:val="clear" w:color="auto" w:fill="auto"/>
            <w:vAlign w:val="center"/>
          </w:tcPr>
          <w:p w14:paraId="4F76A240" w14:textId="77777777" w:rsidR="00430F74" w:rsidRPr="00FB0D10" w:rsidRDefault="00430F74" w:rsidP="00A361A7">
            <w:pPr>
              <w:pStyle w:val="Tableheadingrow"/>
              <w:jc w:val="center"/>
            </w:pPr>
            <w:r w:rsidRPr="00FB0D10">
              <w:t>Description</w:t>
            </w:r>
          </w:p>
        </w:tc>
        <w:tc>
          <w:tcPr>
            <w:tcW w:w="3695" w:type="pct"/>
            <w:shd w:val="clear" w:color="auto" w:fill="auto"/>
            <w:vAlign w:val="center"/>
          </w:tcPr>
          <w:p w14:paraId="153B3FDA" w14:textId="77777777" w:rsidR="00430F74" w:rsidRPr="00FB0D10" w:rsidRDefault="00430F74" w:rsidP="00A361A7">
            <w:pPr>
              <w:pStyle w:val="Tableheadingrow"/>
              <w:jc w:val="center"/>
            </w:pPr>
            <w:r w:rsidRPr="00FB0D10">
              <w:t>Method/Value</w:t>
            </w:r>
          </w:p>
        </w:tc>
        <w:tc>
          <w:tcPr>
            <w:tcW w:w="679" w:type="pct"/>
            <w:shd w:val="clear" w:color="auto" w:fill="auto"/>
            <w:vAlign w:val="center"/>
          </w:tcPr>
          <w:p w14:paraId="1D0D566E" w14:textId="77777777" w:rsidR="00430F74" w:rsidRPr="00FB0D10" w:rsidRDefault="00430F74" w:rsidP="00A361A7">
            <w:pPr>
              <w:pStyle w:val="Tableheadingrow"/>
              <w:jc w:val="center"/>
            </w:pPr>
            <w:r w:rsidRPr="00FB0D10">
              <w:t>Impact</w:t>
            </w:r>
          </w:p>
        </w:tc>
      </w:tr>
      <w:tr w:rsidR="00430F74" w:rsidRPr="00FB0D10" w14:paraId="246A7653" w14:textId="77777777" w:rsidTr="00014A9C">
        <w:tc>
          <w:tcPr>
            <w:tcW w:w="626" w:type="pct"/>
            <w:shd w:val="clear" w:color="auto" w:fill="auto"/>
            <w:vAlign w:val="center"/>
          </w:tcPr>
          <w:p w14:paraId="1C3DACA3" w14:textId="77777777" w:rsidR="00430F74" w:rsidRPr="00FB0D10" w:rsidRDefault="00430F74" w:rsidP="00A361A7">
            <w:pPr>
              <w:pStyle w:val="TableText"/>
              <w:rPr>
                <w:lang w:val="en-US"/>
              </w:rPr>
            </w:pPr>
            <w:r w:rsidRPr="00FB0D10">
              <w:rPr>
                <w:lang w:val="en-US"/>
              </w:rPr>
              <w:t>GVHD-related mortality</w:t>
            </w:r>
          </w:p>
        </w:tc>
        <w:tc>
          <w:tcPr>
            <w:tcW w:w="3695" w:type="pct"/>
            <w:shd w:val="clear" w:color="auto" w:fill="auto"/>
            <w:vAlign w:val="center"/>
          </w:tcPr>
          <w:p w14:paraId="0514AC21" w14:textId="0915DA55" w:rsidR="00430F74" w:rsidRPr="00A6154D" w:rsidRDefault="00430F74" w:rsidP="00A361A7">
            <w:pPr>
              <w:pStyle w:val="TableText"/>
              <w:rPr>
                <w:lang w:val="en-US"/>
              </w:rPr>
            </w:pPr>
            <w:r w:rsidRPr="00A6154D">
              <w:rPr>
                <w:lang w:val="en-US"/>
              </w:rPr>
              <w:t xml:space="preserve">GVHD-related mortality in the model was based on the results of a post-hoc analysis of survival according to response status at </w:t>
            </w:r>
            <w:r w:rsidR="009F5214" w:rsidRPr="00A6154D">
              <w:rPr>
                <w:lang w:val="en-US"/>
              </w:rPr>
              <w:t>Day 28</w:t>
            </w:r>
            <w:r w:rsidRPr="00A6154D">
              <w:rPr>
                <w:lang w:val="en-US"/>
              </w:rPr>
              <w:t xml:space="preserve"> in the REACH</w:t>
            </w:r>
            <w:r w:rsidR="009F5214" w:rsidRPr="00A6154D">
              <w:rPr>
                <w:lang w:val="en-US"/>
              </w:rPr>
              <w:t>2</w:t>
            </w:r>
            <w:r w:rsidRPr="00A6154D">
              <w:rPr>
                <w:lang w:val="en-US"/>
              </w:rPr>
              <w:t xml:space="preserve"> trial (i.e., responder or non-responder).</w:t>
            </w:r>
            <w:r w:rsidR="00034152" w:rsidRPr="00A6154D">
              <w:rPr>
                <w:lang w:val="en-US"/>
              </w:rPr>
              <w:t xml:space="preserve"> </w:t>
            </w:r>
            <w:r w:rsidR="00AE6D89" w:rsidRPr="00A6154D">
              <w:rPr>
                <w:lang w:val="en-US"/>
              </w:rPr>
              <w:t xml:space="preserve">The higher number of responders in the ruxolitinib arm resulted in a survival benefit being applied to the ruxolitinib arm, which the ESC considered may not be appropriate (refer to Paragraph </w:t>
            </w:r>
            <w:r w:rsidR="00AE6D89" w:rsidRPr="00A6154D">
              <w:rPr>
                <w:lang w:val="en-US"/>
              </w:rPr>
              <w:fldChar w:fldCharType="begin" w:fldLock="1"/>
            </w:r>
            <w:r w:rsidR="00AE6D89" w:rsidRPr="00A6154D">
              <w:rPr>
                <w:lang w:val="en-US"/>
              </w:rPr>
              <w:instrText xml:space="preserve"> REF _Ref106285025 \r \h </w:instrText>
            </w:r>
            <w:r w:rsidR="00A6154D" w:rsidRPr="00A6154D">
              <w:rPr>
                <w:lang w:val="en-US"/>
              </w:rPr>
              <w:instrText xml:space="preserve"> \* MERGEFORMAT </w:instrText>
            </w:r>
            <w:r w:rsidR="00AE6D89" w:rsidRPr="00A6154D">
              <w:rPr>
                <w:lang w:val="en-US"/>
              </w:rPr>
            </w:r>
            <w:r w:rsidR="00AE6D89" w:rsidRPr="00A6154D">
              <w:rPr>
                <w:lang w:val="en-US"/>
              </w:rPr>
              <w:fldChar w:fldCharType="separate"/>
            </w:r>
            <w:r w:rsidR="005A7A1C">
              <w:rPr>
                <w:lang w:val="en-US"/>
              </w:rPr>
              <w:t>6.101</w:t>
            </w:r>
            <w:r w:rsidR="00AE6D89" w:rsidRPr="00A6154D">
              <w:rPr>
                <w:lang w:val="en-US"/>
              </w:rPr>
              <w:fldChar w:fldCharType="end"/>
            </w:r>
            <w:r w:rsidR="00AE6D89" w:rsidRPr="00A6154D">
              <w:rPr>
                <w:lang w:val="en-US"/>
              </w:rPr>
              <w:t>)</w:t>
            </w:r>
            <w:r w:rsidR="002F5909" w:rsidRPr="00A6154D">
              <w:rPr>
                <w:lang w:val="en-US"/>
              </w:rPr>
              <w:t>.</w:t>
            </w:r>
            <w:r w:rsidR="00AE6D89" w:rsidRPr="00A6154D">
              <w:rPr>
                <w:lang w:val="en-US"/>
              </w:rPr>
              <w:t xml:space="preserve"> </w:t>
            </w:r>
          </w:p>
        </w:tc>
        <w:tc>
          <w:tcPr>
            <w:tcW w:w="679" w:type="pct"/>
            <w:shd w:val="clear" w:color="auto" w:fill="auto"/>
            <w:vAlign w:val="center"/>
          </w:tcPr>
          <w:p w14:paraId="051C2956" w14:textId="77777777" w:rsidR="00430F74" w:rsidRPr="00FB0D10" w:rsidRDefault="00430F74" w:rsidP="00A361A7">
            <w:pPr>
              <w:pStyle w:val="TableText"/>
              <w:jc w:val="center"/>
              <w:rPr>
                <w:lang w:val="en-US"/>
              </w:rPr>
            </w:pPr>
            <w:r w:rsidRPr="00FB0D10">
              <w:rPr>
                <w:lang w:val="en-US"/>
              </w:rPr>
              <w:t>High, favours ruxolitinib</w:t>
            </w:r>
          </w:p>
        </w:tc>
      </w:tr>
      <w:tr w:rsidR="004D44AD" w:rsidRPr="00FB0D10" w14:paraId="68CDC559" w14:textId="77777777" w:rsidTr="00014A9C">
        <w:tc>
          <w:tcPr>
            <w:tcW w:w="626" w:type="pct"/>
            <w:shd w:val="clear" w:color="auto" w:fill="auto"/>
            <w:vAlign w:val="center"/>
          </w:tcPr>
          <w:p w14:paraId="234A1CD4" w14:textId="0177DE8E" w:rsidR="004D44AD" w:rsidRPr="00FB0D10" w:rsidRDefault="004D44AD" w:rsidP="004D44AD">
            <w:pPr>
              <w:pStyle w:val="TableText"/>
              <w:rPr>
                <w:lang w:val="en-US"/>
              </w:rPr>
            </w:pPr>
            <w:r w:rsidRPr="00FB0D10">
              <w:rPr>
                <w:lang w:val="en-US"/>
              </w:rPr>
              <w:t>Time horizon</w:t>
            </w:r>
          </w:p>
        </w:tc>
        <w:tc>
          <w:tcPr>
            <w:tcW w:w="3695" w:type="pct"/>
            <w:shd w:val="clear" w:color="auto" w:fill="auto"/>
            <w:vAlign w:val="center"/>
          </w:tcPr>
          <w:p w14:paraId="6D40C036" w14:textId="2DC596C3" w:rsidR="004D44AD" w:rsidRPr="00A6154D" w:rsidRDefault="004D44AD" w:rsidP="004D44AD">
            <w:pPr>
              <w:pStyle w:val="TableText"/>
              <w:rPr>
                <w:lang w:val="en-US"/>
              </w:rPr>
            </w:pPr>
            <w:r w:rsidRPr="00A6154D">
              <w:rPr>
                <w:lang w:val="en-US"/>
              </w:rPr>
              <w:t>15 years in the base case versus median follow-up of 5.7 months in the REACH2 trial. The extrapolation of GVHD-related mortality and duration of response results was highly uncertain given the limited duration of clinical data compared to the extrapolated time period</w:t>
            </w:r>
            <w:r w:rsidR="006A2742" w:rsidRPr="00A6154D">
              <w:rPr>
                <w:lang w:val="en-US"/>
              </w:rPr>
              <w:t xml:space="preserve"> (89.2% of incremental QALYs and 40.5% of incremental costs occur in the extrapolated period</w:t>
            </w:r>
            <w:r w:rsidR="00E70D89" w:rsidRPr="00A6154D">
              <w:rPr>
                <w:lang w:val="en-US"/>
              </w:rPr>
              <w:t>)</w:t>
            </w:r>
            <w:r w:rsidR="006A2742" w:rsidRPr="00A6154D">
              <w:rPr>
                <w:lang w:val="en-US"/>
              </w:rPr>
              <w:t>.</w:t>
            </w:r>
            <w:r w:rsidRPr="00A6154D">
              <w:rPr>
                <w:lang w:val="en-US"/>
              </w:rPr>
              <w:t xml:space="preserve"> The selection of the parametric models that were used to extrapolate the observed REACH2 trial data was highly subjective. The resulting extrapolations may not reliably characterise GVHD-related mortality and duration of response in clinical practice.</w:t>
            </w:r>
          </w:p>
        </w:tc>
        <w:tc>
          <w:tcPr>
            <w:tcW w:w="679" w:type="pct"/>
            <w:shd w:val="clear" w:color="auto" w:fill="auto"/>
            <w:vAlign w:val="center"/>
          </w:tcPr>
          <w:p w14:paraId="681AD798" w14:textId="47065302" w:rsidR="004D44AD" w:rsidRPr="00FB0D10" w:rsidRDefault="004D44AD" w:rsidP="004D44AD">
            <w:pPr>
              <w:pStyle w:val="TableText"/>
              <w:jc w:val="center"/>
              <w:rPr>
                <w:lang w:val="en-US"/>
              </w:rPr>
            </w:pPr>
            <w:r w:rsidRPr="00FB0D10">
              <w:rPr>
                <w:lang w:val="en-US"/>
              </w:rPr>
              <w:t>High, favours ruxolitinib</w:t>
            </w:r>
          </w:p>
        </w:tc>
      </w:tr>
      <w:tr w:rsidR="004D44AD" w:rsidRPr="00FB0D10" w14:paraId="6D5100C9" w14:textId="77777777" w:rsidTr="00014A9C">
        <w:tc>
          <w:tcPr>
            <w:tcW w:w="626" w:type="pct"/>
            <w:shd w:val="clear" w:color="auto" w:fill="auto"/>
            <w:vAlign w:val="center"/>
          </w:tcPr>
          <w:p w14:paraId="2CA87B4B" w14:textId="3F692D2F" w:rsidR="004D44AD" w:rsidRPr="00FB0D10" w:rsidRDefault="004D44AD" w:rsidP="004D44AD">
            <w:pPr>
              <w:pStyle w:val="TableText"/>
              <w:rPr>
                <w:lang w:val="en-US"/>
              </w:rPr>
            </w:pPr>
            <w:r w:rsidRPr="00FB0D10">
              <w:rPr>
                <w:lang w:val="en-US"/>
              </w:rPr>
              <w:t>Subsequent treatments</w:t>
            </w:r>
          </w:p>
        </w:tc>
        <w:tc>
          <w:tcPr>
            <w:tcW w:w="3695" w:type="pct"/>
            <w:shd w:val="clear" w:color="auto" w:fill="auto"/>
            <w:vAlign w:val="center"/>
          </w:tcPr>
          <w:p w14:paraId="568EA8DD" w14:textId="5432DCE6" w:rsidR="004D44AD" w:rsidRPr="00A6154D" w:rsidRDefault="004D44AD" w:rsidP="004D44AD">
            <w:pPr>
              <w:pStyle w:val="TableText"/>
              <w:rPr>
                <w:lang w:val="en-US"/>
              </w:rPr>
            </w:pPr>
            <w:r w:rsidRPr="00A6154D">
              <w:rPr>
                <w:lang w:val="en-US"/>
              </w:rPr>
              <w:t>Patients in the ruxolitinib arm receive</w:t>
            </w:r>
            <w:r w:rsidR="005646DD" w:rsidRPr="00A6154D">
              <w:rPr>
                <w:lang w:val="en-US"/>
              </w:rPr>
              <w:t>d</w:t>
            </w:r>
            <w:r w:rsidRPr="00A6154D">
              <w:rPr>
                <w:lang w:val="en-US"/>
              </w:rPr>
              <w:t xml:space="preserve"> initial treatment with ruxolitinib followed by up to </w:t>
            </w:r>
            <w:r w:rsidR="002429F9">
              <w:rPr>
                <w:lang w:val="en-US"/>
              </w:rPr>
              <w:t>9</w:t>
            </w:r>
            <w:r w:rsidRPr="00A6154D">
              <w:rPr>
                <w:lang w:val="en-US"/>
              </w:rPr>
              <w:t xml:space="preserve"> additional lines of aGVHD therapy. Patients in the BAT arm receive</w:t>
            </w:r>
            <w:r w:rsidR="005646DD" w:rsidRPr="00A6154D">
              <w:rPr>
                <w:lang w:val="en-US"/>
              </w:rPr>
              <w:t>d</w:t>
            </w:r>
            <w:r w:rsidRPr="00A6154D">
              <w:rPr>
                <w:lang w:val="en-US"/>
              </w:rPr>
              <w:t xml:space="preserve"> up to </w:t>
            </w:r>
            <w:r w:rsidR="00753421" w:rsidRPr="00A6154D">
              <w:rPr>
                <w:lang w:val="en-US"/>
              </w:rPr>
              <w:t>9 lines</w:t>
            </w:r>
            <w:r w:rsidRPr="00A6154D">
              <w:rPr>
                <w:lang w:val="en-US"/>
              </w:rPr>
              <w:t xml:space="preserve"> of aGVHD therapy. The submission assumed that each time a new line of therapy was started, survival, response and response duration in responders was the same as for the initial therapy in the BAT arm. This assumption lacked face validity and </w:t>
            </w:r>
            <w:r w:rsidR="006119A2" w:rsidRPr="00A6154D">
              <w:rPr>
                <w:lang w:val="en-US"/>
              </w:rPr>
              <w:t>did not appear to be</w:t>
            </w:r>
            <w:r w:rsidRPr="00A6154D">
              <w:rPr>
                <w:lang w:val="en-US"/>
              </w:rPr>
              <w:t xml:space="preserve"> clinically plausible.</w:t>
            </w:r>
          </w:p>
        </w:tc>
        <w:tc>
          <w:tcPr>
            <w:tcW w:w="679" w:type="pct"/>
            <w:shd w:val="clear" w:color="auto" w:fill="auto"/>
            <w:vAlign w:val="center"/>
          </w:tcPr>
          <w:p w14:paraId="39F0FE1A" w14:textId="64FE4EFC" w:rsidR="004D44AD" w:rsidRPr="00FB0D10" w:rsidRDefault="004D44AD" w:rsidP="004D44AD">
            <w:pPr>
              <w:pStyle w:val="TableText"/>
              <w:jc w:val="center"/>
              <w:rPr>
                <w:lang w:val="en-US"/>
              </w:rPr>
            </w:pPr>
            <w:r w:rsidRPr="00FB0D10">
              <w:rPr>
                <w:lang w:val="en-US"/>
              </w:rPr>
              <w:t>Unclear impact</w:t>
            </w:r>
          </w:p>
        </w:tc>
      </w:tr>
    </w:tbl>
    <w:p w14:paraId="57981AF3" w14:textId="77777777" w:rsidR="00430F74" w:rsidRDefault="00430F74" w:rsidP="00430F74">
      <w:pPr>
        <w:pStyle w:val="TableFigureFooter"/>
      </w:pPr>
      <w:r>
        <w:t>Source: Constructed during the evaluation.</w:t>
      </w:r>
    </w:p>
    <w:p w14:paraId="2D32F172" w14:textId="77777777" w:rsidR="00B61D75" w:rsidRPr="00191822" w:rsidRDefault="00B61D75" w:rsidP="00B61D75">
      <w:pPr>
        <w:pStyle w:val="ExecSumBodyText"/>
        <w:numPr>
          <w:ilvl w:val="1"/>
          <w:numId w:val="1"/>
        </w:numPr>
      </w:pPr>
      <w:r w:rsidRPr="00191822">
        <w:t xml:space="preserve">Model traces for the </w:t>
      </w:r>
      <w:r>
        <w:t>ruxolitinib and BAT arms of the model are presented in the figure below.</w:t>
      </w:r>
    </w:p>
    <w:p w14:paraId="10D814F9" w14:textId="63D51C89" w:rsidR="00DF502A" w:rsidRDefault="00DF502A" w:rsidP="00DF502A">
      <w:pPr>
        <w:pStyle w:val="TableHeading"/>
      </w:pPr>
      <w:r>
        <w:t xml:space="preserve">Figure </w:t>
      </w:r>
      <w:fldSimple w:instr=" SEQ Figure \* ARABIC " w:fldLock="1">
        <w:r w:rsidR="005A7A1C">
          <w:rPr>
            <w:noProof/>
          </w:rPr>
          <w:t>7</w:t>
        </w:r>
      </w:fldSimple>
      <w:r>
        <w:t>: Model traces for the ruxolitinib and BAT arms</w:t>
      </w:r>
    </w:p>
    <w:p w14:paraId="4CA95844" w14:textId="35493125" w:rsidR="00DF502A" w:rsidRDefault="00A6325C" w:rsidP="00DF502A">
      <w:r>
        <w:rPr>
          <w:noProof/>
        </w:rPr>
        <w:drawing>
          <wp:inline distT="0" distB="0" distL="0" distR="0" wp14:anchorId="60E7F03B" wp14:editId="37C7DE43">
            <wp:extent cx="5712460" cy="3694430"/>
            <wp:effectExtent l="0" t="0" r="2540" b="1270"/>
            <wp:docPr id="8" name="Picture 8" descr="Figure 7: Model traces for the ruxolitinib and BAT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7: Model traces for the ruxolitinib and BAT arm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2460" cy="3694430"/>
                    </a:xfrm>
                    <a:prstGeom prst="rect">
                      <a:avLst/>
                    </a:prstGeom>
                    <a:noFill/>
                  </pic:spPr>
                </pic:pic>
              </a:graphicData>
            </a:graphic>
          </wp:inline>
        </w:drawing>
      </w:r>
    </w:p>
    <w:p w14:paraId="17AC114E" w14:textId="7E41B1CB" w:rsidR="00DF502A" w:rsidRDefault="00DF502A" w:rsidP="00DF502A">
      <w:pPr>
        <w:pStyle w:val="TableFooter"/>
      </w:pPr>
      <w:r>
        <w:t>Source: Constructed during the evaluation using the ‘Jakavi (ruxolitinib) – aGVHD – CEA’ Excel workbook.</w:t>
      </w:r>
    </w:p>
    <w:p w14:paraId="394EB919" w14:textId="44FA3E42" w:rsidR="00DF502A" w:rsidRDefault="00DF502A" w:rsidP="00DF502A">
      <w:pPr>
        <w:pStyle w:val="TableFooter"/>
      </w:pPr>
      <w:r>
        <w:t>Abbreviations: BAT, best available therapy.</w:t>
      </w:r>
    </w:p>
    <w:p w14:paraId="4F1329AF" w14:textId="530E5DCE" w:rsidR="00B61D75" w:rsidRDefault="00D74663" w:rsidP="00EA3D66">
      <w:pPr>
        <w:pStyle w:val="ExecSumBodyText"/>
      </w:pPr>
      <w:r>
        <w:t>H</w:t>
      </w:r>
      <w:r w:rsidR="00DF502A">
        <w:t>igher proportion</w:t>
      </w:r>
      <w:r>
        <w:t>s</w:t>
      </w:r>
      <w:r w:rsidR="00DF502A">
        <w:t xml:space="preserve"> of patients in the ruxolitinib arm were alive compared to the BAT arm at 1 year (44% versus 34%), 2 years (27% versus 18%) and 5 years (9% versus 5%). </w:t>
      </w:r>
      <w:r>
        <w:t>H</w:t>
      </w:r>
      <w:r w:rsidR="00DF502A">
        <w:t>igher proportion</w:t>
      </w:r>
      <w:r>
        <w:t>s</w:t>
      </w:r>
      <w:r w:rsidR="00DF502A">
        <w:t xml:space="preserve"> of patients in the ruxolitinib were in the responder health state compared to the BAT arm at 1 year (41% versus 30%) and 2 years (25% versus 16%) and 5 years (8% versus 4%). </w:t>
      </w:r>
      <w:r w:rsidR="00EA3D66">
        <w:t>A s</w:t>
      </w:r>
      <w:r w:rsidR="00DF502A">
        <w:t>imilar proportion of patients in the ruxolitinib and BAT arms were on (any) treatment at 1 year (5%).</w:t>
      </w:r>
    </w:p>
    <w:p w14:paraId="2CD9E92C" w14:textId="79A3995E" w:rsidR="00F67915" w:rsidRPr="003824DB" w:rsidRDefault="00F67915" w:rsidP="00F67915">
      <w:pPr>
        <w:pStyle w:val="ExecSumBodyText"/>
        <w:numPr>
          <w:ilvl w:val="1"/>
          <w:numId w:val="1"/>
        </w:numPr>
      </w:pPr>
      <w:r>
        <w:t>The table below summarises the results of the modelled economic evaluation for acute GVHD.</w:t>
      </w:r>
    </w:p>
    <w:p w14:paraId="3ED312DA" w14:textId="030535F2" w:rsidR="00F67915" w:rsidRPr="002940FF" w:rsidRDefault="00CF7791" w:rsidP="00F67915">
      <w:pPr>
        <w:pStyle w:val="TableFigureCaption"/>
      </w:pPr>
      <w:r w:rsidRPr="0042047F">
        <w:t xml:space="preserve">Table </w:t>
      </w:r>
      <w:fldSimple w:instr=" SEQ Table \* ARABIC " w:fldLock="1">
        <w:r w:rsidR="005A7A1C">
          <w:rPr>
            <w:noProof/>
          </w:rPr>
          <w:t>19</w:t>
        </w:r>
      </w:fldSimple>
      <w:r w:rsidR="00F67915">
        <w:t xml:space="preserve">: </w:t>
      </w:r>
      <w:r w:rsidR="00F67915" w:rsidRPr="002940FF">
        <w:t xml:space="preserve">Results of the economic evaluation for </w:t>
      </w:r>
      <w:r w:rsidR="00F67915">
        <w:t xml:space="preserve">acute </w:t>
      </w:r>
      <w:r w:rsidR="00F67915" w:rsidRPr="002940FF">
        <w:t>GVHD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9: Results of the economic evaluation for acute GVHD"/>
      </w:tblPr>
      <w:tblGrid>
        <w:gridCol w:w="2759"/>
        <w:gridCol w:w="2451"/>
        <w:gridCol w:w="2298"/>
        <w:gridCol w:w="1509"/>
      </w:tblGrid>
      <w:tr w:rsidR="00F67915" w:rsidRPr="00EF2EAE" w14:paraId="24C93074" w14:textId="77777777" w:rsidTr="00A361A7">
        <w:tc>
          <w:tcPr>
            <w:tcW w:w="1530" w:type="pct"/>
            <w:vAlign w:val="center"/>
          </w:tcPr>
          <w:p w14:paraId="4287152E" w14:textId="77777777" w:rsidR="00F67915" w:rsidRPr="00EF2EAE" w:rsidRDefault="00F67915" w:rsidP="00A361A7">
            <w:pPr>
              <w:pStyle w:val="Tabletext0"/>
              <w:rPr>
                <w:b/>
              </w:rPr>
            </w:pPr>
          </w:p>
        </w:tc>
        <w:tc>
          <w:tcPr>
            <w:tcW w:w="1359" w:type="pct"/>
          </w:tcPr>
          <w:p w14:paraId="53445356" w14:textId="77777777" w:rsidR="00F67915" w:rsidRPr="00EF2EAE" w:rsidRDefault="00F67915" w:rsidP="00A361A7">
            <w:pPr>
              <w:pStyle w:val="Tabletext0"/>
              <w:jc w:val="center"/>
              <w:rPr>
                <w:b/>
              </w:rPr>
            </w:pPr>
            <w:r>
              <w:rPr>
                <w:b/>
              </w:rPr>
              <w:t>Ruxolitinib</w:t>
            </w:r>
          </w:p>
        </w:tc>
        <w:tc>
          <w:tcPr>
            <w:tcW w:w="1274" w:type="pct"/>
          </w:tcPr>
          <w:p w14:paraId="7F3DEAF9" w14:textId="77777777" w:rsidR="00F67915" w:rsidRPr="00EF2EAE" w:rsidRDefault="00F67915" w:rsidP="00A361A7">
            <w:pPr>
              <w:pStyle w:val="Tabletext0"/>
              <w:jc w:val="center"/>
              <w:rPr>
                <w:b/>
              </w:rPr>
            </w:pPr>
            <w:r>
              <w:rPr>
                <w:b/>
              </w:rPr>
              <w:t>BAT</w:t>
            </w:r>
          </w:p>
        </w:tc>
        <w:tc>
          <w:tcPr>
            <w:tcW w:w="837" w:type="pct"/>
          </w:tcPr>
          <w:p w14:paraId="056C3F68" w14:textId="77777777" w:rsidR="00F67915" w:rsidRPr="00EF2EAE" w:rsidRDefault="00F67915" w:rsidP="00A361A7">
            <w:pPr>
              <w:pStyle w:val="Tabletext0"/>
              <w:jc w:val="center"/>
              <w:rPr>
                <w:b/>
              </w:rPr>
            </w:pPr>
            <w:r>
              <w:rPr>
                <w:b/>
              </w:rPr>
              <w:t>Increment</w:t>
            </w:r>
          </w:p>
        </w:tc>
      </w:tr>
      <w:tr w:rsidR="00F67915" w:rsidRPr="00A6154D" w14:paraId="27F2156B" w14:textId="77777777" w:rsidTr="00A361A7">
        <w:tc>
          <w:tcPr>
            <w:tcW w:w="5000" w:type="pct"/>
            <w:gridSpan w:val="4"/>
          </w:tcPr>
          <w:p w14:paraId="0DEF147F" w14:textId="601FD5C1" w:rsidR="00F67915" w:rsidRPr="00A6154D" w:rsidRDefault="002F5909" w:rsidP="00A361A7">
            <w:pPr>
              <w:pStyle w:val="Tabletext0"/>
              <w:jc w:val="left"/>
              <w:rPr>
                <w:b/>
              </w:rPr>
            </w:pPr>
            <w:r w:rsidRPr="00A6154D">
              <w:rPr>
                <w:rFonts w:eastAsia="Calibri"/>
                <w:b/>
              </w:rPr>
              <w:t>Cost per responder (ORR with time horizon of 4 weeks)</w:t>
            </w:r>
          </w:p>
        </w:tc>
      </w:tr>
      <w:tr w:rsidR="002F5909" w:rsidRPr="00A6154D" w14:paraId="18B8202F" w14:textId="77777777" w:rsidTr="00A361A7">
        <w:tc>
          <w:tcPr>
            <w:tcW w:w="1530" w:type="pct"/>
            <w:vAlign w:val="center"/>
          </w:tcPr>
          <w:p w14:paraId="4C3E8376" w14:textId="08F450C4" w:rsidR="002F5909" w:rsidRPr="00A6154D" w:rsidRDefault="002F5909" w:rsidP="002F5909">
            <w:pPr>
              <w:pStyle w:val="Tabletext0"/>
            </w:pPr>
            <w:r w:rsidRPr="00A6154D">
              <w:t>Cost</w:t>
            </w:r>
          </w:p>
        </w:tc>
        <w:tc>
          <w:tcPr>
            <w:tcW w:w="1359" w:type="pct"/>
          </w:tcPr>
          <w:p w14:paraId="154636A3" w14:textId="09C8A9A9" w:rsidR="002F5909" w:rsidRPr="00A6154D" w:rsidRDefault="002F5909" w:rsidP="002F5909">
            <w:pPr>
              <w:pStyle w:val="Tabletext0"/>
              <w:jc w:val="center"/>
            </w:pPr>
            <w:r w:rsidRPr="00A6154D">
              <w:t>$</w:t>
            </w:r>
            <w:r w:rsidR="00F96E54" w:rsidRPr="00F96E54">
              <w:rPr>
                <w:color w:val="000000"/>
                <w:shd w:val="solid" w:color="000000" w:fill="000000"/>
                <w14:textFill>
                  <w14:solidFill>
                    <w14:srgbClr w14:val="000000">
                      <w14:alpha w14:val="100000"/>
                    </w14:srgbClr>
                  </w14:solidFill>
                </w14:textFill>
              </w:rPr>
              <w:t>|</w:t>
            </w:r>
          </w:p>
        </w:tc>
        <w:tc>
          <w:tcPr>
            <w:tcW w:w="1274" w:type="pct"/>
          </w:tcPr>
          <w:p w14:paraId="41AACCDA" w14:textId="3724A2E5" w:rsidR="002F5909" w:rsidRPr="00A6154D" w:rsidRDefault="002F5909" w:rsidP="002F5909">
            <w:pPr>
              <w:pStyle w:val="Tabletext0"/>
              <w:jc w:val="center"/>
            </w:pPr>
            <w:r w:rsidRPr="00A6154D">
              <w:t>$42</w:t>
            </w:r>
          </w:p>
        </w:tc>
        <w:tc>
          <w:tcPr>
            <w:tcW w:w="837" w:type="pct"/>
          </w:tcPr>
          <w:p w14:paraId="5081A588" w14:textId="0A9CD222" w:rsidR="002F5909" w:rsidRPr="00A6154D" w:rsidRDefault="002F5909" w:rsidP="002F5909">
            <w:pPr>
              <w:pStyle w:val="Tabletext0"/>
              <w:jc w:val="center"/>
            </w:pPr>
            <w:r w:rsidRPr="00A6154D">
              <w:t>$</w:t>
            </w:r>
            <w:r w:rsidR="00F96E54" w:rsidRPr="00F96E54">
              <w:rPr>
                <w:color w:val="000000"/>
                <w:shd w:val="solid" w:color="000000" w:fill="000000"/>
                <w14:textFill>
                  <w14:solidFill>
                    <w14:srgbClr w14:val="000000">
                      <w14:alpha w14:val="100000"/>
                    </w14:srgbClr>
                  </w14:solidFill>
                </w14:textFill>
              </w:rPr>
              <w:t>|</w:t>
            </w:r>
          </w:p>
        </w:tc>
      </w:tr>
      <w:tr w:rsidR="002F5909" w:rsidRPr="00A6154D" w14:paraId="49CE7E10" w14:textId="77777777" w:rsidTr="00A361A7">
        <w:tc>
          <w:tcPr>
            <w:tcW w:w="1530" w:type="pct"/>
            <w:vAlign w:val="center"/>
          </w:tcPr>
          <w:p w14:paraId="405B1D91" w14:textId="3550D87F" w:rsidR="002F5909" w:rsidRPr="00A6154D" w:rsidRDefault="002F5909" w:rsidP="002F5909">
            <w:pPr>
              <w:pStyle w:val="Tabletext0"/>
            </w:pPr>
            <w:r w:rsidRPr="00A6154D">
              <w:t>Response</w:t>
            </w:r>
          </w:p>
        </w:tc>
        <w:tc>
          <w:tcPr>
            <w:tcW w:w="1359" w:type="pct"/>
          </w:tcPr>
          <w:p w14:paraId="028A1A86" w14:textId="6AB013AE" w:rsidR="002F5909" w:rsidRPr="00A6154D" w:rsidRDefault="002F5909" w:rsidP="002F5909">
            <w:pPr>
              <w:pStyle w:val="Tabletext0"/>
              <w:jc w:val="center"/>
            </w:pPr>
            <w:r w:rsidRPr="00A6154D">
              <w:t>62.03%</w:t>
            </w:r>
          </w:p>
        </w:tc>
        <w:tc>
          <w:tcPr>
            <w:tcW w:w="1274" w:type="pct"/>
          </w:tcPr>
          <w:p w14:paraId="072827CD" w14:textId="7FEFEBB9" w:rsidR="002F5909" w:rsidRPr="00A6154D" w:rsidRDefault="002F5909" w:rsidP="002F5909">
            <w:pPr>
              <w:pStyle w:val="Tabletext0"/>
              <w:jc w:val="center"/>
            </w:pPr>
            <w:r w:rsidRPr="00A6154D">
              <w:t>38.90%</w:t>
            </w:r>
          </w:p>
        </w:tc>
        <w:tc>
          <w:tcPr>
            <w:tcW w:w="837" w:type="pct"/>
          </w:tcPr>
          <w:p w14:paraId="2A8BA1E4" w14:textId="32331F87" w:rsidR="002F5909" w:rsidRPr="00A6154D" w:rsidRDefault="002F5909" w:rsidP="002F5909">
            <w:pPr>
              <w:pStyle w:val="Tabletext0"/>
              <w:jc w:val="center"/>
            </w:pPr>
            <w:r w:rsidRPr="00A6154D">
              <w:t>23.13%</w:t>
            </w:r>
          </w:p>
        </w:tc>
      </w:tr>
      <w:tr w:rsidR="002F5909" w:rsidRPr="00A6154D" w14:paraId="0279BF66" w14:textId="77777777" w:rsidTr="002F5909">
        <w:tc>
          <w:tcPr>
            <w:tcW w:w="4163" w:type="pct"/>
            <w:gridSpan w:val="3"/>
            <w:vAlign w:val="center"/>
          </w:tcPr>
          <w:p w14:paraId="71641546" w14:textId="66A18B6B" w:rsidR="002F5909" w:rsidRPr="00A6154D" w:rsidRDefault="002F5909" w:rsidP="002F5909">
            <w:pPr>
              <w:pStyle w:val="Tabletext0"/>
              <w:jc w:val="left"/>
            </w:pPr>
            <w:r w:rsidRPr="00A6154D">
              <w:t>Incremental cost per responder</w:t>
            </w:r>
          </w:p>
        </w:tc>
        <w:tc>
          <w:tcPr>
            <w:tcW w:w="837" w:type="pct"/>
          </w:tcPr>
          <w:p w14:paraId="27910BAD" w14:textId="6A3B71F2" w:rsidR="002F5909" w:rsidRPr="00A6154D" w:rsidRDefault="002F5909" w:rsidP="00A361A7">
            <w:pPr>
              <w:pStyle w:val="Tabletext0"/>
              <w:jc w:val="center"/>
            </w:pPr>
            <w:r w:rsidRPr="00A6154D">
              <w:t>$</w:t>
            </w:r>
            <w:r w:rsidR="00F96E54" w:rsidRPr="00F96E54">
              <w:rPr>
                <w:rFonts w:hint="eastAsia"/>
                <w:color w:val="000000"/>
                <w:w w:val="15"/>
                <w:shd w:val="solid" w:color="000000" w:fill="000000"/>
                <w:fitText w:val="63" w:id="-1435343355"/>
                <w14:textFill>
                  <w14:solidFill>
                    <w14:srgbClr w14:val="000000">
                      <w14:alpha w14:val="100000"/>
                    </w14:srgbClr>
                  </w14:solidFill>
                </w14:textFill>
              </w:rPr>
              <w:t xml:space="preserve">　</w:t>
            </w:r>
            <w:r w:rsidR="00F96E54" w:rsidRPr="00F96E54">
              <w:rPr>
                <w:color w:val="000000"/>
                <w:w w:val="15"/>
                <w:shd w:val="solid" w:color="000000" w:fill="000000"/>
                <w:fitText w:val="63" w:id="-1435343355"/>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5"/>
                <w14:textFill>
                  <w14:solidFill>
                    <w14:srgbClr w14:val="000000">
                      <w14:alpha w14:val="100000"/>
                    </w14:srgbClr>
                  </w14:solidFill>
                </w14:textFill>
              </w:rPr>
              <w:t xml:space="preserve">　</w:t>
            </w:r>
            <w:r w:rsidRPr="00A6154D">
              <w:t>/ORR</w:t>
            </w:r>
          </w:p>
        </w:tc>
      </w:tr>
      <w:tr w:rsidR="002F5909" w:rsidRPr="00A6154D" w14:paraId="3946C504" w14:textId="77777777" w:rsidTr="002F5909">
        <w:tc>
          <w:tcPr>
            <w:tcW w:w="5000" w:type="pct"/>
            <w:gridSpan w:val="4"/>
            <w:vAlign w:val="center"/>
          </w:tcPr>
          <w:p w14:paraId="01ABDCEB" w14:textId="212143A4" w:rsidR="002F5909" w:rsidRPr="00A6154D" w:rsidRDefault="002F5909" w:rsidP="002F5909">
            <w:pPr>
              <w:pStyle w:val="Tabletext0"/>
              <w:jc w:val="left"/>
              <w:rPr>
                <w:b/>
                <w:bCs/>
              </w:rPr>
            </w:pPr>
            <w:r w:rsidRPr="00A6154D">
              <w:rPr>
                <w:b/>
                <w:bCs/>
              </w:rPr>
              <w:t>Results of economic evaluation for aGVHD</w:t>
            </w:r>
          </w:p>
        </w:tc>
      </w:tr>
      <w:tr w:rsidR="00F67915" w:rsidRPr="006D5726" w14:paraId="7613D312" w14:textId="77777777" w:rsidTr="00A361A7">
        <w:tc>
          <w:tcPr>
            <w:tcW w:w="1530" w:type="pct"/>
            <w:vAlign w:val="center"/>
          </w:tcPr>
          <w:p w14:paraId="0D2C7614" w14:textId="77777777" w:rsidR="00F67915" w:rsidRPr="00E2771E" w:rsidRDefault="00F67915" w:rsidP="00A361A7">
            <w:pPr>
              <w:pStyle w:val="Tabletext0"/>
              <w:rPr>
                <w:rFonts w:ascii="Times" w:hAnsi="Times"/>
              </w:rPr>
            </w:pPr>
            <w:r w:rsidRPr="00E2771E">
              <w:t>Costs</w:t>
            </w:r>
          </w:p>
        </w:tc>
        <w:tc>
          <w:tcPr>
            <w:tcW w:w="1359" w:type="pct"/>
          </w:tcPr>
          <w:p w14:paraId="7DBA8653" w14:textId="6ACBBC8D" w:rsidR="00F67915" w:rsidRPr="006D5726" w:rsidRDefault="00F67915" w:rsidP="00A361A7">
            <w:pPr>
              <w:pStyle w:val="Tabletext0"/>
              <w:jc w:val="center"/>
            </w:pPr>
            <w:r w:rsidRPr="00A60381">
              <w:t>$</w:t>
            </w:r>
            <w:r w:rsidR="00F96E54" w:rsidRPr="00F96E54">
              <w:rPr>
                <w:color w:val="000000"/>
                <w:shd w:val="solid" w:color="000000" w:fill="000000"/>
                <w14:textFill>
                  <w14:solidFill>
                    <w14:srgbClr w14:val="000000">
                      <w14:alpha w14:val="100000"/>
                    </w14:srgbClr>
                  </w14:solidFill>
                </w14:textFill>
              </w:rPr>
              <w:t>|</w:t>
            </w:r>
          </w:p>
        </w:tc>
        <w:tc>
          <w:tcPr>
            <w:tcW w:w="1274" w:type="pct"/>
          </w:tcPr>
          <w:p w14:paraId="77C00CAB" w14:textId="77777777" w:rsidR="00F67915" w:rsidRPr="006D5726" w:rsidRDefault="00F67915" w:rsidP="00A361A7">
            <w:pPr>
              <w:pStyle w:val="Tabletext0"/>
              <w:jc w:val="center"/>
            </w:pPr>
            <w:r w:rsidRPr="00A60381">
              <w:t>$23,958</w:t>
            </w:r>
          </w:p>
        </w:tc>
        <w:tc>
          <w:tcPr>
            <w:tcW w:w="837" w:type="pct"/>
          </w:tcPr>
          <w:p w14:paraId="1DB2F954" w14:textId="3096156E" w:rsidR="00F67915" w:rsidRPr="006D5726" w:rsidRDefault="00F67915" w:rsidP="00A361A7">
            <w:pPr>
              <w:pStyle w:val="Tabletext0"/>
              <w:jc w:val="center"/>
            </w:pPr>
            <w:r w:rsidRPr="00A60381">
              <w:t>$</w:t>
            </w:r>
            <w:r w:rsidR="00F96E54" w:rsidRPr="00F96E54">
              <w:rPr>
                <w:color w:val="000000"/>
                <w:shd w:val="solid" w:color="000000" w:fill="000000"/>
                <w14:textFill>
                  <w14:solidFill>
                    <w14:srgbClr w14:val="000000">
                      <w14:alpha w14:val="100000"/>
                    </w14:srgbClr>
                  </w14:solidFill>
                </w14:textFill>
              </w:rPr>
              <w:t>|</w:t>
            </w:r>
          </w:p>
        </w:tc>
      </w:tr>
      <w:tr w:rsidR="001E1800" w:rsidRPr="006D5726" w14:paraId="73751A57" w14:textId="77777777" w:rsidTr="00A361A7">
        <w:tc>
          <w:tcPr>
            <w:tcW w:w="1530" w:type="pct"/>
            <w:vAlign w:val="center"/>
          </w:tcPr>
          <w:p w14:paraId="6E89D604" w14:textId="4D167CA6" w:rsidR="001E1800" w:rsidRPr="00E2771E" w:rsidRDefault="001E1800" w:rsidP="00A361A7">
            <w:pPr>
              <w:pStyle w:val="Tabletext0"/>
            </w:pPr>
            <w:r>
              <w:t>Life-years gained</w:t>
            </w:r>
          </w:p>
        </w:tc>
        <w:tc>
          <w:tcPr>
            <w:tcW w:w="1359" w:type="pct"/>
          </w:tcPr>
          <w:p w14:paraId="38E4490C" w14:textId="6AA18789" w:rsidR="001E1800" w:rsidRPr="00A60381" w:rsidRDefault="001E1800" w:rsidP="00A361A7">
            <w:pPr>
              <w:pStyle w:val="Tabletext0"/>
              <w:jc w:val="center"/>
            </w:pPr>
            <w:r>
              <w:t>1.5552</w:t>
            </w:r>
          </w:p>
        </w:tc>
        <w:tc>
          <w:tcPr>
            <w:tcW w:w="1274" w:type="pct"/>
          </w:tcPr>
          <w:p w14:paraId="28D312EC" w14:textId="3623A279" w:rsidR="001E1800" w:rsidRPr="00A60381" w:rsidRDefault="001E1800" w:rsidP="00A361A7">
            <w:pPr>
              <w:pStyle w:val="Tabletext0"/>
              <w:jc w:val="center"/>
            </w:pPr>
            <w:r>
              <w:t>1.1630</w:t>
            </w:r>
          </w:p>
        </w:tc>
        <w:tc>
          <w:tcPr>
            <w:tcW w:w="837" w:type="pct"/>
          </w:tcPr>
          <w:p w14:paraId="4489BF1A" w14:textId="0D3F69CC" w:rsidR="001E1800" w:rsidRPr="00A60381" w:rsidRDefault="001E1800" w:rsidP="00A361A7">
            <w:pPr>
              <w:pStyle w:val="Tabletext0"/>
              <w:jc w:val="center"/>
            </w:pPr>
            <w:r>
              <w:t>0.3922</w:t>
            </w:r>
          </w:p>
        </w:tc>
      </w:tr>
      <w:tr w:rsidR="00F67915" w:rsidRPr="006D5726" w14:paraId="3C776360" w14:textId="77777777" w:rsidTr="00A361A7">
        <w:tc>
          <w:tcPr>
            <w:tcW w:w="1530" w:type="pct"/>
            <w:tcBorders>
              <w:bottom w:val="single" w:sz="4" w:space="0" w:color="auto"/>
            </w:tcBorders>
            <w:vAlign w:val="center"/>
          </w:tcPr>
          <w:p w14:paraId="71954549" w14:textId="77777777" w:rsidR="00F67915" w:rsidRPr="00E2771E" w:rsidRDefault="00F67915" w:rsidP="00A361A7">
            <w:pPr>
              <w:pStyle w:val="Tabletext0"/>
              <w:rPr>
                <w:rFonts w:ascii="Times" w:hAnsi="Times"/>
              </w:rPr>
            </w:pPr>
            <w:r>
              <w:t>QALYs</w:t>
            </w:r>
          </w:p>
        </w:tc>
        <w:tc>
          <w:tcPr>
            <w:tcW w:w="1359" w:type="pct"/>
            <w:tcBorders>
              <w:top w:val="single" w:sz="4" w:space="0" w:color="auto"/>
              <w:left w:val="single" w:sz="4" w:space="0" w:color="auto"/>
              <w:bottom w:val="single" w:sz="4" w:space="0" w:color="auto"/>
              <w:right w:val="single" w:sz="4" w:space="0" w:color="auto"/>
            </w:tcBorders>
          </w:tcPr>
          <w:p w14:paraId="068FE328" w14:textId="2D74B832" w:rsidR="00F67915" w:rsidRPr="006D5726" w:rsidRDefault="003E2FC1" w:rsidP="00A361A7">
            <w:pPr>
              <w:pStyle w:val="Tabletext0"/>
              <w:jc w:val="center"/>
            </w:pPr>
            <w:r>
              <w:t>0.8430</w:t>
            </w:r>
          </w:p>
        </w:tc>
        <w:tc>
          <w:tcPr>
            <w:tcW w:w="1274" w:type="pct"/>
            <w:tcBorders>
              <w:top w:val="single" w:sz="4" w:space="0" w:color="auto"/>
              <w:left w:val="single" w:sz="4" w:space="0" w:color="auto"/>
              <w:bottom w:val="single" w:sz="4" w:space="0" w:color="auto"/>
              <w:right w:val="single" w:sz="4" w:space="0" w:color="auto"/>
            </w:tcBorders>
          </w:tcPr>
          <w:p w14:paraId="590A1CB8" w14:textId="30B6FF1F" w:rsidR="00F67915" w:rsidRPr="006D5726" w:rsidRDefault="003E2FC1" w:rsidP="00A361A7">
            <w:pPr>
              <w:pStyle w:val="Tabletext0"/>
              <w:jc w:val="center"/>
            </w:pPr>
            <w:r>
              <w:t>0.6187</w:t>
            </w:r>
          </w:p>
        </w:tc>
        <w:tc>
          <w:tcPr>
            <w:tcW w:w="837" w:type="pct"/>
            <w:tcBorders>
              <w:top w:val="single" w:sz="4" w:space="0" w:color="auto"/>
              <w:left w:val="single" w:sz="4" w:space="0" w:color="auto"/>
              <w:bottom w:val="single" w:sz="4" w:space="0" w:color="auto"/>
              <w:right w:val="single" w:sz="4" w:space="0" w:color="auto"/>
            </w:tcBorders>
          </w:tcPr>
          <w:p w14:paraId="73FC989B" w14:textId="1AB1A198" w:rsidR="00F67915" w:rsidRPr="006D5726" w:rsidRDefault="003E2FC1" w:rsidP="00A361A7">
            <w:pPr>
              <w:pStyle w:val="Tabletext0"/>
              <w:jc w:val="center"/>
            </w:pPr>
            <w:r>
              <w:t>0.2243</w:t>
            </w:r>
          </w:p>
        </w:tc>
      </w:tr>
      <w:tr w:rsidR="00F67915" w:rsidRPr="00EA3180" w14:paraId="3000F118" w14:textId="77777777" w:rsidTr="00A361A7">
        <w:tc>
          <w:tcPr>
            <w:tcW w:w="4163" w:type="pct"/>
            <w:gridSpan w:val="3"/>
          </w:tcPr>
          <w:p w14:paraId="4B2C3776" w14:textId="77777777" w:rsidR="00F67915" w:rsidRPr="00E70F1C" w:rsidRDefault="00F67915" w:rsidP="00A361A7">
            <w:pPr>
              <w:pStyle w:val="Tabletext0"/>
              <w:jc w:val="left"/>
              <w:rPr>
                <w:b/>
                <w:vertAlign w:val="superscript"/>
              </w:rPr>
            </w:pPr>
            <w:r w:rsidRPr="00D52D00">
              <w:rPr>
                <w:rFonts w:eastAsia="Calibri"/>
                <w:b/>
              </w:rPr>
              <w:t>Incremental cost per QALY gained</w:t>
            </w:r>
          </w:p>
        </w:tc>
        <w:tc>
          <w:tcPr>
            <w:tcW w:w="837" w:type="pct"/>
            <w:vAlign w:val="center"/>
          </w:tcPr>
          <w:p w14:paraId="7A587EAF" w14:textId="0EA3CE31" w:rsidR="00F67915" w:rsidRPr="00C950B3" w:rsidRDefault="00F67915" w:rsidP="00A361A7">
            <w:pPr>
              <w:pStyle w:val="Tabletext0"/>
              <w:jc w:val="center"/>
              <w:rPr>
                <w:b/>
                <w:vertAlign w:val="superscript"/>
              </w:rPr>
            </w:pPr>
            <w:r w:rsidRPr="003A6400">
              <w:rPr>
                <w:b/>
              </w:rPr>
              <w:t>$</w:t>
            </w:r>
            <w:r w:rsidR="00F96E54" w:rsidRPr="00F96E54">
              <w:rPr>
                <w:b/>
                <w:color w:val="000000"/>
                <w:shd w:val="solid" w:color="000000" w:fill="000000"/>
                <w14:textFill>
                  <w14:solidFill>
                    <w14:srgbClr w14:val="000000">
                      <w14:alpha w14:val="100000"/>
                    </w14:srgbClr>
                  </w14:solidFill>
                </w14:textFill>
              </w:rPr>
              <w:t>|</w:t>
            </w:r>
            <w:r w:rsidR="00E13141">
              <w:rPr>
                <w:b/>
                <w:vertAlign w:val="superscript"/>
              </w:rPr>
              <w:t>1</w:t>
            </w:r>
          </w:p>
        </w:tc>
      </w:tr>
    </w:tbl>
    <w:p w14:paraId="2F2DE064" w14:textId="193F54E2" w:rsidR="00F67915" w:rsidRDefault="00F67915" w:rsidP="00F67915">
      <w:pPr>
        <w:pStyle w:val="TableFigureFooter"/>
      </w:pPr>
      <w:r>
        <w:t>Source: Table 3</w:t>
      </w:r>
      <w:r w:rsidR="00736F05">
        <w:t>(a)</w:t>
      </w:r>
      <w:r>
        <w:t>.8-1, p</w:t>
      </w:r>
      <w:r w:rsidR="00736F05">
        <w:t>354</w:t>
      </w:r>
      <w:r>
        <w:t xml:space="preserve"> of the submission.</w:t>
      </w:r>
    </w:p>
    <w:p w14:paraId="0E06186D" w14:textId="4CD6C28C" w:rsidR="00F67915" w:rsidRDefault="00F67915" w:rsidP="00C950B3">
      <w:pPr>
        <w:pStyle w:val="TableFigureFooter"/>
        <w:spacing w:after="0"/>
      </w:pPr>
      <w:r>
        <w:t>Abbreviations: QALY, quality adjusted life year.</w:t>
      </w:r>
    </w:p>
    <w:p w14:paraId="7F507D47" w14:textId="77777777" w:rsidR="00E13141" w:rsidRPr="001D0E42" w:rsidRDefault="00E13141" w:rsidP="00E13141">
      <w:pPr>
        <w:rPr>
          <w:rFonts w:ascii="Arial Narrow" w:hAnsi="Arial Narrow"/>
          <w:i/>
          <w:sz w:val="18"/>
          <w:szCs w:val="18"/>
        </w:rPr>
      </w:pPr>
      <w:r w:rsidRPr="001D0E42">
        <w:rPr>
          <w:rFonts w:ascii="Arial Narrow" w:hAnsi="Arial Narrow"/>
          <w:i/>
          <w:sz w:val="18"/>
          <w:szCs w:val="18"/>
        </w:rPr>
        <w:t xml:space="preserve">The redacted values correspond to the following ranges: </w:t>
      </w:r>
    </w:p>
    <w:p w14:paraId="65F2452E" w14:textId="4461EF7F" w:rsidR="00E13141" w:rsidRDefault="00E13141" w:rsidP="00C950B3">
      <w:pPr>
        <w:spacing w:after="240"/>
      </w:pPr>
      <w:r w:rsidRPr="001D0E42">
        <w:rPr>
          <w:rFonts w:ascii="Arial Narrow" w:hAnsi="Arial Narrow"/>
          <w:i/>
          <w:sz w:val="18"/>
          <w:szCs w:val="18"/>
          <w:vertAlign w:val="superscript"/>
        </w:rPr>
        <w:t>1</w:t>
      </w:r>
      <w:r w:rsidRPr="001D0E42">
        <w:rPr>
          <w:rFonts w:ascii="Arial Narrow" w:hAnsi="Arial Narrow"/>
          <w:i/>
          <w:sz w:val="18"/>
          <w:szCs w:val="18"/>
        </w:rPr>
        <w:t xml:space="preserve"> </w:t>
      </w:r>
      <w:bookmarkStart w:id="62" w:name="_Hlk114127912"/>
      <w:r w:rsidRPr="00E13141">
        <w:rPr>
          <w:rFonts w:ascii="Arial Narrow" w:hAnsi="Arial Narrow"/>
          <w:i/>
          <w:sz w:val="18"/>
          <w:szCs w:val="18"/>
        </w:rPr>
        <w:t>$</w:t>
      </w:r>
      <w:bookmarkStart w:id="63" w:name="_Hlk114128095"/>
      <w:r w:rsidRPr="00E13141">
        <w:rPr>
          <w:rFonts w:ascii="Arial Narrow" w:hAnsi="Arial Narrow"/>
          <w:i/>
          <w:sz w:val="18"/>
          <w:szCs w:val="18"/>
        </w:rPr>
        <w:t>55,000 to &lt; $</w:t>
      </w:r>
      <w:r>
        <w:rPr>
          <w:rFonts w:ascii="Arial Narrow" w:hAnsi="Arial Narrow"/>
          <w:i/>
          <w:sz w:val="18"/>
          <w:szCs w:val="18"/>
        </w:rPr>
        <w:t>6</w:t>
      </w:r>
      <w:r w:rsidRPr="00E13141">
        <w:rPr>
          <w:rFonts w:ascii="Arial Narrow" w:hAnsi="Arial Narrow"/>
          <w:i/>
          <w:sz w:val="18"/>
          <w:szCs w:val="18"/>
        </w:rPr>
        <w:t>5,000</w:t>
      </w:r>
      <w:bookmarkEnd w:id="62"/>
      <w:bookmarkEnd w:id="63"/>
    </w:p>
    <w:p w14:paraId="7189FDA1" w14:textId="34000A0B" w:rsidR="00B34D38" w:rsidRDefault="00F67915" w:rsidP="00B34D38">
      <w:pPr>
        <w:pStyle w:val="ExecSumBodyText"/>
        <w:numPr>
          <w:ilvl w:val="1"/>
          <w:numId w:val="1"/>
        </w:numPr>
      </w:pPr>
      <w:r>
        <w:t xml:space="preserve">In patients with </w:t>
      </w:r>
      <w:r w:rsidRPr="003D0A37">
        <w:t>Grade II to IV aGVHD who are steroid refractory/dependent</w:t>
      </w:r>
      <w:r>
        <w:t>, initial treatment with ruxolitinib was associated</w:t>
      </w:r>
      <w:r w:rsidRPr="0025301D">
        <w:t xml:space="preserve"> </w:t>
      </w:r>
      <w:r w:rsidRPr="003D0A37">
        <w:t xml:space="preserve">with an incremental cost per QALY gained of </w:t>
      </w:r>
      <w:r w:rsidR="00E13141" w:rsidRPr="00C950B3">
        <w:t>$55,000 to &lt; $65,000</w:t>
      </w:r>
      <w:r w:rsidR="00E13141">
        <w:rPr>
          <w:rFonts w:ascii="Arial" w:hAnsi="Arial"/>
          <w:color w:val="333333"/>
          <w:sz w:val="21"/>
          <w:szCs w:val="21"/>
        </w:rPr>
        <w:t xml:space="preserve"> </w:t>
      </w:r>
      <w:r w:rsidRPr="003D0A37">
        <w:t xml:space="preserve">compared to </w:t>
      </w:r>
      <w:r>
        <w:t xml:space="preserve">initial </w:t>
      </w:r>
      <w:r w:rsidRPr="003D0A37">
        <w:t>treatment with BAT</w:t>
      </w:r>
      <w:r>
        <w:t>.</w:t>
      </w:r>
    </w:p>
    <w:p w14:paraId="675B7CDB" w14:textId="72C175B3" w:rsidR="00B34D38" w:rsidRPr="00CD70CA" w:rsidRDefault="00B34D38" w:rsidP="00B34D38">
      <w:pPr>
        <w:pStyle w:val="ExecSumBodyText"/>
        <w:numPr>
          <w:ilvl w:val="1"/>
          <w:numId w:val="1"/>
        </w:numPr>
        <w:spacing w:after="0"/>
      </w:pPr>
      <w:r w:rsidRPr="00CD70CA">
        <w:t xml:space="preserve">On average, for every patient with </w:t>
      </w:r>
      <w:r w:rsidR="00D16B3A" w:rsidRPr="00CD70CA">
        <w:t>steroid refractory/dependent Grade</w:t>
      </w:r>
      <w:r w:rsidRPr="00CD70CA">
        <w:t xml:space="preserve"> </w:t>
      </w:r>
      <w:r w:rsidR="00D16B3A" w:rsidRPr="00CD70CA">
        <w:t xml:space="preserve">II to IV </w:t>
      </w:r>
      <w:r w:rsidRPr="00CD70CA">
        <w:t>aGVHD receiving initial treatment with ruxolitinib versus BAT and followed up to 15 years, the (undiscounted) economic model estimates that there would be:</w:t>
      </w:r>
    </w:p>
    <w:p w14:paraId="125BBC36" w14:textId="5DF923D5" w:rsidR="00B34D38" w:rsidRPr="00CD70CA" w:rsidRDefault="00B34D38" w:rsidP="00A2582A">
      <w:pPr>
        <w:pStyle w:val="ListParagraph"/>
        <w:numPr>
          <w:ilvl w:val="0"/>
          <w:numId w:val="17"/>
        </w:numPr>
        <w:ind w:left="1134" w:hanging="357"/>
      </w:pPr>
      <w:r w:rsidRPr="00CD70CA">
        <w:t>Ruxolitinib drug costs of $</w:t>
      </w:r>
      <w:r w:rsidR="00F96E54" w:rsidRPr="00BD1016">
        <w:rPr>
          <w:color w:val="000000"/>
          <w:w w:val="15"/>
          <w:shd w:val="solid" w:color="000000" w:fill="000000"/>
          <w:fitText w:val="-20" w:id="-1435343354"/>
          <w14:textFill>
            <w14:solidFill>
              <w14:srgbClr w14:val="000000">
                <w14:alpha w14:val="100000"/>
              </w14:srgbClr>
            </w14:solidFill>
          </w14:textFill>
        </w:rPr>
        <w:t xml:space="preserve">|  </w:t>
      </w:r>
      <w:r w:rsidR="00F96E54" w:rsidRPr="00BD1016">
        <w:rPr>
          <w:color w:val="000000"/>
          <w:spacing w:val="-69"/>
          <w:w w:val="15"/>
          <w:shd w:val="solid" w:color="000000" w:fill="000000"/>
          <w:fitText w:val="-20" w:id="-1435343354"/>
          <w14:textFill>
            <w14:solidFill>
              <w14:srgbClr w14:val="000000">
                <w14:alpha w14:val="100000"/>
              </w14:srgbClr>
            </w14:solidFill>
          </w14:textFill>
        </w:rPr>
        <w:t>|</w:t>
      </w:r>
      <w:r w:rsidRPr="00CD70CA">
        <w:t>, plus additional costs associated with treating adverse events of $</w:t>
      </w:r>
      <w:r w:rsidR="00F96E54" w:rsidRPr="00BD1016">
        <w:rPr>
          <w:color w:val="000000"/>
          <w:w w:val="15"/>
          <w:shd w:val="solid" w:color="000000" w:fill="000000"/>
          <w:fitText w:val="-20" w:id="-1435343353"/>
          <w14:textFill>
            <w14:solidFill>
              <w14:srgbClr w14:val="000000">
                <w14:alpha w14:val="100000"/>
              </w14:srgbClr>
            </w14:solidFill>
          </w14:textFill>
        </w:rPr>
        <w:t xml:space="preserve">|  </w:t>
      </w:r>
      <w:r w:rsidR="00F96E54" w:rsidRPr="00BD1016">
        <w:rPr>
          <w:color w:val="000000"/>
          <w:spacing w:val="-69"/>
          <w:w w:val="15"/>
          <w:shd w:val="solid" w:color="000000" w:fill="000000"/>
          <w:fitText w:val="-20" w:id="-1435343353"/>
          <w14:textFill>
            <w14:solidFill>
              <w14:srgbClr w14:val="000000">
                <w14:alpha w14:val="100000"/>
              </w14:srgbClr>
            </w14:solidFill>
          </w14:textFill>
        </w:rPr>
        <w:t>|</w:t>
      </w:r>
      <w:r w:rsidRPr="00CD70CA">
        <w:t>.</w:t>
      </w:r>
    </w:p>
    <w:p w14:paraId="6369F2EA" w14:textId="77777777" w:rsidR="00B34D38" w:rsidRPr="00CD70CA" w:rsidRDefault="00B34D38" w:rsidP="00A2582A">
      <w:pPr>
        <w:pStyle w:val="ListParagraph"/>
        <w:numPr>
          <w:ilvl w:val="0"/>
          <w:numId w:val="17"/>
        </w:numPr>
        <w:ind w:left="1134" w:hanging="357"/>
      </w:pPr>
      <w:r w:rsidRPr="00CD70CA">
        <w:t>Additional survival of 0.45 years.</w:t>
      </w:r>
    </w:p>
    <w:p w14:paraId="5DA75C7F" w14:textId="1A883EAF" w:rsidR="00B34D38" w:rsidRPr="00CD70CA" w:rsidRDefault="00B34D38" w:rsidP="00A2582A">
      <w:pPr>
        <w:pStyle w:val="ListParagraph"/>
        <w:numPr>
          <w:ilvl w:val="0"/>
          <w:numId w:val="17"/>
        </w:numPr>
        <w:spacing w:after="120"/>
        <w:ind w:left="1134" w:hanging="357"/>
      </w:pPr>
      <w:r w:rsidRPr="00CD70CA">
        <w:t xml:space="preserve">Additional time in response of 0.52 years, which would be associated with additional disease management costs of </w:t>
      </w:r>
      <w:r w:rsidRPr="00320844">
        <w:t>$</w:t>
      </w:r>
      <w:r w:rsidR="00F96E54" w:rsidRPr="00BD1016">
        <w:rPr>
          <w:color w:val="000000"/>
          <w:w w:val="15"/>
          <w:shd w:val="solid" w:color="000000" w:fill="000000"/>
          <w:fitText w:val="-20" w:id="-1435343352"/>
          <w14:textFill>
            <w14:solidFill>
              <w14:srgbClr w14:val="000000">
                <w14:alpha w14:val="100000"/>
              </w14:srgbClr>
            </w14:solidFill>
          </w14:textFill>
        </w:rPr>
        <w:t xml:space="preserve">|  </w:t>
      </w:r>
      <w:r w:rsidR="00F96E54" w:rsidRPr="00BD1016">
        <w:rPr>
          <w:color w:val="000000"/>
          <w:spacing w:val="-69"/>
          <w:w w:val="15"/>
          <w:shd w:val="solid" w:color="000000" w:fill="000000"/>
          <w:fitText w:val="-20" w:id="-1435343352"/>
          <w14:textFill>
            <w14:solidFill>
              <w14:srgbClr w14:val="000000">
                <w14:alpha w14:val="100000"/>
              </w14:srgbClr>
            </w14:solidFill>
          </w14:textFill>
        </w:rPr>
        <w:t>|</w:t>
      </w:r>
      <w:r w:rsidRPr="00CD70CA">
        <w:t xml:space="preserve"> and with improved quality of life.</w:t>
      </w:r>
    </w:p>
    <w:p w14:paraId="1A7F67B0" w14:textId="071F0297" w:rsidR="00324947" w:rsidRDefault="00324947" w:rsidP="00324947">
      <w:pPr>
        <w:pStyle w:val="ExecSumBodyText"/>
        <w:numPr>
          <w:ilvl w:val="1"/>
          <w:numId w:val="1"/>
        </w:numPr>
      </w:pPr>
      <w:r w:rsidRPr="00191822">
        <w:t xml:space="preserve">The results of sensitivity analyses presented </w:t>
      </w:r>
      <w:r w:rsidRPr="00FB0D10">
        <w:t>in the submission and conducted during the evaluation for the aGVHD model are summ</w:t>
      </w:r>
      <w:r w:rsidRPr="00191822">
        <w:t xml:space="preserve">arised in </w:t>
      </w:r>
      <w:r>
        <w:t>the table below.</w:t>
      </w:r>
    </w:p>
    <w:p w14:paraId="0C2CE007" w14:textId="3428E68E" w:rsidR="004F195D" w:rsidRPr="00656188" w:rsidRDefault="00CF7791" w:rsidP="00014A9C">
      <w:pPr>
        <w:pStyle w:val="TableFigureCaption"/>
      </w:pPr>
      <w:r w:rsidRPr="0042047F">
        <w:t xml:space="preserve">Table </w:t>
      </w:r>
      <w:fldSimple w:instr=" SEQ Table \* ARABIC " w:fldLock="1">
        <w:r w:rsidR="005A7A1C">
          <w:rPr>
            <w:noProof/>
          </w:rPr>
          <w:t>20</w:t>
        </w:r>
      </w:fldSimple>
      <w:r w:rsidR="004F195D" w:rsidRPr="00656188">
        <w:t>: Results of sensitivity analyses</w:t>
      </w:r>
      <w:r w:rsidR="004F195D">
        <w:t xml:space="preserve"> for the aGVHD model</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0: Results of sensitivity analyses for the aGVHD model"/>
      </w:tblPr>
      <w:tblGrid>
        <w:gridCol w:w="5807"/>
        <w:gridCol w:w="1273"/>
        <w:gridCol w:w="1137"/>
        <w:gridCol w:w="1086"/>
      </w:tblGrid>
      <w:tr w:rsidR="004F195D" w:rsidRPr="00FB0D10" w14:paraId="70F56A4E" w14:textId="77777777" w:rsidTr="006D385E">
        <w:trPr>
          <w:tblHeader/>
        </w:trPr>
        <w:tc>
          <w:tcPr>
            <w:tcW w:w="5807" w:type="dxa"/>
            <w:vAlign w:val="center"/>
          </w:tcPr>
          <w:p w14:paraId="309B2DBB" w14:textId="77777777" w:rsidR="004F195D" w:rsidRPr="00FB0D10" w:rsidRDefault="004F195D" w:rsidP="00014A9C">
            <w:pPr>
              <w:pStyle w:val="Tableheadingrow"/>
            </w:pPr>
            <w:r w:rsidRPr="00FB0D10">
              <w:t>Analyses</w:t>
            </w:r>
          </w:p>
        </w:tc>
        <w:tc>
          <w:tcPr>
            <w:tcW w:w="1273" w:type="dxa"/>
          </w:tcPr>
          <w:p w14:paraId="4C3639D2" w14:textId="77777777" w:rsidR="004F195D" w:rsidRPr="00FB0D10" w:rsidRDefault="004F195D" w:rsidP="00014A9C">
            <w:pPr>
              <w:pStyle w:val="Tableheadingrow"/>
              <w:jc w:val="center"/>
            </w:pPr>
            <w:r w:rsidRPr="00FB0D10">
              <w:t>Incremental cost</w:t>
            </w:r>
          </w:p>
        </w:tc>
        <w:tc>
          <w:tcPr>
            <w:tcW w:w="1137" w:type="dxa"/>
          </w:tcPr>
          <w:p w14:paraId="575513CA" w14:textId="77777777" w:rsidR="004F195D" w:rsidRPr="00FB0D10" w:rsidRDefault="004F195D" w:rsidP="00014A9C">
            <w:pPr>
              <w:pStyle w:val="Tableheadingrow"/>
              <w:jc w:val="center"/>
            </w:pPr>
            <w:r w:rsidRPr="00FB0D10">
              <w:t>Incremental QALY</w:t>
            </w:r>
          </w:p>
        </w:tc>
        <w:tc>
          <w:tcPr>
            <w:tcW w:w="1086" w:type="dxa"/>
            <w:vAlign w:val="center"/>
          </w:tcPr>
          <w:p w14:paraId="75E518CD" w14:textId="77777777" w:rsidR="004F195D" w:rsidRPr="00FB0D10" w:rsidRDefault="004F195D" w:rsidP="00014A9C">
            <w:pPr>
              <w:pStyle w:val="Tableheadingrow"/>
              <w:jc w:val="center"/>
            </w:pPr>
            <w:r w:rsidRPr="00FB0D10">
              <w:t>ICER</w:t>
            </w:r>
          </w:p>
        </w:tc>
      </w:tr>
      <w:tr w:rsidR="004F195D" w:rsidRPr="00FB0D10" w14:paraId="3884190F" w14:textId="77777777" w:rsidTr="006D385E">
        <w:tc>
          <w:tcPr>
            <w:tcW w:w="5807" w:type="dxa"/>
          </w:tcPr>
          <w:p w14:paraId="11FC19AA" w14:textId="77777777" w:rsidR="004F195D" w:rsidRPr="00FB0D10" w:rsidRDefault="004F195D" w:rsidP="00014A9C">
            <w:pPr>
              <w:pStyle w:val="TableText"/>
              <w:rPr>
                <w:b/>
              </w:rPr>
            </w:pPr>
            <w:r w:rsidRPr="00FB0D10">
              <w:rPr>
                <w:b/>
              </w:rPr>
              <w:t>Base case</w:t>
            </w:r>
          </w:p>
        </w:tc>
        <w:tc>
          <w:tcPr>
            <w:tcW w:w="1273" w:type="dxa"/>
          </w:tcPr>
          <w:p w14:paraId="0F7154D2" w14:textId="5F324536" w:rsidR="004F195D" w:rsidRPr="00FB0D10" w:rsidRDefault="004F195D" w:rsidP="00014A9C">
            <w:pPr>
              <w:pStyle w:val="TableText"/>
              <w:jc w:val="center"/>
              <w:rPr>
                <w:b/>
              </w:rPr>
            </w:pPr>
            <w:r w:rsidRPr="00FB0D10">
              <w:rPr>
                <w:b/>
              </w:rPr>
              <w:t>$</w:t>
            </w:r>
            <w:r w:rsidR="00F96E54" w:rsidRPr="00F96E54">
              <w:rPr>
                <w:rFonts w:hint="eastAsia"/>
                <w:b/>
                <w:color w:val="000000"/>
                <w:w w:val="25"/>
                <w:shd w:val="solid" w:color="000000" w:fill="000000"/>
                <w:fitText w:val="112" w:id="-1435343351"/>
                <w14:textFill>
                  <w14:solidFill>
                    <w14:srgbClr w14:val="000000">
                      <w14:alpha w14:val="100000"/>
                    </w14:srgbClr>
                  </w14:solidFill>
                </w14:textFill>
              </w:rPr>
              <w:t xml:space="preserve">　</w:t>
            </w:r>
            <w:r w:rsidR="00F96E54" w:rsidRPr="00F96E54">
              <w:rPr>
                <w:b/>
                <w:color w:val="000000"/>
                <w:w w:val="25"/>
                <w:shd w:val="solid" w:color="000000" w:fill="000000"/>
                <w:fitText w:val="112" w:id="-1435343351"/>
                <w14:textFill>
                  <w14:solidFill>
                    <w14:srgbClr w14:val="000000">
                      <w14:alpha w14:val="100000"/>
                    </w14:srgbClr>
                  </w14:solidFill>
                </w14:textFill>
              </w:rPr>
              <w:t>|</w:t>
            </w:r>
            <w:r w:rsidR="00F96E54" w:rsidRPr="00F96E54">
              <w:rPr>
                <w:rFonts w:hint="eastAsia"/>
                <w:b/>
                <w:color w:val="000000"/>
                <w:w w:val="25"/>
                <w:shd w:val="solid" w:color="000000" w:fill="000000"/>
                <w:fitText w:val="112" w:id="-1435343351"/>
                <w14:textFill>
                  <w14:solidFill>
                    <w14:srgbClr w14:val="000000">
                      <w14:alpha w14:val="100000"/>
                    </w14:srgbClr>
                  </w14:solidFill>
                </w14:textFill>
              </w:rPr>
              <w:t xml:space="preserve">　</w:t>
            </w:r>
          </w:p>
        </w:tc>
        <w:tc>
          <w:tcPr>
            <w:tcW w:w="1137" w:type="dxa"/>
          </w:tcPr>
          <w:p w14:paraId="09CFA966" w14:textId="733C2DFC" w:rsidR="004F195D" w:rsidRPr="00FB0D10" w:rsidRDefault="004F195D" w:rsidP="00014A9C">
            <w:pPr>
              <w:pStyle w:val="TableText"/>
              <w:jc w:val="center"/>
              <w:rPr>
                <w:b/>
              </w:rPr>
            </w:pPr>
            <w:r w:rsidRPr="00FB0D10">
              <w:rPr>
                <w:b/>
              </w:rPr>
              <w:t>0.22</w:t>
            </w:r>
            <w:r w:rsidR="003E2FC1" w:rsidRPr="00FB0D10">
              <w:rPr>
                <w:b/>
              </w:rPr>
              <w:t>43</w:t>
            </w:r>
          </w:p>
        </w:tc>
        <w:tc>
          <w:tcPr>
            <w:tcW w:w="1086" w:type="dxa"/>
          </w:tcPr>
          <w:p w14:paraId="7EA26EDD" w14:textId="7B3AB55C" w:rsidR="004F195D" w:rsidRPr="00C950B3" w:rsidRDefault="004F195D" w:rsidP="00014A9C">
            <w:pPr>
              <w:pStyle w:val="TableText"/>
              <w:jc w:val="center"/>
              <w:rPr>
                <w:b/>
                <w:highlight w:val="darkGray"/>
                <w:vertAlign w:val="superscript"/>
              </w:rPr>
            </w:pPr>
            <w:r w:rsidRPr="00320844">
              <w:rPr>
                <w:b/>
              </w:rPr>
              <w:t>$</w:t>
            </w:r>
            <w:r w:rsidR="00F96E54" w:rsidRPr="00F96E54">
              <w:rPr>
                <w:b/>
                <w:color w:val="000000"/>
                <w:spacing w:val="43"/>
                <w:shd w:val="solid" w:color="000000" w:fill="000000"/>
                <w:fitText w:val="225" w:id="-1435343350"/>
                <w14:textFill>
                  <w14:solidFill>
                    <w14:srgbClr w14:val="000000">
                      <w14:alpha w14:val="100000"/>
                    </w14:srgbClr>
                  </w14:solidFill>
                </w14:textFill>
              </w:rPr>
              <w:t>||</w:t>
            </w:r>
            <w:r w:rsidR="00F96E54" w:rsidRPr="00F96E54">
              <w:rPr>
                <w:b/>
                <w:color w:val="000000"/>
                <w:spacing w:val="2"/>
                <w:shd w:val="solid" w:color="000000" w:fill="000000"/>
                <w:fitText w:val="225" w:id="-1435343350"/>
                <w14:textFill>
                  <w14:solidFill>
                    <w14:srgbClr w14:val="000000">
                      <w14:alpha w14:val="100000"/>
                    </w14:srgbClr>
                  </w14:solidFill>
                </w14:textFill>
              </w:rPr>
              <w:t>|</w:t>
            </w:r>
            <w:r w:rsidR="00764CEF" w:rsidRPr="00C950B3">
              <w:rPr>
                <w:b/>
                <w:vertAlign w:val="superscript"/>
              </w:rPr>
              <w:t>1</w:t>
            </w:r>
          </w:p>
        </w:tc>
      </w:tr>
      <w:tr w:rsidR="004F195D" w:rsidRPr="00FB0D10" w14:paraId="39B32759" w14:textId="77777777" w:rsidTr="00A361A7">
        <w:tc>
          <w:tcPr>
            <w:tcW w:w="9303" w:type="dxa"/>
            <w:gridSpan w:val="4"/>
          </w:tcPr>
          <w:p w14:paraId="3EC22932" w14:textId="77777777" w:rsidR="004F195D" w:rsidRPr="00FB0D10" w:rsidRDefault="004F195D" w:rsidP="00014A9C">
            <w:pPr>
              <w:pStyle w:val="TableText"/>
              <w:rPr>
                <w:bCs w:val="0"/>
              </w:rPr>
            </w:pPr>
            <w:r w:rsidRPr="00FB0D10">
              <w:rPr>
                <w:b/>
              </w:rPr>
              <w:t>Initial randomisation seed (base case 53,149)</w:t>
            </w:r>
          </w:p>
        </w:tc>
      </w:tr>
      <w:tr w:rsidR="004F195D" w:rsidRPr="00FB0D10" w14:paraId="07DED889" w14:textId="77777777" w:rsidTr="006D385E">
        <w:tc>
          <w:tcPr>
            <w:tcW w:w="5807" w:type="dxa"/>
          </w:tcPr>
          <w:p w14:paraId="7E6F5900" w14:textId="77777777" w:rsidR="004F195D" w:rsidRPr="00FB0D10" w:rsidRDefault="004F195D" w:rsidP="00014A9C">
            <w:pPr>
              <w:pStyle w:val="TableText"/>
              <w:rPr>
                <w:b/>
              </w:rPr>
            </w:pPr>
            <w:r w:rsidRPr="00FB0D10">
              <w:t>Initial seed 4</w:t>
            </w:r>
          </w:p>
        </w:tc>
        <w:tc>
          <w:tcPr>
            <w:tcW w:w="1273" w:type="dxa"/>
          </w:tcPr>
          <w:p w14:paraId="10B64326" w14:textId="43D9A74C" w:rsidR="004F195D" w:rsidRPr="00FB0D10" w:rsidRDefault="004F195D" w:rsidP="00014A9C">
            <w:pPr>
              <w:pStyle w:val="TableText"/>
              <w:jc w:val="center"/>
              <w:rPr>
                <w:b/>
              </w:rPr>
            </w:pPr>
            <w:r w:rsidRPr="00FB0D10">
              <w:t>$</w:t>
            </w:r>
            <w:r w:rsidR="00F96E54" w:rsidRPr="00F96E54">
              <w:rPr>
                <w:rFonts w:hint="eastAsia"/>
                <w:color w:val="000000"/>
                <w:w w:val="15"/>
                <w:shd w:val="solid" w:color="000000" w:fill="000000"/>
                <w:fitText w:val="63" w:id="-1435343349"/>
                <w14:textFill>
                  <w14:solidFill>
                    <w14:srgbClr w14:val="000000">
                      <w14:alpha w14:val="100000"/>
                    </w14:srgbClr>
                  </w14:solidFill>
                </w14:textFill>
              </w:rPr>
              <w:t xml:space="preserve">　</w:t>
            </w:r>
            <w:r w:rsidR="00F96E54" w:rsidRPr="00F96E54">
              <w:rPr>
                <w:color w:val="000000"/>
                <w:w w:val="15"/>
                <w:shd w:val="solid" w:color="000000" w:fill="000000"/>
                <w:fitText w:val="63" w:id="-1435343349"/>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9"/>
                <w14:textFill>
                  <w14:solidFill>
                    <w14:srgbClr w14:val="000000">
                      <w14:alpha w14:val="100000"/>
                    </w14:srgbClr>
                  </w14:solidFill>
                </w14:textFill>
              </w:rPr>
              <w:t xml:space="preserve">　</w:t>
            </w:r>
          </w:p>
        </w:tc>
        <w:tc>
          <w:tcPr>
            <w:tcW w:w="1137" w:type="dxa"/>
          </w:tcPr>
          <w:p w14:paraId="3B3ABCE1" w14:textId="77777777" w:rsidR="004F195D" w:rsidRPr="00FB0D10" w:rsidRDefault="004F195D" w:rsidP="00014A9C">
            <w:pPr>
              <w:pStyle w:val="TableText"/>
              <w:jc w:val="center"/>
              <w:rPr>
                <w:b/>
              </w:rPr>
            </w:pPr>
            <w:r w:rsidRPr="00FB0D10">
              <w:t>0.2220</w:t>
            </w:r>
          </w:p>
        </w:tc>
        <w:tc>
          <w:tcPr>
            <w:tcW w:w="1086" w:type="dxa"/>
          </w:tcPr>
          <w:p w14:paraId="576CE6CB" w14:textId="12E5C483" w:rsidR="004F195D" w:rsidRPr="00FB0D10" w:rsidRDefault="004F195D" w:rsidP="00014A9C">
            <w:pPr>
              <w:pStyle w:val="TableText"/>
              <w:jc w:val="center"/>
              <w:rPr>
                <w:b/>
              </w:rPr>
            </w:pPr>
            <w:r w:rsidRPr="00FB0D10">
              <w:t>$</w:t>
            </w:r>
            <w:r w:rsidR="00F96E54" w:rsidRPr="00F96E54">
              <w:rPr>
                <w:color w:val="000000"/>
                <w:spacing w:val="102"/>
                <w:shd w:val="solid" w:color="000000" w:fill="000000"/>
                <w:fitText w:val="188" w:id="-1435343348"/>
                <w14:textFill>
                  <w14:solidFill>
                    <w14:srgbClr w14:val="000000">
                      <w14:alpha w14:val="100000"/>
                    </w14:srgbClr>
                  </w14:solidFill>
                </w14:textFill>
              </w:rPr>
              <w:t>|</w:t>
            </w:r>
            <w:r w:rsidR="00F96E54" w:rsidRPr="00F96E54">
              <w:rPr>
                <w:color w:val="000000"/>
                <w:spacing w:val="1"/>
                <w:shd w:val="solid" w:color="000000" w:fill="000000"/>
                <w:fitText w:val="188" w:id="-1435343348"/>
                <w14:textFill>
                  <w14:solidFill>
                    <w14:srgbClr w14:val="000000">
                      <w14:alpha w14:val="100000"/>
                    </w14:srgbClr>
                  </w14:solidFill>
                </w14:textFill>
              </w:rPr>
              <w:t>|</w:t>
            </w:r>
            <w:r w:rsidR="00764CEF" w:rsidRPr="008518B0">
              <w:rPr>
                <w:b/>
                <w:vertAlign w:val="superscript"/>
              </w:rPr>
              <w:t>1</w:t>
            </w:r>
          </w:p>
        </w:tc>
      </w:tr>
      <w:tr w:rsidR="004F195D" w:rsidRPr="00FB0D10" w14:paraId="5A593EB2" w14:textId="77777777" w:rsidTr="006D385E">
        <w:tc>
          <w:tcPr>
            <w:tcW w:w="5807" w:type="dxa"/>
          </w:tcPr>
          <w:p w14:paraId="0B25AAA2" w14:textId="77777777" w:rsidR="004F195D" w:rsidRPr="00FB0D10" w:rsidRDefault="004F195D" w:rsidP="00014A9C">
            <w:pPr>
              <w:pStyle w:val="TableText"/>
              <w:rPr>
                <w:b/>
              </w:rPr>
            </w:pPr>
            <w:r w:rsidRPr="00FB0D10">
              <w:t>Initial seed 27</w:t>
            </w:r>
          </w:p>
        </w:tc>
        <w:tc>
          <w:tcPr>
            <w:tcW w:w="1273" w:type="dxa"/>
          </w:tcPr>
          <w:p w14:paraId="3F0FB86E" w14:textId="0F126990" w:rsidR="004F195D" w:rsidRPr="00FB0D10" w:rsidRDefault="004F195D" w:rsidP="00014A9C">
            <w:pPr>
              <w:pStyle w:val="TableText"/>
              <w:jc w:val="center"/>
              <w:rPr>
                <w:b/>
              </w:rPr>
            </w:pPr>
            <w:r w:rsidRPr="00FB0D10">
              <w:t>$</w:t>
            </w:r>
            <w:r w:rsidR="00F96E54" w:rsidRPr="00F96E54">
              <w:rPr>
                <w:rFonts w:hint="eastAsia"/>
                <w:color w:val="000000"/>
                <w:w w:val="15"/>
                <w:shd w:val="solid" w:color="000000" w:fill="000000"/>
                <w:fitText w:val="63" w:id="-1435343347"/>
                <w14:textFill>
                  <w14:solidFill>
                    <w14:srgbClr w14:val="000000">
                      <w14:alpha w14:val="100000"/>
                    </w14:srgbClr>
                  </w14:solidFill>
                </w14:textFill>
              </w:rPr>
              <w:t xml:space="preserve">　</w:t>
            </w:r>
            <w:r w:rsidR="00F96E54" w:rsidRPr="00F96E54">
              <w:rPr>
                <w:color w:val="000000"/>
                <w:w w:val="15"/>
                <w:shd w:val="solid" w:color="000000" w:fill="000000"/>
                <w:fitText w:val="63" w:id="-1435343347"/>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7"/>
                <w14:textFill>
                  <w14:solidFill>
                    <w14:srgbClr w14:val="000000">
                      <w14:alpha w14:val="100000"/>
                    </w14:srgbClr>
                  </w14:solidFill>
                </w14:textFill>
              </w:rPr>
              <w:t xml:space="preserve">　</w:t>
            </w:r>
          </w:p>
        </w:tc>
        <w:tc>
          <w:tcPr>
            <w:tcW w:w="1137" w:type="dxa"/>
          </w:tcPr>
          <w:p w14:paraId="59233AE9" w14:textId="77777777" w:rsidR="004F195D" w:rsidRPr="00FB0D10" w:rsidRDefault="004F195D" w:rsidP="00014A9C">
            <w:pPr>
              <w:pStyle w:val="TableText"/>
              <w:jc w:val="center"/>
              <w:rPr>
                <w:b/>
              </w:rPr>
            </w:pPr>
            <w:r w:rsidRPr="00FB0D10">
              <w:t>0.2337</w:t>
            </w:r>
          </w:p>
        </w:tc>
        <w:tc>
          <w:tcPr>
            <w:tcW w:w="1086" w:type="dxa"/>
          </w:tcPr>
          <w:p w14:paraId="3797EC83" w14:textId="198BDDD3" w:rsidR="004F195D" w:rsidRPr="00FB0D10" w:rsidRDefault="004F195D" w:rsidP="00014A9C">
            <w:pPr>
              <w:pStyle w:val="TableText"/>
              <w:jc w:val="center"/>
              <w:rPr>
                <w:b/>
              </w:rPr>
            </w:pPr>
            <w:r w:rsidRPr="00FB0D10">
              <w:t>$</w:t>
            </w:r>
            <w:r w:rsidR="00F96E54" w:rsidRPr="00F96E54">
              <w:rPr>
                <w:color w:val="000000"/>
                <w:spacing w:val="102"/>
                <w:shd w:val="solid" w:color="000000" w:fill="000000"/>
                <w:fitText w:val="188" w:id="-1435343346"/>
                <w14:textFill>
                  <w14:solidFill>
                    <w14:srgbClr w14:val="000000">
                      <w14:alpha w14:val="100000"/>
                    </w14:srgbClr>
                  </w14:solidFill>
                </w14:textFill>
              </w:rPr>
              <w:t>|</w:t>
            </w:r>
            <w:r w:rsidR="00F96E54" w:rsidRPr="00F96E54">
              <w:rPr>
                <w:color w:val="000000"/>
                <w:spacing w:val="1"/>
                <w:shd w:val="solid" w:color="000000" w:fill="000000"/>
                <w:fitText w:val="188" w:id="-1435343346"/>
                <w14:textFill>
                  <w14:solidFill>
                    <w14:srgbClr w14:val="000000">
                      <w14:alpha w14:val="100000"/>
                    </w14:srgbClr>
                  </w14:solidFill>
                </w14:textFill>
              </w:rPr>
              <w:t>|</w:t>
            </w:r>
            <w:r w:rsidR="00764CEF">
              <w:rPr>
                <w:b/>
                <w:vertAlign w:val="superscript"/>
              </w:rPr>
              <w:t>2</w:t>
            </w:r>
          </w:p>
        </w:tc>
      </w:tr>
      <w:tr w:rsidR="004F195D" w:rsidRPr="00FB0D10" w14:paraId="7498FF09" w14:textId="77777777" w:rsidTr="00A361A7">
        <w:trPr>
          <w:trHeight w:val="70"/>
        </w:trPr>
        <w:tc>
          <w:tcPr>
            <w:tcW w:w="9303" w:type="dxa"/>
            <w:gridSpan w:val="4"/>
          </w:tcPr>
          <w:p w14:paraId="12BCEB3B" w14:textId="77777777" w:rsidR="004F195D" w:rsidRPr="00FB0D10" w:rsidRDefault="004F195D" w:rsidP="00014A9C">
            <w:pPr>
              <w:pStyle w:val="TableText"/>
              <w:rPr>
                <w:b/>
              </w:rPr>
            </w:pPr>
            <w:r w:rsidRPr="00FB0D10">
              <w:rPr>
                <w:b/>
              </w:rPr>
              <w:t>Discount rate (base case: 5% for costs and outcomes)</w:t>
            </w:r>
          </w:p>
        </w:tc>
      </w:tr>
      <w:tr w:rsidR="004F195D" w:rsidRPr="00FB0D10" w14:paraId="00B75168" w14:textId="77777777" w:rsidTr="006D385E">
        <w:tc>
          <w:tcPr>
            <w:tcW w:w="5807" w:type="dxa"/>
          </w:tcPr>
          <w:p w14:paraId="2C7CFCD9" w14:textId="77777777" w:rsidR="004F195D" w:rsidRPr="00FB0D10" w:rsidRDefault="004F195D" w:rsidP="00014A9C">
            <w:pPr>
              <w:pStyle w:val="TableText"/>
            </w:pPr>
            <w:r w:rsidRPr="00FB0D10">
              <w:t>0% for costs and benefits</w:t>
            </w:r>
          </w:p>
        </w:tc>
        <w:tc>
          <w:tcPr>
            <w:tcW w:w="1273" w:type="dxa"/>
          </w:tcPr>
          <w:p w14:paraId="51FCDEFB" w14:textId="238A8E34" w:rsidR="004F195D" w:rsidRPr="00FB0D10" w:rsidRDefault="004F195D" w:rsidP="00014A9C">
            <w:pPr>
              <w:pStyle w:val="TableText"/>
              <w:jc w:val="center"/>
            </w:pPr>
            <w:r w:rsidRPr="00FB0D10">
              <w:t>$</w:t>
            </w:r>
            <w:r w:rsidR="00F96E54" w:rsidRPr="00F96E54">
              <w:rPr>
                <w:rFonts w:hint="eastAsia"/>
                <w:color w:val="000000"/>
                <w:w w:val="15"/>
                <w:shd w:val="solid" w:color="000000" w:fill="000000"/>
                <w:fitText w:val="63" w:id="-1435343345"/>
                <w14:textFill>
                  <w14:solidFill>
                    <w14:srgbClr w14:val="000000">
                      <w14:alpha w14:val="100000"/>
                    </w14:srgbClr>
                  </w14:solidFill>
                </w14:textFill>
              </w:rPr>
              <w:t xml:space="preserve">　</w:t>
            </w:r>
            <w:r w:rsidR="00F96E54" w:rsidRPr="00F96E54">
              <w:rPr>
                <w:color w:val="000000"/>
                <w:w w:val="15"/>
                <w:shd w:val="solid" w:color="000000" w:fill="000000"/>
                <w:fitText w:val="63" w:id="-1435343345"/>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5"/>
                <w14:textFill>
                  <w14:solidFill>
                    <w14:srgbClr w14:val="000000">
                      <w14:alpha w14:val="100000"/>
                    </w14:srgbClr>
                  </w14:solidFill>
                </w14:textFill>
              </w:rPr>
              <w:t xml:space="preserve">　</w:t>
            </w:r>
          </w:p>
        </w:tc>
        <w:tc>
          <w:tcPr>
            <w:tcW w:w="1137" w:type="dxa"/>
          </w:tcPr>
          <w:p w14:paraId="6D032E54" w14:textId="09DA4772" w:rsidR="004F195D" w:rsidRPr="00FB0D10" w:rsidRDefault="004F195D" w:rsidP="00014A9C">
            <w:pPr>
              <w:pStyle w:val="TableText"/>
              <w:jc w:val="center"/>
            </w:pPr>
            <w:r w:rsidRPr="00FB0D10">
              <w:t>0.</w:t>
            </w:r>
            <w:r w:rsidR="00E56A4D" w:rsidRPr="00FB0D10">
              <w:t>2559</w:t>
            </w:r>
          </w:p>
        </w:tc>
        <w:tc>
          <w:tcPr>
            <w:tcW w:w="1086" w:type="dxa"/>
          </w:tcPr>
          <w:p w14:paraId="2E1542FB" w14:textId="33466B26" w:rsidR="004F195D" w:rsidRPr="00FB0D10" w:rsidRDefault="004F195D" w:rsidP="00014A9C">
            <w:pPr>
              <w:pStyle w:val="TableText"/>
              <w:jc w:val="center"/>
            </w:pPr>
            <w:r w:rsidRPr="00FB0D10">
              <w:t>$</w:t>
            </w:r>
            <w:r w:rsidR="00F96E54" w:rsidRPr="00F96E54">
              <w:rPr>
                <w:color w:val="000000"/>
                <w:spacing w:val="102"/>
                <w:shd w:val="solid" w:color="000000" w:fill="000000"/>
                <w:fitText w:val="188" w:id="-1435343344"/>
                <w14:textFill>
                  <w14:solidFill>
                    <w14:srgbClr w14:val="000000">
                      <w14:alpha w14:val="100000"/>
                    </w14:srgbClr>
                  </w14:solidFill>
                </w14:textFill>
              </w:rPr>
              <w:t>|</w:t>
            </w:r>
            <w:r w:rsidR="00F96E54" w:rsidRPr="00F96E54">
              <w:rPr>
                <w:color w:val="000000"/>
                <w:spacing w:val="1"/>
                <w:shd w:val="solid" w:color="000000" w:fill="000000"/>
                <w:fitText w:val="188" w:id="-1435343344"/>
                <w14:textFill>
                  <w14:solidFill>
                    <w14:srgbClr w14:val="000000">
                      <w14:alpha w14:val="100000"/>
                    </w14:srgbClr>
                  </w14:solidFill>
                </w14:textFill>
              </w:rPr>
              <w:t>|</w:t>
            </w:r>
            <w:r w:rsidR="00764CEF">
              <w:rPr>
                <w:b/>
                <w:vertAlign w:val="superscript"/>
              </w:rPr>
              <w:t>2</w:t>
            </w:r>
          </w:p>
        </w:tc>
      </w:tr>
      <w:tr w:rsidR="004F195D" w:rsidRPr="00FB0D10" w14:paraId="5CEBA331" w14:textId="77777777" w:rsidTr="006D385E">
        <w:tc>
          <w:tcPr>
            <w:tcW w:w="5807" w:type="dxa"/>
          </w:tcPr>
          <w:p w14:paraId="13BABB6E" w14:textId="77777777" w:rsidR="004F195D" w:rsidRPr="00FB0D10" w:rsidRDefault="004F195D" w:rsidP="00014A9C">
            <w:pPr>
              <w:pStyle w:val="TableText"/>
            </w:pPr>
            <w:r w:rsidRPr="00FB0D10">
              <w:t>3.5% for costs and benefits</w:t>
            </w:r>
          </w:p>
        </w:tc>
        <w:tc>
          <w:tcPr>
            <w:tcW w:w="1273" w:type="dxa"/>
          </w:tcPr>
          <w:p w14:paraId="7DB52AB9" w14:textId="0692F395" w:rsidR="004F195D" w:rsidRPr="00FB0D10" w:rsidRDefault="004F195D" w:rsidP="00014A9C">
            <w:pPr>
              <w:pStyle w:val="TableText"/>
              <w:jc w:val="center"/>
            </w:pPr>
            <w:r w:rsidRPr="00FB0D10">
              <w:t>$</w:t>
            </w:r>
            <w:r w:rsidR="00F96E54" w:rsidRPr="00F96E54">
              <w:rPr>
                <w:rFonts w:hint="eastAsia"/>
                <w:color w:val="000000"/>
                <w:w w:val="15"/>
                <w:shd w:val="solid" w:color="000000" w:fill="000000"/>
                <w:fitText w:val="63" w:id="-1435343360"/>
                <w14:textFill>
                  <w14:solidFill>
                    <w14:srgbClr w14:val="000000">
                      <w14:alpha w14:val="100000"/>
                    </w14:srgbClr>
                  </w14:solidFill>
                </w14:textFill>
              </w:rPr>
              <w:t xml:space="preserve">　</w:t>
            </w:r>
            <w:r w:rsidR="00F96E54" w:rsidRPr="00F96E54">
              <w:rPr>
                <w:color w:val="000000"/>
                <w:w w:val="15"/>
                <w:shd w:val="solid" w:color="000000" w:fill="000000"/>
                <w:fitText w:val="63" w:id="-1435343360"/>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60"/>
                <w14:textFill>
                  <w14:solidFill>
                    <w14:srgbClr w14:val="000000">
                      <w14:alpha w14:val="100000"/>
                    </w14:srgbClr>
                  </w14:solidFill>
                </w14:textFill>
              </w:rPr>
              <w:t xml:space="preserve">　</w:t>
            </w:r>
          </w:p>
        </w:tc>
        <w:tc>
          <w:tcPr>
            <w:tcW w:w="1137" w:type="dxa"/>
          </w:tcPr>
          <w:p w14:paraId="2A34F6A7" w14:textId="0233835C" w:rsidR="004F195D" w:rsidRPr="00FB0D10" w:rsidRDefault="004F195D" w:rsidP="00014A9C">
            <w:pPr>
              <w:pStyle w:val="TableText"/>
              <w:jc w:val="center"/>
            </w:pPr>
            <w:r w:rsidRPr="00FB0D10">
              <w:t>0.</w:t>
            </w:r>
            <w:r w:rsidR="00E56A4D" w:rsidRPr="00FB0D10">
              <w:t>2328</w:t>
            </w:r>
          </w:p>
        </w:tc>
        <w:tc>
          <w:tcPr>
            <w:tcW w:w="1086" w:type="dxa"/>
          </w:tcPr>
          <w:p w14:paraId="4CE73511" w14:textId="5BE23143" w:rsidR="004F195D" w:rsidRPr="00FB0D10" w:rsidRDefault="004F195D" w:rsidP="00014A9C">
            <w:pPr>
              <w:pStyle w:val="TableText"/>
              <w:jc w:val="center"/>
            </w:pPr>
            <w:r w:rsidRPr="00FB0D10">
              <w:t>$</w:t>
            </w:r>
            <w:r w:rsidR="00F96E54" w:rsidRPr="00F96E54">
              <w:rPr>
                <w:color w:val="000000"/>
                <w:spacing w:val="102"/>
                <w:shd w:val="solid" w:color="000000" w:fill="000000"/>
                <w:fitText w:val="188" w:id="-1435343359"/>
                <w14:textFill>
                  <w14:solidFill>
                    <w14:srgbClr w14:val="000000">
                      <w14:alpha w14:val="100000"/>
                    </w14:srgbClr>
                  </w14:solidFill>
                </w14:textFill>
              </w:rPr>
              <w:t>|</w:t>
            </w:r>
            <w:r w:rsidR="00F96E54" w:rsidRPr="00F96E54">
              <w:rPr>
                <w:color w:val="000000"/>
                <w:spacing w:val="1"/>
                <w:shd w:val="solid" w:color="000000" w:fill="000000"/>
                <w:fitText w:val="188" w:id="-1435343359"/>
                <w14:textFill>
                  <w14:solidFill>
                    <w14:srgbClr w14:val="000000">
                      <w14:alpha w14:val="100000"/>
                    </w14:srgbClr>
                  </w14:solidFill>
                </w14:textFill>
              </w:rPr>
              <w:t>|</w:t>
            </w:r>
            <w:r w:rsidR="00764CEF">
              <w:rPr>
                <w:b/>
                <w:vertAlign w:val="superscript"/>
              </w:rPr>
              <w:t>2</w:t>
            </w:r>
          </w:p>
        </w:tc>
      </w:tr>
      <w:tr w:rsidR="004F195D" w:rsidRPr="00FB0D10" w14:paraId="7D1D8A96" w14:textId="77777777" w:rsidTr="00A361A7">
        <w:tc>
          <w:tcPr>
            <w:tcW w:w="9303" w:type="dxa"/>
            <w:gridSpan w:val="4"/>
          </w:tcPr>
          <w:p w14:paraId="56E07CB8" w14:textId="07D769B8" w:rsidR="004F195D" w:rsidRPr="00FB0D10" w:rsidRDefault="004F195D" w:rsidP="00014A9C">
            <w:pPr>
              <w:pStyle w:val="TableText"/>
            </w:pPr>
            <w:r w:rsidRPr="00FB0D10">
              <w:rPr>
                <w:b/>
              </w:rPr>
              <w:t xml:space="preserve">Time horizon (base case: </w:t>
            </w:r>
            <w:r w:rsidR="004F7D2B" w:rsidRPr="00FB0D10">
              <w:rPr>
                <w:b/>
              </w:rPr>
              <w:t xml:space="preserve">15 </w:t>
            </w:r>
            <w:r w:rsidRPr="00FB0D10">
              <w:rPr>
                <w:b/>
              </w:rPr>
              <w:t>years)</w:t>
            </w:r>
          </w:p>
        </w:tc>
      </w:tr>
      <w:tr w:rsidR="004F195D" w:rsidRPr="00FB0D10" w14:paraId="554263C0" w14:textId="77777777" w:rsidTr="006D385E">
        <w:tc>
          <w:tcPr>
            <w:tcW w:w="5807" w:type="dxa"/>
          </w:tcPr>
          <w:p w14:paraId="715AA456" w14:textId="77777777" w:rsidR="004F195D" w:rsidRPr="00FB0D10" w:rsidRDefault="004F195D" w:rsidP="00014A9C">
            <w:pPr>
              <w:pStyle w:val="TableText"/>
            </w:pPr>
            <w:r w:rsidRPr="00FB0D10">
              <w:t>5 years</w:t>
            </w:r>
          </w:p>
        </w:tc>
        <w:tc>
          <w:tcPr>
            <w:tcW w:w="1273" w:type="dxa"/>
          </w:tcPr>
          <w:p w14:paraId="3D5F5D38" w14:textId="79DA29D0" w:rsidR="004F195D" w:rsidRPr="00FB0D10" w:rsidRDefault="004F195D" w:rsidP="00014A9C">
            <w:pPr>
              <w:pStyle w:val="TableText"/>
              <w:jc w:val="center"/>
            </w:pPr>
            <w:r w:rsidRPr="00FB0D10">
              <w:t>$</w:t>
            </w:r>
            <w:r w:rsidR="00F96E54" w:rsidRPr="00F96E54">
              <w:rPr>
                <w:rFonts w:hint="eastAsia"/>
                <w:color w:val="000000"/>
                <w:w w:val="15"/>
                <w:shd w:val="solid" w:color="000000" w:fill="000000"/>
                <w:fitText w:val="63" w:id="-1435343358"/>
                <w14:textFill>
                  <w14:solidFill>
                    <w14:srgbClr w14:val="000000">
                      <w14:alpha w14:val="100000"/>
                    </w14:srgbClr>
                  </w14:solidFill>
                </w14:textFill>
              </w:rPr>
              <w:t xml:space="preserve">　</w:t>
            </w:r>
            <w:r w:rsidR="00F96E54" w:rsidRPr="00F96E54">
              <w:rPr>
                <w:color w:val="000000"/>
                <w:w w:val="15"/>
                <w:shd w:val="solid" w:color="000000" w:fill="000000"/>
                <w:fitText w:val="63" w:id="-1435343358"/>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8"/>
                <w14:textFill>
                  <w14:solidFill>
                    <w14:srgbClr w14:val="000000">
                      <w14:alpha w14:val="100000"/>
                    </w14:srgbClr>
                  </w14:solidFill>
                </w14:textFill>
              </w:rPr>
              <w:t xml:space="preserve">　</w:t>
            </w:r>
          </w:p>
        </w:tc>
        <w:tc>
          <w:tcPr>
            <w:tcW w:w="1137" w:type="dxa"/>
          </w:tcPr>
          <w:p w14:paraId="0E880F6E" w14:textId="77777777" w:rsidR="004F195D" w:rsidRPr="00FB0D10" w:rsidRDefault="004F195D" w:rsidP="00014A9C">
            <w:pPr>
              <w:pStyle w:val="TableText"/>
              <w:jc w:val="center"/>
            </w:pPr>
            <w:r w:rsidRPr="00FB0D10">
              <w:t>0.1830</w:t>
            </w:r>
          </w:p>
        </w:tc>
        <w:tc>
          <w:tcPr>
            <w:tcW w:w="1086" w:type="dxa"/>
          </w:tcPr>
          <w:p w14:paraId="14C49986" w14:textId="0D9859C8" w:rsidR="004F195D" w:rsidRPr="00FB0D10" w:rsidRDefault="004F195D" w:rsidP="00014A9C">
            <w:pPr>
              <w:pStyle w:val="TableText"/>
              <w:jc w:val="center"/>
            </w:pPr>
            <w:r w:rsidRPr="00FB0D10">
              <w:t>$</w:t>
            </w:r>
            <w:r w:rsidR="00F96E54" w:rsidRPr="00F96E54">
              <w:rPr>
                <w:color w:val="000000"/>
                <w:spacing w:val="102"/>
                <w:shd w:val="solid" w:color="000000" w:fill="000000"/>
                <w:fitText w:val="188" w:id="-1435343357"/>
                <w14:textFill>
                  <w14:solidFill>
                    <w14:srgbClr w14:val="000000">
                      <w14:alpha w14:val="100000"/>
                    </w14:srgbClr>
                  </w14:solidFill>
                </w14:textFill>
              </w:rPr>
              <w:t>|</w:t>
            </w:r>
            <w:r w:rsidR="00F96E54" w:rsidRPr="00F96E54">
              <w:rPr>
                <w:color w:val="000000"/>
                <w:spacing w:val="1"/>
                <w:shd w:val="solid" w:color="000000" w:fill="000000"/>
                <w:fitText w:val="188" w:id="-1435343357"/>
                <w14:textFill>
                  <w14:solidFill>
                    <w14:srgbClr w14:val="000000">
                      <w14:alpha w14:val="100000"/>
                    </w14:srgbClr>
                  </w14:solidFill>
                </w14:textFill>
              </w:rPr>
              <w:t>|</w:t>
            </w:r>
            <w:r w:rsidR="00764CEF" w:rsidRPr="008518B0">
              <w:rPr>
                <w:b/>
                <w:vertAlign w:val="superscript"/>
              </w:rPr>
              <w:t>1</w:t>
            </w:r>
          </w:p>
        </w:tc>
      </w:tr>
      <w:tr w:rsidR="004F195D" w:rsidRPr="00FB0D10" w14:paraId="52D5DC90" w14:textId="77777777" w:rsidTr="006D385E">
        <w:tc>
          <w:tcPr>
            <w:tcW w:w="5807" w:type="dxa"/>
          </w:tcPr>
          <w:p w14:paraId="6EF98DD2" w14:textId="77777777" w:rsidR="004F195D" w:rsidRPr="00FB0D10" w:rsidRDefault="004F195D" w:rsidP="00014A9C">
            <w:pPr>
              <w:pStyle w:val="TableText"/>
            </w:pPr>
            <w:r w:rsidRPr="00FB0D10">
              <w:t>10 years</w:t>
            </w:r>
          </w:p>
        </w:tc>
        <w:tc>
          <w:tcPr>
            <w:tcW w:w="1273" w:type="dxa"/>
          </w:tcPr>
          <w:p w14:paraId="76C29FA8" w14:textId="490E6C6D" w:rsidR="004F195D" w:rsidRPr="00FB0D10" w:rsidRDefault="004F195D" w:rsidP="00014A9C">
            <w:pPr>
              <w:pStyle w:val="TableText"/>
              <w:jc w:val="center"/>
            </w:pPr>
            <w:r w:rsidRPr="00FB0D10">
              <w:t>$</w:t>
            </w:r>
            <w:r w:rsidR="00F96E54" w:rsidRPr="00F96E54">
              <w:rPr>
                <w:rFonts w:hint="eastAsia"/>
                <w:color w:val="000000"/>
                <w:w w:val="15"/>
                <w:shd w:val="solid" w:color="000000" w:fill="000000"/>
                <w:fitText w:val="63" w:id="-1435343356"/>
                <w14:textFill>
                  <w14:solidFill>
                    <w14:srgbClr w14:val="000000">
                      <w14:alpha w14:val="100000"/>
                    </w14:srgbClr>
                  </w14:solidFill>
                </w14:textFill>
              </w:rPr>
              <w:t xml:space="preserve">　</w:t>
            </w:r>
            <w:r w:rsidR="00F96E54" w:rsidRPr="00F96E54">
              <w:rPr>
                <w:color w:val="000000"/>
                <w:w w:val="15"/>
                <w:shd w:val="solid" w:color="000000" w:fill="000000"/>
                <w:fitText w:val="63" w:id="-1435343356"/>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6"/>
                <w14:textFill>
                  <w14:solidFill>
                    <w14:srgbClr w14:val="000000">
                      <w14:alpha w14:val="100000"/>
                    </w14:srgbClr>
                  </w14:solidFill>
                </w14:textFill>
              </w:rPr>
              <w:t xml:space="preserve">　</w:t>
            </w:r>
          </w:p>
        </w:tc>
        <w:tc>
          <w:tcPr>
            <w:tcW w:w="1137" w:type="dxa"/>
          </w:tcPr>
          <w:p w14:paraId="2373DF4D" w14:textId="4D90B941" w:rsidR="004F195D" w:rsidRPr="00FB0D10" w:rsidRDefault="004F195D" w:rsidP="00014A9C">
            <w:pPr>
              <w:pStyle w:val="TableText"/>
              <w:jc w:val="center"/>
            </w:pPr>
            <w:r w:rsidRPr="00FB0D10">
              <w:t>0.2</w:t>
            </w:r>
            <w:r w:rsidR="00696ED6" w:rsidRPr="00FB0D10">
              <w:t>338</w:t>
            </w:r>
          </w:p>
        </w:tc>
        <w:tc>
          <w:tcPr>
            <w:tcW w:w="1086" w:type="dxa"/>
          </w:tcPr>
          <w:p w14:paraId="2F4A5CC6" w14:textId="43912DF5" w:rsidR="004F195D" w:rsidRPr="00FB0D10" w:rsidRDefault="004F195D" w:rsidP="00014A9C">
            <w:pPr>
              <w:pStyle w:val="TableText"/>
              <w:jc w:val="center"/>
            </w:pPr>
            <w:r w:rsidRPr="00FB0D10">
              <w:t>$</w:t>
            </w:r>
            <w:r w:rsidR="00F96E54" w:rsidRPr="00F96E54">
              <w:rPr>
                <w:color w:val="000000"/>
                <w:spacing w:val="102"/>
                <w:shd w:val="solid" w:color="000000" w:fill="000000"/>
                <w:fitText w:val="188" w:id="-1435343355"/>
                <w14:textFill>
                  <w14:solidFill>
                    <w14:srgbClr w14:val="000000">
                      <w14:alpha w14:val="100000"/>
                    </w14:srgbClr>
                  </w14:solidFill>
                </w14:textFill>
              </w:rPr>
              <w:t>|</w:t>
            </w:r>
            <w:r w:rsidR="00F96E54" w:rsidRPr="00F96E54">
              <w:rPr>
                <w:color w:val="000000"/>
                <w:spacing w:val="1"/>
                <w:shd w:val="solid" w:color="000000" w:fill="000000"/>
                <w:fitText w:val="188" w:id="-1435343355"/>
                <w14:textFill>
                  <w14:solidFill>
                    <w14:srgbClr w14:val="000000">
                      <w14:alpha w14:val="100000"/>
                    </w14:srgbClr>
                  </w14:solidFill>
                </w14:textFill>
              </w:rPr>
              <w:t>|</w:t>
            </w:r>
            <w:r w:rsidR="00764CEF" w:rsidRPr="008518B0">
              <w:rPr>
                <w:b/>
                <w:vertAlign w:val="superscript"/>
              </w:rPr>
              <w:t>1</w:t>
            </w:r>
          </w:p>
        </w:tc>
      </w:tr>
      <w:tr w:rsidR="004F195D" w:rsidRPr="00FB0D10" w14:paraId="576051CA" w14:textId="77777777" w:rsidTr="006D385E">
        <w:tc>
          <w:tcPr>
            <w:tcW w:w="5807" w:type="dxa"/>
          </w:tcPr>
          <w:p w14:paraId="717B68D6" w14:textId="77777777" w:rsidR="004F195D" w:rsidRPr="00FB0D10" w:rsidRDefault="004F195D" w:rsidP="00014A9C">
            <w:pPr>
              <w:pStyle w:val="TableText"/>
            </w:pPr>
            <w:r w:rsidRPr="00FB0D10">
              <w:t>20 years</w:t>
            </w:r>
          </w:p>
        </w:tc>
        <w:tc>
          <w:tcPr>
            <w:tcW w:w="1273" w:type="dxa"/>
          </w:tcPr>
          <w:p w14:paraId="2671C27E" w14:textId="5A83C712" w:rsidR="004F195D" w:rsidRPr="00FB0D10" w:rsidRDefault="004F195D" w:rsidP="00014A9C">
            <w:pPr>
              <w:pStyle w:val="TableText"/>
              <w:jc w:val="center"/>
            </w:pPr>
            <w:r w:rsidRPr="00FB0D10">
              <w:t>$</w:t>
            </w:r>
            <w:r w:rsidR="00F96E54" w:rsidRPr="00F96E54">
              <w:rPr>
                <w:rFonts w:hint="eastAsia"/>
                <w:color w:val="000000"/>
                <w:w w:val="15"/>
                <w:shd w:val="solid" w:color="000000" w:fill="000000"/>
                <w:fitText w:val="63" w:id="-1435343354"/>
                <w14:textFill>
                  <w14:solidFill>
                    <w14:srgbClr w14:val="000000">
                      <w14:alpha w14:val="100000"/>
                    </w14:srgbClr>
                  </w14:solidFill>
                </w14:textFill>
              </w:rPr>
              <w:t xml:space="preserve">　</w:t>
            </w:r>
            <w:r w:rsidR="00F96E54" w:rsidRPr="00F96E54">
              <w:rPr>
                <w:color w:val="000000"/>
                <w:w w:val="15"/>
                <w:shd w:val="solid" w:color="000000" w:fill="000000"/>
                <w:fitText w:val="63" w:id="-1435343354"/>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4"/>
                <w14:textFill>
                  <w14:solidFill>
                    <w14:srgbClr w14:val="000000">
                      <w14:alpha w14:val="100000"/>
                    </w14:srgbClr>
                  </w14:solidFill>
                </w14:textFill>
              </w:rPr>
              <w:t xml:space="preserve">　</w:t>
            </w:r>
          </w:p>
        </w:tc>
        <w:tc>
          <w:tcPr>
            <w:tcW w:w="1137" w:type="dxa"/>
          </w:tcPr>
          <w:p w14:paraId="753F3336" w14:textId="2177EBC0" w:rsidR="004F195D" w:rsidRPr="00FB0D10" w:rsidRDefault="004F195D" w:rsidP="00014A9C">
            <w:pPr>
              <w:pStyle w:val="TableText"/>
              <w:jc w:val="center"/>
            </w:pPr>
            <w:r w:rsidRPr="00FB0D10">
              <w:t>0.2</w:t>
            </w:r>
            <w:r w:rsidR="00696ED6" w:rsidRPr="00FB0D10">
              <w:t>245</w:t>
            </w:r>
          </w:p>
        </w:tc>
        <w:tc>
          <w:tcPr>
            <w:tcW w:w="1086" w:type="dxa"/>
          </w:tcPr>
          <w:p w14:paraId="149C9DD9" w14:textId="0026D4EF" w:rsidR="004F195D" w:rsidRPr="00FB0D10" w:rsidRDefault="004F195D" w:rsidP="00014A9C">
            <w:pPr>
              <w:pStyle w:val="TableText"/>
              <w:jc w:val="center"/>
            </w:pPr>
            <w:r w:rsidRPr="00FB0D10">
              <w:t>$</w:t>
            </w:r>
            <w:r w:rsidR="00F96E54" w:rsidRPr="00F96E54">
              <w:rPr>
                <w:color w:val="000000"/>
                <w:spacing w:val="102"/>
                <w:shd w:val="solid" w:color="000000" w:fill="000000"/>
                <w:fitText w:val="188" w:id="-1435343353"/>
                <w14:textFill>
                  <w14:solidFill>
                    <w14:srgbClr w14:val="000000">
                      <w14:alpha w14:val="100000"/>
                    </w14:srgbClr>
                  </w14:solidFill>
                </w14:textFill>
              </w:rPr>
              <w:t>|</w:t>
            </w:r>
            <w:r w:rsidR="00F96E54" w:rsidRPr="00F96E54">
              <w:rPr>
                <w:color w:val="000000"/>
                <w:spacing w:val="1"/>
                <w:shd w:val="solid" w:color="000000" w:fill="000000"/>
                <w:fitText w:val="188" w:id="-1435343353"/>
                <w14:textFill>
                  <w14:solidFill>
                    <w14:srgbClr w14:val="000000">
                      <w14:alpha w14:val="100000"/>
                    </w14:srgbClr>
                  </w14:solidFill>
                </w14:textFill>
              </w:rPr>
              <w:t>|</w:t>
            </w:r>
            <w:r w:rsidR="00764CEF" w:rsidRPr="008518B0">
              <w:rPr>
                <w:b/>
                <w:vertAlign w:val="superscript"/>
              </w:rPr>
              <w:t>1</w:t>
            </w:r>
          </w:p>
        </w:tc>
      </w:tr>
      <w:tr w:rsidR="001E6A34" w:rsidRPr="00FB0D10" w14:paraId="55418063" w14:textId="77777777" w:rsidTr="00A361A7">
        <w:tc>
          <w:tcPr>
            <w:tcW w:w="9303" w:type="dxa"/>
            <w:gridSpan w:val="4"/>
          </w:tcPr>
          <w:p w14:paraId="7F32A71A" w14:textId="0C723E36" w:rsidR="001E6A34" w:rsidRPr="00FB0D10" w:rsidRDefault="001E6A34" w:rsidP="00014A9C">
            <w:pPr>
              <w:pStyle w:val="TableText"/>
              <w:rPr>
                <w:b/>
                <w:bCs w:val="0"/>
              </w:rPr>
            </w:pPr>
            <w:r w:rsidRPr="00FB0D10">
              <w:rPr>
                <w:b/>
                <w:bCs w:val="0"/>
              </w:rPr>
              <w:t>Overall response rate (base case: ruxolitinib 62.3%; BAT 39.4%)</w:t>
            </w:r>
          </w:p>
        </w:tc>
      </w:tr>
      <w:tr w:rsidR="001E6A34" w:rsidRPr="00FB0D10" w14:paraId="35620E1B" w14:textId="77777777" w:rsidTr="006D385E">
        <w:tc>
          <w:tcPr>
            <w:tcW w:w="5807" w:type="dxa"/>
          </w:tcPr>
          <w:p w14:paraId="201B3EDC" w14:textId="77777777" w:rsidR="001E6A34" w:rsidRPr="00FB0D10" w:rsidRDefault="001E6A34" w:rsidP="00014A9C">
            <w:pPr>
              <w:pStyle w:val="TableText"/>
            </w:pPr>
            <w:r w:rsidRPr="00FB0D10">
              <w:t>Applying lower 95% CL to ruxolitinib ORR to derive BAT ORR</w:t>
            </w:r>
          </w:p>
          <w:p w14:paraId="16AFBEBA" w14:textId="504743D4" w:rsidR="001E6A34" w:rsidRPr="00FB0D10" w:rsidRDefault="001E6A34" w:rsidP="00014A9C">
            <w:pPr>
              <w:pStyle w:val="TableText"/>
            </w:pPr>
            <w:r w:rsidRPr="00FB0D10">
              <w:t>ORR: Ruxolitinib 62.3%; BAT 50.3%</w:t>
            </w:r>
          </w:p>
        </w:tc>
        <w:tc>
          <w:tcPr>
            <w:tcW w:w="1273" w:type="dxa"/>
            <w:vAlign w:val="center"/>
          </w:tcPr>
          <w:p w14:paraId="6F34ACD3" w14:textId="768AF911" w:rsidR="001E6A34" w:rsidRPr="00FB0D10" w:rsidRDefault="001E6A34" w:rsidP="00014A9C">
            <w:pPr>
              <w:pStyle w:val="TableText"/>
              <w:jc w:val="center"/>
            </w:pPr>
            <w:r w:rsidRPr="00FB0D10">
              <w:rPr>
                <w:szCs w:val="20"/>
              </w:rPr>
              <w:t>$</w:t>
            </w:r>
            <w:r w:rsidR="00F96E54" w:rsidRPr="00F96E54">
              <w:rPr>
                <w:rFonts w:hint="eastAsia"/>
                <w:color w:val="000000"/>
                <w:w w:val="15"/>
                <w:szCs w:val="20"/>
                <w:shd w:val="solid" w:color="000000" w:fill="000000"/>
                <w:fitText w:val="63" w:id="-1435343352"/>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2"/>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2"/>
                <w14:textFill>
                  <w14:solidFill>
                    <w14:srgbClr w14:val="000000">
                      <w14:alpha w14:val="100000"/>
                    </w14:srgbClr>
                  </w14:solidFill>
                </w14:textFill>
              </w:rPr>
              <w:t xml:space="preserve">　</w:t>
            </w:r>
          </w:p>
        </w:tc>
        <w:tc>
          <w:tcPr>
            <w:tcW w:w="1137" w:type="dxa"/>
            <w:vAlign w:val="center"/>
          </w:tcPr>
          <w:p w14:paraId="52D710E3" w14:textId="3DF66510" w:rsidR="001E6A34" w:rsidRPr="00FB0D10" w:rsidRDefault="001E6A34" w:rsidP="00014A9C">
            <w:pPr>
              <w:pStyle w:val="TableText"/>
              <w:jc w:val="center"/>
            </w:pPr>
            <w:r w:rsidRPr="00FB0D10">
              <w:rPr>
                <w:szCs w:val="20"/>
              </w:rPr>
              <w:t>0.2065</w:t>
            </w:r>
          </w:p>
        </w:tc>
        <w:tc>
          <w:tcPr>
            <w:tcW w:w="1086" w:type="dxa"/>
            <w:vAlign w:val="center"/>
          </w:tcPr>
          <w:p w14:paraId="1FAFC695" w14:textId="4F11AC2E" w:rsidR="001E6A34" w:rsidRPr="00FB0D10" w:rsidRDefault="001E6A34" w:rsidP="00014A9C">
            <w:pPr>
              <w:pStyle w:val="TableText"/>
              <w:jc w:val="center"/>
            </w:pPr>
            <w:r w:rsidRPr="00FB0D10">
              <w:rPr>
                <w:szCs w:val="20"/>
              </w:rPr>
              <w:t>$</w:t>
            </w:r>
            <w:r w:rsidR="00F96E54" w:rsidRPr="00F96E54">
              <w:rPr>
                <w:color w:val="000000"/>
                <w:spacing w:val="102"/>
                <w:szCs w:val="20"/>
                <w:shd w:val="solid" w:color="000000" w:fill="000000"/>
                <w:fitText w:val="188" w:id="-1435343351"/>
                <w14:textFill>
                  <w14:solidFill>
                    <w14:srgbClr w14:val="000000">
                      <w14:alpha w14:val="100000"/>
                    </w14:srgbClr>
                  </w14:solidFill>
                </w14:textFill>
              </w:rPr>
              <w:t>|</w:t>
            </w:r>
            <w:r w:rsidR="00F96E54" w:rsidRPr="00F96E54">
              <w:rPr>
                <w:color w:val="000000"/>
                <w:spacing w:val="1"/>
                <w:szCs w:val="20"/>
                <w:shd w:val="solid" w:color="000000" w:fill="000000"/>
                <w:fitText w:val="188" w:id="-1435343351"/>
                <w14:textFill>
                  <w14:solidFill>
                    <w14:srgbClr w14:val="000000">
                      <w14:alpha w14:val="100000"/>
                    </w14:srgbClr>
                  </w14:solidFill>
                </w14:textFill>
              </w:rPr>
              <w:t>|</w:t>
            </w:r>
            <w:r w:rsidR="00764CEF" w:rsidRPr="008518B0">
              <w:rPr>
                <w:b/>
                <w:vertAlign w:val="superscript"/>
              </w:rPr>
              <w:t>1</w:t>
            </w:r>
          </w:p>
        </w:tc>
      </w:tr>
      <w:tr w:rsidR="001E6A34" w:rsidRPr="00FB0D10" w14:paraId="7B7278F7" w14:textId="77777777" w:rsidTr="006D385E">
        <w:tc>
          <w:tcPr>
            <w:tcW w:w="5807" w:type="dxa"/>
          </w:tcPr>
          <w:p w14:paraId="1DA2A1BF" w14:textId="77777777" w:rsidR="001E6A34" w:rsidRPr="00FB0D10" w:rsidRDefault="001E6A34" w:rsidP="00014A9C">
            <w:pPr>
              <w:pStyle w:val="TableText"/>
            </w:pPr>
            <w:r w:rsidRPr="00FB0D10">
              <w:t>Applying upper 95% CL to ruxolitinib ORR to derive BAT ORR</w:t>
            </w:r>
          </w:p>
          <w:p w14:paraId="7E639FE7" w14:textId="0323E36C" w:rsidR="001E6A34" w:rsidRPr="00FB0D10" w:rsidRDefault="001E6A34" w:rsidP="00014A9C">
            <w:pPr>
              <w:pStyle w:val="TableText"/>
            </w:pPr>
            <w:r w:rsidRPr="00FB0D10">
              <w:t>ORR: Ruxolitinib 62.3%; BAT 28.3%</w:t>
            </w:r>
          </w:p>
        </w:tc>
        <w:tc>
          <w:tcPr>
            <w:tcW w:w="1273" w:type="dxa"/>
            <w:vAlign w:val="center"/>
          </w:tcPr>
          <w:p w14:paraId="4EFA66E4" w14:textId="0B5371B2" w:rsidR="001E6A34" w:rsidRPr="00FB0D10" w:rsidRDefault="001E6A34" w:rsidP="00014A9C">
            <w:pPr>
              <w:pStyle w:val="TableText"/>
              <w:jc w:val="center"/>
            </w:pPr>
            <w:r w:rsidRPr="00FB0D10">
              <w:rPr>
                <w:szCs w:val="20"/>
              </w:rPr>
              <w:t>$</w:t>
            </w:r>
            <w:r w:rsidR="00F96E54" w:rsidRPr="00F96E54">
              <w:rPr>
                <w:rFonts w:hint="eastAsia"/>
                <w:color w:val="000000"/>
                <w:w w:val="15"/>
                <w:szCs w:val="20"/>
                <w:shd w:val="solid" w:color="000000" w:fill="000000"/>
                <w:fitText w:val="63" w:id="-1435343350"/>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0"/>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0"/>
                <w14:textFill>
                  <w14:solidFill>
                    <w14:srgbClr w14:val="000000">
                      <w14:alpha w14:val="100000"/>
                    </w14:srgbClr>
                  </w14:solidFill>
                </w14:textFill>
              </w:rPr>
              <w:t xml:space="preserve">　</w:t>
            </w:r>
          </w:p>
        </w:tc>
        <w:tc>
          <w:tcPr>
            <w:tcW w:w="1137" w:type="dxa"/>
            <w:vAlign w:val="center"/>
          </w:tcPr>
          <w:p w14:paraId="774A09F9" w14:textId="1215DFDD" w:rsidR="001E6A34" w:rsidRPr="00FB0D10" w:rsidRDefault="001E6A34" w:rsidP="00014A9C">
            <w:pPr>
              <w:pStyle w:val="TableText"/>
              <w:jc w:val="center"/>
            </w:pPr>
            <w:r w:rsidRPr="00FB0D10">
              <w:rPr>
                <w:szCs w:val="20"/>
              </w:rPr>
              <w:t>0.2550</w:t>
            </w:r>
          </w:p>
        </w:tc>
        <w:tc>
          <w:tcPr>
            <w:tcW w:w="1086" w:type="dxa"/>
            <w:vAlign w:val="center"/>
          </w:tcPr>
          <w:p w14:paraId="6E6D8ACB" w14:textId="1374F24D" w:rsidR="001E6A34" w:rsidRPr="00FB0D10" w:rsidRDefault="001E6A34" w:rsidP="00014A9C">
            <w:pPr>
              <w:pStyle w:val="TableText"/>
              <w:jc w:val="center"/>
            </w:pPr>
            <w:r w:rsidRPr="00FB0D10">
              <w:rPr>
                <w:szCs w:val="20"/>
              </w:rPr>
              <w:t>$</w:t>
            </w:r>
            <w:r w:rsidR="00F96E54" w:rsidRPr="00F96E54">
              <w:rPr>
                <w:color w:val="000000"/>
                <w:spacing w:val="102"/>
                <w:szCs w:val="20"/>
                <w:shd w:val="solid" w:color="000000" w:fill="000000"/>
                <w:fitText w:val="188" w:id="-1435343349"/>
                <w14:textFill>
                  <w14:solidFill>
                    <w14:srgbClr w14:val="000000">
                      <w14:alpha w14:val="100000"/>
                    </w14:srgbClr>
                  </w14:solidFill>
                </w14:textFill>
              </w:rPr>
              <w:t>|</w:t>
            </w:r>
            <w:r w:rsidR="00F96E54" w:rsidRPr="00F96E54">
              <w:rPr>
                <w:color w:val="000000"/>
                <w:spacing w:val="1"/>
                <w:szCs w:val="20"/>
                <w:shd w:val="solid" w:color="000000" w:fill="000000"/>
                <w:fitText w:val="188" w:id="-1435343349"/>
                <w14:textFill>
                  <w14:solidFill>
                    <w14:srgbClr w14:val="000000">
                      <w14:alpha w14:val="100000"/>
                    </w14:srgbClr>
                  </w14:solidFill>
                </w14:textFill>
              </w:rPr>
              <w:t>|</w:t>
            </w:r>
            <w:r w:rsidR="00764CEF">
              <w:rPr>
                <w:b/>
                <w:vertAlign w:val="superscript"/>
              </w:rPr>
              <w:t>2</w:t>
            </w:r>
          </w:p>
        </w:tc>
      </w:tr>
      <w:tr w:rsidR="001E6A34" w:rsidRPr="00FB0D10" w14:paraId="576248D3" w14:textId="77777777" w:rsidTr="006D385E">
        <w:tc>
          <w:tcPr>
            <w:tcW w:w="5807" w:type="dxa"/>
          </w:tcPr>
          <w:p w14:paraId="00C0F8BC" w14:textId="77777777" w:rsidR="001E6A34" w:rsidRPr="00FB0D10" w:rsidRDefault="001E6A34" w:rsidP="00014A9C">
            <w:pPr>
              <w:pStyle w:val="TableText"/>
            </w:pPr>
            <w:r w:rsidRPr="00FB0D10">
              <w:t>Applying lower 95% CL to BAT ORR to derive ruxolitinib ORR</w:t>
            </w:r>
          </w:p>
          <w:p w14:paraId="3D2C36C7" w14:textId="0612E3B2" w:rsidR="001E6A34" w:rsidRPr="00FB0D10" w:rsidRDefault="001E6A34" w:rsidP="00014A9C">
            <w:pPr>
              <w:pStyle w:val="TableText"/>
            </w:pPr>
            <w:r w:rsidRPr="00FB0D10">
              <w:t>ORR: Ruxolitinib 51.4%; BAT 39.4%</w:t>
            </w:r>
          </w:p>
        </w:tc>
        <w:tc>
          <w:tcPr>
            <w:tcW w:w="1273" w:type="dxa"/>
            <w:vAlign w:val="center"/>
          </w:tcPr>
          <w:p w14:paraId="643E53F2" w14:textId="7D159D9B" w:rsidR="001E6A34" w:rsidRPr="00FB0D10" w:rsidRDefault="001E6A34" w:rsidP="00014A9C">
            <w:pPr>
              <w:pStyle w:val="TableText"/>
              <w:jc w:val="center"/>
            </w:pPr>
            <w:r w:rsidRPr="00FB0D10">
              <w:rPr>
                <w:szCs w:val="20"/>
              </w:rPr>
              <w:t>$</w:t>
            </w:r>
            <w:r w:rsidR="00F96E54" w:rsidRPr="00F96E54">
              <w:rPr>
                <w:rFonts w:hint="eastAsia"/>
                <w:color w:val="000000"/>
                <w:w w:val="15"/>
                <w:szCs w:val="20"/>
                <w:shd w:val="solid" w:color="000000" w:fill="000000"/>
                <w:fitText w:val="63" w:id="-1435343348"/>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48"/>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48"/>
                <w14:textFill>
                  <w14:solidFill>
                    <w14:srgbClr w14:val="000000">
                      <w14:alpha w14:val="100000"/>
                    </w14:srgbClr>
                  </w14:solidFill>
                </w14:textFill>
              </w:rPr>
              <w:t xml:space="preserve">　</w:t>
            </w:r>
          </w:p>
        </w:tc>
        <w:tc>
          <w:tcPr>
            <w:tcW w:w="1137" w:type="dxa"/>
            <w:vAlign w:val="center"/>
          </w:tcPr>
          <w:p w14:paraId="46275B15" w14:textId="64A97622" w:rsidR="001E6A34" w:rsidRPr="00FB0D10" w:rsidRDefault="001E6A34" w:rsidP="00014A9C">
            <w:pPr>
              <w:pStyle w:val="TableText"/>
              <w:jc w:val="center"/>
            </w:pPr>
            <w:r w:rsidRPr="00FB0D10">
              <w:rPr>
                <w:szCs w:val="20"/>
              </w:rPr>
              <w:t>0.1815</w:t>
            </w:r>
          </w:p>
        </w:tc>
        <w:tc>
          <w:tcPr>
            <w:tcW w:w="1086" w:type="dxa"/>
            <w:vAlign w:val="center"/>
          </w:tcPr>
          <w:p w14:paraId="6EDE0B3E" w14:textId="4A7B02F9" w:rsidR="001E6A34" w:rsidRPr="00FB0D10" w:rsidRDefault="001E6A34" w:rsidP="00014A9C">
            <w:pPr>
              <w:pStyle w:val="TableText"/>
              <w:jc w:val="center"/>
            </w:pPr>
            <w:r w:rsidRPr="00FB0D10">
              <w:rPr>
                <w:szCs w:val="20"/>
              </w:rPr>
              <w:t>$</w:t>
            </w:r>
            <w:r w:rsidR="00F96E54" w:rsidRPr="00F96E54">
              <w:rPr>
                <w:color w:val="000000"/>
                <w:spacing w:val="102"/>
                <w:szCs w:val="20"/>
                <w:shd w:val="solid" w:color="000000" w:fill="000000"/>
                <w:fitText w:val="188" w:id="-1435343347"/>
                <w14:textFill>
                  <w14:solidFill>
                    <w14:srgbClr w14:val="000000">
                      <w14:alpha w14:val="100000"/>
                    </w14:srgbClr>
                  </w14:solidFill>
                </w14:textFill>
              </w:rPr>
              <w:t>|</w:t>
            </w:r>
            <w:r w:rsidR="00F96E54" w:rsidRPr="00F96E54">
              <w:rPr>
                <w:color w:val="000000"/>
                <w:spacing w:val="1"/>
                <w:szCs w:val="20"/>
                <w:shd w:val="solid" w:color="000000" w:fill="000000"/>
                <w:fitText w:val="188" w:id="-1435343347"/>
                <w14:textFill>
                  <w14:solidFill>
                    <w14:srgbClr w14:val="000000">
                      <w14:alpha w14:val="100000"/>
                    </w14:srgbClr>
                  </w14:solidFill>
                </w14:textFill>
              </w:rPr>
              <w:t>|</w:t>
            </w:r>
            <w:r w:rsidR="00764CEF" w:rsidRPr="008518B0">
              <w:rPr>
                <w:b/>
                <w:vertAlign w:val="superscript"/>
              </w:rPr>
              <w:t>1</w:t>
            </w:r>
          </w:p>
        </w:tc>
      </w:tr>
      <w:tr w:rsidR="001E6A34" w:rsidRPr="00FB0D10" w14:paraId="3DFFD7CE" w14:textId="77777777" w:rsidTr="006D385E">
        <w:tc>
          <w:tcPr>
            <w:tcW w:w="5807" w:type="dxa"/>
          </w:tcPr>
          <w:p w14:paraId="4B33580A" w14:textId="77777777" w:rsidR="001E6A34" w:rsidRPr="00FB0D10" w:rsidRDefault="001E6A34" w:rsidP="00014A9C">
            <w:pPr>
              <w:pStyle w:val="TableText"/>
            </w:pPr>
            <w:r w:rsidRPr="00FB0D10">
              <w:t>Applying upper 95% CL to BAT ORR to derive ruxolitinib ORR</w:t>
            </w:r>
          </w:p>
          <w:p w14:paraId="46503658" w14:textId="0BC562B5" w:rsidR="001E6A34" w:rsidRPr="00FB0D10" w:rsidRDefault="001E6A34" w:rsidP="00014A9C">
            <w:pPr>
              <w:pStyle w:val="TableText"/>
            </w:pPr>
            <w:r w:rsidRPr="00FB0D10">
              <w:t>ORR: Ruxolitinib 73.4%; BAT 39.4%</w:t>
            </w:r>
          </w:p>
        </w:tc>
        <w:tc>
          <w:tcPr>
            <w:tcW w:w="1273" w:type="dxa"/>
            <w:vAlign w:val="center"/>
          </w:tcPr>
          <w:p w14:paraId="0E41A6C3" w14:textId="77A002E6" w:rsidR="001E6A34" w:rsidRPr="00FB0D10" w:rsidRDefault="001E6A34" w:rsidP="00014A9C">
            <w:pPr>
              <w:pStyle w:val="TableText"/>
              <w:jc w:val="center"/>
            </w:pPr>
            <w:r w:rsidRPr="00FB0D10">
              <w:rPr>
                <w:szCs w:val="20"/>
              </w:rPr>
              <w:t>$</w:t>
            </w:r>
            <w:r w:rsidR="00F96E54" w:rsidRPr="00F96E54">
              <w:rPr>
                <w:rFonts w:hint="eastAsia"/>
                <w:color w:val="000000"/>
                <w:w w:val="15"/>
                <w:szCs w:val="20"/>
                <w:shd w:val="solid" w:color="000000" w:fill="000000"/>
                <w:fitText w:val="63" w:id="-1435343346"/>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46"/>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46"/>
                <w14:textFill>
                  <w14:solidFill>
                    <w14:srgbClr w14:val="000000">
                      <w14:alpha w14:val="100000"/>
                    </w14:srgbClr>
                  </w14:solidFill>
                </w14:textFill>
              </w:rPr>
              <w:t xml:space="preserve">　</w:t>
            </w:r>
          </w:p>
        </w:tc>
        <w:tc>
          <w:tcPr>
            <w:tcW w:w="1137" w:type="dxa"/>
            <w:vAlign w:val="center"/>
          </w:tcPr>
          <w:p w14:paraId="07A743AF" w14:textId="7A71FCBA" w:rsidR="001E6A34" w:rsidRPr="00FB0D10" w:rsidRDefault="001E6A34" w:rsidP="00014A9C">
            <w:pPr>
              <w:pStyle w:val="TableText"/>
              <w:jc w:val="center"/>
            </w:pPr>
            <w:r w:rsidRPr="00FB0D10">
              <w:rPr>
                <w:szCs w:val="20"/>
              </w:rPr>
              <w:t>0.2696</w:t>
            </w:r>
          </w:p>
        </w:tc>
        <w:tc>
          <w:tcPr>
            <w:tcW w:w="1086" w:type="dxa"/>
            <w:vAlign w:val="center"/>
          </w:tcPr>
          <w:p w14:paraId="36DC56EF" w14:textId="1066E3A0" w:rsidR="001E6A34" w:rsidRPr="00FB0D10" w:rsidRDefault="001E6A34" w:rsidP="00014A9C">
            <w:pPr>
              <w:pStyle w:val="TableText"/>
              <w:jc w:val="center"/>
            </w:pPr>
            <w:r w:rsidRPr="00FB0D10">
              <w:rPr>
                <w:szCs w:val="20"/>
              </w:rPr>
              <w:t>$</w:t>
            </w:r>
            <w:r w:rsidR="00F96E54" w:rsidRPr="00F96E54">
              <w:rPr>
                <w:color w:val="000000"/>
                <w:spacing w:val="102"/>
                <w:szCs w:val="20"/>
                <w:shd w:val="solid" w:color="000000" w:fill="000000"/>
                <w:fitText w:val="188" w:id="-1435343345"/>
                <w14:textFill>
                  <w14:solidFill>
                    <w14:srgbClr w14:val="000000">
                      <w14:alpha w14:val="100000"/>
                    </w14:srgbClr>
                  </w14:solidFill>
                </w14:textFill>
              </w:rPr>
              <w:t>|</w:t>
            </w:r>
            <w:r w:rsidR="00F96E54" w:rsidRPr="00F96E54">
              <w:rPr>
                <w:color w:val="000000"/>
                <w:spacing w:val="1"/>
                <w:szCs w:val="20"/>
                <w:shd w:val="solid" w:color="000000" w:fill="000000"/>
                <w:fitText w:val="188" w:id="-1435343345"/>
                <w14:textFill>
                  <w14:solidFill>
                    <w14:srgbClr w14:val="000000">
                      <w14:alpha w14:val="100000"/>
                    </w14:srgbClr>
                  </w14:solidFill>
                </w14:textFill>
              </w:rPr>
              <w:t>|</w:t>
            </w:r>
            <w:r w:rsidR="00764CEF">
              <w:rPr>
                <w:b/>
                <w:vertAlign w:val="superscript"/>
              </w:rPr>
              <w:t>2</w:t>
            </w:r>
          </w:p>
        </w:tc>
      </w:tr>
      <w:tr w:rsidR="00F156AD" w:rsidRPr="00FB0D10" w14:paraId="51B436E2" w14:textId="77777777" w:rsidTr="006D385E">
        <w:tc>
          <w:tcPr>
            <w:tcW w:w="5807" w:type="dxa"/>
          </w:tcPr>
          <w:p w14:paraId="11ADF625" w14:textId="7D4F77B2" w:rsidR="00F156AD" w:rsidRPr="00FB0D10" w:rsidRDefault="00F156AD" w:rsidP="00014A9C">
            <w:pPr>
              <w:pStyle w:val="TableText"/>
            </w:pPr>
            <w:r w:rsidRPr="00FB0D10">
              <w:rPr>
                <w:lang w:eastAsia="en-US"/>
              </w:rPr>
              <w:t>10% relative decrease in ORR with each subsequent BAT therapy</w:t>
            </w:r>
          </w:p>
        </w:tc>
        <w:tc>
          <w:tcPr>
            <w:tcW w:w="1273" w:type="dxa"/>
            <w:vAlign w:val="center"/>
          </w:tcPr>
          <w:p w14:paraId="59C897F8" w14:textId="0DAAC22A" w:rsidR="00F156AD" w:rsidRPr="00FB0D10" w:rsidRDefault="00F156AD" w:rsidP="00014A9C">
            <w:pPr>
              <w:pStyle w:val="TableText"/>
              <w:jc w:val="center"/>
              <w:rPr>
                <w:szCs w:val="20"/>
              </w:rPr>
            </w:pPr>
            <w:r w:rsidRPr="00FB0D10">
              <w:rPr>
                <w:lang w:eastAsia="en-US"/>
              </w:rPr>
              <w:t>$</w:t>
            </w:r>
            <w:r w:rsidR="00F96E54" w:rsidRPr="00F96E54">
              <w:rPr>
                <w:rFonts w:hint="eastAsia"/>
                <w:color w:val="000000"/>
                <w:w w:val="15"/>
                <w:shd w:val="solid" w:color="000000" w:fill="000000"/>
                <w:fitText w:val="63" w:id="-1435343344"/>
                <w:lang w:eastAsia="en-US"/>
                <w14:textFill>
                  <w14:solidFill>
                    <w14:srgbClr w14:val="000000">
                      <w14:alpha w14:val="100000"/>
                    </w14:srgbClr>
                  </w14:solidFill>
                </w14:textFill>
              </w:rPr>
              <w:t xml:space="preserve">　</w:t>
            </w:r>
            <w:r w:rsidR="00F96E54" w:rsidRPr="00F96E54">
              <w:rPr>
                <w:color w:val="000000"/>
                <w:w w:val="15"/>
                <w:shd w:val="solid" w:color="000000" w:fill="000000"/>
                <w:fitText w:val="63" w:id="-1435343344"/>
                <w:lang w:eastAsia="en-US"/>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4"/>
                <w:lang w:eastAsia="en-US"/>
                <w14:textFill>
                  <w14:solidFill>
                    <w14:srgbClr w14:val="000000">
                      <w14:alpha w14:val="100000"/>
                    </w14:srgbClr>
                  </w14:solidFill>
                </w14:textFill>
              </w:rPr>
              <w:t xml:space="preserve">　</w:t>
            </w:r>
          </w:p>
        </w:tc>
        <w:tc>
          <w:tcPr>
            <w:tcW w:w="1137" w:type="dxa"/>
            <w:vAlign w:val="center"/>
          </w:tcPr>
          <w:p w14:paraId="7F7AFD93" w14:textId="3011E76B" w:rsidR="00F156AD" w:rsidRPr="00FB0D10" w:rsidRDefault="00F156AD" w:rsidP="00014A9C">
            <w:pPr>
              <w:pStyle w:val="TableText"/>
              <w:jc w:val="center"/>
              <w:rPr>
                <w:szCs w:val="20"/>
              </w:rPr>
            </w:pPr>
            <w:r w:rsidRPr="00FB0D10">
              <w:rPr>
                <w:lang w:eastAsia="en-US"/>
              </w:rPr>
              <w:t>0.4110</w:t>
            </w:r>
          </w:p>
        </w:tc>
        <w:tc>
          <w:tcPr>
            <w:tcW w:w="1086" w:type="dxa"/>
            <w:vAlign w:val="center"/>
          </w:tcPr>
          <w:p w14:paraId="2C5EF39A" w14:textId="34C20EAF" w:rsidR="00F156AD" w:rsidRPr="00C950B3" w:rsidRDefault="00F156AD" w:rsidP="00014A9C">
            <w:pPr>
              <w:pStyle w:val="TableText"/>
              <w:jc w:val="center"/>
              <w:rPr>
                <w:szCs w:val="20"/>
                <w:highlight w:val="darkGray"/>
              </w:rPr>
            </w:pPr>
            <w:r w:rsidRPr="00320844">
              <w:rPr>
                <w:lang w:eastAsia="en-US"/>
              </w:rPr>
              <w:t>$</w:t>
            </w:r>
            <w:r w:rsidR="00F96E54" w:rsidRPr="00F96E54">
              <w:rPr>
                <w:color w:val="000000"/>
                <w:spacing w:val="102"/>
                <w:shd w:val="solid" w:color="000000" w:fill="000000"/>
                <w:fitText w:val="188" w:id="-1435343360"/>
                <w:lang w:eastAsia="en-US"/>
                <w14:textFill>
                  <w14:solidFill>
                    <w14:srgbClr w14:val="000000">
                      <w14:alpha w14:val="100000"/>
                    </w14:srgbClr>
                  </w14:solidFill>
                </w14:textFill>
              </w:rPr>
              <w:t>|</w:t>
            </w:r>
            <w:r w:rsidR="00F96E54" w:rsidRPr="00F96E54">
              <w:rPr>
                <w:color w:val="000000"/>
                <w:spacing w:val="1"/>
                <w:shd w:val="solid" w:color="000000" w:fill="000000"/>
                <w:fitText w:val="188" w:id="-1435343360"/>
                <w:lang w:eastAsia="en-US"/>
                <w14:textFill>
                  <w14:solidFill>
                    <w14:srgbClr w14:val="000000">
                      <w14:alpha w14:val="100000"/>
                    </w14:srgbClr>
                  </w14:solidFill>
                </w14:textFill>
              </w:rPr>
              <w:t>|</w:t>
            </w:r>
            <w:r w:rsidR="00764CEF">
              <w:rPr>
                <w:b/>
                <w:vertAlign w:val="superscript"/>
              </w:rPr>
              <w:t>2</w:t>
            </w:r>
          </w:p>
        </w:tc>
      </w:tr>
      <w:tr w:rsidR="001E6A34" w:rsidRPr="00FB0D10" w14:paraId="0A1326DA" w14:textId="77777777" w:rsidTr="00A361A7">
        <w:tc>
          <w:tcPr>
            <w:tcW w:w="9303" w:type="dxa"/>
            <w:gridSpan w:val="4"/>
          </w:tcPr>
          <w:p w14:paraId="252EA8EC" w14:textId="77777777" w:rsidR="001E6A34" w:rsidRPr="00FB0D10" w:rsidRDefault="001E6A34" w:rsidP="00014A9C">
            <w:pPr>
              <w:pStyle w:val="TableText"/>
              <w:rPr>
                <w:b/>
                <w:bCs w:val="0"/>
              </w:rPr>
            </w:pPr>
            <w:r w:rsidRPr="00FB0D10">
              <w:rPr>
                <w:b/>
                <w:bCs w:val="0"/>
              </w:rPr>
              <w:t>GVHD-related mortality extrapolation (base case: independent model – responder and non-responder lognormal)</w:t>
            </w:r>
          </w:p>
        </w:tc>
      </w:tr>
      <w:tr w:rsidR="001E6A34" w:rsidRPr="00FB0D10" w14:paraId="08F584F9" w14:textId="77777777" w:rsidTr="006D385E">
        <w:tc>
          <w:tcPr>
            <w:tcW w:w="5807" w:type="dxa"/>
          </w:tcPr>
          <w:p w14:paraId="1BC626C1" w14:textId="77777777" w:rsidR="001E6A34" w:rsidRPr="00FB0D10" w:rsidRDefault="001E6A34" w:rsidP="00014A9C">
            <w:pPr>
              <w:pStyle w:val="TableText"/>
            </w:pPr>
            <w:r w:rsidRPr="00FB0D10">
              <w:t>Independent – responder gamma; non-responder lognormal</w:t>
            </w:r>
          </w:p>
        </w:tc>
        <w:tc>
          <w:tcPr>
            <w:tcW w:w="1273" w:type="dxa"/>
          </w:tcPr>
          <w:p w14:paraId="1BC97E60" w14:textId="3665EB91" w:rsidR="001E6A34" w:rsidRPr="00FB0D10" w:rsidRDefault="001E6A34" w:rsidP="00014A9C">
            <w:pPr>
              <w:pStyle w:val="TableText"/>
              <w:jc w:val="center"/>
            </w:pPr>
            <w:r w:rsidRPr="00FB0D10">
              <w:t>$</w:t>
            </w:r>
            <w:r w:rsidR="00F96E54" w:rsidRPr="00F96E54">
              <w:rPr>
                <w:rFonts w:hint="eastAsia"/>
                <w:color w:val="000000"/>
                <w:w w:val="15"/>
                <w:shd w:val="solid" w:color="000000" w:fill="000000"/>
                <w:fitText w:val="63" w:id="-1435343359"/>
                <w14:textFill>
                  <w14:solidFill>
                    <w14:srgbClr w14:val="000000">
                      <w14:alpha w14:val="100000"/>
                    </w14:srgbClr>
                  </w14:solidFill>
                </w14:textFill>
              </w:rPr>
              <w:t xml:space="preserve">　</w:t>
            </w:r>
            <w:r w:rsidR="00F96E54" w:rsidRPr="00F96E54">
              <w:rPr>
                <w:color w:val="000000"/>
                <w:w w:val="15"/>
                <w:shd w:val="solid" w:color="000000" w:fill="000000"/>
                <w:fitText w:val="63" w:id="-1435343359"/>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9"/>
                <w14:textFill>
                  <w14:solidFill>
                    <w14:srgbClr w14:val="000000">
                      <w14:alpha w14:val="100000"/>
                    </w14:srgbClr>
                  </w14:solidFill>
                </w14:textFill>
              </w:rPr>
              <w:t xml:space="preserve">　</w:t>
            </w:r>
          </w:p>
        </w:tc>
        <w:tc>
          <w:tcPr>
            <w:tcW w:w="1137" w:type="dxa"/>
          </w:tcPr>
          <w:p w14:paraId="1C01EE90" w14:textId="2FB3EA02" w:rsidR="001E6A34" w:rsidRPr="00FB0D10" w:rsidRDefault="001E6A34" w:rsidP="00014A9C">
            <w:pPr>
              <w:pStyle w:val="TableText"/>
              <w:jc w:val="center"/>
            </w:pPr>
            <w:r w:rsidRPr="00FB0D10">
              <w:t>0.2668</w:t>
            </w:r>
          </w:p>
        </w:tc>
        <w:tc>
          <w:tcPr>
            <w:tcW w:w="1086" w:type="dxa"/>
          </w:tcPr>
          <w:p w14:paraId="1129BAF2" w14:textId="33C63D12" w:rsidR="001E6A34" w:rsidRPr="00FB0D10" w:rsidRDefault="001E6A34" w:rsidP="00014A9C">
            <w:pPr>
              <w:pStyle w:val="TableText"/>
              <w:jc w:val="center"/>
            </w:pPr>
            <w:r w:rsidRPr="00FB0D10">
              <w:t>$</w:t>
            </w:r>
            <w:r w:rsidR="00F96E54" w:rsidRPr="00F96E54">
              <w:rPr>
                <w:color w:val="000000"/>
                <w:spacing w:val="102"/>
                <w:shd w:val="solid" w:color="000000" w:fill="000000"/>
                <w:fitText w:val="188" w:id="-1435343358"/>
                <w14:textFill>
                  <w14:solidFill>
                    <w14:srgbClr w14:val="000000">
                      <w14:alpha w14:val="100000"/>
                    </w14:srgbClr>
                  </w14:solidFill>
                </w14:textFill>
              </w:rPr>
              <w:t>|</w:t>
            </w:r>
            <w:r w:rsidR="00F96E54" w:rsidRPr="00F96E54">
              <w:rPr>
                <w:color w:val="000000"/>
                <w:spacing w:val="1"/>
                <w:shd w:val="solid" w:color="000000" w:fill="000000"/>
                <w:fitText w:val="188" w:id="-1435343358"/>
                <w14:textFill>
                  <w14:solidFill>
                    <w14:srgbClr w14:val="000000">
                      <w14:alpha w14:val="100000"/>
                    </w14:srgbClr>
                  </w14:solidFill>
                </w14:textFill>
              </w:rPr>
              <w:t>|</w:t>
            </w:r>
            <w:r w:rsidR="00764CEF">
              <w:rPr>
                <w:b/>
                <w:vertAlign w:val="superscript"/>
              </w:rPr>
              <w:t>2</w:t>
            </w:r>
          </w:p>
        </w:tc>
      </w:tr>
      <w:tr w:rsidR="001E6A34" w:rsidRPr="00FB0D10" w14:paraId="0FF82B1B" w14:textId="77777777" w:rsidTr="006D385E">
        <w:tc>
          <w:tcPr>
            <w:tcW w:w="5807" w:type="dxa"/>
          </w:tcPr>
          <w:p w14:paraId="4DFAFAA1" w14:textId="77777777" w:rsidR="001E6A34" w:rsidRPr="00FB0D10" w:rsidRDefault="001E6A34" w:rsidP="00014A9C">
            <w:pPr>
              <w:pStyle w:val="TableText"/>
            </w:pPr>
            <w:r w:rsidRPr="00FB0D10">
              <w:t>Independent – responder exponential; non-responder lognormal</w:t>
            </w:r>
          </w:p>
        </w:tc>
        <w:tc>
          <w:tcPr>
            <w:tcW w:w="1273" w:type="dxa"/>
          </w:tcPr>
          <w:p w14:paraId="306DD8D7" w14:textId="39A469A9" w:rsidR="001E6A34" w:rsidRPr="00FB0D10" w:rsidRDefault="001E6A34" w:rsidP="00014A9C">
            <w:pPr>
              <w:pStyle w:val="TableText"/>
              <w:jc w:val="center"/>
            </w:pPr>
            <w:r w:rsidRPr="00FB0D10">
              <w:t>$</w:t>
            </w:r>
            <w:r w:rsidR="00F96E54" w:rsidRPr="00F96E54">
              <w:rPr>
                <w:rFonts w:hint="eastAsia"/>
                <w:color w:val="000000"/>
                <w:w w:val="15"/>
                <w:shd w:val="solid" w:color="000000" w:fill="000000"/>
                <w:fitText w:val="63" w:id="-1435343357"/>
                <w14:textFill>
                  <w14:solidFill>
                    <w14:srgbClr w14:val="000000">
                      <w14:alpha w14:val="100000"/>
                    </w14:srgbClr>
                  </w14:solidFill>
                </w14:textFill>
              </w:rPr>
              <w:t xml:space="preserve">　</w:t>
            </w:r>
            <w:r w:rsidR="00F96E54" w:rsidRPr="00F96E54">
              <w:rPr>
                <w:color w:val="000000"/>
                <w:w w:val="15"/>
                <w:shd w:val="solid" w:color="000000" w:fill="000000"/>
                <w:fitText w:val="63" w:id="-1435343357"/>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7"/>
                <w14:textFill>
                  <w14:solidFill>
                    <w14:srgbClr w14:val="000000">
                      <w14:alpha w14:val="100000"/>
                    </w14:srgbClr>
                  </w14:solidFill>
                </w14:textFill>
              </w:rPr>
              <w:t xml:space="preserve">　</w:t>
            </w:r>
          </w:p>
        </w:tc>
        <w:tc>
          <w:tcPr>
            <w:tcW w:w="1137" w:type="dxa"/>
          </w:tcPr>
          <w:p w14:paraId="01248E98" w14:textId="3C3C8645" w:rsidR="001E6A34" w:rsidRPr="00FB0D10" w:rsidRDefault="001E6A34" w:rsidP="00014A9C">
            <w:pPr>
              <w:pStyle w:val="TableText"/>
              <w:jc w:val="center"/>
            </w:pPr>
            <w:r w:rsidRPr="00FB0D10">
              <w:t>0.1415</w:t>
            </w:r>
          </w:p>
        </w:tc>
        <w:tc>
          <w:tcPr>
            <w:tcW w:w="1086" w:type="dxa"/>
          </w:tcPr>
          <w:p w14:paraId="727F1291" w14:textId="30D1C6BA" w:rsidR="001E6A34" w:rsidRPr="00FB0D10" w:rsidRDefault="001E6A34" w:rsidP="00014A9C">
            <w:pPr>
              <w:pStyle w:val="TableText"/>
              <w:jc w:val="center"/>
            </w:pPr>
            <w:r w:rsidRPr="00FB0D10">
              <w:t>$</w:t>
            </w:r>
            <w:r w:rsidR="00F96E54" w:rsidRPr="00F96E54">
              <w:rPr>
                <w:color w:val="000000"/>
                <w:spacing w:val="102"/>
                <w:shd w:val="solid" w:color="000000" w:fill="000000"/>
                <w:fitText w:val="188" w:id="-1435343356"/>
                <w14:textFill>
                  <w14:solidFill>
                    <w14:srgbClr w14:val="000000">
                      <w14:alpha w14:val="100000"/>
                    </w14:srgbClr>
                  </w14:solidFill>
                </w14:textFill>
              </w:rPr>
              <w:t>|</w:t>
            </w:r>
            <w:r w:rsidR="00F96E54" w:rsidRPr="00F96E54">
              <w:rPr>
                <w:color w:val="000000"/>
                <w:spacing w:val="1"/>
                <w:shd w:val="solid" w:color="000000" w:fill="000000"/>
                <w:fitText w:val="188" w:id="-1435343356"/>
                <w14:textFill>
                  <w14:solidFill>
                    <w14:srgbClr w14:val="000000">
                      <w14:alpha w14:val="100000"/>
                    </w14:srgbClr>
                  </w14:solidFill>
                </w14:textFill>
              </w:rPr>
              <w:t>|</w:t>
            </w:r>
            <w:r w:rsidR="00764CEF">
              <w:rPr>
                <w:b/>
                <w:vertAlign w:val="superscript"/>
              </w:rPr>
              <w:t>3</w:t>
            </w:r>
          </w:p>
        </w:tc>
      </w:tr>
      <w:tr w:rsidR="001E6A34" w:rsidRPr="00FB0D10" w14:paraId="24AF73B0" w14:textId="77777777" w:rsidTr="006D385E">
        <w:tc>
          <w:tcPr>
            <w:tcW w:w="5807" w:type="dxa"/>
          </w:tcPr>
          <w:p w14:paraId="3E9A7583" w14:textId="77777777" w:rsidR="001E6A34" w:rsidRPr="00FB0D10" w:rsidRDefault="001E6A34" w:rsidP="00014A9C">
            <w:pPr>
              <w:pStyle w:val="TableText"/>
            </w:pPr>
            <w:r w:rsidRPr="00FB0D10">
              <w:t>Independent – responder Weibull; non-responder lognormal</w:t>
            </w:r>
          </w:p>
        </w:tc>
        <w:tc>
          <w:tcPr>
            <w:tcW w:w="1273" w:type="dxa"/>
          </w:tcPr>
          <w:p w14:paraId="469B001A" w14:textId="3D5E80E2" w:rsidR="001E6A34" w:rsidRPr="00FB0D10" w:rsidRDefault="001E6A34" w:rsidP="00014A9C">
            <w:pPr>
              <w:pStyle w:val="TableText"/>
              <w:jc w:val="center"/>
            </w:pPr>
            <w:r w:rsidRPr="00FB0D10">
              <w:t>$</w:t>
            </w:r>
            <w:r w:rsidR="00F96E54" w:rsidRPr="00F96E54">
              <w:rPr>
                <w:rFonts w:hint="eastAsia"/>
                <w:color w:val="000000"/>
                <w:w w:val="15"/>
                <w:shd w:val="solid" w:color="000000" w:fill="000000"/>
                <w:fitText w:val="63" w:id="-1435343355"/>
                <w14:textFill>
                  <w14:solidFill>
                    <w14:srgbClr w14:val="000000">
                      <w14:alpha w14:val="100000"/>
                    </w14:srgbClr>
                  </w14:solidFill>
                </w14:textFill>
              </w:rPr>
              <w:t xml:space="preserve">　</w:t>
            </w:r>
            <w:r w:rsidR="00F96E54" w:rsidRPr="00F96E54">
              <w:rPr>
                <w:color w:val="000000"/>
                <w:w w:val="15"/>
                <w:shd w:val="solid" w:color="000000" w:fill="000000"/>
                <w:fitText w:val="63" w:id="-1435343355"/>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5"/>
                <w14:textFill>
                  <w14:solidFill>
                    <w14:srgbClr w14:val="000000">
                      <w14:alpha w14:val="100000"/>
                    </w14:srgbClr>
                  </w14:solidFill>
                </w14:textFill>
              </w:rPr>
              <w:t xml:space="preserve">　</w:t>
            </w:r>
          </w:p>
        </w:tc>
        <w:tc>
          <w:tcPr>
            <w:tcW w:w="1137" w:type="dxa"/>
          </w:tcPr>
          <w:p w14:paraId="435FB34C" w14:textId="22F72464" w:rsidR="001E6A34" w:rsidRPr="00FB0D10" w:rsidRDefault="001E6A34" w:rsidP="00014A9C">
            <w:pPr>
              <w:pStyle w:val="TableText"/>
              <w:jc w:val="center"/>
            </w:pPr>
            <w:r w:rsidRPr="00FB0D10">
              <w:t>0.1784</w:t>
            </w:r>
          </w:p>
        </w:tc>
        <w:tc>
          <w:tcPr>
            <w:tcW w:w="1086" w:type="dxa"/>
          </w:tcPr>
          <w:p w14:paraId="496E39E2" w14:textId="41C13C70" w:rsidR="001E6A34" w:rsidRPr="00FB0D10" w:rsidRDefault="001E6A34" w:rsidP="00014A9C">
            <w:pPr>
              <w:pStyle w:val="TableText"/>
              <w:jc w:val="center"/>
            </w:pPr>
            <w:r w:rsidRPr="00FB0D10">
              <w:t>$</w:t>
            </w:r>
            <w:r w:rsidR="00F96E54" w:rsidRPr="00F96E54">
              <w:rPr>
                <w:color w:val="000000"/>
                <w:spacing w:val="102"/>
                <w:shd w:val="solid" w:color="000000" w:fill="000000"/>
                <w:fitText w:val="188" w:id="-1435343354"/>
                <w14:textFill>
                  <w14:solidFill>
                    <w14:srgbClr w14:val="000000">
                      <w14:alpha w14:val="100000"/>
                    </w14:srgbClr>
                  </w14:solidFill>
                </w14:textFill>
              </w:rPr>
              <w:t>|</w:t>
            </w:r>
            <w:r w:rsidR="00F96E54" w:rsidRPr="00F96E54">
              <w:rPr>
                <w:color w:val="000000"/>
                <w:spacing w:val="1"/>
                <w:shd w:val="solid" w:color="000000" w:fill="000000"/>
                <w:fitText w:val="188" w:id="-1435343354"/>
                <w14:textFill>
                  <w14:solidFill>
                    <w14:srgbClr w14:val="000000">
                      <w14:alpha w14:val="100000"/>
                    </w14:srgbClr>
                  </w14:solidFill>
                </w14:textFill>
              </w:rPr>
              <w:t>|</w:t>
            </w:r>
            <w:r w:rsidR="00764CEF" w:rsidRPr="008518B0">
              <w:rPr>
                <w:b/>
                <w:vertAlign w:val="superscript"/>
              </w:rPr>
              <w:t>1</w:t>
            </w:r>
          </w:p>
        </w:tc>
      </w:tr>
      <w:tr w:rsidR="001E6A34" w:rsidRPr="00FB0D10" w14:paraId="46CCBB97" w14:textId="77777777" w:rsidTr="006D385E">
        <w:tc>
          <w:tcPr>
            <w:tcW w:w="5807" w:type="dxa"/>
          </w:tcPr>
          <w:p w14:paraId="79F5DF95" w14:textId="77777777" w:rsidR="001E6A34" w:rsidRPr="00FB0D10" w:rsidRDefault="001E6A34" w:rsidP="00014A9C">
            <w:pPr>
              <w:pStyle w:val="TableText"/>
            </w:pPr>
            <w:r w:rsidRPr="00FB0D10">
              <w:t>Independent – responder lognormal; non-responder gamma</w:t>
            </w:r>
          </w:p>
        </w:tc>
        <w:tc>
          <w:tcPr>
            <w:tcW w:w="1273" w:type="dxa"/>
          </w:tcPr>
          <w:p w14:paraId="688F3D41" w14:textId="575C3A05" w:rsidR="001E6A34" w:rsidRPr="00FB0D10" w:rsidRDefault="001E6A34" w:rsidP="00014A9C">
            <w:pPr>
              <w:pStyle w:val="TableText"/>
              <w:jc w:val="center"/>
            </w:pPr>
            <w:r w:rsidRPr="00FB0D10">
              <w:t>$</w:t>
            </w:r>
            <w:r w:rsidR="00F96E54" w:rsidRPr="00F96E54">
              <w:rPr>
                <w:rFonts w:hint="eastAsia"/>
                <w:color w:val="000000"/>
                <w:w w:val="15"/>
                <w:shd w:val="solid" w:color="000000" w:fill="000000"/>
                <w:fitText w:val="63" w:id="-1435343353"/>
                <w14:textFill>
                  <w14:solidFill>
                    <w14:srgbClr w14:val="000000">
                      <w14:alpha w14:val="100000"/>
                    </w14:srgbClr>
                  </w14:solidFill>
                </w14:textFill>
              </w:rPr>
              <w:t xml:space="preserve">　</w:t>
            </w:r>
            <w:r w:rsidR="00F96E54" w:rsidRPr="00F96E54">
              <w:rPr>
                <w:color w:val="000000"/>
                <w:w w:val="15"/>
                <w:shd w:val="solid" w:color="000000" w:fill="000000"/>
                <w:fitText w:val="63" w:id="-1435343353"/>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3"/>
                <w14:textFill>
                  <w14:solidFill>
                    <w14:srgbClr w14:val="000000">
                      <w14:alpha w14:val="100000"/>
                    </w14:srgbClr>
                  </w14:solidFill>
                </w14:textFill>
              </w:rPr>
              <w:t xml:space="preserve">　</w:t>
            </w:r>
          </w:p>
        </w:tc>
        <w:tc>
          <w:tcPr>
            <w:tcW w:w="1137" w:type="dxa"/>
          </w:tcPr>
          <w:p w14:paraId="5A2DD6A1" w14:textId="57B671C8" w:rsidR="001E6A34" w:rsidRPr="00FB0D10" w:rsidRDefault="001E6A34" w:rsidP="00014A9C">
            <w:pPr>
              <w:pStyle w:val="TableText"/>
              <w:jc w:val="center"/>
            </w:pPr>
            <w:r w:rsidRPr="00FB0D10">
              <w:t>0.2219</w:t>
            </w:r>
          </w:p>
        </w:tc>
        <w:tc>
          <w:tcPr>
            <w:tcW w:w="1086" w:type="dxa"/>
          </w:tcPr>
          <w:p w14:paraId="2B8FCD89" w14:textId="603E6507" w:rsidR="001E6A34" w:rsidRPr="00FB0D10" w:rsidRDefault="001E6A34" w:rsidP="00014A9C">
            <w:pPr>
              <w:pStyle w:val="TableText"/>
              <w:jc w:val="center"/>
            </w:pPr>
            <w:r w:rsidRPr="00FB0D10">
              <w:t>$</w:t>
            </w:r>
            <w:r w:rsidR="00F96E54" w:rsidRPr="00F96E54">
              <w:rPr>
                <w:color w:val="000000"/>
                <w:spacing w:val="102"/>
                <w:shd w:val="solid" w:color="000000" w:fill="000000"/>
                <w:fitText w:val="188" w:id="-1435343352"/>
                <w14:textFill>
                  <w14:solidFill>
                    <w14:srgbClr w14:val="000000">
                      <w14:alpha w14:val="100000"/>
                    </w14:srgbClr>
                  </w14:solidFill>
                </w14:textFill>
              </w:rPr>
              <w:t>|</w:t>
            </w:r>
            <w:r w:rsidR="00F96E54" w:rsidRPr="00F96E54">
              <w:rPr>
                <w:color w:val="000000"/>
                <w:spacing w:val="1"/>
                <w:shd w:val="solid" w:color="000000" w:fill="000000"/>
                <w:fitText w:val="188" w:id="-1435343352"/>
                <w14:textFill>
                  <w14:solidFill>
                    <w14:srgbClr w14:val="000000">
                      <w14:alpha w14:val="100000"/>
                    </w14:srgbClr>
                  </w14:solidFill>
                </w14:textFill>
              </w:rPr>
              <w:t>|</w:t>
            </w:r>
            <w:r w:rsidR="00764CEF" w:rsidRPr="008518B0">
              <w:rPr>
                <w:b/>
                <w:vertAlign w:val="superscript"/>
              </w:rPr>
              <w:t>1</w:t>
            </w:r>
          </w:p>
        </w:tc>
      </w:tr>
      <w:tr w:rsidR="001E6A34" w:rsidRPr="00FB0D10" w14:paraId="763A73F9" w14:textId="77777777" w:rsidTr="006D385E">
        <w:tc>
          <w:tcPr>
            <w:tcW w:w="5807" w:type="dxa"/>
          </w:tcPr>
          <w:p w14:paraId="374559E3" w14:textId="77777777" w:rsidR="001E6A34" w:rsidRPr="00FB0D10" w:rsidRDefault="001E6A34" w:rsidP="00014A9C">
            <w:pPr>
              <w:pStyle w:val="TableText"/>
            </w:pPr>
            <w:r w:rsidRPr="00FB0D10">
              <w:t>Independent – responder lognormal; non-responder exponential</w:t>
            </w:r>
          </w:p>
        </w:tc>
        <w:tc>
          <w:tcPr>
            <w:tcW w:w="1273" w:type="dxa"/>
          </w:tcPr>
          <w:p w14:paraId="7A961E9F" w14:textId="06D40ABA" w:rsidR="001E6A34" w:rsidRPr="00FB0D10" w:rsidRDefault="001E6A34" w:rsidP="00014A9C">
            <w:pPr>
              <w:pStyle w:val="TableText"/>
              <w:jc w:val="center"/>
            </w:pPr>
            <w:r w:rsidRPr="00FB0D10">
              <w:t>$</w:t>
            </w:r>
            <w:r w:rsidR="00F96E54" w:rsidRPr="00F96E54">
              <w:rPr>
                <w:rFonts w:hint="eastAsia"/>
                <w:color w:val="000000"/>
                <w:w w:val="15"/>
                <w:shd w:val="solid" w:color="000000" w:fill="000000"/>
                <w:fitText w:val="63" w:id="-1435343351"/>
                <w14:textFill>
                  <w14:solidFill>
                    <w14:srgbClr w14:val="000000">
                      <w14:alpha w14:val="100000"/>
                    </w14:srgbClr>
                  </w14:solidFill>
                </w14:textFill>
              </w:rPr>
              <w:t xml:space="preserve">　</w:t>
            </w:r>
            <w:r w:rsidR="00F96E54" w:rsidRPr="00F96E54">
              <w:rPr>
                <w:color w:val="000000"/>
                <w:w w:val="15"/>
                <w:shd w:val="solid" w:color="000000" w:fill="000000"/>
                <w:fitText w:val="63" w:id="-1435343351"/>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1"/>
                <w14:textFill>
                  <w14:solidFill>
                    <w14:srgbClr w14:val="000000">
                      <w14:alpha w14:val="100000"/>
                    </w14:srgbClr>
                  </w14:solidFill>
                </w14:textFill>
              </w:rPr>
              <w:t xml:space="preserve">　</w:t>
            </w:r>
          </w:p>
        </w:tc>
        <w:tc>
          <w:tcPr>
            <w:tcW w:w="1137" w:type="dxa"/>
          </w:tcPr>
          <w:p w14:paraId="6C21ACB3" w14:textId="3335606E" w:rsidR="001E6A34" w:rsidRPr="00FB0D10" w:rsidRDefault="001E6A34" w:rsidP="00014A9C">
            <w:pPr>
              <w:pStyle w:val="TableText"/>
              <w:jc w:val="center"/>
            </w:pPr>
            <w:r w:rsidRPr="00FB0D10">
              <w:t>0.2302</w:t>
            </w:r>
          </w:p>
        </w:tc>
        <w:tc>
          <w:tcPr>
            <w:tcW w:w="1086" w:type="dxa"/>
          </w:tcPr>
          <w:p w14:paraId="62EB4171" w14:textId="0A027ADE" w:rsidR="001E6A34" w:rsidRPr="00FB0D10" w:rsidRDefault="001E6A34" w:rsidP="00014A9C">
            <w:pPr>
              <w:pStyle w:val="TableText"/>
              <w:jc w:val="center"/>
            </w:pPr>
            <w:r w:rsidRPr="00FB0D10">
              <w:t>$</w:t>
            </w:r>
            <w:r w:rsidR="00F96E54" w:rsidRPr="00F96E54">
              <w:rPr>
                <w:color w:val="000000"/>
                <w:spacing w:val="102"/>
                <w:shd w:val="solid" w:color="000000" w:fill="000000"/>
                <w:fitText w:val="188" w:id="-1435343350"/>
                <w14:textFill>
                  <w14:solidFill>
                    <w14:srgbClr w14:val="000000">
                      <w14:alpha w14:val="100000"/>
                    </w14:srgbClr>
                  </w14:solidFill>
                </w14:textFill>
              </w:rPr>
              <w:t>|</w:t>
            </w:r>
            <w:r w:rsidR="00F96E54" w:rsidRPr="00F96E54">
              <w:rPr>
                <w:color w:val="000000"/>
                <w:spacing w:val="1"/>
                <w:shd w:val="solid" w:color="000000" w:fill="000000"/>
                <w:fitText w:val="188" w:id="-1435343350"/>
                <w14:textFill>
                  <w14:solidFill>
                    <w14:srgbClr w14:val="000000">
                      <w14:alpha w14:val="100000"/>
                    </w14:srgbClr>
                  </w14:solidFill>
                </w14:textFill>
              </w:rPr>
              <w:t>|</w:t>
            </w:r>
            <w:r w:rsidR="00764CEF" w:rsidRPr="008518B0">
              <w:rPr>
                <w:b/>
                <w:vertAlign w:val="superscript"/>
              </w:rPr>
              <w:t>1</w:t>
            </w:r>
          </w:p>
        </w:tc>
      </w:tr>
      <w:tr w:rsidR="001E6A34" w:rsidRPr="00FB0D10" w14:paraId="0AE97BE7" w14:textId="77777777" w:rsidTr="006D385E">
        <w:tc>
          <w:tcPr>
            <w:tcW w:w="5807" w:type="dxa"/>
          </w:tcPr>
          <w:p w14:paraId="3B801530" w14:textId="77777777" w:rsidR="001E6A34" w:rsidRPr="00FB0D10" w:rsidRDefault="001E6A34" w:rsidP="00014A9C">
            <w:pPr>
              <w:pStyle w:val="TableText"/>
            </w:pPr>
            <w:r w:rsidRPr="00FB0D10">
              <w:t>Independent – responder lognormal; non-responder Weibull</w:t>
            </w:r>
          </w:p>
        </w:tc>
        <w:tc>
          <w:tcPr>
            <w:tcW w:w="1273" w:type="dxa"/>
          </w:tcPr>
          <w:p w14:paraId="3BB9A47C" w14:textId="2B8AC19F" w:rsidR="001E6A34" w:rsidRPr="00FB0D10" w:rsidRDefault="001E6A34" w:rsidP="00014A9C">
            <w:pPr>
              <w:pStyle w:val="TableText"/>
              <w:jc w:val="center"/>
            </w:pPr>
            <w:r w:rsidRPr="00FB0D10">
              <w:t>$</w:t>
            </w:r>
            <w:r w:rsidR="00F96E54" w:rsidRPr="00F96E54">
              <w:rPr>
                <w:rFonts w:hint="eastAsia"/>
                <w:color w:val="000000"/>
                <w:w w:val="15"/>
                <w:shd w:val="solid" w:color="000000" w:fill="000000"/>
                <w:fitText w:val="63" w:id="-1435343349"/>
                <w14:textFill>
                  <w14:solidFill>
                    <w14:srgbClr w14:val="000000">
                      <w14:alpha w14:val="100000"/>
                    </w14:srgbClr>
                  </w14:solidFill>
                </w14:textFill>
              </w:rPr>
              <w:t xml:space="preserve">　</w:t>
            </w:r>
            <w:r w:rsidR="00F96E54" w:rsidRPr="00F96E54">
              <w:rPr>
                <w:color w:val="000000"/>
                <w:w w:val="15"/>
                <w:shd w:val="solid" w:color="000000" w:fill="000000"/>
                <w:fitText w:val="63" w:id="-1435343349"/>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9"/>
                <w14:textFill>
                  <w14:solidFill>
                    <w14:srgbClr w14:val="000000">
                      <w14:alpha w14:val="100000"/>
                    </w14:srgbClr>
                  </w14:solidFill>
                </w14:textFill>
              </w:rPr>
              <w:t xml:space="preserve">　</w:t>
            </w:r>
          </w:p>
        </w:tc>
        <w:tc>
          <w:tcPr>
            <w:tcW w:w="1137" w:type="dxa"/>
          </w:tcPr>
          <w:p w14:paraId="5BE7FEEA" w14:textId="5E59D032" w:rsidR="001E6A34" w:rsidRPr="00FB0D10" w:rsidRDefault="001E6A34" w:rsidP="00014A9C">
            <w:pPr>
              <w:pStyle w:val="TableText"/>
              <w:jc w:val="center"/>
            </w:pPr>
            <w:r w:rsidRPr="00FB0D10">
              <w:t>0.2267</w:t>
            </w:r>
          </w:p>
        </w:tc>
        <w:tc>
          <w:tcPr>
            <w:tcW w:w="1086" w:type="dxa"/>
          </w:tcPr>
          <w:p w14:paraId="6E2B36FD" w14:textId="2681AF5E" w:rsidR="001E6A34" w:rsidRPr="00FB0D10" w:rsidRDefault="001E6A34" w:rsidP="00014A9C">
            <w:pPr>
              <w:pStyle w:val="TableText"/>
              <w:jc w:val="center"/>
            </w:pPr>
            <w:r w:rsidRPr="00FB0D10">
              <w:t>$</w:t>
            </w:r>
            <w:r w:rsidR="00F96E54" w:rsidRPr="00F96E54">
              <w:rPr>
                <w:color w:val="000000"/>
                <w:spacing w:val="102"/>
                <w:shd w:val="solid" w:color="000000" w:fill="000000"/>
                <w:fitText w:val="188" w:id="-1435343348"/>
                <w14:textFill>
                  <w14:solidFill>
                    <w14:srgbClr w14:val="000000">
                      <w14:alpha w14:val="100000"/>
                    </w14:srgbClr>
                  </w14:solidFill>
                </w14:textFill>
              </w:rPr>
              <w:t>|</w:t>
            </w:r>
            <w:r w:rsidR="00F96E54" w:rsidRPr="00F96E54">
              <w:rPr>
                <w:color w:val="000000"/>
                <w:spacing w:val="1"/>
                <w:shd w:val="solid" w:color="000000" w:fill="000000"/>
                <w:fitText w:val="188" w:id="-1435343348"/>
                <w14:textFill>
                  <w14:solidFill>
                    <w14:srgbClr w14:val="000000">
                      <w14:alpha w14:val="100000"/>
                    </w14:srgbClr>
                  </w14:solidFill>
                </w14:textFill>
              </w:rPr>
              <w:t>|</w:t>
            </w:r>
            <w:r w:rsidR="00764CEF" w:rsidRPr="008518B0">
              <w:rPr>
                <w:b/>
                <w:vertAlign w:val="superscript"/>
              </w:rPr>
              <w:t>1</w:t>
            </w:r>
          </w:p>
        </w:tc>
      </w:tr>
      <w:tr w:rsidR="001E6A34" w:rsidRPr="00FB0D10" w14:paraId="00EEEF9C" w14:textId="77777777" w:rsidTr="006D385E">
        <w:tc>
          <w:tcPr>
            <w:tcW w:w="5807" w:type="dxa"/>
          </w:tcPr>
          <w:p w14:paraId="324C93BC" w14:textId="76C90F4A" w:rsidR="001E6A34" w:rsidRPr="00FB0D10" w:rsidRDefault="00B92FB5" w:rsidP="00014A9C">
            <w:pPr>
              <w:pStyle w:val="TableText"/>
            </w:pPr>
            <w:r w:rsidRPr="00FB0D10">
              <w:t>General population mortality excluded</w:t>
            </w:r>
          </w:p>
        </w:tc>
        <w:tc>
          <w:tcPr>
            <w:tcW w:w="1273" w:type="dxa"/>
          </w:tcPr>
          <w:p w14:paraId="3ECC6B0A" w14:textId="792DCCAB" w:rsidR="001E6A34" w:rsidRPr="00FB0D10" w:rsidRDefault="001E6A34" w:rsidP="00014A9C">
            <w:pPr>
              <w:pStyle w:val="TableText"/>
              <w:jc w:val="center"/>
            </w:pPr>
            <w:r w:rsidRPr="00FB0D10">
              <w:t>$</w:t>
            </w:r>
            <w:r w:rsidR="00F96E54" w:rsidRPr="00F96E54">
              <w:rPr>
                <w:rFonts w:hint="eastAsia"/>
                <w:color w:val="000000"/>
                <w:w w:val="15"/>
                <w:shd w:val="solid" w:color="000000" w:fill="000000"/>
                <w:fitText w:val="63" w:id="-1435343347"/>
                <w14:textFill>
                  <w14:solidFill>
                    <w14:srgbClr w14:val="000000">
                      <w14:alpha w14:val="100000"/>
                    </w14:srgbClr>
                  </w14:solidFill>
                </w14:textFill>
              </w:rPr>
              <w:t xml:space="preserve">　</w:t>
            </w:r>
            <w:r w:rsidR="00F96E54" w:rsidRPr="00F96E54">
              <w:rPr>
                <w:color w:val="000000"/>
                <w:w w:val="15"/>
                <w:shd w:val="solid" w:color="000000" w:fill="000000"/>
                <w:fitText w:val="63" w:id="-1435343347"/>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7"/>
                <w14:textFill>
                  <w14:solidFill>
                    <w14:srgbClr w14:val="000000">
                      <w14:alpha w14:val="100000"/>
                    </w14:srgbClr>
                  </w14:solidFill>
                </w14:textFill>
              </w:rPr>
              <w:t xml:space="preserve">　</w:t>
            </w:r>
          </w:p>
        </w:tc>
        <w:tc>
          <w:tcPr>
            <w:tcW w:w="1137" w:type="dxa"/>
          </w:tcPr>
          <w:p w14:paraId="43332D02" w14:textId="21C4780B" w:rsidR="001E6A34" w:rsidRPr="00FB0D10" w:rsidRDefault="001E6A34" w:rsidP="00014A9C">
            <w:pPr>
              <w:pStyle w:val="TableText"/>
              <w:jc w:val="center"/>
            </w:pPr>
            <w:r w:rsidRPr="00FB0D10">
              <w:t>0.2272</w:t>
            </w:r>
          </w:p>
        </w:tc>
        <w:tc>
          <w:tcPr>
            <w:tcW w:w="1086" w:type="dxa"/>
          </w:tcPr>
          <w:p w14:paraId="1D527F6B" w14:textId="5DF649FB" w:rsidR="001E6A34" w:rsidRPr="00FB0D10" w:rsidRDefault="001E6A34" w:rsidP="00014A9C">
            <w:pPr>
              <w:pStyle w:val="TableText"/>
              <w:jc w:val="center"/>
            </w:pPr>
            <w:r w:rsidRPr="00FB0D10">
              <w:t>$</w:t>
            </w:r>
            <w:r w:rsidR="00F96E54" w:rsidRPr="00F96E54">
              <w:rPr>
                <w:color w:val="000000"/>
                <w:spacing w:val="102"/>
                <w:shd w:val="solid" w:color="000000" w:fill="000000"/>
                <w:fitText w:val="188" w:id="-1435343346"/>
                <w14:textFill>
                  <w14:solidFill>
                    <w14:srgbClr w14:val="000000">
                      <w14:alpha w14:val="100000"/>
                    </w14:srgbClr>
                  </w14:solidFill>
                </w14:textFill>
              </w:rPr>
              <w:t>|</w:t>
            </w:r>
            <w:r w:rsidR="00F96E54" w:rsidRPr="00F96E54">
              <w:rPr>
                <w:color w:val="000000"/>
                <w:spacing w:val="1"/>
                <w:shd w:val="solid" w:color="000000" w:fill="000000"/>
                <w:fitText w:val="188" w:id="-1435343346"/>
                <w14:textFill>
                  <w14:solidFill>
                    <w14:srgbClr w14:val="000000">
                      <w14:alpha w14:val="100000"/>
                    </w14:srgbClr>
                  </w14:solidFill>
                </w14:textFill>
              </w:rPr>
              <w:t>|</w:t>
            </w:r>
            <w:r w:rsidR="00764CEF" w:rsidRPr="008518B0">
              <w:rPr>
                <w:b/>
                <w:vertAlign w:val="superscript"/>
              </w:rPr>
              <w:t>1</w:t>
            </w:r>
          </w:p>
        </w:tc>
      </w:tr>
      <w:tr w:rsidR="001E6A34" w:rsidRPr="00FB0D10" w14:paraId="389E3052" w14:textId="77777777" w:rsidTr="00A361A7">
        <w:trPr>
          <w:trHeight w:val="70"/>
        </w:trPr>
        <w:tc>
          <w:tcPr>
            <w:tcW w:w="9303" w:type="dxa"/>
            <w:gridSpan w:val="4"/>
          </w:tcPr>
          <w:p w14:paraId="701389E6" w14:textId="77777777" w:rsidR="001E6A34" w:rsidRPr="00FB0D10" w:rsidRDefault="001E6A34" w:rsidP="00014A9C">
            <w:pPr>
              <w:pStyle w:val="TableText"/>
              <w:rPr>
                <w:b/>
                <w:bCs w:val="0"/>
              </w:rPr>
            </w:pPr>
            <w:r w:rsidRPr="00FB0D10">
              <w:rPr>
                <w:b/>
                <w:bCs w:val="0"/>
              </w:rPr>
              <w:t>Time to treatment discontinuation extrapolation (base case: REACH2 trial observed data)</w:t>
            </w:r>
          </w:p>
        </w:tc>
      </w:tr>
      <w:tr w:rsidR="001E6A34" w:rsidRPr="00FB0D10" w14:paraId="1EA62182" w14:textId="77777777" w:rsidTr="006D385E">
        <w:tc>
          <w:tcPr>
            <w:tcW w:w="5807" w:type="dxa"/>
          </w:tcPr>
          <w:p w14:paraId="27B085B1" w14:textId="77777777" w:rsidR="001E6A34" w:rsidRPr="00FB0D10" w:rsidRDefault="001E6A34" w:rsidP="00014A9C">
            <w:pPr>
              <w:pStyle w:val="TableText"/>
            </w:pPr>
            <w:r w:rsidRPr="00FB0D10">
              <w:t xml:space="preserve">Independent – ruxolitinib Weibull from 19 weeks; </w:t>
            </w:r>
          </w:p>
        </w:tc>
        <w:tc>
          <w:tcPr>
            <w:tcW w:w="1273" w:type="dxa"/>
          </w:tcPr>
          <w:p w14:paraId="3A05B137" w14:textId="45539D57" w:rsidR="001E6A34" w:rsidRPr="00FB0D10" w:rsidRDefault="001E6A34" w:rsidP="00014A9C">
            <w:pPr>
              <w:pStyle w:val="TableText"/>
              <w:jc w:val="center"/>
            </w:pPr>
            <w:r w:rsidRPr="00FB0D10">
              <w:t>$</w:t>
            </w:r>
            <w:r w:rsidR="00F96E54" w:rsidRPr="00F96E54">
              <w:rPr>
                <w:rFonts w:hint="eastAsia"/>
                <w:color w:val="000000"/>
                <w:w w:val="15"/>
                <w:shd w:val="solid" w:color="000000" w:fill="000000"/>
                <w:fitText w:val="63" w:id="-1435343345"/>
                <w14:textFill>
                  <w14:solidFill>
                    <w14:srgbClr w14:val="000000">
                      <w14:alpha w14:val="100000"/>
                    </w14:srgbClr>
                  </w14:solidFill>
                </w14:textFill>
              </w:rPr>
              <w:t xml:space="preserve">　</w:t>
            </w:r>
            <w:r w:rsidR="00F96E54" w:rsidRPr="00F96E54">
              <w:rPr>
                <w:color w:val="000000"/>
                <w:w w:val="15"/>
                <w:shd w:val="solid" w:color="000000" w:fill="000000"/>
                <w:fitText w:val="63" w:id="-1435343345"/>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5"/>
                <w14:textFill>
                  <w14:solidFill>
                    <w14:srgbClr w14:val="000000">
                      <w14:alpha w14:val="100000"/>
                    </w14:srgbClr>
                  </w14:solidFill>
                </w14:textFill>
              </w:rPr>
              <w:t xml:space="preserve">　</w:t>
            </w:r>
          </w:p>
        </w:tc>
        <w:tc>
          <w:tcPr>
            <w:tcW w:w="1137" w:type="dxa"/>
          </w:tcPr>
          <w:p w14:paraId="076C63A0" w14:textId="0E46C9FB" w:rsidR="001E6A34" w:rsidRPr="00FB0D10" w:rsidRDefault="001E6A34" w:rsidP="00014A9C">
            <w:pPr>
              <w:pStyle w:val="TableText"/>
              <w:jc w:val="center"/>
            </w:pPr>
            <w:r w:rsidRPr="00FB0D10">
              <w:t>0.2243</w:t>
            </w:r>
          </w:p>
        </w:tc>
        <w:tc>
          <w:tcPr>
            <w:tcW w:w="1086" w:type="dxa"/>
          </w:tcPr>
          <w:p w14:paraId="6436A007" w14:textId="477F92CF" w:rsidR="001E6A34" w:rsidRPr="00FB0D10" w:rsidRDefault="001E6A34" w:rsidP="00014A9C">
            <w:pPr>
              <w:pStyle w:val="TableText"/>
              <w:jc w:val="center"/>
            </w:pPr>
            <w:r w:rsidRPr="00FB0D10">
              <w:t>$</w:t>
            </w:r>
            <w:r w:rsidR="00F96E54" w:rsidRPr="00F96E54">
              <w:rPr>
                <w:color w:val="000000"/>
                <w:spacing w:val="102"/>
                <w:shd w:val="solid" w:color="000000" w:fill="000000"/>
                <w:fitText w:val="188" w:id="-1435343344"/>
                <w14:textFill>
                  <w14:solidFill>
                    <w14:srgbClr w14:val="000000">
                      <w14:alpha w14:val="100000"/>
                    </w14:srgbClr>
                  </w14:solidFill>
                </w14:textFill>
              </w:rPr>
              <w:t>|</w:t>
            </w:r>
            <w:r w:rsidR="00F96E54" w:rsidRPr="00F96E54">
              <w:rPr>
                <w:color w:val="000000"/>
                <w:spacing w:val="1"/>
                <w:shd w:val="solid" w:color="000000" w:fill="000000"/>
                <w:fitText w:val="188" w:id="-1435343344"/>
                <w14:textFill>
                  <w14:solidFill>
                    <w14:srgbClr w14:val="000000">
                      <w14:alpha w14:val="100000"/>
                    </w14:srgbClr>
                  </w14:solidFill>
                </w14:textFill>
              </w:rPr>
              <w:t>|</w:t>
            </w:r>
            <w:r w:rsidR="00764CEF" w:rsidRPr="008518B0">
              <w:rPr>
                <w:b/>
                <w:vertAlign w:val="superscript"/>
              </w:rPr>
              <w:t>1</w:t>
            </w:r>
          </w:p>
        </w:tc>
      </w:tr>
      <w:tr w:rsidR="001E6A34" w:rsidRPr="00FB0D10" w14:paraId="42F671DD" w14:textId="77777777" w:rsidTr="006D385E">
        <w:tc>
          <w:tcPr>
            <w:tcW w:w="5807" w:type="dxa"/>
          </w:tcPr>
          <w:p w14:paraId="66604075" w14:textId="77777777" w:rsidR="001E6A34" w:rsidRPr="00FB0D10" w:rsidRDefault="001E6A34" w:rsidP="00014A9C">
            <w:pPr>
              <w:pStyle w:val="TableText"/>
            </w:pPr>
            <w:r w:rsidRPr="00FB0D10">
              <w:t>Independent – ruxolitinib exponential from 19 weeks</w:t>
            </w:r>
          </w:p>
        </w:tc>
        <w:tc>
          <w:tcPr>
            <w:tcW w:w="1273" w:type="dxa"/>
          </w:tcPr>
          <w:p w14:paraId="1595A63E" w14:textId="41366762" w:rsidR="001E6A34" w:rsidRPr="00FB0D10" w:rsidRDefault="001E6A34" w:rsidP="00014A9C">
            <w:pPr>
              <w:pStyle w:val="TableText"/>
              <w:jc w:val="center"/>
            </w:pPr>
            <w:r w:rsidRPr="00FB0D10">
              <w:t>$</w:t>
            </w:r>
            <w:r w:rsidR="00F96E54" w:rsidRPr="00F96E54">
              <w:rPr>
                <w:rFonts w:hint="eastAsia"/>
                <w:color w:val="000000"/>
                <w:w w:val="15"/>
                <w:shd w:val="solid" w:color="000000" w:fill="000000"/>
                <w:fitText w:val="63" w:id="-1435343360"/>
                <w14:textFill>
                  <w14:solidFill>
                    <w14:srgbClr w14:val="000000">
                      <w14:alpha w14:val="100000"/>
                    </w14:srgbClr>
                  </w14:solidFill>
                </w14:textFill>
              </w:rPr>
              <w:t xml:space="preserve">　</w:t>
            </w:r>
            <w:r w:rsidR="00F96E54" w:rsidRPr="00F96E54">
              <w:rPr>
                <w:color w:val="000000"/>
                <w:w w:val="15"/>
                <w:shd w:val="solid" w:color="000000" w:fill="000000"/>
                <w:fitText w:val="63" w:id="-1435343360"/>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60"/>
                <w14:textFill>
                  <w14:solidFill>
                    <w14:srgbClr w14:val="000000">
                      <w14:alpha w14:val="100000"/>
                    </w14:srgbClr>
                  </w14:solidFill>
                </w14:textFill>
              </w:rPr>
              <w:t xml:space="preserve">　</w:t>
            </w:r>
          </w:p>
        </w:tc>
        <w:tc>
          <w:tcPr>
            <w:tcW w:w="1137" w:type="dxa"/>
          </w:tcPr>
          <w:p w14:paraId="291754EB" w14:textId="63C48060" w:rsidR="001E6A34" w:rsidRPr="00FB0D10" w:rsidRDefault="001E6A34" w:rsidP="00014A9C">
            <w:pPr>
              <w:pStyle w:val="TableText"/>
              <w:jc w:val="center"/>
            </w:pPr>
            <w:r w:rsidRPr="00FB0D10">
              <w:t>0.2243</w:t>
            </w:r>
          </w:p>
        </w:tc>
        <w:tc>
          <w:tcPr>
            <w:tcW w:w="1086" w:type="dxa"/>
          </w:tcPr>
          <w:p w14:paraId="7F217E47" w14:textId="304D9476" w:rsidR="001E6A34" w:rsidRPr="00FB0D10" w:rsidRDefault="001E6A34" w:rsidP="00014A9C">
            <w:pPr>
              <w:pStyle w:val="TableText"/>
              <w:jc w:val="center"/>
            </w:pPr>
            <w:r w:rsidRPr="00FB0D10">
              <w:t>$</w:t>
            </w:r>
            <w:r w:rsidR="00F96E54" w:rsidRPr="00F96E54">
              <w:rPr>
                <w:color w:val="000000"/>
                <w:spacing w:val="102"/>
                <w:shd w:val="solid" w:color="000000" w:fill="000000"/>
                <w:fitText w:val="188" w:id="-1435343359"/>
                <w14:textFill>
                  <w14:solidFill>
                    <w14:srgbClr w14:val="000000">
                      <w14:alpha w14:val="100000"/>
                    </w14:srgbClr>
                  </w14:solidFill>
                </w14:textFill>
              </w:rPr>
              <w:t>|</w:t>
            </w:r>
            <w:r w:rsidR="00F96E54" w:rsidRPr="00F96E54">
              <w:rPr>
                <w:color w:val="000000"/>
                <w:spacing w:val="1"/>
                <w:shd w:val="solid" w:color="000000" w:fill="000000"/>
                <w:fitText w:val="188" w:id="-1435343359"/>
                <w14:textFill>
                  <w14:solidFill>
                    <w14:srgbClr w14:val="000000">
                      <w14:alpha w14:val="100000"/>
                    </w14:srgbClr>
                  </w14:solidFill>
                </w14:textFill>
              </w:rPr>
              <w:t>|</w:t>
            </w:r>
            <w:r w:rsidR="00764CEF" w:rsidRPr="008518B0">
              <w:rPr>
                <w:b/>
                <w:vertAlign w:val="superscript"/>
              </w:rPr>
              <w:t>1</w:t>
            </w:r>
          </w:p>
        </w:tc>
      </w:tr>
      <w:tr w:rsidR="001E6A34" w:rsidRPr="00FB0D10" w14:paraId="4D96CB41" w14:textId="77777777" w:rsidTr="006D385E">
        <w:tc>
          <w:tcPr>
            <w:tcW w:w="5807" w:type="dxa"/>
          </w:tcPr>
          <w:p w14:paraId="037AFFBC" w14:textId="77777777" w:rsidR="001E6A34" w:rsidRPr="00FB0D10" w:rsidRDefault="001E6A34" w:rsidP="00014A9C">
            <w:pPr>
              <w:pStyle w:val="TableText"/>
            </w:pPr>
            <w:r w:rsidRPr="00FB0D10">
              <w:t>Independent – BAT Weibull from 5 weeks</w:t>
            </w:r>
          </w:p>
        </w:tc>
        <w:tc>
          <w:tcPr>
            <w:tcW w:w="1273" w:type="dxa"/>
          </w:tcPr>
          <w:p w14:paraId="20B1779C" w14:textId="33C17F61" w:rsidR="001E6A34" w:rsidRPr="00FB0D10" w:rsidRDefault="001E6A34" w:rsidP="00014A9C">
            <w:pPr>
              <w:pStyle w:val="TableText"/>
              <w:jc w:val="center"/>
            </w:pPr>
            <w:r w:rsidRPr="00FB0D10">
              <w:t>$</w:t>
            </w:r>
            <w:r w:rsidR="00F96E54" w:rsidRPr="00F96E54">
              <w:rPr>
                <w:rFonts w:hint="eastAsia"/>
                <w:color w:val="000000"/>
                <w:w w:val="15"/>
                <w:shd w:val="solid" w:color="000000" w:fill="000000"/>
                <w:fitText w:val="63" w:id="-1435343358"/>
                <w14:textFill>
                  <w14:solidFill>
                    <w14:srgbClr w14:val="000000">
                      <w14:alpha w14:val="100000"/>
                    </w14:srgbClr>
                  </w14:solidFill>
                </w14:textFill>
              </w:rPr>
              <w:t xml:space="preserve">　</w:t>
            </w:r>
            <w:r w:rsidR="00F96E54" w:rsidRPr="00F96E54">
              <w:rPr>
                <w:color w:val="000000"/>
                <w:w w:val="15"/>
                <w:shd w:val="solid" w:color="000000" w:fill="000000"/>
                <w:fitText w:val="63" w:id="-1435343358"/>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8"/>
                <w14:textFill>
                  <w14:solidFill>
                    <w14:srgbClr w14:val="000000">
                      <w14:alpha w14:val="100000"/>
                    </w14:srgbClr>
                  </w14:solidFill>
                </w14:textFill>
              </w:rPr>
              <w:t xml:space="preserve">　</w:t>
            </w:r>
          </w:p>
        </w:tc>
        <w:tc>
          <w:tcPr>
            <w:tcW w:w="1137" w:type="dxa"/>
          </w:tcPr>
          <w:p w14:paraId="53466ADF" w14:textId="683EB8D2" w:rsidR="001E6A34" w:rsidRPr="00FB0D10" w:rsidRDefault="001E6A34" w:rsidP="00014A9C">
            <w:pPr>
              <w:pStyle w:val="TableText"/>
              <w:jc w:val="center"/>
            </w:pPr>
            <w:r w:rsidRPr="00FB0D10">
              <w:t>0.2243</w:t>
            </w:r>
          </w:p>
        </w:tc>
        <w:tc>
          <w:tcPr>
            <w:tcW w:w="1086" w:type="dxa"/>
          </w:tcPr>
          <w:p w14:paraId="4F7EC6A0" w14:textId="2C2A3CDC" w:rsidR="001E6A34" w:rsidRPr="00FB0D10" w:rsidRDefault="001E6A34" w:rsidP="00014A9C">
            <w:pPr>
              <w:pStyle w:val="TableText"/>
              <w:jc w:val="center"/>
            </w:pPr>
            <w:r w:rsidRPr="00FB0D10">
              <w:t>$</w:t>
            </w:r>
            <w:r w:rsidR="00F96E54" w:rsidRPr="00F96E54">
              <w:rPr>
                <w:color w:val="000000"/>
                <w:spacing w:val="102"/>
                <w:shd w:val="solid" w:color="000000" w:fill="000000"/>
                <w:fitText w:val="188" w:id="-1435343357"/>
                <w14:textFill>
                  <w14:solidFill>
                    <w14:srgbClr w14:val="000000">
                      <w14:alpha w14:val="100000"/>
                    </w14:srgbClr>
                  </w14:solidFill>
                </w14:textFill>
              </w:rPr>
              <w:t>|</w:t>
            </w:r>
            <w:r w:rsidR="00F96E54" w:rsidRPr="00F96E54">
              <w:rPr>
                <w:color w:val="000000"/>
                <w:spacing w:val="1"/>
                <w:shd w:val="solid" w:color="000000" w:fill="000000"/>
                <w:fitText w:val="188" w:id="-1435343357"/>
                <w14:textFill>
                  <w14:solidFill>
                    <w14:srgbClr w14:val="000000">
                      <w14:alpha w14:val="100000"/>
                    </w14:srgbClr>
                  </w14:solidFill>
                </w14:textFill>
              </w:rPr>
              <w:t>|</w:t>
            </w:r>
            <w:r w:rsidR="00764CEF" w:rsidRPr="008518B0">
              <w:rPr>
                <w:b/>
                <w:vertAlign w:val="superscript"/>
              </w:rPr>
              <w:t>1</w:t>
            </w:r>
          </w:p>
        </w:tc>
      </w:tr>
      <w:tr w:rsidR="001E6A34" w:rsidRPr="00FB0D10" w14:paraId="06C96A14" w14:textId="77777777" w:rsidTr="006D385E">
        <w:tc>
          <w:tcPr>
            <w:tcW w:w="5807" w:type="dxa"/>
          </w:tcPr>
          <w:p w14:paraId="2D00625E" w14:textId="77777777" w:rsidR="001E6A34" w:rsidRPr="00FB0D10" w:rsidRDefault="001E6A34" w:rsidP="001E6A34">
            <w:pPr>
              <w:pStyle w:val="TableText"/>
              <w:keepNext w:val="0"/>
            </w:pPr>
            <w:r w:rsidRPr="00FB0D10">
              <w:t>Independent – BAT exponential from 5 weeks</w:t>
            </w:r>
          </w:p>
        </w:tc>
        <w:tc>
          <w:tcPr>
            <w:tcW w:w="1273" w:type="dxa"/>
          </w:tcPr>
          <w:p w14:paraId="02CA7D41" w14:textId="4538C311" w:rsidR="001E6A34" w:rsidRPr="00FB0D10" w:rsidRDefault="001E6A34" w:rsidP="001E6A34">
            <w:pPr>
              <w:pStyle w:val="TableText"/>
              <w:keepNext w:val="0"/>
              <w:jc w:val="center"/>
            </w:pPr>
            <w:r w:rsidRPr="00FB0D10">
              <w:t>$</w:t>
            </w:r>
            <w:r w:rsidR="00F96E54" w:rsidRPr="00F96E54">
              <w:rPr>
                <w:rFonts w:hint="eastAsia"/>
                <w:color w:val="000000"/>
                <w:w w:val="15"/>
                <w:shd w:val="solid" w:color="000000" w:fill="000000"/>
                <w:fitText w:val="63" w:id="-1435343356"/>
                <w14:textFill>
                  <w14:solidFill>
                    <w14:srgbClr w14:val="000000">
                      <w14:alpha w14:val="100000"/>
                    </w14:srgbClr>
                  </w14:solidFill>
                </w14:textFill>
              </w:rPr>
              <w:t xml:space="preserve">　</w:t>
            </w:r>
            <w:r w:rsidR="00F96E54" w:rsidRPr="00F96E54">
              <w:rPr>
                <w:color w:val="000000"/>
                <w:w w:val="15"/>
                <w:shd w:val="solid" w:color="000000" w:fill="000000"/>
                <w:fitText w:val="63" w:id="-1435343356"/>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6"/>
                <w14:textFill>
                  <w14:solidFill>
                    <w14:srgbClr w14:val="000000">
                      <w14:alpha w14:val="100000"/>
                    </w14:srgbClr>
                  </w14:solidFill>
                </w14:textFill>
              </w:rPr>
              <w:t xml:space="preserve">　</w:t>
            </w:r>
          </w:p>
        </w:tc>
        <w:tc>
          <w:tcPr>
            <w:tcW w:w="1137" w:type="dxa"/>
          </w:tcPr>
          <w:p w14:paraId="2D33D692" w14:textId="7BEC5145" w:rsidR="001E6A34" w:rsidRPr="00FB0D10" w:rsidRDefault="001E6A34" w:rsidP="001E6A34">
            <w:pPr>
              <w:pStyle w:val="TableText"/>
              <w:keepNext w:val="0"/>
              <w:jc w:val="center"/>
            </w:pPr>
            <w:r w:rsidRPr="00FB0D10">
              <w:t>0.2238</w:t>
            </w:r>
          </w:p>
        </w:tc>
        <w:tc>
          <w:tcPr>
            <w:tcW w:w="1086" w:type="dxa"/>
          </w:tcPr>
          <w:p w14:paraId="38BB5C1C" w14:textId="5E0D1E5E" w:rsidR="001E6A34" w:rsidRPr="00FB0D10" w:rsidRDefault="001E6A34" w:rsidP="001E6A34">
            <w:pPr>
              <w:pStyle w:val="TableText"/>
              <w:keepNext w:val="0"/>
              <w:jc w:val="center"/>
            </w:pPr>
            <w:r w:rsidRPr="00FB0D10">
              <w:t>$</w:t>
            </w:r>
            <w:r w:rsidR="00F96E54" w:rsidRPr="00F96E54">
              <w:rPr>
                <w:color w:val="000000"/>
                <w:spacing w:val="102"/>
                <w:shd w:val="solid" w:color="000000" w:fill="000000"/>
                <w:fitText w:val="188" w:id="-1435343355"/>
                <w14:textFill>
                  <w14:solidFill>
                    <w14:srgbClr w14:val="000000">
                      <w14:alpha w14:val="100000"/>
                    </w14:srgbClr>
                  </w14:solidFill>
                </w14:textFill>
              </w:rPr>
              <w:t>|</w:t>
            </w:r>
            <w:r w:rsidR="00F96E54" w:rsidRPr="00F96E54">
              <w:rPr>
                <w:color w:val="000000"/>
                <w:spacing w:val="1"/>
                <w:shd w:val="solid" w:color="000000" w:fill="000000"/>
                <w:fitText w:val="188" w:id="-1435343355"/>
                <w14:textFill>
                  <w14:solidFill>
                    <w14:srgbClr w14:val="000000">
                      <w14:alpha w14:val="100000"/>
                    </w14:srgbClr>
                  </w14:solidFill>
                </w14:textFill>
              </w:rPr>
              <w:t>|</w:t>
            </w:r>
            <w:r w:rsidR="00764CEF" w:rsidRPr="008518B0">
              <w:rPr>
                <w:b/>
                <w:vertAlign w:val="superscript"/>
              </w:rPr>
              <w:t>1</w:t>
            </w:r>
          </w:p>
        </w:tc>
      </w:tr>
      <w:tr w:rsidR="001E6A34" w:rsidRPr="00FB0D10" w14:paraId="61B20E90" w14:textId="77777777" w:rsidTr="00A361A7">
        <w:tc>
          <w:tcPr>
            <w:tcW w:w="9303" w:type="dxa"/>
            <w:gridSpan w:val="4"/>
          </w:tcPr>
          <w:p w14:paraId="77F734D0" w14:textId="77777777" w:rsidR="001E6A34" w:rsidRPr="00FB0D10" w:rsidRDefault="001E6A34" w:rsidP="001E6A34">
            <w:pPr>
              <w:pStyle w:val="TableText"/>
              <w:keepNext w:val="0"/>
              <w:rPr>
                <w:b/>
                <w:bCs w:val="0"/>
              </w:rPr>
            </w:pPr>
            <w:r w:rsidRPr="00FB0D10">
              <w:rPr>
                <w:b/>
                <w:bCs w:val="0"/>
              </w:rPr>
              <w:t>Duration of response extrapolation (base case: independent model – ruxolitinib exponential; BAT lognormal)</w:t>
            </w:r>
          </w:p>
        </w:tc>
      </w:tr>
      <w:tr w:rsidR="001E6A34" w:rsidRPr="00FB0D10" w14:paraId="0E3D2654" w14:textId="77777777" w:rsidTr="006D385E">
        <w:tc>
          <w:tcPr>
            <w:tcW w:w="5807" w:type="dxa"/>
          </w:tcPr>
          <w:p w14:paraId="06E5A606" w14:textId="77777777" w:rsidR="001E6A34" w:rsidRPr="00FB0D10" w:rsidRDefault="001E6A34" w:rsidP="001E6A34">
            <w:pPr>
              <w:pStyle w:val="TableText"/>
              <w:keepNext w:val="0"/>
            </w:pPr>
            <w:r w:rsidRPr="00FB0D10">
              <w:t>Independent – ruxolitinib Weibull; BAT lognormal</w:t>
            </w:r>
          </w:p>
        </w:tc>
        <w:tc>
          <w:tcPr>
            <w:tcW w:w="1273" w:type="dxa"/>
          </w:tcPr>
          <w:p w14:paraId="331EE363" w14:textId="58327202" w:rsidR="001E6A34" w:rsidRPr="00FB0D10" w:rsidRDefault="001E6A34" w:rsidP="001E6A34">
            <w:pPr>
              <w:pStyle w:val="TableText"/>
              <w:keepNext w:val="0"/>
              <w:jc w:val="center"/>
            </w:pPr>
            <w:r w:rsidRPr="00FB0D10">
              <w:t>$</w:t>
            </w:r>
            <w:r w:rsidR="00F96E54" w:rsidRPr="00F96E54">
              <w:rPr>
                <w:rFonts w:hint="eastAsia"/>
                <w:color w:val="000000"/>
                <w:w w:val="15"/>
                <w:shd w:val="solid" w:color="000000" w:fill="000000"/>
                <w:fitText w:val="63" w:id="-1435343354"/>
                <w14:textFill>
                  <w14:solidFill>
                    <w14:srgbClr w14:val="000000">
                      <w14:alpha w14:val="100000"/>
                    </w14:srgbClr>
                  </w14:solidFill>
                </w14:textFill>
              </w:rPr>
              <w:t xml:space="preserve">　</w:t>
            </w:r>
            <w:r w:rsidR="00F96E54" w:rsidRPr="00F96E54">
              <w:rPr>
                <w:color w:val="000000"/>
                <w:w w:val="15"/>
                <w:shd w:val="solid" w:color="000000" w:fill="000000"/>
                <w:fitText w:val="63" w:id="-1435343354"/>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4"/>
                <w14:textFill>
                  <w14:solidFill>
                    <w14:srgbClr w14:val="000000">
                      <w14:alpha w14:val="100000"/>
                    </w14:srgbClr>
                  </w14:solidFill>
                </w14:textFill>
              </w:rPr>
              <w:t xml:space="preserve">　</w:t>
            </w:r>
          </w:p>
        </w:tc>
        <w:tc>
          <w:tcPr>
            <w:tcW w:w="1137" w:type="dxa"/>
          </w:tcPr>
          <w:p w14:paraId="43061113" w14:textId="703A6646" w:rsidR="001E6A34" w:rsidRPr="00FB0D10" w:rsidRDefault="001E6A34" w:rsidP="001E6A34">
            <w:pPr>
              <w:pStyle w:val="TableText"/>
              <w:keepNext w:val="0"/>
              <w:jc w:val="center"/>
            </w:pPr>
            <w:r w:rsidRPr="00FB0D10">
              <w:t>0.2468</w:t>
            </w:r>
          </w:p>
        </w:tc>
        <w:tc>
          <w:tcPr>
            <w:tcW w:w="1086" w:type="dxa"/>
          </w:tcPr>
          <w:p w14:paraId="5AC9E403" w14:textId="413B7BC5" w:rsidR="001E6A34" w:rsidRPr="00FB0D10" w:rsidRDefault="001E6A34" w:rsidP="001E6A34">
            <w:pPr>
              <w:pStyle w:val="TableText"/>
              <w:keepNext w:val="0"/>
              <w:jc w:val="center"/>
            </w:pPr>
            <w:r w:rsidRPr="00FB0D10">
              <w:t>$</w:t>
            </w:r>
            <w:r w:rsidR="00F96E54" w:rsidRPr="00F96E54">
              <w:rPr>
                <w:color w:val="000000"/>
                <w:spacing w:val="102"/>
                <w:shd w:val="solid" w:color="000000" w:fill="000000"/>
                <w:fitText w:val="188" w:id="-1435343353"/>
                <w14:textFill>
                  <w14:solidFill>
                    <w14:srgbClr w14:val="000000">
                      <w14:alpha w14:val="100000"/>
                    </w14:srgbClr>
                  </w14:solidFill>
                </w14:textFill>
              </w:rPr>
              <w:t>|</w:t>
            </w:r>
            <w:r w:rsidR="00F96E54" w:rsidRPr="00F96E54">
              <w:rPr>
                <w:color w:val="000000"/>
                <w:spacing w:val="1"/>
                <w:shd w:val="solid" w:color="000000" w:fill="000000"/>
                <w:fitText w:val="188" w:id="-1435343353"/>
                <w14:textFill>
                  <w14:solidFill>
                    <w14:srgbClr w14:val="000000">
                      <w14:alpha w14:val="100000"/>
                    </w14:srgbClr>
                  </w14:solidFill>
                </w14:textFill>
              </w:rPr>
              <w:t>|</w:t>
            </w:r>
            <w:r w:rsidR="00764CEF">
              <w:rPr>
                <w:b/>
                <w:vertAlign w:val="superscript"/>
              </w:rPr>
              <w:t>2</w:t>
            </w:r>
          </w:p>
        </w:tc>
      </w:tr>
      <w:tr w:rsidR="001E6A34" w:rsidRPr="00FB0D10" w14:paraId="1CA90A9B" w14:textId="77777777" w:rsidTr="006D385E">
        <w:tc>
          <w:tcPr>
            <w:tcW w:w="5807" w:type="dxa"/>
          </w:tcPr>
          <w:p w14:paraId="5AF412D2" w14:textId="77777777" w:rsidR="001E6A34" w:rsidRPr="00FB0D10" w:rsidRDefault="001E6A34" w:rsidP="001E6A34">
            <w:pPr>
              <w:pStyle w:val="TableText"/>
              <w:keepNext w:val="0"/>
            </w:pPr>
            <w:r w:rsidRPr="00FB0D10">
              <w:t>Independent – ruxolitinib exponential; BAT exponential</w:t>
            </w:r>
          </w:p>
        </w:tc>
        <w:tc>
          <w:tcPr>
            <w:tcW w:w="1273" w:type="dxa"/>
          </w:tcPr>
          <w:p w14:paraId="6082E5DE" w14:textId="01158AB5" w:rsidR="001E6A34" w:rsidRPr="00FB0D10" w:rsidRDefault="001E6A34" w:rsidP="001E6A34">
            <w:pPr>
              <w:pStyle w:val="TableText"/>
              <w:keepNext w:val="0"/>
              <w:jc w:val="center"/>
            </w:pPr>
            <w:r w:rsidRPr="00FB0D10">
              <w:t>$</w:t>
            </w:r>
            <w:r w:rsidR="00F96E54" w:rsidRPr="00F96E54">
              <w:rPr>
                <w:rFonts w:hint="eastAsia"/>
                <w:color w:val="000000"/>
                <w:w w:val="15"/>
                <w:shd w:val="solid" w:color="000000" w:fill="000000"/>
                <w:fitText w:val="63" w:id="-1435343352"/>
                <w14:textFill>
                  <w14:solidFill>
                    <w14:srgbClr w14:val="000000">
                      <w14:alpha w14:val="100000"/>
                    </w14:srgbClr>
                  </w14:solidFill>
                </w14:textFill>
              </w:rPr>
              <w:t xml:space="preserve">　</w:t>
            </w:r>
            <w:r w:rsidR="00F96E54" w:rsidRPr="00F96E54">
              <w:rPr>
                <w:color w:val="000000"/>
                <w:w w:val="15"/>
                <w:shd w:val="solid" w:color="000000" w:fill="000000"/>
                <w:fitText w:val="63" w:id="-1435343352"/>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2"/>
                <w14:textFill>
                  <w14:solidFill>
                    <w14:srgbClr w14:val="000000">
                      <w14:alpha w14:val="100000"/>
                    </w14:srgbClr>
                  </w14:solidFill>
                </w14:textFill>
              </w:rPr>
              <w:t xml:space="preserve">　</w:t>
            </w:r>
          </w:p>
        </w:tc>
        <w:tc>
          <w:tcPr>
            <w:tcW w:w="1137" w:type="dxa"/>
          </w:tcPr>
          <w:p w14:paraId="18B95EDA" w14:textId="4159CA4F" w:rsidR="001E6A34" w:rsidRPr="00FB0D10" w:rsidRDefault="001E6A34" w:rsidP="001E6A34">
            <w:pPr>
              <w:pStyle w:val="TableText"/>
              <w:keepNext w:val="0"/>
              <w:jc w:val="center"/>
            </w:pPr>
            <w:r w:rsidRPr="00FB0D10">
              <w:t>0.2793</w:t>
            </w:r>
          </w:p>
        </w:tc>
        <w:tc>
          <w:tcPr>
            <w:tcW w:w="1086" w:type="dxa"/>
          </w:tcPr>
          <w:p w14:paraId="1A788593" w14:textId="6BDDA98C" w:rsidR="001E6A34" w:rsidRPr="00FB0D10" w:rsidRDefault="001E6A34" w:rsidP="001E6A34">
            <w:pPr>
              <w:pStyle w:val="TableText"/>
              <w:keepNext w:val="0"/>
              <w:jc w:val="center"/>
            </w:pPr>
            <w:r w:rsidRPr="00FB0D10">
              <w:t>$</w:t>
            </w:r>
            <w:r w:rsidR="00F96E54" w:rsidRPr="00F96E54">
              <w:rPr>
                <w:color w:val="000000"/>
                <w:spacing w:val="102"/>
                <w:shd w:val="solid" w:color="000000" w:fill="000000"/>
                <w:fitText w:val="188" w:id="-1435343351"/>
                <w14:textFill>
                  <w14:solidFill>
                    <w14:srgbClr w14:val="000000">
                      <w14:alpha w14:val="100000"/>
                    </w14:srgbClr>
                  </w14:solidFill>
                </w14:textFill>
              </w:rPr>
              <w:t>|</w:t>
            </w:r>
            <w:r w:rsidR="00F96E54" w:rsidRPr="00F96E54">
              <w:rPr>
                <w:color w:val="000000"/>
                <w:spacing w:val="1"/>
                <w:shd w:val="solid" w:color="000000" w:fill="000000"/>
                <w:fitText w:val="188" w:id="-1435343351"/>
                <w14:textFill>
                  <w14:solidFill>
                    <w14:srgbClr w14:val="000000">
                      <w14:alpha w14:val="100000"/>
                    </w14:srgbClr>
                  </w14:solidFill>
                </w14:textFill>
              </w:rPr>
              <w:t>|</w:t>
            </w:r>
            <w:r w:rsidR="00764CEF">
              <w:rPr>
                <w:b/>
                <w:vertAlign w:val="superscript"/>
              </w:rPr>
              <w:t>2</w:t>
            </w:r>
          </w:p>
        </w:tc>
      </w:tr>
      <w:tr w:rsidR="001E6A34" w:rsidRPr="00FB0D10" w14:paraId="6FB8BEE5" w14:textId="77777777" w:rsidTr="006D385E">
        <w:tc>
          <w:tcPr>
            <w:tcW w:w="5807" w:type="dxa"/>
          </w:tcPr>
          <w:p w14:paraId="1C08AA9C" w14:textId="77777777" w:rsidR="001E6A34" w:rsidRPr="00FB0D10" w:rsidRDefault="001E6A34" w:rsidP="001E6A34">
            <w:pPr>
              <w:pStyle w:val="TableText"/>
              <w:keepNext w:val="0"/>
            </w:pPr>
            <w:r w:rsidRPr="00FB0D10">
              <w:t>Independent – ruxolitinib exponential; BAT Weibull</w:t>
            </w:r>
          </w:p>
        </w:tc>
        <w:tc>
          <w:tcPr>
            <w:tcW w:w="1273" w:type="dxa"/>
          </w:tcPr>
          <w:p w14:paraId="1385F565" w14:textId="2383E3FF" w:rsidR="001E6A34" w:rsidRPr="00FB0D10" w:rsidRDefault="001E6A34" w:rsidP="001E6A34">
            <w:pPr>
              <w:pStyle w:val="TableText"/>
              <w:keepNext w:val="0"/>
              <w:jc w:val="center"/>
            </w:pPr>
            <w:r w:rsidRPr="00FB0D10">
              <w:t>$</w:t>
            </w:r>
            <w:r w:rsidR="00F96E54" w:rsidRPr="00F96E54">
              <w:rPr>
                <w:rFonts w:hint="eastAsia"/>
                <w:color w:val="000000"/>
                <w:w w:val="15"/>
                <w:shd w:val="solid" w:color="000000" w:fill="000000"/>
                <w:fitText w:val="63" w:id="-1435343350"/>
                <w14:textFill>
                  <w14:solidFill>
                    <w14:srgbClr w14:val="000000">
                      <w14:alpha w14:val="100000"/>
                    </w14:srgbClr>
                  </w14:solidFill>
                </w14:textFill>
              </w:rPr>
              <w:t xml:space="preserve">　</w:t>
            </w:r>
            <w:r w:rsidR="00F96E54" w:rsidRPr="00F96E54">
              <w:rPr>
                <w:color w:val="000000"/>
                <w:w w:val="15"/>
                <w:shd w:val="solid" w:color="000000" w:fill="000000"/>
                <w:fitText w:val="63" w:id="-1435343350"/>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0"/>
                <w14:textFill>
                  <w14:solidFill>
                    <w14:srgbClr w14:val="000000">
                      <w14:alpha w14:val="100000"/>
                    </w14:srgbClr>
                  </w14:solidFill>
                </w14:textFill>
              </w:rPr>
              <w:t xml:space="preserve">　</w:t>
            </w:r>
          </w:p>
        </w:tc>
        <w:tc>
          <w:tcPr>
            <w:tcW w:w="1137" w:type="dxa"/>
          </w:tcPr>
          <w:p w14:paraId="1523EB8D" w14:textId="1A905C27" w:rsidR="001E6A34" w:rsidRPr="00FB0D10" w:rsidRDefault="001E6A34" w:rsidP="001E6A34">
            <w:pPr>
              <w:pStyle w:val="TableText"/>
              <w:keepNext w:val="0"/>
              <w:jc w:val="center"/>
            </w:pPr>
            <w:r w:rsidRPr="00FB0D10">
              <w:t>0.2658</w:t>
            </w:r>
          </w:p>
        </w:tc>
        <w:tc>
          <w:tcPr>
            <w:tcW w:w="1086" w:type="dxa"/>
          </w:tcPr>
          <w:p w14:paraId="1E103B1E" w14:textId="3841119A" w:rsidR="001E6A34" w:rsidRPr="00FB0D10" w:rsidRDefault="001E6A34" w:rsidP="001E6A34">
            <w:pPr>
              <w:pStyle w:val="TableText"/>
              <w:keepNext w:val="0"/>
              <w:jc w:val="center"/>
            </w:pPr>
            <w:r w:rsidRPr="00FB0D10">
              <w:t>$</w:t>
            </w:r>
            <w:r w:rsidR="00F96E54" w:rsidRPr="00F96E54">
              <w:rPr>
                <w:color w:val="000000"/>
                <w:spacing w:val="102"/>
                <w:shd w:val="solid" w:color="000000" w:fill="000000"/>
                <w:fitText w:val="188" w:id="-1435343349"/>
                <w14:textFill>
                  <w14:solidFill>
                    <w14:srgbClr w14:val="000000">
                      <w14:alpha w14:val="100000"/>
                    </w14:srgbClr>
                  </w14:solidFill>
                </w14:textFill>
              </w:rPr>
              <w:t>|</w:t>
            </w:r>
            <w:r w:rsidR="00F96E54" w:rsidRPr="00F96E54">
              <w:rPr>
                <w:color w:val="000000"/>
                <w:spacing w:val="1"/>
                <w:shd w:val="solid" w:color="000000" w:fill="000000"/>
                <w:fitText w:val="188" w:id="-1435343349"/>
                <w14:textFill>
                  <w14:solidFill>
                    <w14:srgbClr w14:val="000000">
                      <w14:alpha w14:val="100000"/>
                    </w14:srgbClr>
                  </w14:solidFill>
                </w14:textFill>
              </w:rPr>
              <w:t>|</w:t>
            </w:r>
            <w:r w:rsidR="00764CEF">
              <w:rPr>
                <w:b/>
                <w:vertAlign w:val="superscript"/>
              </w:rPr>
              <w:t>2</w:t>
            </w:r>
          </w:p>
        </w:tc>
      </w:tr>
      <w:tr w:rsidR="001E6A34" w:rsidRPr="00FB0D10" w14:paraId="5BEE1A2B" w14:textId="77777777" w:rsidTr="00A361A7">
        <w:tc>
          <w:tcPr>
            <w:tcW w:w="9303" w:type="dxa"/>
            <w:gridSpan w:val="4"/>
          </w:tcPr>
          <w:p w14:paraId="1D803E98" w14:textId="77777777" w:rsidR="001E6A34" w:rsidRPr="00FB0D10" w:rsidRDefault="001E6A34" w:rsidP="001E6A34">
            <w:pPr>
              <w:pStyle w:val="TableText"/>
              <w:keepNext w:val="0"/>
              <w:rPr>
                <w:b/>
                <w:bCs w:val="0"/>
              </w:rPr>
            </w:pPr>
            <w:r w:rsidRPr="00FB0D10">
              <w:rPr>
                <w:b/>
                <w:bCs w:val="0"/>
              </w:rPr>
              <w:t>Utilities (baseline: ruxolitinib and BAT responder 0.553; ruxolitinib and BAT non-responder 0.441)</w:t>
            </w:r>
          </w:p>
        </w:tc>
      </w:tr>
      <w:tr w:rsidR="001E6A34" w:rsidRPr="00FB0D10" w14:paraId="14022DFD" w14:textId="77777777" w:rsidTr="006D385E">
        <w:tc>
          <w:tcPr>
            <w:tcW w:w="5807" w:type="dxa"/>
          </w:tcPr>
          <w:p w14:paraId="586ED25D" w14:textId="77777777" w:rsidR="001E6A34" w:rsidRPr="00FB0D10" w:rsidRDefault="001E6A34" w:rsidP="001E6A34">
            <w:pPr>
              <w:pStyle w:val="TableText"/>
              <w:keepNext w:val="0"/>
            </w:pPr>
            <w:r w:rsidRPr="00FB0D10">
              <w:t>Alternative model: ruxolitinib and BAT responder 0.523; non-responder 0.457</w:t>
            </w:r>
          </w:p>
        </w:tc>
        <w:tc>
          <w:tcPr>
            <w:tcW w:w="1273" w:type="dxa"/>
            <w:vAlign w:val="center"/>
          </w:tcPr>
          <w:p w14:paraId="2E892575" w14:textId="5B89CD0B" w:rsidR="001E6A34" w:rsidRPr="00FB0D10" w:rsidRDefault="001E6A34" w:rsidP="001E6A34">
            <w:pPr>
              <w:pStyle w:val="TableText"/>
              <w:keepNext w:val="0"/>
              <w:jc w:val="center"/>
            </w:pPr>
            <w:r w:rsidRPr="00FB0D10">
              <w:t>$</w:t>
            </w:r>
            <w:r w:rsidR="00F96E54" w:rsidRPr="00F96E54">
              <w:rPr>
                <w:rFonts w:hint="eastAsia"/>
                <w:color w:val="000000"/>
                <w:w w:val="15"/>
                <w:shd w:val="solid" w:color="000000" w:fill="000000"/>
                <w:fitText w:val="63" w:id="-1435343348"/>
                <w14:textFill>
                  <w14:solidFill>
                    <w14:srgbClr w14:val="000000">
                      <w14:alpha w14:val="100000"/>
                    </w14:srgbClr>
                  </w14:solidFill>
                </w14:textFill>
              </w:rPr>
              <w:t xml:space="preserve">　</w:t>
            </w:r>
            <w:r w:rsidR="00F96E54" w:rsidRPr="00F96E54">
              <w:rPr>
                <w:color w:val="000000"/>
                <w:w w:val="15"/>
                <w:shd w:val="solid" w:color="000000" w:fill="000000"/>
                <w:fitText w:val="63" w:id="-1435343348"/>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8"/>
                <w14:textFill>
                  <w14:solidFill>
                    <w14:srgbClr w14:val="000000">
                      <w14:alpha w14:val="100000"/>
                    </w14:srgbClr>
                  </w14:solidFill>
                </w14:textFill>
              </w:rPr>
              <w:t xml:space="preserve">　</w:t>
            </w:r>
          </w:p>
        </w:tc>
        <w:tc>
          <w:tcPr>
            <w:tcW w:w="1137" w:type="dxa"/>
            <w:vAlign w:val="center"/>
          </w:tcPr>
          <w:p w14:paraId="5E6ED404" w14:textId="38831E44" w:rsidR="001E6A34" w:rsidRPr="00FB0D10" w:rsidRDefault="001E6A34" w:rsidP="001E6A34">
            <w:pPr>
              <w:pStyle w:val="TableText"/>
              <w:keepNext w:val="0"/>
              <w:jc w:val="center"/>
            </w:pPr>
            <w:r w:rsidRPr="00FB0D10">
              <w:t>0.2095</w:t>
            </w:r>
          </w:p>
        </w:tc>
        <w:tc>
          <w:tcPr>
            <w:tcW w:w="1086" w:type="dxa"/>
            <w:vAlign w:val="center"/>
          </w:tcPr>
          <w:p w14:paraId="5CC8877A" w14:textId="242DC02E" w:rsidR="001E6A34" w:rsidRPr="00FB0D10" w:rsidRDefault="001E6A34" w:rsidP="001E6A34">
            <w:pPr>
              <w:pStyle w:val="TableText"/>
              <w:keepNext w:val="0"/>
              <w:jc w:val="center"/>
            </w:pPr>
            <w:r w:rsidRPr="00FB0D10">
              <w:t>$</w:t>
            </w:r>
            <w:r w:rsidR="00F96E54" w:rsidRPr="00F96E54">
              <w:rPr>
                <w:color w:val="000000"/>
                <w:spacing w:val="102"/>
                <w:shd w:val="solid" w:color="000000" w:fill="000000"/>
                <w:fitText w:val="188" w:id="-1435343347"/>
                <w14:textFill>
                  <w14:solidFill>
                    <w14:srgbClr w14:val="000000">
                      <w14:alpha w14:val="100000"/>
                    </w14:srgbClr>
                  </w14:solidFill>
                </w14:textFill>
              </w:rPr>
              <w:t>|</w:t>
            </w:r>
            <w:r w:rsidR="00F96E54" w:rsidRPr="00F96E54">
              <w:rPr>
                <w:color w:val="000000"/>
                <w:spacing w:val="1"/>
                <w:shd w:val="solid" w:color="000000" w:fill="000000"/>
                <w:fitText w:val="188" w:id="-1435343347"/>
                <w14:textFill>
                  <w14:solidFill>
                    <w14:srgbClr w14:val="000000">
                      <w14:alpha w14:val="100000"/>
                    </w14:srgbClr>
                  </w14:solidFill>
                </w14:textFill>
              </w:rPr>
              <w:t>|</w:t>
            </w:r>
            <w:r w:rsidR="00764CEF" w:rsidRPr="008518B0">
              <w:rPr>
                <w:b/>
                <w:vertAlign w:val="superscript"/>
              </w:rPr>
              <w:t>1</w:t>
            </w:r>
          </w:p>
        </w:tc>
      </w:tr>
      <w:tr w:rsidR="001E6A34" w:rsidRPr="00FB0D10" w14:paraId="627ED3DC" w14:textId="77777777" w:rsidTr="00A361A7">
        <w:tc>
          <w:tcPr>
            <w:tcW w:w="9303" w:type="dxa"/>
            <w:gridSpan w:val="4"/>
          </w:tcPr>
          <w:p w14:paraId="32AAEE25" w14:textId="77777777" w:rsidR="001E6A34" w:rsidRPr="00FB0D10" w:rsidRDefault="001E6A34" w:rsidP="001E6A34">
            <w:pPr>
              <w:pStyle w:val="TableText"/>
              <w:keepNext w:val="0"/>
              <w:rPr>
                <w:b/>
                <w:bCs w:val="0"/>
              </w:rPr>
            </w:pPr>
            <w:r w:rsidRPr="00FB0D10">
              <w:rPr>
                <w:b/>
                <w:bCs w:val="0"/>
              </w:rPr>
              <w:t>Number of lines of BAT therapy (base case: 9)</w:t>
            </w:r>
          </w:p>
        </w:tc>
      </w:tr>
      <w:tr w:rsidR="001E6A34" w:rsidRPr="00FB0D10" w14:paraId="0939F6ED" w14:textId="77777777" w:rsidTr="006D385E">
        <w:tc>
          <w:tcPr>
            <w:tcW w:w="5807" w:type="dxa"/>
          </w:tcPr>
          <w:p w14:paraId="369297A2" w14:textId="77777777" w:rsidR="001E6A34" w:rsidRPr="00FB0D10" w:rsidRDefault="001E6A34" w:rsidP="001E6A34">
            <w:pPr>
              <w:pStyle w:val="TableText"/>
              <w:keepNext w:val="0"/>
            </w:pPr>
            <w:r w:rsidRPr="00FB0D10">
              <w:t>1 line of BAT therapy</w:t>
            </w:r>
          </w:p>
        </w:tc>
        <w:tc>
          <w:tcPr>
            <w:tcW w:w="1273" w:type="dxa"/>
            <w:vAlign w:val="center"/>
          </w:tcPr>
          <w:p w14:paraId="30CFED3B" w14:textId="6145BF8B" w:rsidR="001E6A34" w:rsidRPr="00FB0D10" w:rsidRDefault="001E6A34" w:rsidP="001E6A34">
            <w:pPr>
              <w:pStyle w:val="TableText"/>
              <w:keepNext w:val="0"/>
              <w:jc w:val="center"/>
            </w:pPr>
            <w:r w:rsidRPr="00FB0D10">
              <w:t>$</w:t>
            </w:r>
            <w:r w:rsidR="00F96E54" w:rsidRPr="00F96E54">
              <w:rPr>
                <w:rFonts w:hint="eastAsia"/>
                <w:color w:val="000000"/>
                <w:w w:val="15"/>
                <w:shd w:val="solid" w:color="000000" w:fill="000000"/>
                <w:fitText w:val="63" w:id="-1435343104"/>
                <w14:textFill>
                  <w14:solidFill>
                    <w14:srgbClr w14:val="000000">
                      <w14:alpha w14:val="100000"/>
                    </w14:srgbClr>
                  </w14:solidFill>
                </w14:textFill>
              </w:rPr>
              <w:t xml:space="preserve">　</w:t>
            </w:r>
            <w:r w:rsidR="00F96E54" w:rsidRPr="00F96E54">
              <w:rPr>
                <w:color w:val="000000"/>
                <w:w w:val="15"/>
                <w:shd w:val="solid" w:color="000000" w:fill="000000"/>
                <w:fitText w:val="63" w:id="-1435343104"/>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104"/>
                <w14:textFill>
                  <w14:solidFill>
                    <w14:srgbClr w14:val="000000">
                      <w14:alpha w14:val="100000"/>
                    </w14:srgbClr>
                  </w14:solidFill>
                </w14:textFill>
              </w:rPr>
              <w:t xml:space="preserve">　</w:t>
            </w:r>
          </w:p>
        </w:tc>
        <w:tc>
          <w:tcPr>
            <w:tcW w:w="1137" w:type="dxa"/>
            <w:vAlign w:val="center"/>
          </w:tcPr>
          <w:p w14:paraId="33CCBFEF" w14:textId="77777777" w:rsidR="001E6A34" w:rsidRPr="00FB0D10" w:rsidRDefault="001E6A34" w:rsidP="001E6A34">
            <w:pPr>
              <w:pStyle w:val="TableText"/>
              <w:keepNext w:val="0"/>
              <w:jc w:val="center"/>
            </w:pPr>
            <w:r w:rsidRPr="00FB0D10">
              <w:t>0.1983</w:t>
            </w:r>
          </w:p>
        </w:tc>
        <w:tc>
          <w:tcPr>
            <w:tcW w:w="1086" w:type="dxa"/>
            <w:vAlign w:val="center"/>
          </w:tcPr>
          <w:p w14:paraId="50EC02F3" w14:textId="74ACF1A3" w:rsidR="001E6A34" w:rsidRPr="00FB0D10" w:rsidRDefault="001E6A34" w:rsidP="001E6A34">
            <w:pPr>
              <w:pStyle w:val="TableText"/>
              <w:keepNext w:val="0"/>
              <w:jc w:val="center"/>
            </w:pPr>
            <w:r w:rsidRPr="00FB0D10">
              <w:t>$</w:t>
            </w:r>
            <w:r w:rsidR="00F96E54" w:rsidRPr="00F96E54">
              <w:rPr>
                <w:color w:val="000000"/>
                <w:spacing w:val="102"/>
                <w:shd w:val="solid" w:color="000000" w:fill="000000"/>
                <w:fitText w:val="188" w:id="-1435343103"/>
                <w14:textFill>
                  <w14:solidFill>
                    <w14:srgbClr w14:val="000000">
                      <w14:alpha w14:val="100000"/>
                    </w14:srgbClr>
                  </w14:solidFill>
                </w14:textFill>
              </w:rPr>
              <w:t>|</w:t>
            </w:r>
            <w:r w:rsidR="00F96E54" w:rsidRPr="00F96E54">
              <w:rPr>
                <w:color w:val="000000"/>
                <w:spacing w:val="1"/>
                <w:shd w:val="solid" w:color="000000" w:fill="000000"/>
                <w:fitText w:val="188" w:id="-1435343103"/>
                <w14:textFill>
                  <w14:solidFill>
                    <w14:srgbClr w14:val="000000">
                      <w14:alpha w14:val="100000"/>
                    </w14:srgbClr>
                  </w14:solidFill>
                </w14:textFill>
              </w:rPr>
              <w:t>|</w:t>
            </w:r>
            <w:r w:rsidR="00764CEF">
              <w:rPr>
                <w:b/>
                <w:vertAlign w:val="superscript"/>
              </w:rPr>
              <w:t>4</w:t>
            </w:r>
          </w:p>
        </w:tc>
      </w:tr>
      <w:tr w:rsidR="001E6A34" w:rsidRPr="00FB0D10" w14:paraId="2EB527D6" w14:textId="77777777" w:rsidTr="006D385E">
        <w:tc>
          <w:tcPr>
            <w:tcW w:w="5807" w:type="dxa"/>
          </w:tcPr>
          <w:p w14:paraId="0FC2A2FD" w14:textId="77777777" w:rsidR="001E6A34" w:rsidRPr="00FB0D10" w:rsidRDefault="001E6A34" w:rsidP="001E6A34">
            <w:pPr>
              <w:pStyle w:val="TableText"/>
              <w:keepNext w:val="0"/>
            </w:pPr>
            <w:r w:rsidRPr="00FB0D10">
              <w:t>3 lines of BAT therapy</w:t>
            </w:r>
          </w:p>
        </w:tc>
        <w:tc>
          <w:tcPr>
            <w:tcW w:w="1273" w:type="dxa"/>
            <w:vAlign w:val="center"/>
          </w:tcPr>
          <w:p w14:paraId="38F382ED" w14:textId="304D117F" w:rsidR="001E6A34" w:rsidRPr="00FB0D10" w:rsidRDefault="001E6A34" w:rsidP="001E6A34">
            <w:pPr>
              <w:pStyle w:val="TableText"/>
              <w:keepNext w:val="0"/>
              <w:jc w:val="center"/>
            </w:pPr>
            <w:r w:rsidRPr="00FB0D10">
              <w:t>$</w:t>
            </w:r>
            <w:r w:rsidR="00F96E54" w:rsidRPr="00F96E54">
              <w:rPr>
                <w:rFonts w:hint="eastAsia"/>
                <w:color w:val="000000"/>
                <w:w w:val="15"/>
                <w:shd w:val="solid" w:color="000000" w:fill="000000"/>
                <w:fitText w:val="63" w:id="-1435343102"/>
                <w14:textFill>
                  <w14:solidFill>
                    <w14:srgbClr w14:val="000000">
                      <w14:alpha w14:val="100000"/>
                    </w14:srgbClr>
                  </w14:solidFill>
                </w14:textFill>
              </w:rPr>
              <w:t xml:space="preserve">　</w:t>
            </w:r>
            <w:r w:rsidR="00F96E54" w:rsidRPr="00F96E54">
              <w:rPr>
                <w:color w:val="000000"/>
                <w:w w:val="15"/>
                <w:shd w:val="solid" w:color="000000" w:fill="000000"/>
                <w:fitText w:val="63" w:id="-1435343102"/>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102"/>
                <w14:textFill>
                  <w14:solidFill>
                    <w14:srgbClr w14:val="000000">
                      <w14:alpha w14:val="100000"/>
                    </w14:srgbClr>
                  </w14:solidFill>
                </w14:textFill>
              </w:rPr>
              <w:t xml:space="preserve">　</w:t>
            </w:r>
          </w:p>
        </w:tc>
        <w:tc>
          <w:tcPr>
            <w:tcW w:w="1137" w:type="dxa"/>
            <w:vAlign w:val="center"/>
          </w:tcPr>
          <w:p w14:paraId="70F28EB8" w14:textId="77777777" w:rsidR="001E6A34" w:rsidRPr="00FB0D10" w:rsidRDefault="001E6A34" w:rsidP="001E6A34">
            <w:pPr>
              <w:pStyle w:val="TableText"/>
              <w:keepNext w:val="0"/>
              <w:jc w:val="center"/>
            </w:pPr>
            <w:r w:rsidRPr="00FB0D10">
              <w:t>0.2056</w:t>
            </w:r>
          </w:p>
        </w:tc>
        <w:tc>
          <w:tcPr>
            <w:tcW w:w="1086" w:type="dxa"/>
            <w:vAlign w:val="center"/>
          </w:tcPr>
          <w:p w14:paraId="245A13C5" w14:textId="323F510E" w:rsidR="001E6A34" w:rsidRPr="00FB0D10" w:rsidRDefault="001E6A34" w:rsidP="001E6A34">
            <w:pPr>
              <w:pStyle w:val="TableText"/>
              <w:keepNext w:val="0"/>
              <w:jc w:val="center"/>
            </w:pPr>
            <w:r w:rsidRPr="00FB0D10">
              <w:t>$</w:t>
            </w:r>
            <w:r w:rsidR="00F96E54" w:rsidRPr="00F96E54">
              <w:rPr>
                <w:color w:val="000000"/>
                <w:spacing w:val="102"/>
                <w:shd w:val="solid" w:color="000000" w:fill="000000"/>
                <w:fitText w:val="188" w:id="-1435343101"/>
                <w14:textFill>
                  <w14:solidFill>
                    <w14:srgbClr w14:val="000000">
                      <w14:alpha w14:val="100000"/>
                    </w14:srgbClr>
                  </w14:solidFill>
                </w14:textFill>
              </w:rPr>
              <w:t>|</w:t>
            </w:r>
            <w:r w:rsidR="00F96E54" w:rsidRPr="00F96E54">
              <w:rPr>
                <w:color w:val="000000"/>
                <w:spacing w:val="1"/>
                <w:shd w:val="solid" w:color="000000" w:fill="000000"/>
                <w:fitText w:val="188" w:id="-1435343101"/>
                <w14:textFill>
                  <w14:solidFill>
                    <w14:srgbClr w14:val="000000">
                      <w14:alpha w14:val="100000"/>
                    </w14:srgbClr>
                  </w14:solidFill>
                </w14:textFill>
              </w:rPr>
              <w:t>|</w:t>
            </w:r>
            <w:r w:rsidR="00764CEF">
              <w:rPr>
                <w:b/>
                <w:vertAlign w:val="superscript"/>
              </w:rPr>
              <w:t>5</w:t>
            </w:r>
          </w:p>
        </w:tc>
      </w:tr>
      <w:tr w:rsidR="001E6A34" w:rsidRPr="00FB0D10" w14:paraId="08DE4B5A" w14:textId="77777777" w:rsidTr="006D385E">
        <w:tc>
          <w:tcPr>
            <w:tcW w:w="5807" w:type="dxa"/>
          </w:tcPr>
          <w:p w14:paraId="76C60A37" w14:textId="77777777" w:rsidR="001E6A34" w:rsidRPr="00FB0D10" w:rsidRDefault="001E6A34" w:rsidP="001E6A34">
            <w:pPr>
              <w:pStyle w:val="TableText"/>
              <w:keepNext w:val="0"/>
            </w:pPr>
            <w:r w:rsidRPr="00FB0D10">
              <w:t>6 lines of BAT therapy</w:t>
            </w:r>
          </w:p>
        </w:tc>
        <w:tc>
          <w:tcPr>
            <w:tcW w:w="1273" w:type="dxa"/>
            <w:vAlign w:val="center"/>
          </w:tcPr>
          <w:p w14:paraId="2682D924" w14:textId="30A9EF9F" w:rsidR="001E6A34" w:rsidRPr="00FB0D10" w:rsidRDefault="001E6A34" w:rsidP="001E6A34">
            <w:pPr>
              <w:pStyle w:val="TableText"/>
              <w:keepNext w:val="0"/>
              <w:jc w:val="center"/>
            </w:pPr>
            <w:r w:rsidRPr="00FB0D10">
              <w:t>$</w:t>
            </w:r>
            <w:r w:rsidR="00F96E54" w:rsidRPr="00F96E54">
              <w:rPr>
                <w:rFonts w:hint="eastAsia"/>
                <w:color w:val="000000"/>
                <w:w w:val="15"/>
                <w:shd w:val="solid" w:color="000000" w:fill="000000"/>
                <w:fitText w:val="63" w:id="-1435343100"/>
                <w14:textFill>
                  <w14:solidFill>
                    <w14:srgbClr w14:val="000000">
                      <w14:alpha w14:val="100000"/>
                    </w14:srgbClr>
                  </w14:solidFill>
                </w14:textFill>
              </w:rPr>
              <w:t xml:space="preserve">　</w:t>
            </w:r>
            <w:r w:rsidR="00F96E54" w:rsidRPr="00F96E54">
              <w:rPr>
                <w:color w:val="000000"/>
                <w:w w:val="15"/>
                <w:shd w:val="solid" w:color="000000" w:fill="000000"/>
                <w:fitText w:val="63" w:id="-1435343100"/>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100"/>
                <w14:textFill>
                  <w14:solidFill>
                    <w14:srgbClr w14:val="000000">
                      <w14:alpha w14:val="100000"/>
                    </w14:srgbClr>
                  </w14:solidFill>
                </w14:textFill>
              </w:rPr>
              <w:t xml:space="preserve">　</w:t>
            </w:r>
          </w:p>
        </w:tc>
        <w:tc>
          <w:tcPr>
            <w:tcW w:w="1137" w:type="dxa"/>
            <w:vAlign w:val="center"/>
          </w:tcPr>
          <w:p w14:paraId="04D108FB" w14:textId="77777777" w:rsidR="001E6A34" w:rsidRPr="00FB0D10" w:rsidRDefault="001E6A34" w:rsidP="001E6A34">
            <w:pPr>
              <w:pStyle w:val="TableText"/>
              <w:keepNext w:val="0"/>
              <w:jc w:val="center"/>
            </w:pPr>
            <w:r w:rsidRPr="00FB0D10">
              <w:t>0.2193</w:t>
            </w:r>
          </w:p>
        </w:tc>
        <w:tc>
          <w:tcPr>
            <w:tcW w:w="1086" w:type="dxa"/>
            <w:vAlign w:val="center"/>
          </w:tcPr>
          <w:p w14:paraId="625242EC" w14:textId="56C7E40B" w:rsidR="001E6A34" w:rsidRPr="00FB0D10" w:rsidRDefault="001E6A34" w:rsidP="001E6A34">
            <w:pPr>
              <w:pStyle w:val="TableText"/>
              <w:keepNext w:val="0"/>
              <w:jc w:val="center"/>
            </w:pPr>
            <w:r w:rsidRPr="00FB0D10">
              <w:t>$</w:t>
            </w:r>
            <w:r w:rsidR="00F96E54" w:rsidRPr="00F96E54">
              <w:rPr>
                <w:color w:val="000000"/>
                <w:spacing w:val="102"/>
                <w:shd w:val="solid" w:color="000000" w:fill="000000"/>
                <w:fitText w:val="188" w:id="-1435343099"/>
                <w14:textFill>
                  <w14:solidFill>
                    <w14:srgbClr w14:val="000000">
                      <w14:alpha w14:val="100000"/>
                    </w14:srgbClr>
                  </w14:solidFill>
                </w14:textFill>
              </w:rPr>
              <w:t>|</w:t>
            </w:r>
            <w:r w:rsidR="00F96E54" w:rsidRPr="00F96E54">
              <w:rPr>
                <w:color w:val="000000"/>
                <w:spacing w:val="1"/>
                <w:shd w:val="solid" w:color="000000" w:fill="000000"/>
                <w:fitText w:val="188" w:id="-1435343099"/>
                <w14:textFill>
                  <w14:solidFill>
                    <w14:srgbClr w14:val="000000">
                      <w14:alpha w14:val="100000"/>
                    </w14:srgbClr>
                  </w14:solidFill>
                </w14:textFill>
              </w:rPr>
              <w:t>|</w:t>
            </w:r>
            <w:r w:rsidR="00764CEF">
              <w:rPr>
                <w:b/>
                <w:vertAlign w:val="superscript"/>
              </w:rPr>
              <w:t>2</w:t>
            </w:r>
          </w:p>
        </w:tc>
      </w:tr>
      <w:tr w:rsidR="001E6A34" w:rsidRPr="00FB0D10" w14:paraId="612E4AAE" w14:textId="77777777" w:rsidTr="00A361A7">
        <w:tc>
          <w:tcPr>
            <w:tcW w:w="9303" w:type="dxa"/>
            <w:gridSpan w:val="4"/>
          </w:tcPr>
          <w:p w14:paraId="52FD7996" w14:textId="389DF547" w:rsidR="001E6A34" w:rsidRPr="00FB0D10" w:rsidRDefault="00AC2D08" w:rsidP="001E6A34">
            <w:pPr>
              <w:pStyle w:val="TableText"/>
              <w:keepNext w:val="0"/>
            </w:pPr>
            <w:r w:rsidRPr="00FB0D10">
              <w:rPr>
                <w:b/>
                <w:bCs w:val="0"/>
              </w:rPr>
              <w:t>Costs (base case: $0 for therapies not listed on the PBS; adverse event, disease monitoring and hospitalisation costs included)</w:t>
            </w:r>
          </w:p>
        </w:tc>
      </w:tr>
      <w:tr w:rsidR="001E6A34" w:rsidRPr="00FB0D10" w14:paraId="570CB8C1" w14:textId="77777777" w:rsidTr="006D385E">
        <w:tc>
          <w:tcPr>
            <w:tcW w:w="5807" w:type="dxa"/>
          </w:tcPr>
          <w:p w14:paraId="47F3D139" w14:textId="77777777" w:rsidR="001E6A34" w:rsidRPr="00FB0D10" w:rsidRDefault="001E6A34" w:rsidP="001E6A34">
            <w:pPr>
              <w:pStyle w:val="TableText"/>
              <w:keepNext w:val="0"/>
            </w:pPr>
            <w:r w:rsidRPr="00FB0D10">
              <w:t>Using average cost of 4 therapies on the PBS for all lines of BAT therapy ($422.16 per cycle)</w:t>
            </w:r>
          </w:p>
        </w:tc>
        <w:tc>
          <w:tcPr>
            <w:tcW w:w="1273" w:type="dxa"/>
            <w:vAlign w:val="center"/>
          </w:tcPr>
          <w:p w14:paraId="6FAE53A4" w14:textId="31BE9C82" w:rsidR="001E6A34" w:rsidRPr="00FB0D10" w:rsidRDefault="001E6A34" w:rsidP="001E6A34">
            <w:pPr>
              <w:pStyle w:val="TableText"/>
              <w:keepNext w:val="0"/>
              <w:jc w:val="center"/>
            </w:pPr>
            <w:r w:rsidRPr="00FB0D10">
              <w:t>$</w:t>
            </w:r>
            <w:r w:rsidR="00F96E54" w:rsidRPr="00F96E54">
              <w:rPr>
                <w:rFonts w:hint="eastAsia"/>
                <w:color w:val="000000"/>
                <w:w w:val="15"/>
                <w:shd w:val="solid" w:color="000000" w:fill="000000"/>
                <w:fitText w:val="63" w:id="-1435343098"/>
                <w14:textFill>
                  <w14:solidFill>
                    <w14:srgbClr w14:val="000000">
                      <w14:alpha w14:val="100000"/>
                    </w14:srgbClr>
                  </w14:solidFill>
                </w14:textFill>
              </w:rPr>
              <w:t xml:space="preserve">　</w:t>
            </w:r>
            <w:r w:rsidR="00F96E54" w:rsidRPr="00F96E54">
              <w:rPr>
                <w:color w:val="000000"/>
                <w:w w:val="15"/>
                <w:shd w:val="solid" w:color="000000" w:fill="000000"/>
                <w:fitText w:val="63" w:id="-1435343098"/>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098"/>
                <w14:textFill>
                  <w14:solidFill>
                    <w14:srgbClr w14:val="000000">
                      <w14:alpha w14:val="100000"/>
                    </w14:srgbClr>
                  </w14:solidFill>
                </w14:textFill>
              </w:rPr>
              <w:t xml:space="preserve">　</w:t>
            </w:r>
          </w:p>
        </w:tc>
        <w:tc>
          <w:tcPr>
            <w:tcW w:w="1137" w:type="dxa"/>
            <w:vAlign w:val="center"/>
          </w:tcPr>
          <w:p w14:paraId="0DCBB5EA" w14:textId="77777777" w:rsidR="001E6A34" w:rsidRPr="00FB0D10" w:rsidRDefault="001E6A34" w:rsidP="001E6A34">
            <w:pPr>
              <w:pStyle w:val="TableText"/>
              <w:keepNext w:val="0"/>
              <w:jc w:val="center"/>
            </w:pPr>
            <w:r w:rsidRPr="00FB0D10">
              <w:t>0.2243</w:t>
            </w:r>
          </w:p>
        </w:tc>
        <w:tc>
          <w:tcPr>
            <w:tcW w:w="1086" w:type="dxa"/>
            <w:vAlign w:val="center"/>
          </w:tcPr>
          <w:p w14:paraId="5B0E84E2" w14:textId="71918798" w:rsidR="001E6A34" w:rsidRPr="00FB0D10" w:rsidRDefault="001E6A34" w:rsidP="001E6A34">
            <w:pPr>
              <w:pStyle w:val="TableText"/>
              <w:keepNext w:val="0"/>
              <w:jc w:val="center"/>
            </w:pPr>
            <w:r w:rsidRPr="00FB0D10">
              <w:t>$</w:t>
            </w:r>
            <w:r w:rsidR="00F96E54" w:rsidRPr="00F96E54">
              <w:rPr>
                <w:color w:val="000000"/>
                <w:spacing w:val="102"/>
                <w:shd w:val="solid" w:color="000000" w:fill="000000"/>
                <w:fitText w:val="188" w:id="-1435343097"/>
                <w14:textFill>
                  <w14:solidFill>
                    <w14:srgbClr w14:val="000000">
                      <w14:alpha w14:val="100000"/>
                    </w14:srgbClr>
                  </w14:solidFill>
                </w14:textFill>
              </w:rPr>
              <w:t>|</w:t>
            </w:r>
            <w:r w:rsidR="00F96E54" w:rsidRPr="00F96E54">
              <w:rPr>
                <w:color w:val="000000"/>
                <w:spacing w:val="1"/>
                <w:shd w:val="solid" w:color="000000" w:fill="000000"/>
                <w:fitText w:val="188" w:id="-1435343097"/>
                <w14:textFill>
                  <w14:solidFill>
                    <w14:srgbClr w14:val="000000">
                      <w14:alpha w14:val="100000"/>
                    </w14:srgbClr>
                  </w14:solidFill>
                </w14:textFill>
              </w:rPr>
              <w:t>|</w:t>
            </w:r>
            <w:r w:rsidR="00764CEF">
              <w:rPr>
                <w:b/>
                <w:vertAlign w:val="superscript"/>
              </w:rPr>
              <w:t>2</w:t>
            </w:r>
          </w:p>
        </w:tc>
      </w:tr>
      <w:tr w:rsidR="00926E76" w:rsidRPr="00764CEF" w14:paraId="099A8831" w14:textId="77777777" w:rsidTr="006D385E">
        <w:tc>
          <w:tcPr>
            <w:tcW w:w="5807" w:type="dxa"/>
          </w:tcPr>
          <w:p w14:paraId="2E2ED6E7" w14:textId="46E3EA34" w:rsidR="00926E76" w:rsidRPr="00FB0D10" w:rsidRDefault="00926E76" w:rsidP="00926E76">
            <w:pPr>
              <w:pStyle w:val="TableText"/>
              <w:keepNext w:val="0"/>
            </w:pPr>
            <w:r w:rsidRPr="00FB0D10">
              <w:t>Adverse event costs excluded</w:t>
            </w:r>
          </w:p>
        </w:tc>
        <w:tc>
          <w:tcPr>
            <w:tcW w:w="1273" w:type="dxa"/>
            <w:vAlign w:val="center"/>
          </w:tcPr>
          <w:p w14:paraId="55F735AE" w14:textId="3F09B12C" w:rsidR="00926E76" w:rsidRPr="00FB0D10" w:rsidRDefault="00A55A6A" w:rsidP="00926E76">
            <w:pPr>
              <w:pStyle w:val="TableText"/>
              <w:keepNext w:val="0"/>
              <w:jc w:val="center"/>
            </w:pPr>
            <w:r w:rsidRPr="00FB0D10">
              <w:t>$</w:t>
            </w:r>
            <w:r w:rsidR="00F96E54" w:rsidRPr="00F96E54">
              <w:rPr>
                <w:rFonts w:hint="eastAsia"/>
                <w:color w:val="000000"/>
                <w:w w:val="15"/>
                <w:shd w:val="solid" w:color="000000" w:fill="000000"/>
                <w:fitText w:val="63" w:id="-1435343096"/>
                <w14:textFill>
                  <w14:solidFill>
                    <w14:srgbClr w14:val="000000">
                      <w14:alpha w14:val="100000"/>
                    </w14:srgbClr>
                  </w14:solidFill>
                </w14:textFill>
              </w:rPr>
              <w:t xml:space="preserve">　</w:t>
            </w:r>
            <w:r w:rsidR="00F96E54" w:rsidRPr="00F96E54">
              <w:rPr>
                <w:color w:val="000000"/>
                <w:w w:val="15"/>
                <w:shd w:val="solid" w:color="000000" w:fill="000000"/>
                <w:fitText w:val="63" w:id="-1435343096"/>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096"/>
                <w14:textFill>
                  <w14:solidFill>
                    <w14:srgbClr w14:val="000000">
                      <w14:alpha w14:val="100000"/>
                    </w14:srgbClr>
                  </w14:solidFill>
                </w14:textFill>
              </w:rPr>
              <w:t xml:space="preserve">　</w:t>
            </w:r>
          </w:p>
        </w:tc>
        <w:tc>
          <w:tcPr>
            <w:tcW w:w="1137" w:type="dxa"/>
            <w:vAlign w:val="center"/>
          </w:tcPr>
          <w:p w14:paraId="07D34548" w14:textId="6B8DEB53" w:rsidR="00926E76" w:rsidRPr="00FB0D10" w:rsidRDefault="00A55A6A" w:rsidP="00926E76">
            <w:pPr>
              <w:pStyle w:val="TableText"/>
              <w:keepNext w:val="0"/>
              <w:jc w:val="center"/>
            </w:pPr>
            <w:r w:rsidRPr="00FB0D10">
              <w:t>0.2243</w:t>
            </w:r>
          </w:p>
        </w:tc>
        <w:tc>
          <w:tcPr>
            <w:tcW w:w="1086" w:type="dxa"/>
            <w:vAlign w:val="center"/>
          </w:tcPr>
          <w:p w14:paraId="4F15924E" w14:textId="6D71BAAF" w:rsidR="00926E76" w:rsidRPr="00C950B3" w:rsidRDefault="00EB5703" w:rsidP="00926E76">
            <w:pPr>
              <w:pStyle w:val="TableText"/>
              <w:keepNext w:val="0"/>
              <w:jc w:val="center"/>
              <w:rPr>
                <w:highlight w:val="darkGray"/>
              </w:rPr>
            </w:pPr>
            <w:r w:rsidRPr="00320844">
              <w:t>$</w:t>
            </w:r>
            <w:r w:rsidR="00F96E54" w:rsidRPr="00F96E54">
              <w:rPr>
                <w:color w:val="000000"/>
                <w:spacing w:val="102"/>
                <w:shd w:val="solid" w:color="000000" w:fill="000000"/>
                <w:fitText w:val="188" w:id="-1435343095"/>
                <w14:textFill>
                  <w14:solidFill>
                    <w14:srgbClr w14:val="000000">
                      <w14:alpha w14:val="100000"/>
                    </w14:srgbClr>
                  </w14:solidFill>
                </w14:textFill>
              </w:rPr>
              <w:t>|</w:t>
            </w:r>
            <w:r w:rsidR="00F96E54" w:rsidRPr="00F96E54">
              <w:rPr>
                <w:color w:val="000000"/>
                <w:spacing w:val="1"/>
                <w:shd w:val="solid" w:color="000000" w:fill="000000"/>
                <w:fitText w:val="188" w:id="-1435343095"/>
                <w14:textFill>
                  <w14:solidFill>
                    <w14:srgbClr w14:val="000000">
                      <w14:alpha w14:val="100000"/>
                    </w14:srgbClr>
                  </w14:solidFill>
                </w14:textFill>
              </w:rPr>
              <w:t>|</w:t>
            </w:r>
            <w:r w:rsidR="00764CEF">
              <w:rPr>
                <w:b/>
                <w:vertAlign w:val="superscript"/>
              </w:rPr>
              <w:t>2</w:t>
            </w:r>
          </w:p>
        </w:tc>
      </w:tr>
      <w:tr w:rsidR="00A54240" w:rsidRPr="00FB0D10" w14:paraId="34C4E104" w14:textId="77777777" w:rsidTr="006D385E">
        <w:tc>
          <w:tcPr>
            <w:tcW w:w="5807" w:type="dxa"/>
          </w:tcPr>
          <w:p w14:paraId="29F474A4" w14:textId="309CB1AC" w:rsidR="00A54240" w:rsidRPr="00FB0D10" w:rsidRDefault="00A54240" w:rsidP="00A54240">
            <w:pPr>
              <w:pStyle w:val="TableText"/>
              <w:keepNext w:val="0"/>
            </w:pPr>
            <w:r w:rsidRPr="00FB0D10">
              <w:t>Disease monitoring costs and hospitalisation costs excluded</w:t>
            </w:r>
          </w:p>
        </w:tc>
        <w:tc>
          <w:tcPr>
            <w:tcW w:w="1273" w:type="dxa"/>
            <w:vAlign w:val="center"/>
          </w:tcPr>
          <w:p w14:paraId="222B703A" w14:textId="37BB0331" w:rsidR="00A54240" w:rsidRPr="00FB0D10" w:rsidRDefault="00A54240" w:rsidP="00A54240">
            <w:pPr>
              <w:pStyle w:val="TableText"/>
              <w:keepNext w:val="0"/>
              <w:jc w:val="center"/>
            </w:pPr>
            <w:r w:rsidRPr="00FB0D10">
              <w:t>$</w:t>
            </w:r>
            <w:r w:rsidR="00F96E54" w:rsidRPr="00F96E54">
              <w:rPr>
                <w:rFonts w:hint="eastAsia"/>
                <w:color w:val="000000"/>
                <w:w w:val="15"/>
                <w:shd w:val="solid" w:color="000000" w:fill="000000"/>
                <w:fitText w:val="63" w:id="-1435343094"/>
                <w14:textFill>
                  <w14:solidFill>
                    <w14:srgbClr w14:val="000000">
                      <w14:alpha w14:val="100000"/>
                    </w14:srgbClr>
                  </w14:solidFill>
                </w14:textFill>
              </w:rPr>
              <w:t xml:space="preserve">　</w:t>
            </w:r>
            <w:r w:rsidR="00F96E54" w:rsidRPr="00F96E54">
              <w:rPr>
                <w:color w:val="000000"/>
                <w:w w:val="15"/>
                <w:shd w:val="solid" w:color="000000" w:fill="000000"/>
                <w:fitText w:val="63" w:id="-1435343094"/>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094"/>
                <w14:textFill>
                  <w14:solidFill>
                    <w14:srgbClr w14:val="000000">
                      <w14:alpha w14:val="100000"/>
                    </w14:srgbClr>
                  </w14:solidFill>
                </w14:textFill>
              </w:rPr>
              <w:t xml:space="preserve">　</w:t>
            </w:r>
          </w:p>
        </w:tc>
        <w:tc>
          <w:tcPr>
            <w:tcW w:w="1137" w:type="dxa"/>
            <w:vAlign w:val="center"/>
          </w:tcPr>
          <w:p w14:paraId="777D20D5" w14:textId="181612C3" w:rsidR="00A54240" w:rsidRPr="00FB0D10" w:rsidRDefault="00A54240" w:rsidP="00A54240">
            <w:pPr>
              <w:pStyle w:val="TableText"/>
              <w:keepNext w:val="0"/>
              <w:jc w:val="center"/>
            </w:pPr>
            <w:r w:rsidRPr="00FB0D10">
              <w:t>0.2243</w:t>
            </w:r>
          </w:p>
        </w:tc>
        <w:tc>
          <w:tcPr>
            <w:tcW w:w="1086" w:type="dxa"/>
            <w:vAlign w:val="center"/>
          </w:tcPr>
          <w:p w14:paraId="16617B53" w14:textId="0497A24D" w:rsidR="00A54240" w:rsidRPr="00C950B3" w:rsidRDefault="00A54240" w:rsidP="00A54240">
            <w:pPr>
              <w:pStyle w:val="TableText"/>
              <w:keepNext w:val="0"/>
              <w:jc w:val="center"/>
              <w:rPr>
                <w:highlight w:val="darkGray"/>
              </w:rPr>
            </w:pPr>
            <w:r w:rsidRPr="00320844">
              <w:t>$</w:t>
            </w:r>
            <w:r w:rsidR="00F96E54" w:rsidRPr="00F96E54">
              <w:rPr>
                <w:color w:val="000000"/>
                <w:spacing w:val="102"/>
                <w:shd w:val="solid" w:color="000000" w:fill="000000"/>
                <w:fitText w:val="188" w:id="-1435343093"/>
                <w14:textFill>
                  <w14:solidFill>
                    <w14:srgbClr w14:val="000000">
                      <w14:alpha w14:val="100000"/>
                    </w14:srgbClr>
                  </w14:solidFill>
                </w14:textFill>
              </w:rPr>
              <w:t>|</w:t>
            </w:r>
            <w:r w:rsidR="00F96E54" w:rsidRPr="00F96E54">
              <w:rPr>
                <w:color w:val="000000"/>
                <w:spacing w:val="1"/>
                <w:shd w:val="solid" w:color="000000" w:fill="000000"/>
                <w:fitText w:val="188" w:id="-1435343093"/>
                <w14:textFill>
                  <w14:solidFill>
                    <w14:srgbClr w14:val="000000">
                      <w14:alpha w14:val="100000"/>
                    </w14:srgbClr>
                  </w14:solidFill>
                </w14:textFill>
              </w:rPr>
              <w:t>|</w:t>
            </w:r>
            <w:r w:rsidR="00764CEF">
              <w:rPr>
                <w:b/>
                <w:vertAlign w:val="superscript"/>
              </w:rPr>
              <w:t>5</w:t>
            </w:r>
          </w:p>
        </w:tc>
      </w:tr>
      <w:tr w:rsidR="006D385E" w:rsidRPr="00FB0D10" w14:paraId="3F027B7C" w14:textId="77777777" w:rsidTr="006D385E">
        <w:tc>
          <w:tcPr>
            <w:tcW w:w="5807" w:type="dxa"/>
          </w:tcPr>
          <w:p w14:paraId="47EF8ACD" w14:textId="688F4A60" w:rsidR="006D385E" w:rsidRPr="00FB0D10" w:rsidRDefault="006D385E" w:rsidP="00A54240">
            <w:pPr>
              <w:pStyle w:val="TableText"/>
              <w:keepNext w:val="0"/>
            </w:pPr>
            <w:r>
              <w:t>Multivariate analyses</w:t>
            </w:r>
          </w:p>
        </w:tc>
        <w:tc>
          <w:tcPr>
            <w:tcW w:w="1273" w:type="dxa"/>
            <w:vAlign w:val="center"/>
          </w:tcPr>
          <w:p w14:paraId="4BACB237" w14:textId="77777777" w:rsidR="006D385E" w:rsidRPr="00FB0D10" w:rsidRDefault="006D385E" w:rsidP="00A54240">
            <w:pPr>
              <w:pStyle w:val="TableText"/>
              <w:keepNext w:val="0"/>
              <w:jc w:val="center"/>
            </w:pPr>
          </w:p>
        </w:tc>
        <w:tc>
          <w:tcPr>
            <w:tcW w:w="1137" w:type="dxa"/>
            <w:vAlign w:val="center"/>
          </w:tcPr>
          <w:p w14:paraId="3B3DB65B" w14:textId="77777777" w:rsidR="006D385E" w:rsidRPr="00FB0D10" w:rsidRDefault="006D385E" w:rsidP="00A54240">
            <w:pPr>
              <w:pStyle w:val="TableText"/>
              <w:keepNext w:val="0"/>
              <w:jc w:val="center"/>
            </w:pPr>
          </w:p>
        </w:tc>
        <w:tc>
          <w:tcPr>
            <w:tcW w:w="1086" w:type="dxa"/>
            <w:vAlign w:val="center"/>
          </w:tcPr>
          <w:p w14:paraId="49899ABF" w14:textId="77777777" w:rsidR="006D385E" w:rsidRPr="00FB0D10" w:rsidRDefault="006D385E" w:rsidP="00A54240">
            <w:pPr>
              <w:pStyle w:val="TableText"/>
              <w:keepNext w:val="0"/>
              <w:jc w:val="center"/>
            </w:pPr>
          </w:p>
        </w:tc>
      </w:tr>
      <w:tr w:rsidR="006D385E" w:rsidRPr="00FB0D10" w14:paraId="14D246F2" w14:textId="77777777" w:rsidTr="006D385E">
        <w:tc>
          <w:tcPr>
            <w:tcW w:w="5807" w:type="dxa"/>
          </w:tcPr>
          <w:p w14:paraId="73728865" w14:textId="48110AA5" w:rsidR="006D385E" w:rsidRPr="00FB0D10" w:rsidRDefault="006D385E" w:rsidP="00A54240">
            <w:pPr>
              <w:pStyle w:val="TableText"/>
              <w:keepNext w:val="0"/>
            </w:pPr>
            <w:r>
              <w:t xml:space="preserve">5 year time horizon </w:t>
            </w:r>
            <w:r w:rsidR="00E03A5A">
              <w:t>and</w:t>
            </w:r>
            <w:r>
              <w:t xml:space="preserve"> ruxolitinib 5 mg price as per myelofibrosis*</w:t>
            </w:r>
          </w:p>
        </w:tc>
        <w:tc>
          <w:tcPr>
            <w:tcW w:w="1273" w:type="dxa"/>
            <w:vAlign w:val="center"/>
          </w:tcPr>
          <w:p w14:paraId="0BE7826E" w14:textId="0B502D68" w:rsidR="006D385E" w:rsidRPr="00FB0D10" w:rsidRDefault="006D385E" w:rsidP="00A54240">
            <w:pPr>
              <w:pStyle w:val="TableText"/>
              <w:keepNext w:val="0"/>
              <w:jc w:val="center"/>
            </w:pPr>
            <w:r>
              <w:t>$</w:t>
            </w:r>
            <w:r w:rsidR="00F96E54" w:rsidRPr="00F96E54">
              <w:rPr>
                <w:rFonts w:hint="eastAsia"/>
                <w:color w:val="000000"/>
                <w:w w:val="15"/>
                <w:shd w:val="solid" w:color="000000" w:fill="000000"/>
                <w:fitText w:val="63" w:id="-1435343092"/>
                <w14:textFill>
                  <w14:solidFill>
                    <w14:srgbClr w14:val="000000">
                      <w14:alpha w14:val="100000"/>
                    </w14:srgbClr>
                  </w14:solidFill>
                </w14:textFill>
              </w:rPr>
              <w:t xml:space="preserve">　</w:t>
            </w:r>
            <w:r w:rsidR="00F96E54" w:rsidRPr="00F96E54">
              <w:rPr>
                <w:color w:val="000000"/>
                <w:w w:val="15"/>
                <w:shd w:val="solid" w:color="000000" w:fill="000000"/>
                <w:fitText w:val="63" w:id="-1435343092"/>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092"/>
                <w14:textFill>
                  <w14:solidFill>
                    <w14:srgbClr w14:val="000000">
                      <w14:alpha w14:val="100000"/>
                    </w14:srgbClr>
                  </w14:solidFill>
                </w14:textFill>
              </w:rPr>
              <w:t xml:space="preserve">　</w:t>
            </w:r>
          </w:p>
        </w:tc>
        <w:tc>
          <w:tcPr>
            <w:tcW w:w="1137" w:type="dxa"/>
            <w:vAlign w:val="center"/>
          </w:tcPr>
          <w:p w14:paraId="4B8373A0" w14:textId="614E0935" w:rsidR="006D385E" w:rsidRPr="00FB0D10" w:rsidRDefault="006D385E" w:rsidP="00A54240">
            <w:pPr>
              <w:pStyle w:val="TableText"/>
              <w:keepNext w:val="0"/>
              <w:jc w:val="center"/>
            </w:pPr>
            <w:r>
              <w:t>0.1830</w:t>
            </w:r>
          </w:p>
        </w:tc>
        <w:tc>
          <w:tcPr>
            <w:tcW w:w="1086" w:type="dxa"/>
            <w:vAlign w:val="center"/>
          </w:tcPr>
          <w:p w14:paraId="0CF7ADC6" w14:textId="350F84FD" w:rsidR="006D385E" w:rsidRPr="00FB0D10" w:rsidRDefault="006D385E" w:rsidP="00A54240">
            <w:pPr>
              <w:pStyle w:val="TableText"/>
              <w:keepNext w:val="0"/>
              <w:jc w:val="center"/>
            </w:pPr>
            <w:r>
              <w:t>$</w:t>
            </w:r>
            <w:r w:rsidR="00F96E54" w:rsidRPr="00F96E54">
              <w:rPr>
                <w:color w:val="000000"/>
                <w:spacing w:val="102"/>
                <w:shd w:val="solid" w:color="000000" w:fill="000000"/>
                <w:fitText w:val="188" w:id="-1435343091"/>
                <w14:textFill>
                  <w14:solidFill>
                    <w14:srgbClr w14:val="000000">
                      <w14:alpha w14:val="100000"/>
                    </w14:srgbClr>
                  </w14:solidFill>
                </w14:textFill>
              </w:rPr>
              <w:t>|</w:t>
            </w:r>
            <w:r w:rsidR="00F96E54" w:rsidRPr="00F96E54">
              <w:rPr>
                <w:color w:val="000000"/>
                <w:spacing w:val="1"/>
                <w:shd w:val="solid" w:color="000000" w:fill="000000"/>
                <w:fitText w:val="188" w:id="-1435343091"/>
                <w14:textFill>
                  <w14:solidFill>
                    <w14:srgbClr w14:val="000000">
                      <w14:alpha w14:val="100000"/>
                    </w14:srgbClr>
                  </w14:solidFill>
                </w14:textFill>
              </w:rPr>
              <w:t>|</w:t>
            </w:r>
            <w:r w:rsidR="00764CEF" w:rsidRPr="008518B0">
              <w:rPr>
                <w:b/>
                <w:vertAlign w:val="superscript"/>
              </w:rPr>
              <w:t>1</w:t>
            </w:r>
          </w:p>
        </w:tc>
      </w:tr>
      <w:tr w:rsidR="006D385E" w:rsidRPr="00FB0D10" w14:paraId="6FBFF556" w14:textId="77777777" w:rsidTr="006D385E">
        <w:tc>
          <w:tcPr>
            <w:tcW w:w="5807" w:type="dxa"/>
          </w:tcPr>
          <w:p w14:paraId="56339E44" w14:textId="16D06B8E" w:rsidR="006D385E" w:rsidRDefault="006D385E" w:rsidP="006D385E">
            <w:pPr>
              <w:pStyle w:val="TableText"/>
              <w:keepNext w:val="0"/>
            </w:pPr>
            <w:r>
              <w:t xml:space="preserve">10 year time horizon </w:t>
            </w:r>
            <w:r w:rsidR="00E03A5A">
              <w:t>and</w:t>
            </w:r>
            <w:r>
              <w:t xml:space="preserve"> ruxolitinib 5 mg price as per myelofibrosis*</w:t>
            </w:r>
          </w:p>
        </w:tc>
        <w:tc>
          <w:tcPr>
            <w:tcW w:w="1273" w:type="dxa"/>
            <w:vAlign w:val="center"/>
          </w:tcPr>
          <w:p w14:paraId="154B7C02" w14:textId="542C7D9C" w:rsidR="006D385E" w:rsidRDefault="006D385E" w:rsidP="006D385E">
            <w:pPr>
              <w:pStyle w:val="TableText"/>
              <w:keepNext w:val="0"/>
              <w:jc w:val="center"/>
            </w:pPr>
            <w:r>
              <w:t>$</w:t>
            </w:r>
            <w:r w:rsidR="00F96E54" w:rsidRPr="00F96E54">
              <w:rPr>
                <w:rFonts w:hint="eastAsia"/>
                <w:color w:val="000000"/>
                <w:w w:val="15"/>
                <w:shd w:val="solid" w:color="000000" w:fill="000000"/>
                <w:fitText w:val="63" w:id="-1435343090"/>
                <w14:textFill>
                  <w14:solidFill>
                    <w14:srgbClr w14:val="000000">
                      <w14:alpha w14:val="100000"/>
                    </w14:srgbClr>
                  </w14:solidFill>
                </w14:textFill>
              </w:rPr>
              <w:t xml:space="preserve">　</w:t>
            </w:r>
            <w:r w:rsidR="00F96E54" w:rsidRPr="00F96E54">
              <w:rPr>
                <w:color w:val="000000"/>
                <w:w w:val="15"/>
                <w:shd w:val="solid" w:color="000000" w:fill="000000"/>
                <w:fitText w:val="63" w:id="-1435343090"/>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090"/>
                <w14:textFill>
                  <w14:solidFill>
                    <w14:srgbClr w14:val="000000">
                      <w14:alpha w14:val="100000"/>
                    </w14:srgbClr>
                  </w14:solidFill>
                </w14:textFill>
              </w:rPr>
              <w:t xml:space="preserve">　</w:t>
            </w:r>
          </w:p>
        </w:tc>
        <w:tc>
          <w:tcPr>
            <w:tcW w:w="1137" w:type="dxa"/>
            <w:vAlign w:val="center"/>
          </w:tcPr>
          <w:p w14:paraId="0BE12262" w14:textId="75D0C49B" w:rsidR="006D385E" w:rsidRDefault="006D385E" w:rsidP="006D385E">
            <w:pPr>
              <w:pStyle w:val="TableText"/>
              <w:keepNext w:val="0"/>
              <w:jc w:val="center"/>
            </w:pPr>
            <w:r>
              <w:t>0.2197</w:t>
            </w:r>
          </w:p>
        </w:tc>
        <w:tc>
          <w:tcPr>
            <w:tcW w:w="1086" w:type="dxa"/>
            <w:vAlign w:val="center"/>
          </w:tcPr>
          <w:p w14:paraId="56F0D248" w14:textId="4A3354D9" w:rsidR="006D385E" w:rsidRDefault="006D385E" w:rsidP="006D385E">
            <w:pPr>
              <w:pStyle w:val="TableText"/>
              <w:keepNext w:val="0"/>
              <w:jc w:val="center"/>
            </w:pPr>
            <w:r>
              <w:t>$</w:t>
            </w:r>
            <w:r w:rsidR="00F96E54" w:rsidRPr="00F96E54">
              <w:rPr>
                <w:color w:val="000000"/>
                <w:spacing w:val="102"/>
                <w:shd w:val="solid" w:color="000000" w:fill="000000"/>
                <w:fitText w:val="188" w:id="-1435343089"/>
                <w14:textFill>
                  <w14:solidFill>
                    <w14:srgbClr w14:val="000000">
                      <w14:alpha w14:val="100000"/>
                    </w14:srgbClr>
                  </w14:solidFill>
                </w14:textFill>
              </w:rPr>
              <w:t>|</w:t>
            </w:r>
            <w:r w:rsidR="00F96E54" w:rsidRPr="00F96E54">
              <w:rPr>
                <w:color w:val="000000"/>
                <w:spacing w:val="1"/>
                <w:shd w:val="solid" w:color="000000" w:fill="000000"/>
                <w:fitText w:val="188" w:id="-1435343089"/>
                <w14:textFill>
                  <w14:solidFill>
                    <w14:srgbClr w14:val="000000">
                      <w14:alpha w14:val="100000"/>
                    </w14:srgbClr>
                  </w14:solidFill>
                </w14:textFill>
              </w:rPr>
              <w:t>|</w:t>
            </w:r>
            <w:r w:rsidR="00764CEF">
              <w:rPr>
                <w:b/>
                <w:vertAlign w:val="superscript"/>
              </w:rPr>
              <w:t>2</w:t>
            </w:r>
          </w:p>
        </w:tc>
      </w:tr>
    </w:tbl>
    <w:p w14:paraId="1E18981C" w14:textId="3F9A303D" w:rsidR="004F195D" w:rsidRDefault="004F195D" w:rsidP="004F195D">
      <w:pPr>
        <w:pStyle w:val="TableFigureFooter"/>
      </w:pPr>
      <w:r>
        <w:t>Source: Table 3(a).9-1, p357 of the submission</w:t>
      </w:r>
      <w:r w:rsidR="00E57672">
        <w:t xml:space="preserve">; additional analyses </w:t>
      </w:r>
      <w:r w:rsidR="00E70D89">
        <w:t>conducted</w:t>
      </w:r>
      <w:r w:rsidR="00E57672">
        <w:t xml:space="preserve"> using the ‘Jakavi (ruxolitinib)</w:t>
      </w:r>
      <w:r w:rsidR="00E70D89">
        <w:t xml:space="preserve"> – aGVHD – CEA’ Excel spreadsheet.</w:t>
      </w:r>
    </w:p>
    <w:p w14:paraId="30903567" w14:textId="53FA2CA7" w:rsidR="004F195D" w:rsidRDefault="004F195D" w:rsidP="004F195D">
      <w:pPr>
        <w:pStyle w:val="TableFigureFooter"/>
      </w:pPr>
      <w:r>
        <w:t xml:space="preserve">Abbreviations: BAT, best available therapy; GVHD, </w:t>
      </w:r>
      <w:r w:rsidR="005553CE">
        <w:t>graft-versus-host</w:t>
      </w:r>
      <w:r>
        <w:t xml:space="preserve"> disease; ICER, incremental cost-effectiveness ratio; QALY, quality-adjusted life year.</w:t>
      </w:r>
    </w:p>
    <w:p w14:paraId="3F8FDA69" w14:textId="10BAC089" w:rsidR="006D385E" w:rsidRDefault="006D385E" w:rsidP="00C950B3">
      <w:pPr>
        <w:pStyle w:val="TableFigureFooter"/>
        <w:spacing w:after="0"/>
      </w:pPr>
      <w:r>
        <w:t xml:space="preserve">* AEMP = </w:t>
      </w:r>
      <w:r w:rsidR="00F96E54" w:rsidRPr="00F96E54">
        <w:rPr>
          <w:color w:val="000000"/>
          <w:spacing w:val="36"/>
          <w:shd w:val="solid" w:color="000000" w:fill="000000"/>
          <w:fitText w:val="268" w:id="-1435343088"/>
          <w14:textFill>
            <w14:solidFill>
              <w14:srgbClr w14:val="000000">
                <w14:alpha w14:val="100000"/>
              </w14:srgbClr>
            </w14:solidFill>
          </w14:textFill>
        </w:rPr>
        <w:t xml:space="preserve">|  </w:t>
      </w:r>
      <w:r w:rsidR="00F96E54" w:rsidRPr="00F96E54">
        <w:rPr>
          <w:color w:val="000000"/>
          <w:spacing w:val="2"/>
          <w:shd w:val="solid" w:color="000000" w:fill="000000"/>
          <w:fitText w:val="268" w:id="-1435343088"/>
          <w14:textFill>
            <w14:solidFill>
              <w14:srgbClr w14:val="000000">
                <w14:alpha w14:val="100000"/>
              </w14:srgbClr>
            </w14:solidFill>
          </w14:textFill>
        </w:rPr>
        <w:t>|</w:t>
      </w:r>
      <w:r>
        <w:t xml:space="preserve">; 82% public hospital - 18% private hospital split </w:t>
      </w:r>
    </w:p>
    <w:p w14:paraId="5E998318" w14:textId="77777777" w:rsidR="00E13141" w:rsidRPr="009A6D58" w:rsidRDefault="00E13141" w:rsidP="00E13141">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2470968" w14:textId="77777777" w:rsidR="00E13141" w:rsidRPr="009A6D58" w:rsidRDefault="00E13141" w:rsidP="00E13141">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1A02B8">
        <w:rPr>
          <w:rFonts w:ascii="Arial Narrow" w:hAnsi="Arial Narrow"/>
          <w:i/>
          <w:sz w:val="18"/>
          <w:szCs w:val="18"/>
        </w:rPr>
        <w:t>$55,000 to &lt; $</w:t>
      </w:r>
      <w:r>
        <w:rPr>
          <w:rFonts w:ascii="Arial Narrow" w:hAnsi="Arial Narrow"/>
          <w:i/>
          <w:sz w:val="18"/>
          <w:szCs w:val="18"/>
        </w:rPr>
        <w:t>6</w:t>
      </w:r>
      <w:r w:rsidRPr="001A02B8">
        <w:rPr>
          <w:rFonts w:ascii="Arial Narrow" w:hAnsi="Arial Narrow"/>
          <w:i/>
          <w:sz w:val="18"/>
          <w:szCs w:val="18"/>
        </w:rPr>
        <w:t>5,000</w:t>
      </w:r>
    </w:p>
    <w:p w14:paraId="3A40C4E1" w14:textId="77777777" w:rsidR="00E13141" w:rsidRPr="009A6D58" w:rsidRDefault="00E13141" w:rsidP="00E13141">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1A02B8">
        <w:rPr>
          <w:rFonts w:ascii="Arial Narrow" w:hAnsi="Arial Narrow"/>
          <w:i/>
          <w:sz w:val="18"/>
          <w:szCs w:val="18"/>
        </w:rPr>
        <w:t>$</w:t>
      </w:r>
      <w:r>
        <w:rPr>
          <w:rFonts w:ascii="Arial Narrow" w:hAnsi="Arial Narrow"/>
          <w:i/>
          <w:sz w:val="18"/>
          <w:szCs w:val="18"/>
        </w:rPr>
        <w:t>4</w:t>
      </w:r>
      <w:r w:rsidRPr="001A02B8">
        <w:rPr>
          <w:rFonts w:ascii="Arial Narrow" w:hAnsi="Arial Narrow"/>
          <w:i/>
          <w:sz w:val="18"/>
          <w:szCs w:val="18"/>
        </w:rPr>
        <w:t>5,000 to &lt; $</w:t>
      </w:r>
      <w:r>
        <w:rPr>
          <w:rFonts w:ascii="Arial Narrow" w:hAnsi="Arial Narrow"/>
          <w:i/>
          <w:sz w:val="18"/>
          <w:szCs w:val="18"/>
        </w:rPr>
        <w:t>5</w:t>
      </w:r>
      <w:r w:rsidRPr="001A02B8">
        <w:rPr>
          <w:rFonts w:ascii="Arial Narrow" w:hAnsi="Arial Narrow"/>
          <w:i/>
          <w:sz w:val="18"/>
          <w:szCs w:val="18"/>
        </w:rPr>
        <w:t>5,000</w:t>
      </w:r>
    </w:p>
    <w:p w14:paraId="61CDCD5E" w14:textId="358EE35E" w:rsidR="00E13141" w:rsidRDefault="00E13141" w:rsidP="00E13141">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764CEF" w:rsidRPr="001A02B8">
        <w:rPr>
          <w:rFonts w:ascii="Arial Narrow" w:hAnsi="Arial Narrow"/>
          <w:i/>
          <w:sz w:val="18"/>
          <w:szCs w:val="18"/>
        </w:rPr>
        <w:t>$</w:t>
      </w:r>
      <w:r w:rsidR="00764CEF">
        <w:rPr>
          <w:rFonts w:ascii="Arial Narrow" w:hAnsi="Arial Narrow"/>
          <w:i/>
          <w:sz w:val="18"/>
          <w:szCs w:val="18"/>
        </w:rPr>
        <w:t>6</w:t>
      </w:r>
      <w:r w:rsidR="00764CEF" w:rsidRPr="001A02B8">
        <w:rPr>
          <w:rFonts w:ascii="Arial Narrow" w:hAnsi="Arial Narrow"/>
          <w:i/>
          <w:sz w:val="18"/>
          <w:szCs w:val="18"/>
        </w:rPr>
        <w:t>5,000 to &lt; $</w:t>
      </w:r>
      <w:r w:rsidR="00764CEF">
        <w:rPr>
          <w:rFonts w:ascii="Arial Narrow" w:hAnsi="Arial Narrow"/>
          <w:i/>
          <w:sz w:val="18"/>
          <w:szCs w:val="18"/>
        </w:rPr>
        <w:t>7</w:t>
      </w:r>
      <w:r w:rsidR="00764CEF" w:rsidRPr="001A02B8">
        <w:rPr>
          <w:rFonts w:ascii="Arial Narrow" w:hAnsi="Arial Narrow"/>
          <w:i/>
          <w:sz w:val="18"/>
          <w:szCs w:val="18"/>
        </w:rPr>
        <w:t>5,000</w:t>
      </w:r>
      <w:r w:rsidR="00764CEF">
        <w:rPr>
          <w:rFonts w:ascii="Arial Narrow" w:hAnsi="Arial Narrow"/>
          <w:i/>
          <w:sz w:val="18"/>
          <w:szCs w:val="18"/>
        </w:rPr>
        <w:t xml:space="preserve"> </w:t>
      </w:r>
    </w:p>
    <w:p w14:paraId="2F4C82FD" w14:textId="62095B74" w:rsidR="00E13141" w:rsidRDefault="00E13141" w:rsidP="00E13141">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764CEF" w:rsidRPr="001A02B8">
        <w:rPr>
          <w:rFonts w:ascii="Arial Narrow" w:hAnsi="Arial Narrow"/>
          <w:i/>
          <w:sz w:val="18"/>
          <w:szCs w:val="18"/>
        </w:rPr>
        <w:t>$</w:t>
      </w:r>
      <w:r w:rsidR="00764CEF">
        <w:rPr>
          <w:rFonts w:ascii="Arial Narrow" w:hAnsi="Arial Narrow"/>
          <w:i/>
          <w:sz w:val="18"/>
          <w:szCs w:val="18"/>
        </w:rPr>
        <w:t>1</w:t>
      </w:r>
      <w:r w:rsidR="00764CEF" w:rsidRPr="001A02B8">
        <w:rPr>
          <w:rFonts w:ascii="Arial Narrow" w:hAnsi="Arial Narrow"/>
          <w:i/>
          <w:sz w:val="18"/>
          <w:szCs w:val="18"/>
        </w:rPr>
        <w:t>5,000 to &lt; $</w:t>
      </w:r>
      <w:r w:rsidR="00764CEF">
        <w:rPr>
          <w:rFonts w:ascii="Arial Narrow" w:hAnsi="Arial Narrow"/>
          <w:i/>
          <w:sz w:val="18"/>
          <w:szCs w:val="18"/>
        </w:rPr>
        <w:t>2</w:t>
      </w:r>
      <w:r w:rsidR="00764CEF" w:rsidRPr="001A02B8">
        <w:rPr>
          <w:rFonts w:ascii="Arial Narrow" w:hAnsi="Arial Narrow"/>
          <w:i/>
          <w:sz w:val="18"/>
          <w:szCs w:val="18"/>
        </w:rPr>
        <w:t>5,000</w:t>
      </w:r>
    </w:p>
    <w:p w14:paraId="2549F6B5" w14:textId="32327551" w:rsidR="00E13141" w:rsidRDefault="00E13141" w:rsidP="00E13141">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764CEF" w:rsidRPr="001A02B8">
        <w:rPr>
          <w:rFonts w:ascii="Arial Narrow" w:hAnsi="Arial Narrow"/>
          <w:i/>
          <w:sz w:val="18"/>
          <w:szCs w:val="18"/>
        </w:rPr>
        <w:t>$</w:t>
      </w:r>
      <w:r w:rsidR="00764CEF">
        <w:rPr>
          <w:rFonts w:ascii="Arial Narrow" w:hAnsi="Arial Narrow"/>
          <w:i/>
          <w:sz w:val="18"/>
          <w:szCs w:val="18"/>
        </w:rPr>
        <w:t>3</w:t>
      </w:r>
      <w:r w:rsidR="00764CEF" w:rsidRPr="001A02B8">
        <w:rPr>
          <w:rFonts w:ascii="Arial Narrow" w:hAnsi="Arial Narrow"/>
          <w:i/>
          <w:sz w:val="18"/>
          <w:szCs w:val="18"/>
        </w:rPr>
        <w:t>5,000 to &lt; $</w:t>
      </w:r>
      <w:r w:rsidR="00764CEF">
        <w:rPr>
          <w:rFonts w:ascii="Arial Narrow" w:hAnsi="Arial Narrow"/>
          <w:i/>
          <w:sz w:val="18"/>
          <w:szCs w:val="18"/>
        </w:rPr>
        <w:t>4</w:t>
      </w:r>
      <w:r w:rsidR="00764CEF" w:rsidRPr="001A02B8">
        <w:rPr>
          <w:rFonts w:ascii="Arial Narrow" w:hAnsi="Arial Narrow"/>
          <w:i/>
          <w:sz w:val="18"/>
          <w:szCs w:val="18"/>
        </w:rPr>
        <w:t>5,000</w:t>
      </w:r>
    </w:p>
    <w:p w14:paraId="1B63CC18" w14:textId="77777777" w:rsidR="00E13141" w:rsidRDefault="00E13141" w:rsidP="004F195D">
      <w:pPr>
        <w:pStyle w:val="TableFigureFooter"/>
      </w:pPr>
    </w:p>
    <w:p w14:paraId="30A12FE6" w14:textId="06CD316A" w:rsidR="00F67915" w:rsidRPr="00A6154D" w:rsidRDefault="004F195D" w:rsidP="004F195D">
      <w:pPr>
        <w:pStyle w:val="ExecSumBodyText"/>
      </w:pPr>
      <w:r w:rsidRPr="00FB0D10">
        <w:t>The model was most sensitive to the number of lines of BAT therapy</w:t>
      </w:r>
      <w:r w:rsidR="00D16B3A" w:rsidRPr="00FB0D10">
        <w:t xml:space="preserve"> and the inclusion of disease monitoring/hospitalisation costs.</w:t>
      </w:r>
      <w:r w:rsidRPr="00FB0D10">
        <w:t xml:space="preserve"> The modelled results appeared to be relatively consistent when alternative random number generator seeds were used.</w:t>
      </w:r>
      <w:r w:rsidR="001D3DD1">
        <w:t xml:space="preserve"> </w:t>
      </w:r>
      <w:r w:rsidR="001D3DD1" w:rsidRPr="00A6154D">
        <w:t>The ESC noted that when disease monitoring/hospitalisation costs were removed</w:t>
      </w:r>
      <w:r w:rsidR="00DA75E0" w:rsidRPr="00A6154D">
        <w:t>,</w:t>
      </w:r>
      <w:r w:rsidR="001D3DD1" w:rsidRPr="00A6154D">
        <w:t xml:space="preserve"> the ICER decreased</w:t>
      </w:r>
      <w:r w:rsidR="00DA75E0" w:rsidRPr="00A6154D">
        <w:t xml:space="preserve">. The ESC considered that this </w:t>
      </w:r>
      <w:r w:rsidR="00EE7E7C" w:rsidRPr="00A6154D">
        <w:t>was due to</w:t>
      </w:r>
      <w:r w:rsidR="00DA75E0" w:rsidRPr="00A6154D">
        <w:t xml:space="preserve"> the longer survival of patients in the ruxolitinib arm and the resultant accruing of higher disease management costs.</w:t>
      </w:r>
    </w:p>
    <w:p w14:paraId="631599FE" w14:textId="008E078A" w:rsidR="00FF3AFD" w:rsidRPr="00A6154D" w:rsidRDefault="0065095F" w:rsidP="004F6FAF">
      <w:pPr>
        <w:pStyle w:val="ExecSumBodyText"/>
      </w:pPr>
      <w:bookmarkStart w:id="64" w:name="_Ref106289169"/>
      <w:r w:rsidRPr="00A6154D">
        <w:t xml:space="preserve">The ESC noted that there was less uncertainty in the structure of the aGVHD model as the REACH2 trial provided more mature overall survival data and there was separation of the overall survival Kaplan-Meier curves despite the lack of adjustment for crossover. However, </w:t>
      </w:r>
      <w:r w:rsidR="00FF3AFD" w:rsidRPr="00A6154D">
        <w:t xml:space="preserve">notwithstanding this, </w:t>
      </w:r>
      <w:r w:rsidRPr="00A6154D">
        <w:t>t</w:t>
      </w:r>
      <w:r w:rsidR="004F6FAF" w:rsidRPr="00A6154D">
        <w:t xml:space="preserve">he </w:t>
      </w:r>
      <w:r w:rsidR="00FF3AFD" w:rsidRPr="00A6154D">
        <w:t xml:space="preserve">ESC considered the submission’s base case ICER of </w:t>
      </w:r>
      <w:r w:rsidR="005B09A6" w:rsidRPr="005B09A6">
        <w:t>$55,000 to &lt; $</w:t>
      </w:r>
      <w:r w:rsidR="005B09A6">
        <w:t>6</w:t>
      </w:r>
      <w:r w:rsidR="005B09A6" w:rsidRPr="005B09A6">
        <w:t>5,000</w:t>
      </w:r>
      <w:r w:rsidR="005B09A6">
        <w:t xml:space="preserve"> </w:t>
      </w:r>
      <w:r w:rsidR="00FF3AFD" w:rsidRPr="00A6154D">
        <w:t>per QALY was optimistic given the uncertain and likely optimistic model extrapolations in the context of a long time horizon (15 years) based on a short duration of follow-up in the REACH2 trial (5.7 months). The ESC considered that a shorter model time horizon and more conservative extrapolations would be more appropriate.</w:t>
      </w:r>
      <w:bookmarkEnd w:id="64"/>
    </w:p>
    <w:p w14:paraId="282565DD" w14:textId="461B4971" w:rsidR="004F6FAF" w:rsidRPr="00A6154D" w:rsidRDefault="004F6FAF" w:rsidP="004F6FAF">
      <w:pPr>
        <w:pStyle w:val="ExecSumBodyText"/>
      </w:pPr>
      <w:r w:rsidRPr="00A6154D">
        <w:t xml:space="preserve">The ESC </w:t>
      </w:r>
      <w:r w:rsidR="00774FA8" w:rsidRPr="00A6154D">
        <w:t xml:space="preserve">considered that </w:t>
      </w:r>
      <w:r w:rsidR="00FF3AFD" w:rsidRPr="00A6154D">
        <w:t xml:space="preserve">for aGVHD, an alternative modelling approach may have been </w:t>
      </w:r>
      <w:r w:rsidR="001D3DD1" w:rsidRPr="00A6154D">
        <w:t>extrapolat</w:t>
      </w:r>
      <w:r w:rsidR="00FF3AFD" w:rsidRPr="00A6154D">
        <w:t>ing</w:t>
      </w:r>
      <w:r w:rsidR="00774FA8" w:rsidRPr="00A6154D">
        <w:t xml:space="preserve"> overall survival estimates </w:t>
      </w:r>
      <w:r w:rsidR="001D3DD1" w:rsidRPr="00A6154D">
        <w:t>by treatment arm, rather than by responder/non-responder status</w:t>
      </w:r>
      <w:r w:rsidRPr="00A6154D">
        <w:t>.</w:t>
      </w:r>
    </w:p>
    <w:p w14:paraId="32B75975" w14:textId="3DFD4B25" w:rsidR="00F67915" w:rsidRDefault="00F67915" w:rsidP="00F67915">
      <w:pPr>
        <w:pStyle w:val="3-SubsectionHeading"/>
      </w:pPr>
      <w:bookmarkStart w:id="65" w:name="_Toc22897646"/>
      <w:bookmarkStart w:id="66" w:name="_Toc22898858"/>
      <w:bookmarkStart w:id="67" w:name="_Toc103614221"/>
      <w:r w:rsidRPr="002C2775">
        <w:t>Drug cost/patient</w:t>
      </w:r>
      <w:bookmarkEnd w:id="65"/>
      <w:bookmarkEnd w:id="66"/>
      <w:bookmarkEnd w:id="67"/>
    </w:p>
    <w:p w14:paraId="0146E322" w14:textId="77777777" w:rsidR="00A00590" w:rsidRDefault="00A00590" w:rsidP="00A00590">
      <w:pPr>
        <w:pStyle w:val="4-SubsectSubhead"/>
      </w:pPr>
      <w:r>
        <w:t>Chronic GVHD</w:t>
      </w:r>
    </w:p>
    <w:p w14:paraId="03F9AFCB" w14:textId="07141AD5" w:rsidR="00A00590" w:rsidRDefault="00A00590" w:rsidP="00A00590">
      <w:pPr>
        <w:pStyle w:val="ExecSumBodyText"/>
      </w:pPr>
      <w:r>
        <w:t>Based on the economic model, the cost of ruxolitinib was $</w:t>
      </w:r>
      <w:r w:rsidR="00F96E54" w:rsidRPr="00F96E54">
        <w:rPr>
          <w:color w:val="000000"/>
          <w:w w:val="60"/>
          <w:shd w:val="solid" w:color="000000" w:fill="000000"/>
          <w:fitText w:val="468" w:id="-1435343104"/>
          <w14:textFill>
            <w14:solidFill>
              <w14:srgbClr w14:val="000000">
                <w14:alpha w14:val="100000"/>
              </w14:srgbClr>
            </w14:solidFill>
          </w14:textFill>
        </w:rPr>
        <w:t>|||  ||</w:t>
      </w:r>
      <w:r w:rsidR="00F96E54" w:rsidRPr="00F96E54">
        <w:rPr>
          <w:color w:val="000000"/>
          <w:spacing w:val="4"/>
          <w:w w:val="60"/>
          <w:shd w:val="solid" w:color="000000" w:fill="000000"/>
          <w:fitText w:val="468" w:id="-1435343104"/>
          <w14:textFill>
            <w14:solidFill>
              <w14:srgbClr w14:val="000000">
                <w14:alpha w14:val="100000"/>
              </w14:srgbClr>
            </w14:solidFill>
          </w14:textFill>
        </w:rPr>
        <w:t>|</w:t>
      </w:r>
      <w:r>
        <w:t xml:space="preserve"> per patient based on an average treatment duration of 87.0 weeks. Patients receiving ruxolitinib received subsequent BAT therapies, at a cost of $</w:t>
      </w:r>
      <w:r w:rsidR="00F96E54" w:rsidRPr="00BD1016">
        <w:rPr>
          <w:color w:val="000000"/>
          <w:w w:val="15"/>
          <w:shd w:val="solid" w:color="000000" w:fill="000000"/>
          <w:fitText w:val="-20" w:id="-1435343103"/>
          <w14:textFill>
            <w14:solidFill>
              <w14:srgbClr w14:val="000000">
                <w14:alpha w14:val="100000"/>
              </w14:srgbClr>
            </w14:solidFill>
          </w14:textFill>
        </w:rPr>
        <w:t xml:space="preserve">|  </w:t>
      </w:r>
      <w:r w:rsidR="00F96E54" w:rsidRPr="00BD1016">
        <w:rPr>
          <w:color w:val="000000"/>
          <w:spacing w:val="-69"/>
          <w:w w:val="15"/>
          <w:shd w:val="solid" w:color="000000" w:fill="000000"/>
          <w:fitText w:val="-20" w:id="-1435343103"/>
          <w14:textFill>
            <w14:solidFill>
              <w14:srgbClr w14:val="000000">
                <w14:alpha w14:val="100000"/>
              </w14:srgbClr>
            </w14:solidFill>
          </w14:textFill>
        </w:rPr>
        <w:t>|</w:t>
      </w:r>
      <w:r>
        <w:t xml:space="preserve"> per patient over an average treatment duration of 140.5 weeks based on treatment in the REACH3 trial that included ECP+methoxsalen ($</w:t>
      </w:r>
      <w:r w:rsidR="00F96E54" w:rsidRPr="00BD1016">
        <w:rPr>
          <w:color w:val="000000"/>
          <w:w w:val="15"/>
          <w:shd w:val="solid" w:color="000000" w:fill="000000"/>
          <w:fitText w:val="-20" w:id="-1435343102"/>
          <w14:textFill>
            <w14:solidFill>
              <w14:srgbClr w14:val="000000">
                <w14:alpha w14:val="100000"/>
              </w14:srgbClr>
            </w14:solidFill>
          </w14:textFill>
        </w:rPr>
        <w:t xml:space="preserve">|  </w:t>
      </w:r>
      <w:r w:rsidR="00F96E54" w:rsidRPr="00BD1016">
        <w:rPr>
          <w:color w:val="000000"/>
          <w:spacing w:val="-69"/>
          <w:w w:val="15"/>
          <w:shd w:val="solid" w:color="000000" w:fill="000000"/>
          <w:fitText w:val="-20" w:id="-1435343102"/>
          <w14:textFill>
            <w14:solidFill>
              <w14:srgbClr w14:val="000000">
                <w14:alpha w14:val="100000"/>
              </w14:srgbClr>
            </w14:solidFill>
          </w14:textFill>
        </w:rPr>
        <w:t>|</w:t>
      </w:r>
      <w:r>
        <w:t>), everolimus ($</w:t>
      </w:r>
      <w:r w:rsidR="00F96E54" w:rsidRPr="00BD1016">
        <w:rPr>
          <w:color w:val="000000"/>
          <w:w w:val="15"/>
          <w:shd w:val="solid" w:color="000000" w:fill="000000"/>
          <w:fitText w:val="-20" w:id="-1435343101"/>
          <w14:textFill>
            <w14:solidFill>
              <w14:srgbClr w14:val="000000">
                <w14:alpha w14:val="100000"/>
              </w14:srgbClr>
            </w14:solidFill>
          </w14:textFill>
        </w:rPr>
        <w:t xml:space="preserve">|  </w:t>
      </w:r>
      <w:r w:rsidR="00F96E54" w:rsidRPr="00BD1016">
        <w:rPr>
          <w:color w:val="000000"/>
          <w:spacing w:val="-69"/>
          <w:w w:val="15"/>
          <w:shd w:val="solid" w:color="000000" w:fill="000000"/>
          <w:fitText w:val="-20" w:id="-1435343101"/>
          <w14:textFill>
            <w14:solidFill>
              <w14:srgbClr w14:val="000000">
                <w14:alpha w14:val="100000"/>
              </w14:srgbClr>
            </w14:solidFill>
          </w14:textFill>
        </w:rPr>
        <w:t>|</w:t>
      </w:r>
      <w:r>
        <w:t>), sirolimus ($</w:t>
      </w:r>
      <w:r w:rsidR="00F96E54" w:rsidRPr="00BD1016">
        <w:rPr>
          <w:color w:val="000000"/>
          <w:w w:val="15"/>
          <w:shd w:val="solid" w:color="000000" w:fill="000000"/>
          <w:fitText w:val="-20" w:id="-1435343100"/>
          <w14:textFill>
            <w14:solidFill>
              <w14:srgbClr w14:val="000000">
                <w14:alpha w14:val="100000"/>
              </w14:srgbClr>
            </w14:solidFill>
          </w14:textFill>
        </w:rPr>
        <w:t xml:space="preserve">|  </w:t>
      </w:r>
      <w:r w:rsidR="00F96E54" w:rsidRPr="00BD1016">
        <w:rPr>
          <w:color w:val="000000"/>
          <w:spacing w:val="-69"/>
          <w:w w:val="15"/>
          <w:shd w:val="solid" w:color="000000" w:fill="000000"/>
          <w:fitText w:val="-20" w:id="-1435343100"/>
          <w14:textFill>
            <w14:solidFill>
              <w14:srgbClr w14:val="000000">
                <w14:alpha w14:val="100000"/>
              </w14:srgbClr>
            </w14:solidFill>
          </w14:textFill>
        </w:rPr>
        <w:t>|</w:t>
      </w:r>
      <w:r>
        <w:t>), mycophenolate mofetil ($</w:t>
      </w:r>
      <w:r w:rsidR="00F96E54" w:rsidRPr="00BD1016">
        <w:rPr>
          <w:color w:val="000000"/>
          <w:w w:val="15"/>
          <w:shd w:val="solid" w:color="000000" w:fill="000000"/>
          <w:fitText w:val="-20" w:id="-1435343099"/>
          <w14:textFill>
            <w14:solidFill>
              <w14:srgbClr w14:val="000000">
                <w14:alpha w14:val="100000"/>
              </w14:srgbClr>
            </w14:solidFill>
          </w14:textFill>
        </w:rPr>
        <w:t xml:space="preserve">|  </w:t>
      </w:r>
      <w:r w:rsidR="00F96E54" w:rsidRPr="00BD1016">
        <w:rPr>
          <w:color w:val="000000"/>
          <w:spacing w:val="-69"/>
          <w:w w:val="15"/>
          <w:shd w:val="solid" w:color="000000" w:fill="000000"/>
          <w:fitText w:val="-20" w:id="-1435343099"/>
          <w14:textFill>
            <w14:solidFill>
              <w14:srgbClr w14:val="000000">
                <w14:alpha w14:val="100000"/>
              </w14:srgbClr>
            </w14:solidFill>
          </w14:textFill>
        </w:rPr>
        <w:t>|</w:t>
      </w:r>
      <w:r>
        <w:t>), and methotrexate ($</w:t>
      </w:r>
      <w:r w:rsidR="00F96E54" w:rsidRPr="00BD1016">
        <w:rPr>
          <w:color w:val="000000"/>
          <w:w w:val="15"/>
          <w:shd w:val="solid" w:color="000000" w:fill="000000"/>
          <w:fitText w:val="-20" w:id="-1435343098"/>
          <w14:textFill>
            <w14:solidFill>
              <w14:srgbClr w14:val="000000">
                <w14:alpha w14:val="100000"/>
              </w14:srgbClr>
            </w14:solidFill>
          </w14:textFill>
        </w:rPr>
        <w:t xml:space="preserve">|  </w:t>
      </w:r>
      <w:r w:rsidR="00F96E54" w:rsidRPr="00BD1016">
        <w:rPr>
          <w:color w:val="000000"/>
          <w:spacing w:val="-69"/>
          <w:w w:val="15"/>
          <w:shd w:val="solid" w:color="000000" w:fill="000000"/>
          <w:fitText w:val="-20" w:id="-1435343098"/>
          <w14:textFill>
            <w14:solidFill>
              <w14:srgbClr w14:val="000000">
                <w14:alpha w14:val="100000"/>
              </w14:srgbClr>
            </w14:solidFill>
          </w14:textFill>
        </w:rPr>
        <w:t>|</w:t>
      </w:r>
      <w:r>
        <w:t>)</w:t>
      </w:r>
      <w:r w:rsidR="002311A3">
        <w:t>. I</w:t>
      </w:r>
      <w:r>
        <w:t>brutinib, imatinib, rituximab and infliximab, but these treatments were not costed in the submission.</w:t>
      </w:r>
    </w:p>
    <w:p w14:paraId="1CD9C362" w14:textId="18375BE6" w:rsidR="00A00590" w:rsidRDefault="00A00590" w:rsidP="00A00590">
      <w:pPr>
        <w:pStyle w:val="ExecSumBodyText"/>
      </w:pPr>
      <w:r>
        <w:t>The cost of BAT therapies for the comparator was $56,873 per patient over an average treatment duration of 192.0 weeks based on treatment in the REACH3 trial that included ECP+methoxsalen ($51,510), everolimus ($3,611), sirolimus ($1,028), mycophenolate mofetil ($575), and methotrexate ($149</w:t>
      </w:r>
      <w:r w:rsidR="005B09A6">
        <w:t>)</w:t>
      </w:r>
      <w:r w:rsidR="002311A3">
        <w:t>. I</w:t>
      </w:r>
      <w:r>
        <w:t>brutinib, imatinib, rituximab and infliximab, but these treatments were not costed in the submission.</w:t>
      </w:r>
    </w:p>
    <w:p w14:paraId="6172136F" w14:textId="1F6261B6" w:rsidR="00A00590" w:rsidRDefault="00A00590" w:rsidP="00A00590">
      <w:pPr>
        <w:pStyle w:val="ExecSumBodyText"/>
      </w:pPr>
      <w:r>
        <w:t>The drug costs in the financial implications were based on durations of treatment (persistence) derived from the economic model. Both the economic model and financial implications derived the cost of ruxolitinib based on the average daily dose from the REACH3 trial (16.7 mg).</w:t>
      </w:r>
    </w:p>
    <w:p w14:paraId="445B5C18" w14:textId="79EA0FE9" w:rsidR="00A5077E" w:rsidRDefault="00A5077E" w:rsidP="00A5077E">
      <w:pPr>
        <w:pStyle w:val="4-SubsectSubhead"/>
      </w:pPr>
      <w:r>
        <w:t>Acute GVHD</w:t>
      </w:r>
    </w:p>
    <w:p w14:paraId="1CA3A305" w14:textId="4446A76C" w:rsidR="00A5077E" w:rsidRDefault="00A5077E" w:rsidP="00A5077E">
      <w:pPr>
        <w:pStyle w:val="ExecSumBodyText"/>
      </w:pPr>
      <w:r>
        <w:t>Based on the economic model, the cost of ruxolitinib was $</w:t>
      </w:r>
      <w:r w:rsidR="00F96E54" w:rsidRPr="00F96E54">
        <w:rPr>
          <w:color w:val="000000"/>
          <w:w w:val="60"/>
          <w:shd w:val="solid" w:color="000000" w:fill="000000"/>
          <w:fitText w:val="468" w:id="-1435343097"/>
          <w14:textFill>
            <w14:solidFill>
              <w14:srgbClr w14:val="000000">
                <w14:alpha w14:val="100000"/>
              </w14:srgbClr>
            </w14:solidFill>
          </w14:textFill>
        </w:rPr>
        <w:t>|||  ||</w:t>
      </w:r>
      <w:r w:rsidR="00F96E54" w:rsidRPr="00F96E54">
        <w:rPr>
          <w:color w:val="000000"/>
          <w:spacing w:val="4"/>
          <w:w w:val="60"/>
          <w:shd w:val="solid" w:color="000000" w:fill="000000"/>
          <w:fitText w:val="468" w:id="-1435343097"/>
          <w14:textFill>
            <w14:solidFill>
              <w14:srgbClr w14:val="000000">
                <w14:alpha w14:val="100000"/>
              </w14:srgbClr>
            </w14:solidFill>
          </w14:textFill>
        </w:rPr>
        <w:t>|</w:t>
      </w:r>
      <w:r>
        <w:t xml:space="preserve"> per patient based on an average treatment duration of 12.3 weeks. Patients receiving ruxolitinib received subsequent BAT therapies, at a cost of $</w:t>
      </w:r>
      <w:r w:rsidR="00F96E54" w:rsidRPr="00BD1016">
        <w:rPr>
          <w:color w:val="000000"/>
          <w:w w:val="15"/>
          <w:shd w:val="solid" w:color="000000" w:fill="000000"/>
          <w:fitText w:val="-20" w:id="-1435343096"/>
          <w14:textFill>
            <w14:solidFill>
              <w14:srgbClr w14:val="000000">
                <w14:alpha w14:val="100000"/>
              </w14:srgbClr>
            </w14:solidFill>
          </w14:textFill>
        </w:rPr>
        <w:t xml:space="preserve">|  </w:t>
      </w:r>
      <w:r w:rsidR="00F96E54" w:rsidRPr="00BD1016">
        <w:rPr>
          <w:color w:val="000000"/>
          <w:spacing w:val="-69"/>
          <w:w w:val="15"/>
          <w:shd w:val="solid" w:color="000000" w:fill="000000"/>
          <w:fitText w:val="-20" w:id="-1435343096"/>
          <w14:textFill>
            <w14:solidFill>
              <w14:srgbClr w14:val="000000">
                <w14:alpha w14:val="100000"/>
              </w14:srgbClr>
            </w14:solidFill>
          </w14:textFill>
        </w:rPr>
        <w:t>|</w:t>
      </w:r>
      <w:r>
        <w:t xml:space="preserve"> per patient over an average treatment duration of 10.5 weeks based on treatment in the REACH2 trial that included everolimus ($</w:t>
      </w:r>
      <w:r w:rsidR="00F96E54" w:rsidRPr="00BD1016">
        <w:rPr>
          <w:color w:val="000000"/>
          <w:w w:val="15"/>
          <w:shd w:val="solid" w:color="000000" w:fill="000000"/>
          <w:fitText w:val="-20" w:id="-1435343095"/>
          <w14:textFill>
            <w14:solidFill>
              <w14:srgbClr w14:val="000000">
                <w14:alpha w14:val="100000"/>
              </w14:srgbClr>
            </w14:solidFill>
          </w14:textFill>
        </w:rPr>
        <w:t xml:space="preserve">|  </w:t>
      </w:r>
      <w:r w:rsidR="00F96E54" w:rsidRPr="00BD1016">
        <w:rPr>
          <w:color w:val="000000"/>
          <w:spacing w:val="-69"/>
          <w:w w:val="15"/>
          <w:shd w:val="solid" w:color="000000" w:fill="000000"/>
          <w:fitText w:val="-20" w:id="-1435343095"/>
          <w14:textFill>
            <w14:solidFill>
              <w14:srgbClr w14:val="000000">
                <w14:alpha w14:val="100000"/>
              </w14:srgbClr>
            </w14:solidFill>
          </w14:textFill>
        </w:rPr>
        <w:t>|</w:t>
      </w:r>
      <w:r>
        <w:t>), mycophenolate mofetil ($</w:t>
      </w:r>
      <w:r w:rsidR="00F96E54" w:rsidRPr="00BD1016">
        <w:rPr>
          <w:color w:val="000000"/>
          <w:w w:val="15"/>
          <w:shd w:val="solid" w:color="000000" w:fill="000000"/>
          <w:fitText w:val="-20" w:id="-1435343094"/>
          <w14:textFill>
            <w14:solidFill>
              <w14:srgbClr w14:val="000000">
                <w14:alpha w14:val="100000"/>
              </w14:srgbClr>
            </w14:solidFill>
          </w14:textFill>
        </w:rPr>
        <w:t xml:space="preserve">|  </w:t>
      </w:r>
      <w:r w:rsidR="00F96E54" w:rsidRPr="00BD1016">
        <w:rPr>
          <w:color w:val="000000"/>
          <w:spacing w:val="-69"/>
          <w:w w:val="15"/>
          <w:shd w:val="solid" w:color="000000" w:fill="000000"/>
          <w:fitText w:val="-20" w:id="-1435343094"/>
          <w14:textFill>
            <w14:solidFill>
              <w14:srgbClr w14:val="000000">
                <w14:alpha w14:val="100000"/>
              </w14:srgbClr>
            </w14:solidFill>
          </w14:textFill>
        </w:rPr>
        <w:t>|</w:t>
      </w:r>
      <w:r>
        <w:t>), sirolimus ($</w:t>
      </w:r>
      <w:r w:rsidR="00F96E54" w:rsidRPr="00BD1016">
        <w:rPr>
          <w:color w:val="000000"/>
          <w:w w:val="15"/>
          <w:shd w:val="solid" w:color="000000" w:fill="000000"/>
          <w:fitText w:val="-20" w:id="-1435343093"/>
          <w14:textFill>
            <w14:solidFill>
              <w14:srgbClr w14:val="000000">
                <w14:alpha w14:val="100000"/>
              </w14:srgbClr>
            </w14:solidFill>
          </w14:textFill>
        </w:rPr>
        <w:t xml:space="preserve">|  </w:t>
      </w:r>
      <w:r w:rsidR="00F96E54" w:rsidRPr="00BD1016">
        <w:rPr>
          <w:color w:val="000000"/>
          <w:spacing w:val="-69"/>
          <w:w w:val="15"/>
          <w:shd w:val="solid" w:color="000000" w:fill="000000"/>
          <w:fitText w:val="-20" w:id="-1435343093"/>
          <w14:textFill>
            <w14:solidFill>
              <w14:srgbClr w14:val="000000">
                <w14:alpha w14:val="100000"/>
              </w14:srgbClr>
            </w14:solidFill>
          </w14:textFill>
        </w:rPr>
        <w:t>|</w:t>
      </w:r>
      <w:r>
        <w:t>), and methotrexate ($</w:t>
      </w:r>
      <w:r w:rsidR="00F96E54" w:rsidRPr="00BD1016">
        <w:rPr>
          <w:color w:val="000000"/>
          <w:w w:val="15"/>
          <w:shd w:val="solid" w:color="000000" w:fill="000000"/>
          <w:fitText w:val="-20" w:id="-1435343092"/>
          <w14:textFill>
            <w14:solidFill>
              <w14:srgbClr w14:val="000000">
                <w14:alpha w14:val="100000"/>
              </w14:srgbClr>
            </w14:solidFill>
          </w14:textFill>
        </w:rPr>
        <w:t xml:space="preserve">|  </w:t>
      </w:r>
      <w:r w:rsidR="00F96E54" w:rsidRPr="00BD1016">
        <w:rPr>
          <w:color w:val="000000"/>
          <w:spacing w:val="-69"/>
          <w:w w:val="15"/>
          <w:shd w:val="solid" w:color="000000" w:fill="000000"/>
          <w:fitText w:val="-20" w:id="-1435343092"/>
          <w14:textFill>
            <w14:solidFill>
              <w14:srgbClr w14:val="000000">
                <w14:alpha w14:val="100000"/>
              </w14:srgbClr>
            </w14:solidFill>
          </w14:textFill>
        </w:rPr>
        <w:t>|</w:t>
      </w:r>
      <w:r>
        <w:t>)</w:t>
      </w:r>
      <w:r w:rsidR="002311A3">
        <w:t>. M</w:t>
      </w:r>
      <w:r>
        <w:t>esenchymal stromal cells, ECP+methoxsalen, etanercept, anti-thymocyte globulin, and infliximab, but these treatments were not costed in the submission.</w:t>
      </w:r>
    </w:p>
    <w:p w14:paraId="4CB1B049" w14:textId="7790A3C7" w:rsidR="00A5077E" w:rsidRDefault="00A5077E" w:rsidP="00A5077E">
      <w:pPr>
        <w:pStyle w:val="ExecSumBodyText"/>
      </w:pPr>
      <w:r>
        <w:t>The cost of BAT therapies for the comparator was $388 per patient over an average treatment duration of 19.7 weeks based on treatment in the REACH2 trial that included everolimus ($259), mycophenolate mofetil ($75), sirolimus ($47), and methotrexate ($7)</w:t>
      </w:r>
      <w:r w:rsidR="002311A3">
        <w:t>. M</w:t>
      </w:r>
      <w:r>
        <w:t>esenchymal stromal cells, ECP+methoxsalen, etanercept, anti-thymocyte globulin, and infliximab, but these treatments were not costed in the submission.</w:t>
      </w:r>
    </w:p>
    <w:p w14:paraId="16E81906" w14:textId="4AEDCCC5" w:rsidR="003C642D" w:rsidRDefault="003C642D" w:rsidP="00A5077E">
      <w:pPr>
        <w:pStyle w:val="ExecSumBodyText"/>
      </w:pPr>
      <w:r>
        <w:t>The drug costs in the financial implications were based on durations of treatment (persistence) derived from the economic model. Both the economic model and financial implications derived the cost of ruxolitinib based on the average daily dose from the REACH3 trial (15.7 mg).</w:t>
      </w:r>
    </w:p>
    <w:p w14:paraId="526B47C6" w14:textId="77777777" w:rsidR="00AA15A7" w:rsidRPr="00C9624D" w:rsidRDefault="00AA15A7" w:rsidP="00AA15A7">
      <w:pPr>
        <w:pStyle w:val="3-SubsectionHeading"/>
      </w:pPr>
      <w:bookmarkStart w:id="68" w:name="_Toc103614222"/>
      <w:bookmarkStart w:id="69" w:name="_Toc22897647"/>
      <w:bookmarkStart w:id="70" w:name="_Toc22898859"/>
      <w:r w:rsidRPr="00C9624D">
        <w:t>Estimated PBS usage &amp; financial implications</w:t>
      </w:r>
      <w:bookmarkEnd w:id="68"/>
    </w:p>
    <w:bookmarkEnd w:id="69"/>
    <w:bookmarkEnd w:id="70"/>
    <w:p w14:paraId="5A777CDD" w14:textId="3DD07AD2" w:rsidR="000A1519" w:rsidRPr="00F86A1D" w:rsidRDefault="000A1519" w:rsidP="002311A3">
      <w:pPr>
        <w:pStyle w:val="ExecSumBodyText"/>
      </w:pPr>
      <w:r w:rsidRPr="00AA15A7">
        <w:t>This</w:t>
      </w:r>
      <w:r w:rsidRPr="00746BBB">
        <w:t xml:space="preserve"> submission </w:t>
      </w:r>
      <w:r w:rsidR="001A6E8B">
        <w:t>was not</w:t>
      </w:r>
      <w:r w:rsidRPr="00746BBB">
        <w:t xml:space="preserve"> considered by DUSC</w:t>
      </w:r>
      <w:r w:rsidR="00F8071A">
        <w:t>.</w:t>
      </w:r>
      <w:r w:rsidR="00B91D8B">
        <w:rPr>
          <w:color w:val="0070C0"/>
        </w:rPr>
        <w:t xml:space="preserve"> </w:t>
      </w:r>
      <w:r w:rsidR="00B91D8B" w:rsidRPr="00B91D8B">
        <w:t>The submission used an epidemiological approach</w:t>
      </w:r>
      <w:r>
        <w:t xml:space="preserve">. </w:t>
      </w:r>
      <w:r w:rsidR="007D2B84">
        <w:t xml:space="preserve">Due to </w:t>
      </w:r>
      <w:r>
        <w:t xml:space="preserve">differences between </w:t>
      </w:r>
      <w:r w:rsidR="007D2B84">
        <w:t xml:space="preserve">the cGVHD and aGVHD </w:t>
      </w:r>
      <w:r>
        <w:t xml:space="preserve">populations in prevalence, duration of treatment and </w:t>
      </w:r>
      <w:r w:rsidR="007D2B84">
        <w:t>response rates</w:t>
      </w:r>
      <w:r>
        <w:t>, the eligible populations were estimated separately.</w:t>
      </w:r>
    </w:p>
    <w:p w14:paraId="34FE05B3" w14:textId="10F051A9" w:rsidR="000A1519" w:rsidRDefault="000A1519" w:rsidP="000A1519">
      <w:pPr>
        <w:pStyle w:val="ExecSumBodyText"/>
        <w:numPr>
          <w:ilvl w:val="1"/>
          <w:numId w:val="1"/>
        </w:numPr>
      </w:pPr>
      <w:r>
        <w:t>Key inputs used to derive the financial estimates are presented in the table below</w:t>
      </w:r>
      <w:r w:rsidR="00B91D8B">
        <w:t>.</w:t>
      </w:r>
    </w:p>
    <w:p w14:paraId="102D6E96" w14:textId="3AFAA5BA" w:rsidR="000A1519" w:rsidRDefault="00C249EA" w:rsidP="00CE68B0">
      <w:pPr>
        <w:pStyle w:val="TableFigureCaption"/>
      </w:pPr>
      <w:r w:rsidRPr="0042047F">
        <w:t xml:space="preserve">Table </w:t>
      </w:r>
      <w:fldSimple w:instr=" SEQ Table \* ARABIC " w:fldLock="1">
        <w:r w:rsidR="005A7A1C">
          <w:rPr>
            <w:noProof/>
          </w:rPr>
          <w:t>21</w:t>
        </w:r>
      </w:fldSimple>
      <w:r w:rsidR="000A1519" w:rsidRPr="007925DF">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1: Key inputs for financial estimates"/>
      </w:tblPr>
      <w:tblGrid>
        <w:gridCol w:w="1693"/>
        <w:gridCol w:w="1279"/>
        <w:gridCol w:w="1417"/>
        <w:gridCol w:w="4628"/>
      </w:tblGrid>
      <w:tr w:rsidR="000A1519" w:rsidRPr="00FB0D10" w14:paraId="55B0C3AA" w14:textId="77777777" w:rsidTr="009116AC">
        <w:trPr>
          <w:cantSplit/>
          <w:tblHeader/>
        </w:trPr>
        <w:tc>
          <w:tcPr>
            <w:tcW w:w="939" w:type="pct"/>
            <w:shd w:val="clear" w:color="auto" w:fill="auto"/>
            <w:vAlign w:val="center"/>
          </w:tcPr>
          <w:p w14:paraId="39F819B4" w14:textId="77777777" w:rsidR="000A1519" w:rsidRPr="00FB0D10" w:rsidRDefault="000A1519" w:rsidP="00CE68B0">
            <w:pPr>
              <w:pStyle w:val="Tableheadingrow"/>
              <w:rPr>
                <w:lang w:val="en-AU"/>
              </w:rPr>
            </w:pPr>
            <w:r w:rsidRPr="00FB0D10">
              <w:rPr>
                <w:lang w:val="en-AU"/>
              </w:rPr>
              <w:t>Parameter</w:t>
            </w:r>
          </w:p>
        </w:tc>
        <w:tc>
          <w:tcPr>
            <w:tcW w:w="1494" w:type="pct"/>
            <w:gridSpan w:val="2"/>
            <w:shd w:val="clear" w:color="auto" w:fill="auto"/>
            <w:vAlign w:val="center"/>
          </w:tcPr>
          <w:p w14:paraId="7DFEE47B" w14:textId="1FDD6113" w:rsidR="000A1519" w:rsidRPr="00FB0D10" w:rsidRDefault="000A1519" w:rsidP="00CE68B0">
            <w:pPr>
              <w:pStyle w:val="Tableheadingrow"/>
              <w:jc w:val="center"/>
              <w:rPr>
                <w:lang w:val="en-AU"/>
              </w:rPr>
            </w:pPr>
            <w:r w:rsidRPr="00FB0D10">
              <w:rPr>
                <w:lang w:val="en-AU"/>
              </w:rPr>
              <w:t>Value applied</w:t>
            </w:r>
          </w:p>
        </w:tc>
        <w:tc>
          <w:tcPr>
            <w:tcW w:w="2566" w:type="pct"/>
            <w:shd w:val="clear" w:color="auto" w:fill="auto"/>
            <w:vAlign w:val="center"/>
          </w:tcPr>
          <w:p w14:paraId="36903793" w14:textId="77777777" w:rsidR="000A1519" w:rsidRPr="00FB0D10" w:rsidRDefault="000A1519" w:rsidP="00CE68B0">
            <w:pPr>
              <w:pStyle w:val="Tableheadingrow"/>
              <w:jc w:val="center"/>
              <w:rPr>
                <w:lang w:val="en-AU"/>
              </w:rPr>
            </w:pPr>
            <w:r w:rsidRPr="00FB0D10">
              <w:rPr>
                <w:lang w:val="en-AU"/>
              </w:rPr>
              <w:t>Comment and source</w:t>
            </w:r>
          </w:p>
        </w:tc>
      </w:tr>
      <w:tr w:rsidR="000A1519" w:rsidRPr="00FB0D10" w14:paraId="6E55936A" w14:textId="77777777" w:rsidTr="00A361A7">
        <w:trPr>
          <w:cantSplit/>
          <w:trHeight w:val="46"/>
        </w:trPr>
        <w:tc>
          <w:tcPr>
            <w:tcW w:w="5000" w:type="pct"/>
            <w:gridSpan w:val="4"/>
            <w:shd w:val="clear" w:color="auto" w:fill="auto"/>
            <w:vAlign w:val="center"/>
          </w:tcPr>
          <w:p w14:paraId="794F329C" w14:textId="77777777" w:rsidR="000A1519" w:rsidRPr="00FB0D10" w:rsidRDefault="000A1519" w:rsidP="00CE68B0">
            <w:pPr>
              <w:pStyle w:val="TableText"/>
              <w:rPr>
                <w:rFonts w:cstheme="minorHAnsi"/>
                <w:b/>
                <w:bCs w:val="0"/>
                <w:szCs w:val="20"/>
              </w:rPr>
            </w:pPr>
            <w:r w:rsidRPr="00FB0D10">
              <w:rPr>
                <w:rFonts w:cstheme="minorHAnsi"/>
                <w:b/>
                <w:bCs w:val="0"/>
                <w:szCs w:val="20"/>
              </w:rPr>
              <w:t>Eligible population</w:t>
            </w:r>
          </w:p>
        </w:tc>
      </w:tr>
      <w:tr w:rsidR="000A1519" w:rsidRPr="00FB0D10" w14:paraId="503D71BB" w14:textId="77777777" w:rsidTr="009116AC">
        <w:trPr>
          <w:cantSplit/>
          <w:trHeight w:val="46"/>
        </w:trPr>
        <w:tc>
          <w:tcPr>
            <w:tcW w:w="939" w:type="pct"/>
            <w:shd w:val="clear" w:color="auto" w:fill="auto"/>
            <w:vAlign w:val="center"/>
          </w:tcPr>
          <w:p w14:paraId="64053660" w14:textId="77777777" w:rsidR="000A1519" w:rsidRPr="00FB0D10" w:rsidRDefault="000A1519" w:rsidP="00CE68B0">
            <w:pPr>
              <w:pStyle w:val="TableText"/>
            </w:pPr>
            <w:r w:rsidRPr="00FB0D10">
              <w:rPr>
                <w:rFonts w:cstheme="minorHAnsi"/>
                <w:szCs w:val="20"/>
              </w:rPr>
              <w:t xml:space="preserve">Australian prevalent alloSCT population aged ≥12 years </w:t>
            </w:r>
          </w:p>
        </w:tc>
        <w:tc>
          <w:tcPr>
            <w:tcW w:w="1494" w:type="pct"/>
            <w:gridSpan w:val="2"/>
            <w:shd w:val="clear" w:color="auto" w:fill="auto"/>
            <w:vAlign w:val="center"/>
          </w:tcPr>
          <w:p w14:paraId="3703FE3B" w14:textId="77777777" w:rsidR="000A1519" w:rsidRPr="00FB0D10" w:rsidRDefault="000A1519" w:rsidP="00CE68B0">
            <w:pPr>
              <w:keepNext/>
              <w:jc w:val="center"/>
            </w:pPr>
            <w:r w:rsidRPr="00FB0D10">
              <w:rPr>
                <w:rFonts w:ascii="Arial Narrow" w:hAnsi="Arial Narrow" w:cstheme="minorHAnsi"/>
                <w:bCs/>
                <w:sz w:val="20"/>
                <w:szCs w:val="20"/>
              </w:rPr>
              <w:t>6,800; based on the sum of incident populations from 2010 (N=396) to 2022 (N=626)</w:t>
            </w:r>
          </w:p>
        </w:tc>
        <w:tc>
          <w:tcPr>
            <w:tcW w:w="2566" w:type="pct"/>
            <w:shd w:val="clear" w:color="auto" w:fill="auto"/>
            <w:vAlign w:val="center"/>
          </w:tcPr>
          <w:p w14:paraId="2F3CF2DA" w14:textId="77777777" w:rsidR="000A1519" w:rsidRPr="00FB0D10" w:rsidRDefault="000A1519" w:rsidP="00CE68B0">
            <w:pPr>
              <w:pStyle w:val="TableText"/>
            </w:pPr>
            <w:r w:rsidRPr="00FB0D10">
              <w:rPr>
                <w:rFonts w:cstheme="minorHAnsi"/>
                <w:szCs w:val="20"/>
              </w:rPr>
              <w:t xml:space="preserve">ABMTRR Report 2021. Based on Australian data from 2010 to 2020, extrapolated with a linear trendline. </w:t>
            </w:r>
          </w:p>
        </w:tc>
      </w:tr>
      <w:tr w:rsidR="000A1519" w:rsidRPr="00FB0D10" w14:paraId="0666DD55" w14:textId="77777777" w:rsidTr="009116AC">
        <w:trPr>
          <w:cantSplit/>
          <w:trHeight w:val="46"/>
        </w:trPr>
        <w:tc>
          <w:tcPr>
            <w:tcW w:w="939" w:type="pct"/>
            <w:shd w:val="clear" w:color="auto" w:fill="auto"/>
            <w:vAlign w:val="center"/>
          </w:tcPr>
          <w:p w14:paraId="6040F949" w14:textId="77777777" w:rsidR="000A1519" w:rsidRPr="00FB0D10" w:rsidRDefault="000A1519" w:rsidP="00CE68B0">
            <w:pPr>
              <w:pStyle w:val="TableText"/>
            </w:pPr>
            <w:r w:rsidRPr="00FB0D10">
              <w:rPr>
                <w:rFonts w:cstheme="minorHAnsi"/>
                <w:szCs w:val="20"/>
              </w:rPr>
              <w:t>Proportion of prevalent population alive at Year 1</w:t>
            </w:r>
          </w:p>
        </w:tc>
        <w:tc>
          <w:tcPr>
            <w:tcW w:w="1494" w:type="pct"/>
            <w:gridSpan w:val="2"/>
            <w:shd w:val="clear" w:color="auto" w:fill="auto"/>
            <w:vAlign w:val="center"/>
          </w:tcPr>
          <w:p w14:paraId="37A84401" w14:textId="77777777" w:rsidR="000A1519" w:rsidRPr="00FB0D10" w:rsidRDefault="000A1519" w:rsidP="00CE68B0">
            <w:pPr>
              <w:keepNext/>
              <w:jc w:val="center"/>
              <w:rPr>
                <w:rFonts w:ascii="Arial Narrow" w:hAnsi="Arial Narrow" w:cstheme="minorHAnsi"/>
                <w:bCs/>
                <w:sz w:val="20"/>
                <w:szCs w:val="20"/>
              </w:rPr>
            </w:pPr>
            <w:r w:rsidRPr="00FB0D10">
              <w:rPr>
                <w:rFonts w:ascii="Arial Narrow" w:hAnsi="Arial Narrow" w:cstheme="minorHAnsi"/>
                <w:bCs/>
                <w:sz w:val="20"/>
                <w:szCs w:val="20"/>
              </w:rPr>
              <w:t xml:space="preserve">45% </w:t>
            </w:r>
          </w:p>
        </w:tc>
        <w:tc>
          <w:tcPr>
            <w:tcW w:w="2566" w:type="pct"/>
            <w:shd w:val="clear" w:color="auto" w:fill="auto"/>
            <w:vAlign w:val="center"/>
          </w:tcPr>
          <w:p w14:paraId="4D45B613" w14:textId="0AE1D465" w:rsidR="000A1519" w:rsidRPr="00FB0D10" w:rsidRDefault="000A1519" w:rsidP="00CE68B0">
            <w:pPr>
              <w:pStyle w:val="TableText"/>
              <w:rPr>
                <w:rFonts w:cstheme="minorHAnsi"/>
                <w:szCs w:val="20"/>
              </w:rPr>
            </w:pPr>
            <w:r w:rsidRPr="00FB0D10">
              <w:rPr>
                <w:rFonts w:cstheme="minorHAnsi"/>
                <w:szCs w:val="20"/>
              </w:rPr>
              <w:t xml:space="preserve">Gifford et al. 2016. Gifford (2016) used data 10-20 years old spanning 13 years, including living patients (survival not defined), excluding patients aged 12 to ≤18 years, and may not be applicable to contemporary clinical practice and the eligible population. The </w:t>
            </w:r>
            <w:r w:rsidR="009B7F7B">
              <w:rPr>
                <w:rFonts w:cstheme="minorHAnsi"/>
                <w:szCs w:val="20"/>
              </w:rPr>
              <w:t xml:space="preserve">evaluation considered that the </w:t>
            </w:r>
            <w:r w:rsidRPr="00FB0D10">
              <w:rPr>
                <w:rFonts w:cstheme="minorHAnsi"/>
                <w:szCs w:val="20"/>
              </w:rPr>
              <w:t>estimated proportion of alloSCT survivors was most likely underestimated.</w:t>
            </w:r>
            <w:r w:rsidR="00421487">
              <w:rPr>
                <w:rFonts w:cstheme="minorHAnsi"/>
                <w:szCs w:val="20"/>
              </w:rPr>
              <w:t xml:space="preserve"> Based on the most recent publication from the ABMTRR (Klinmann, 2022), this was increased to 55% in the pre-PBAC response</w:t>
            </w:r>
            <w:r w:rsidR="00F86A1D">
              <w:rPr>
                <w:rFonts w:cstheme="minorHAnsi"/>
                <w:szCs w:val="20"/>
              </w:rPr>
              <w:t>.</w:t>
            </w:r>
          </w:p>
        </w:tc>
      </w:tr>
      <w:tr w:rsidR="000A1519" w:rsidRPr="00FB0D10" w14:paraId="588E81CE" w14:textId="77777777" w:rsidTr="009116AC">
        <w:trPr>
          <w:cantSplit/>
          <w:trHeight w:val="46"/>
        </w:trPr>
        <w:tc>
          <w:tcPr>
            <w:tcW w:w="939" w:type="pct"/>
            <w:shd w:val="clear" w:color="auto" w:fill="auto"/>
            <w:vAlign w:val="center"/>
          </w:tcPr>
          <w:p w14:paraId="3345C4F8" w14:textId="77777777" w:rsidR="000A1519" w:rsidRPr="00FB0D10" w:rsidRDefault="000A1519" w:rsidP="00CE68B0">
            <w:pPr>
              <w:pStyle w:val="TableText"/>
              <w:rPr>
                <w:rFonts w:cstheme="minorHAnsi"/>
                <w:szCs w:val="20"/>
              </w:rPr>
            </w:pPr>
            <w:r w:rsidRPr="00FB0D10">
              <w:rPr>
                <w:rFonts w:cstheme="minorHAnsi"/>
                <w:szCs w:val="20"/>
              </w:rPr>
              <w:t>Proportion of prevalent alloSCT survivors with cGVHD</w:t>
            </w:r>
          </w:p>
        </w:tc>
        <w:tc>
          <w:tcPr>
            <w:tcW w:w="1494" w:type="pct"/>
            <w:gridSpan w:val="2"/>
            <w:tcBorders>
              <w:bottom w:val="single" w:sz="4" w:space="0" w:color="auto"/>
            </w:tcBorders>
            <w:shd w:val="clear" w:color="auto" w:fill="auto"/>
            <w:vAlign w:val="center"/>
          </w:tcPr>
          <w:p w14:paraId="16A235B0" w14:textId="77777777" w:rsidR="000A1519" w:rsidRPr="00FB0D10" w:rsidRDefault="000A1519" w:rsidP="00CE68B0">
            <w:pPr>
              <w:keepNext/>
              <w:jc w:val="center"/>
              <w:rPr>
                <w:rFonts w:ascii="Arial Narrow" w:hAnsi="Arial Narrow" w:cstheme="minorHAnsi"/>
                <w:bCs/>
                <w:sz w:val="20"/>
                <w:szCs w:val="20"/>
              </w:rPr>
            </w:pPr>
            <w:r w:rsidRPr="00FB0D10">
              <w:rPr>
                <w:rFonts w:ascii="Arial Narrow" w:hAnsi="Arial Narrow" w:cstheme="minorHAnsi"/>
                <w:bCs/>
                <w:sz w:val="20"/>
                <w:szCs w:val="20"/>
              </w:rPr>
              <w:t>69%</w:t>
            </w:r>
            <w:r w:rsidRPr="00FB0D10">
              <w:rPr>
                <w:rFonts w:ascii="Arial Narrow" w:hAnsi="Arial Narrow" w:cstheme="minorHAnsi"/>
                <w:sz w:val="20"/>
                <w:szCs w:val="20"/>
              </w:rPr>
              <w:t xml:space="preserve"> </w:t>
            </w:r>
          </w:p>
        </w:tc>
        <w:tc>
          <w:tcPr>
            <w:tcW w:w="2566" w:type="pct"/>
            <w:shd w:val="clear" w:color="auto" w:fill="auto"/>
            <w:vAlign w:val="center"/>
          </w:tcPr>
          <w:p w14:paraId="67F26160" w14:textId="149DECE7" w:rsidR="000A1519" w:rsidRPr="00FB0D10" w:rsidRDefault="000A1519" w:rsidP="00CE68B0">
            <w:pPr>
              <w:pStyle w:val="TableText"/>
              <w:rPr>
                <w:rFonts w:cstheme="minorHAnsi"/>
                <w:szCs w:val="20"/>
              </w:rPr>
            </w:pPr>
            <w:r w:rsidRPr="00FB0D10">
              <w:rPr>
                <w:rFonts w:cstheme="minorHAnsi"/>
                <w:szCs w:val="20"/>
              </w:rPr>
              <w:t xml:space="preserve">Gifford et al. 2016: The estimated proportion of survivors with cGVHD was based on the number of patients responding and/or consenting (443/669, 66%), with data (301/434, 69.4%). Given only 66% of survivors contributed data, the </w:t>
            </w:r>
            <w:r w:rsidR="00BA0DD0">
              <w:rPr>
                <w:rFonts w:cstheme="minorHAnsi"/>
                <w:szCs w:val="20"/>
              </w:rPr>
              <w:t xml:space="preserve">evaluation considered this </w:t>
            </w:r>
            <w:r w:rsidRPr="00FB0D10">
              <w:rPr>
                <w:rFonts w:cstheme="minorHAnsi"/>
                <w:szCs w:val="20"/>
              </w:rPr>
              <w:t>estimate may not reflect the overall proportion of Australian alloSCT survivors with cGVHD.</w:t>
            </w:r>
          </w:p>
        </w:tc>
      </w:tr>
      <w:tr w:rsidR="000A1519" w:rsidRPr="00FB0D10" w14:paraId="55845DEF" w14:textId="77777777" w:rsidTr="009116AC">
        <w:trPr>
          <w:cantSplit/>
          <w:trHeight w:val="46"/>
        </w:trPr>
        <w:tc>
          <w:tcPr>
            <w:tcW w:w="939" w:type="pct"/>
            <w:shd w:val="clear" w:color="auto" w:fill="auto"/>
            <w:vAlign w:val="center"/>
          </w:tcPr>
          <w:p w14:paraId="6E16A52F" w14:textId="77777777" w:rsidR="000A1519" w:rsidRPr="00FB0D10" w:rsidRDefault="000A1519" w:rsidP="00A361A7">
            <w:pPr>
              <w:pStyle w:val="TableText"/>
              <w:keepNext w:val="0"/>
              <w:rPr>
                <w:rFonts w:cstheme="minorHAnsi"/>
                <w:szCs w:val="20"/>
              </w:rPr>
            </w:pPr>
            <w:r w:rsidRPr="00FB0D10">
              <w:rPr>
                <w:rFonts w:cstheme="minorHAnsi"/>
                <w:szCs w:val="20"/>
              </w:rPr>
              <w:t xml:space="preserve">Australian incident alloSCT population aged ≥12 years </w:t>
            </w:r>
          </w:p>
        </w:tc>
        <w:tc>
          <w:tcPr>
            <w:tcW w:w="1494" w:type="pct"/>
            <w:gridSpan w:val="2"/>
            <w:shd w:val="clear" w:color="auto" w:fill="auto"/>
            <w:vAlign w:val="center"/>
          </w:tcPr>
          <w:p w14:paraId="75CBE4BF" w14:textId="77777777" w:rsidR="000A1519" w:rsidRPr="00FB0D10" w:rsidRDefault="000A1519" w:rsidP="00A361A7">
            <w:pPr>
              <w:jc w:val="center"/>
              <w:rPr>
                <w:rFonts w:ascii="Arial Narrow" w:hAnsi="Arial Narrow" w:cstheme="minorHAnsi"/>
                <w:bCs/>
                <w:sz w:val="20"/>
                <w:szCs w:val="20"/>
              </w:rPr>
            </w:pPr>
            <w:r w:rsidRPr="00FB0D10">
              <w:rPr>
                <w:rFonts w:ascii="Arial Narrow" w:hAnsi="Arial Narrow" w:cstheme="minorHAnsi"/>
                <w:bCs/>
                <w:sz w:val="20"/>
                <w:szCs w:val="20"/>
              </w:rPr>
              <w:t>2022: 626</w:t>
            </w:r>
            <w:r w:rsidRPr="00FB0D10">
              <w:rPr>
                <w:rFonts w:ascii="Arial Narrow" w:hAnsi="Arial Narrow" w:cstheme="minorHAnsi"/>
                <w:bCs/>
                <w:sz w:val="20"/>
                <w:szCs w:val="20"/>
                <w:vertAlign w:val="superscript"/>
              </w:rPr>
              <w:t>1</w:t>
            </w:r>
          </w:p>
          <w:p w14:paraId="2A136A26" w14:textId="77777777" w:rsidR="000A1519" w:rsidRPr="00FB0D10" w:rsidRDefault="000A1519" w:rsidP="00A361A7">
            <w:pPr>
              <w:jc w:val="center"/>
              <w:rPr>
                <w:rFonts w:ascii="Arial Narrow" w:hAnsi="Arial Narrow" w:cstheme="minorHAnsi"/>
                <w:bCs/>
                <w:sz w:val="20"/>
                <w:szCs w:val="20"/>
              </w:rPr>
            </w:pPr>
            <w:r w:rsidRPr="00FB0D10">
              <w:rPr>
                <w:rFonts w:ascii="Arial Narrow" w:hAnsi="Arial Narrow" w:cstheme="minorHAnsi"/>
                <w:bCs/>
                <w:sz w:val="20"/>
                <w:szCs w:val="20"/>
              </w:rPr>
              <w:t>2023: 643</w:t>
            </w:r>
          </w:p>
          <w:p w14:paraId="45DC09E6" w14:textId="77777777" w:rsidR="000A1519" w:rsidRPr="00FB0D10" w:rsidRDefault="000A1519" w:rsidP="00A361A7">
            <w:pPr>
              <w:jc w:val="center"/>
              <w:rPr>
                <w:rFonts w:ascii="Arial Narrow" w:hAnsi="Arial Narrow" w:cstheme="minorHAnsi"/>
                <w:bCs/>
                <w:sz w:val="20"/>
                <w:szCs w:val="20"/>
              </w:rPr>
            </w:pPr>
            <w:r w:rsidRPr="00FB0D10">
              <w:rPr>
                <w:rFonts w:ascii="Arial Narrow" w:hAnsi="Arial Narrow" w:cstheme="minorHAnsi"/>
                <w:bCs/>
                <w:sz w:val="20"/>
                <w:szCs w:val="20"/>
              </w:rPr>
              <w:t>2024: 660</w:t>
            </w:r>
          </w:p>
          <w:p w14:paraId="25748B15" w14:textId="77777777" w:rsidR="000A1519" w:rsidRPr="00FB0D10" w:rsidRDefault="000A1519" w:rsidP="00A361A7">
            <w:pPr>
              <w:jc w:val="center"/>
              <w:rPr>
                <w:rFonts w:ascii="Arial Narrow" w:hAnsi="Arial Narrow" w:cstheme="minorHAnsi"/>
                <w:bCs/>
                <w:sz w:val="20"/>
                <w:szCs w:val="20"/>
              </w:rPr>
            </w:pPr>
            <w:r w:rsidRPr="00FB0D10">
              <w:rPr>
                <w:rFonts w:ascii="Arial Narrow" w:hAnsi="Arial Narrow" w:cstheme="minorHAnsi"/>
                <w:bCs/>
                <w:sz w:val="20"/>
                <w:szCs w:val="20"/>
              </w:rPr>
              <w:t>2025: 677</w:t>
            </w:r>
          </w:p>
          <w:p w14:paraId="030865E5" w14:textId="77777777" w:rsidR="000A1519" w:rsidRPr="00FB0D10" w:rsidRDefault="000A1519" w:rsidP="00A361A7">
            <w:pPr>
              <w:jc w:val="center"/>
              <w:rPr>
                <w:rFonts w:ascii="Arial Narrow" w:hAnsi="Arial Narrow" w:cstheme="minorHAnsi"/>
                <w:bCs/>
                <w:sz w:val="20"/>
                <w:szCs w:val="20"/>
              </w:rPr>
            </w:pPr>
            <w:r w:rsidRPr="00FB0D10">
              <w:rPr>
                <w:rFonts w:ascii="Arial Narrow" w:hAnsi="Arial Narrow" w:cstheme="minorHAnsi"/>
                <w:bCs/>
                <w:sz w:val="20"/>
                <w:szCs w:val="20"/>
              </w:rPr>
              <w:t>2026: 694</w:t>
            </w:r>
          </w:p>
          <w:p w14:paraId="7439BDAE" w14:textId="77777777" w:rsidR="000A1519" w:rsidRPr="00FB0D10" w:rsidRDefault="000A1519" w:rsidP="00A361A7">
            <w:pPr>
              <w:jc w:val="center"/>
              <w:rPr>
                <w:rFonts w:ascii="Arial Narrow" w:hAnsi="Arial Narrow" w:cstheme="minorHAnsi"/>
                <w:bCs/>
                <w:sz w:val="20"/>
                <w:szCs w:val="20"/>
              </w:rPr>
            </w:pPr>
            <w:r w:rsidRPr="00FB0D10">
              <w:rPr>
                <w:rFonts w:ascii="Arial Narrow" w:hAnsi="Arial Narrow" w:cstheme="minorHAnsi"/>
                <w:bCs/>
                <w:sz w:val="20"/>
                <w:szCs w:val="20"/>
              </w:rPr>
              <w:t>2027: 711</w:t>
            </w:r>
          </w:p>
        </w:tc>
        <w:tc>
          <w:tcPr>
            <w:tcW w:w="2566" w:type="pct"/>
            <w:shd w:val="clear" w:color="auto" w:fill="auto"/>
            <w:vAlign w:val="center"/>
          </w:tcPr>
          <w:p w14:paraId="662EC4F5" w14:textId="77777777" w:rsidR="000A1519" w:rsidRPr="00FB0D10" w:rsidRDefault="000A1519" w:rsidP="00A361A7">
            <w:pPr>
              <w:pStyle w:val="TableText"/>
              <w:keepNext w:val="0"/>
              <w:rPr>
                <w:rFonts w:cstheme="minorHAnsi"/>
                <w:szCs w:val="20"/>
              </w:rPr>
            </w:pPr>
            <w:r w:rsidRPr="00FB0D10">
              <w:rPr>
                <w:rFonts w:cstheme="minorHAnsi"/>
                <w:szCs w:val="20"/>
              </w:rPr>
              <w:t xml:space="preserve">ABMTRR Report 2021. Based on Australian data from 2010 to 2020, extrapolated with a linear trendline. </w:t>
            </w:r>
          </w:p>
          <w:p w14:paraId="2B46C871" w14:textId="77777777" w:rsidR="000A1519" w:rsidRPr="00FB0D10" w:rsidRDefault="000A1519" w:rsidP="00A361A7">
            <w:pPr>
              <w:pStyle w:val="TableText"/>
              <w:keepNext w:val="0"/>
            </w:pPr>
            <w:r w:rsidRPr="00FB0D10">
              <w:t>Linear extrapolation of the incidence of alloSCT was not adequately justified. However, the submission presented sensitivity analysis using logarithmic extrapolation.</w:t>
            </w:r>
          </w:p>
        </w:tc>
      </w:tr>
      <w:tr w:rsidR="000A1519" w:rsidRPr="00FB0D10" w14:paraId="46F83089" w14:textId="77777777" w:rsidTr="009116AC">
        <w:trPr>
          <w:cantSplit/>
          <w:trHeight w:val="786"/>
        </w:trPr>
        <w:tc>
          <w:tcPr>
            <w:tcW w:w="939" w:type="pct"/>
            <w:shd w:val="clear" w:color="auto" w:fill="auto"/>
          </w:tcPr>
          <w:p w14:paraId="52146D38" w14:textId="77777777" w:rsidR="000A1519" w:rsidRPr="00FB0D10" w:rsidRDefault="000A1519" w:rsidP="00A361A7">
            <w:pPr>
              <w:pStyle w:val="TableText"/>
              <w:keepNext w:val="0"/>
            </w:pPr>
            <w:r w:rsidRPr="00FB0D10">
              <w:rPr>
                <w:rFonts w:cstheme="minorHAnsi"/>
                <w:szCs w:val="20"/>
              </w:rPr>
              <w:t>Proportion of incident alloSCT patients with GVHD</w:t>
            </w:r>
          </w:p>
        </w:tc>
        <w:tc>
          <w:tcPr>
            <w:tcW w:w="709" w:type="pct"/>
            <w:shd w:val="clear" w:color="auto" w:fill="auto"/>
            <w:vAlign w:val="center"/>
          </w:tcPr>
          <w:p w14:paraId="74AEDD8C" w14:textId="77777777" w:rsidR="000A1519" w:rsidRPr="00FB0D10" w:rsidRDefault="000A1519" w:rsidP="00A361A7">
            <w:pPr>
              <w:jc w:val="center"/>
              <w:rPr>
                <w:rFonts w:ascii="Arial Narrow" w:hAnsi="Arial Narrow" w:cstheme="minorHAnsi"/>
                <w:bCs/>
                <w:sz w:val="20"/>
                <w:szCs w:val="20"/>
              </w:rPr>
            </w:pPr>
            <w:r w:rsidRPr="00FB0D10">
              <w:rPr>
                <w:rFonts w:ascii="Arial Narrow" w:hAnsi="Arial Narrow" w:cstheme="minorHAnsi"/>
                <w:bCs/>
                <w:sz w:val="20"/>
                <w:szCs w:val="20"/>
              </w:rPr>
              <w:t>cGVHD</w:t>
            </w:r>
          </w:p>
          <w:p w14:paraId="1C6B5C8F" w14:textId="149537EA" w:rsidR="000A1519" w:rsidRPr="00FB0D10" w:rsidRDefault="000A1519" w:rsidP="002916E9">
            <w:pPr>
              <w:jc w:val="center"/>
              <w:rPr>
                <w:rFonts w:ascii="Arial Narrow" w:hAnsi="Arial Narrow" w:cstheme="minorHAnsi"/>
                <w:bCs/>
                <w:sz w:val="20"/>
                <w:szCs w:val="20"/>
              </w:rPr>
            </w:pPr>
            <w:r w:rsidRPr="00FB0D10">
              <w:rPr>
                <w:rFonts w:ascii="Arial Narrow" w:hAnsi="Arial Narrow" w:cstheme="minorHAnsi"/>
                <w:bCs/>
                <w:sz w:val="20"/>
                <w:szCs w:val="20"/>
              </w:rPr>
              <w:t>38.8%</w:t>
            </w:r>
          </w:p>
        </w:tc>
        <w:tc>
          <w:tcPr>
            <w:tcW w:w="786" w:type="pct"/>
            <w:shd w:val="clear" w:color="auto" w:fill="auto"/>
            <w:vAlign w:val="center"/>
          </w:tcPr>
          <w:p w14:paraId="5DCAA8B3" w14:textId="77777777" w:rsidR="000A1519" w:rsidRPr="00FB0D10" w:rsidRDefault="000A1519" w:rsidP="00A361A7">
            <w:pPr>
              <w:jc w:val="center"/>
              <w:rPr>
                <w:rFonts w:ascii="Arial Narrow" w:hAnsi="Arial Narrow" w:cstheme="minorHAnsi"/>
                <w:bCs/>
                <w:sz w:val="20"/>
                <w:szCs w:val="20"/>
              </w:rPr>
            </w:pPr>
            <w:r w:rsidRPr="00FB0D10">
              <w:rPr>
                <w:rFonts w:ascii="Arial Narrow" w:hAnsi="Arial Narrow" w:cstheme="minorHAnsi"/>
                <w:bCs/>
                <w:sz w:val="20"/>
                <w:szCs w:val="20"/>
              </w:rPr>
              <w:t>aGVHD</w:t>
            </w:r>
          </w:p>
          <w:p w14:paraId="42B6B132" w14:textId="77777777" w:rsidR="000A1519" w:rsidRPr="00FB0D10" w:rsidRDefault="000A1519" w:rsidP="00A361A7">
            <w:pPr>
              <w:jc w:val="center"/>
            </w:pPr>
            <w:r w:rsidRPr="00FB0D10">
              <w:rPr>
                <w:rFonts w:ascii="Arial Narrow" w:hAnsi="Arial Narrow" w:cstheme="minorHAnsi"/>
                <w:bCs/>
                <w:sz w:val="20"/>
                <w:szCs w:val="20"/>
              </w:rPr>
              <w:t>36.2%</w:t>
            </w:r>
            <w:r w:rsidRPr="00FB0D10">
              <w:t xml:space="preserve"> </w:t>
            </w:r>
          </w:p>
        </w:tc>
        <w:tc>
          <w:tcPr>
            <w:tcW w:w="2566" w:type="pct"/>
            <w:vMerge w:val="restart"/>
            <w:shd w:val="clear" w:color="auto" w:fill="auto"/>
            <w:vAlign w:val="center"/>
          </w:tcPr>
          <w:p w14:paraId="75B8A0A7" w14:textId="7B0F2F36" w:rsidR="000A1519" w:rsidRPr="00FB0D10" w:rsidRDefault="000A1519" w:rsidP="00A361A7">
            <w:pPr>
              <w:pStyle w:val="TableText"/>
              <w:keepNext w:val="0"/>
            </w:pPr>
            <w:r w:rsidRPr="00FB0D10">
              <w:rPr>
                <w:rFonts w:cstheme="minorHAnsi"/>
                <w:szCs w:val="20"/>
              </w:rPr>
              <w:t xml:space="preserve">ABMTRR Report 2021: </w:t>
            </w:r>
            <w:r w:rsidR="00375379">
              <w:rPr>
                <w:rFonts w:cstheme="minorHAnsi"/>
                <w:szCs w:val="20"/>
              </w:rPr>
              <w:t>The evaluation considered t</w:t>
            </w:r>
            <w:r w:rsidRPr="00FB0D10">
              <w:t>his may be reasonable. However, the analysis and methodology used to generate the ABMTRR report were not provided and could not be evaluated.</w:t>
            </w:r>
          </w:p>
        </w:tc>
      </w:tr>
      <w:tr w:rsidR="000A1519" w:rsidRPr="00FB0D10" w14:paraId="4A399A76" w14:textId="77777777" w:rsidTr="009116AC">
        <w:trPr>
          <w:cantSplit/>
          <w:trHeight w:val="404"/>
        </w:trPr>
        <w:tc>
          <w:tcPr>
            <w:tcW w:w="939" w:type="pct"/>
            <w:shd w:val="clear" w:color="auto" w:fill="auto"/>
            <w:vAlign w:val="center"/>
          </w:tcPr>
          <w:p w14:paraId="3A6ADA00" w14:textId="77777777" w:rsidR="000A1519" w:rsidRPr="00FB0D10" w:rsidRDefault="000A1519" w:rsidP="00A361A7">
            <w:pPr>
              <w:pStyle w:val="TableText"/>
              <w:keepNext w:val="0"/>
            </w:pPr>
            <w:r w:rsidRPr="00FB0D10">
              <w:rPr>
                <w:rFonts w:cstheme="minorHAnsi"/>
                <w:szCs w:val="20"/>
              </w:rPr>
              <w:t>Distribution of aGVHD and cGVHD severity</w:t>
            </w:r>
          </w:p>
        </w:tc>
        <w:tc>
          <w:tcPr>
            <w:tcW w:w="709" w:type="pct"/>
            <w:shd w:val="clear" w:color="auto" w:fill="auto"/>
            <w:vAlign w:val="center"/>
          </w:tcPr>
          <w:p w14:paraId="303A10DC" w14:textId="77777777" w:rsidR="000A1519" w:rsidRPr="00FB0D10" w:rsidRDefault="000A1519" w:rsidP="00A361A7">
            <w:pPr>
              <w:jc w:val="center"/>
              <w:rPr>
                <w:rFonts w:ascii="Arial Narrow" w:hAnsi="Arial Narrow" w:cstheme="minorHAnsi"/>
                <w:bCs/>
                <w:sz w:val="20"/>
                <w:szCs w:val="20"/>
              </w:rPr>
            </w:pPr>
            <w:r w:rsidRPr="00FB0D10">
              <w:rPr>
                <w:rFonts w:ascii="Arial Narrow" w:hAnsi="Arial Narrow" w:cstheme="minorHAnsi"/>
                <w:bCs/>
                <w:sz w:val="20"/>
                <w:szCs w:val="20"/>
              </w:rPr>
              <w:t>cGVHD</w:t>
            </w:r>
          </w:p>
          <w:p w14:paraId="72FC4A5B" w14:textId="7A190B82" w:rsidR="000A1519" w:rsidRPr="00FB0D10" w:rsidRDefault="000A1519" w:rsidP="002916E9">
            <w:pPr>
              <w:pStyle w:val="TableText"/>
              <w:keepNext w:val="0"/>
              <w:jc w:val="center"/>
              <w:rPr>
                <w:rFonts w:cstheme="minorHAnsi"/>
                <w:szCs w:val="20"/>
              </w:rPr>
            </w:pPr>
            <w:r w:rsidRPr="00FB0D10">
              <w:rPr>
                <w:rFonts w:cstheme="minorHAnsi"/>
                <w:szCs w:val="20"/>
              </w:rPr>
              <w:t xml:space="preserve">Mod: 29.9% </w:t>
            </w:r>
            <w:r w:rsidR="009116AC">
              <w:rPr>
                <w:rFonts w:cstheme="minorHAnsi"/>
                <w:szCs w:val="20"/>
              </w:rPr>
              <w:br/>
            </w:r>
            <w:r w:rsidRPr="00FB0D10">
              <w:rPr>
                <w:rFonts w:cstheme="minorHAnsi"/>
                <w:szCs w:val="20"/>
              </w:rPr>
              <w:t>Severe: 15.0%</w:t>
            </w:r>
          </w:p>
        </w:tc>
        <w:tc>
          <w:tcPr>
            <w:tcW w:w="786" w:type="pct"/>
            <w:shd w:val="clear" w:color="auto" w:fill="auto"/>
            <w:vAlign w:val="center"/>
          </w:tcPr>
          <w:p w14:paraId="53BD6C62" w14:textId="77777777" w:rsidR="000A1519" w:rsidRPr="00FB0D10" w:rsidRDefault="000A1519" w:rsidP="00A361A7">
            <w:pPr>
              <w:pStyle w:val="TableText"/>
              <w:keepNext w:val="0"/>
              <w:jc w:val="center"/>
              <w:rPr>
                <w:rFonts w:cstheme="minorHAnsi"/>
                <w:szCs w:val="20"/>
              </w:rPr>
            </w:pPr>
            <w:r w:rsidRPr="00FB0D10">
              <w:rPr>
                <w:rFonts w:cstheme="minorHAnsi"/>
                <w:szCs w:val="20"/>
              </w:rPr>
              <w:t>aGVHD</w:t>
            </w:r>
          </w:p>
          <w:p w14:paraId="24F3D806" w14:textId="77777777" w:rsidR="000A1519" w:rsidRPr="00FB0D10" w:rsidRDefault="000A1519" w:rsidP="00A361A7">
            <w:pPr>
              <w:pStyle w:val="TableText"/>
              <w:keepNext w:val="0"/>
              <w:jc w:val="center"/>
              <w:rPr>
                <w:rFonts w:cstheme="minorHAnsi"/>
                <w:szCs w:val="20"/>
              </w:rPr>
            </w:pPr>
            <w:r w:rsidRPr="00FB0D10">
              <w:rPr>
                <w:rFonts w:cstheme="minorHAnsi"/>
                <w:szCs w:val="20"/>
              </w:rPr>
              <w:t>Grade II: 36.9%</w:t>
            </w:r>
          </w:p>
          <w:p w14:paraId="39B331A7" w14:textId="77777777" w:rsidR="000A1519" w:rsidRPr="00FB0D10" w:rsidRDefault="000A1519" w:rsidP="00A361A7">
            <w:pPr>
              <w:pStyle w:val="TableText"/>
              <w:keepNext w:val="0"/>
              <w:jc w:val="center"/>
              <w:rPr>
                <w:rFonts w:cstheme="minorHAnsi"/>
                <w:szCs w:val="20"/>
              </w:rPr>
            </w:pPr>
            <w:r w:rsidRPr="00FB0D10">
              <w:rPr>
                <w:rFonts w:cstheme="minorHAnsi"/>
                <w:szCs w:val="20"/>
              </w:rPr>
              <w:t>Grade III: 19.9%</w:t>
            </w:r>
          </w:p>
          <w:p w14:paraId="2A84947C" w14:textId="77777777" w:rsidR="000A1519" w:rsidRPr="00FB0D10" w:rsidRDefault="000A1519" w:rsidP="00A361A7">
            <w:pPr>
              <w:pStyle w:val="TableText"/>
              <w:keepNext w:val="0"/>
              <w:jc w:val="center"/>
              <w:rPr>
                <w:rFonts w:cstheme="minorHAnsi"/>
                <w:szCs w:val="20"/>
              </w:rPr>
            </w:pPr>
            <w:r w:rsidRPr="00FB0D10">
              <w:rPr>
                <w:rFonts w:cstheme="minorHAnsi"/>
                <w:szCs w:val="20"/>
              </w:rPr>
              <w:t>Grade IV: 5.9%</w:t>
            </w:r>
          </w:p>
        </w:tc>
        <w:tc>
          <w:tcPr>
            <w:tcW w:w="2566" w:type="pct"/>
            <w:vMerge/>
            <w:shd w:val="clear" w:color="auto" w:fill="auto"/>
            <w:vAlign w:val="center"/>
          </w:tcPr>
          <w:p w14:paraId="3B411118" w14:textId="77777777" w:rsidR="000A1519" w:rsidRPr="00FB0D10" w:rsidRDefault="000A1519" w:rsidP="00A361A7">
            <w:pPr>
              <w:pStyle w:val="TableText"/>
              <w:keepNext w:val="0"/>
            </w:pPr>
          </w:p>
        </w:tc>
      </w:tr>
      <w:tr w:rsidR="000A1519" w:rsidRPr="00FB0D10" w14:paraId="2DE1CDD1" w14:textId="77777777" w:rsidTr="009116AC">
        <w:trPr>
          <w:cantSplit/>
          <w:trHeight w:val="46"/>
        </w:trPr>
        <w:tc>
          <w:tcPr>
            <w:tcW w:w="939" w:type="pct"/>
            <w:shd w:val="clear" w:color="auto" w:fill="auto"/>
            <w:vAlign w:val="center"/>
          </w:tcPr>
          <w:p w14:paraId="1EE78B6B" w14:textId="77777777" w:rsidR="000A1519" w:rsidRPr="00FB0D10" w:rsidRDefault="000A1519" w:rsidP="00A361A7">
            <w:pPr>
              <w:pStyle w:val="TableText"/>
              <w:keepNext w:val="0"/>
              <w:rPr>
                <w:rFonts w:cs="Calibri"/>
                <w:color w:val="000000"/>
                <w:szCs w:val="20"/>
              </w:rPr>
            </w:pPr>
            <w:r w:rsidRPr="00FB0D10">
              <w:rPr>
                <w:rFonts w:cstheme="minorHAnsi"/>
                <w:szCs w:val="20"/>
              </w:rPr>
              <w:t>Proportion of aGVHD and cGVHD patients who are steroid refractory</w:t>
            </w:r>
          </w:p>
        </w:tc>
        <w:tc>
          <w:tcPr>
            <w:tcW w:w="709" w:type="pct"/>
            <w:shd w:val="clear" w:color="auto" w:fill="auto"/>
            <w:vAlign w:val="center"/>
          </w:tcPr>
          <w:p w14:paraId="33DC4696" w14:textId="77777777" w:rsidR="000A1519" w:rsidRPr="00FB0D10" w:rsidRDefault="000A1519" w:rsidP="00A361A7">
            <w:pPr>
              <w:jc w:val="center"/>
              <w:rPr>
                <w:rFonts w:ascii="Arial Narrow" w:hAnsi="Arial Narrow" w:cstheme="minorHAnsi"/>
                <w:bCs/>
                <w:sz w:val="20"/>
                <w:szCs w:val="20"/>
              </w:rPr>
            </w:pPr>
            <w:r w:rsidRPr="00FB0D10">
              <w:rPr>
                <w:rFonts w:ascii="Arial Narrow" w:hAnsi="Arial Narrow" w:cstheme="minorHAnsi"/>
                <w:bCs/>
                <w:sz w:val="20"/>
                <w:szCs w:val="20"/>
              </w:rPr>
              <w:t>cGVHD</w:t>
            </w:r>
          </w:p>
          <w:p w14:paraId="248CC39B" w14:textId="77777777" w:rsidR="000A1519" w:rsidRPr="00FB0D10" w:rsidRDefault="000A1519" w:rsidP="00A361A7">
            <w:pPr>
              <w:pStyle w:val="TableText"/>
              <w:keepNext w:val="0"/>
              <w:jc w:val="center"/>
              <w:rPr>
                <w:rFonts w:cstheme="minorHAnsi"/>
                <w:szCs w:val="20"/>
              </w:rPr>
            </w:pPr>
            <w:r w:rsidRPr="00FB0D10">
              <w:rPr>
                <w:rFonts w:cstheme="minorHAnsi"/>
                <w:szCs w:val="20"/>
              </w:rPr>
              <w:t>Mild: 9.1%</w:t>
            </w:r>
          </w:p>
          <w:p w14:paraId="4738E65A" w14:textId="72557201" w:rsidR="000A1519" w:rsidRPr="00FB0D10" w:rsidRDefault="000A1519" w:rsidP="00A361A7">
            <w:pPr>
              <w:pStyle w:val="TableText"/>
              <w:keepNext w:val="0"/>
              <w:jc w:val="center"/>
              <w:rPr>
                <w:rFonts w:cstheme="minorHAnsi"/>
                <w:szCs w:val="20"/>
              </w:rPr>
            </w:pPr>
            <w:r w:rsidRPr="00FB0D10">
              <w:rPr>
                <w:rFonts w:cstheme="minorHAnsi"/>
                <w:szCs w:val="20"/>
              </w:rPr>
              <w:t>Mod: 22.2%</w:t>
            </w:r>
          </w:p>
          <w:p w14:paraId="6CE9EAC0" w14:textId="77777777" w:rsidR="000A1519" w:rsidRPr="00FB0D10" w:rsidRDefault="000A1519" w:rsidP="00A361A7">
            <w:pPr>
              <w:pStyle w:val="TableText"/>
              <w:keepNext w:val="0"/>
              <w:jc w:val="center"/>
            </w:pPr>
            <w:r w:rsidRPr="00FB0D10">
              <w:t>Severe: 60.0%</w:t>
            </w:r>
          </w:p>
        </w:tc>
        <w:tc>
          <w:tcPr>
            <w:tcW w:w="786" w:type="pct"/>
            <w:shd w:val="clear" w:color="auto" w:fill="auto"/>
            <w:vAlign w:val="center"/>
          </w:tcPr>
          <w:p w14:paraId="64DFC2B5" w14:textId="77777777" w:rsidR="000A1519" w:rsidRPr="00FB0D10" w:rsidRDefault="000A1519" w:rsidP="00A361A7">
            <w:pPr>
              <w:pStyle w:val="TableText"/>
              <w:keepNext w:val="0"/>
              <w:jc w:val="center"/>
              <w:rPr>
                <w:rFonts w:cstheme="minorHAnsi"/>
                <w:szCs w:val="20"/>
              </w:rPr>
            </w:pPr>
            <w:r w:rsidRPr="00FB0D10">
              <w:rPr>
                <w:rFonts w:cstheme="minorHAnsi"/>
                <w:szCs w:val="20"/>
              </w:rPr>
              <w:t>aGVHD</w:t>
            </w:r>
          </w:p>
          <w:p w14:paraId="773D7670" w14:textId="77777777" w:rsidR="000A1519" w:rsidRPr="00FB0D10" w:rsidRDefault="000A1519" w:rsidP="00A361A7">
            <w:pPr>
              <w:pStyle w:val="TableText"/>
              <w:keepNext w:val="0"/>
              <w:jc w:val="center"/>
              <w:rPr>
                <w:rFonts w:cstheme="minorHAnsi"/>
                <w:szCs w:val="20"/>
              </w:rPr>
            </w:pPr>
            <w:r w:rsidRPr="00FB0D10">
              <w:rPr>
                <w:rFonts w:cstheme="minorHAnsi"/>
                <w:szCs w:val="20"/>
              </w:rPr>
              <w:t>Grade II: 12.2%</w:t>
            </w:r>
          </w:p>
          <w:p w14:paraId="0BF59AFB" w14:textId="77777777" w:rsidR="000A1519" w:rsidRPr="00FB0D10" w:rsidRDefault="000A1519" w:rsidP="00A361A7">
            <w:pPr>
              <w:pStyle w:val="TableText"/>
              <w:keepNext w:val="0"/>
              <w:jc w:val="center"/>
              <w:rPr>
                <w:rFonts w:cstheme="minorHAnsi"/>
                <w:szCs w:val="20"/>
              </w:rPr>
            </w:pPr>
            <w:r w:rsidRPr="00FB0D10">
              <w:rPr>
                <w:rFonts w:cstheme="minorHAnsi"/>
                <w:szCs w:val="20"/>
              </w:rPr>
              <w:t>Grade III: 47.4%</w:t>
            </w:r>
          </w:p>
          <w:p w14:paraId="68473F10" w14:textId="77777777" w:rsidR="000A1519" w:rsidRPr="00FB0D10" w:rsidRDefault="000A1519" w:rsidP="00A361A7">
            <w:pPr>
              <w:pStyle w:val="TableText"/>
              <w:keepNext w:val="0"/>
              <w:jc w:val="center"/>
            </w:pPr>
            <w:r w:rsidRPr="00FB0D10">
              <w:rPr>
                <w:rFonts w:cstheme="minorHAnsi"/>
                <w:szCs w:val="20"/>
              </w:rPr>
              <w:t xml:space="preserve">Grade IV: 78.9% </w:t>
            </w:r>
          </w:p>
        </w:tc>
        <w:tc>
          <w:tcPr>
            <w:tcW w:w="2566" w:type="pct"/>
            <w:shd w:val="clear" w:color="auto" w:fill="auto"/>
            <w:vAlign w:val="center"/>
          </w:tcPr>
          <w:p w14:paraId="104B2547" w14:textId="33B3CD2D" w:rsidR="000A1519" w:rsidRPr="00FB0D10" w:rsidRDefault="000A1519" w:rsidP="00A361A7">
            <w:pPr>
              <w:pStyle w:val="TableText"/>
              <w:rPr>
                <w:rFonts w:cstheme="minorHAnsi"/>
                <w:szCs w:val="20"/>
              </w:rPr>
            </w:pPr>
            <w:r w:rsidRPr="00FB0D10">
              <w:rPr>
                <w:rFonts w:cstheme="minorHAnsi"/>
                <w:szCs w:val="20"/>
              </w:rPr>
              <w:t xml:space="preserve">(Axt et al. 2019): Given Axt (2019) was small single centre German study of adults ≥18 years undergoing alloSCT, reporting data from 2004-2013, </w:t>
            </w:r>
            <w:r w:rsidR="00375379">
              <w:rPr>
                <w:rFonts w:cstheme="minorHAnsi"/>
                <w:szCs w:val="20"/>
              </w:rPr>
              <w:t xml:space="preserve">the evaluation considered </w:t>
            </w:r>
            <w:r w:rsidRPr="00FB0D10">
              <w:rPr>
                <w:rFonts w:cstheme="minorHAnsi"/>
                <w:szCs w:val="20"/>
              </w:rPr>
              <w:t>these proportions may not be applicable to the Australian setting.</w:t>
            </w:r>
            <w:r w:rsidR="00421487">
              <w:rPr>
                <w:rFonts w:cstheme="minorHAnsi"/>
                <w:szCs w:val="20"/>
              </w:rPr>
              <w:t xml:space="preserve"> The pre-PBAC response increased the proportion of cGVHD patients with moderate disease from 22.2% to 60% </w:t>
            </w:r>
            <w:r w:rsidR="00FA2702">
              <w:rPr>
                <w:rFonts w:cstheme="minorHAnsi"/>
                <w:szCs w:val="20"/>
              </w:rPr>
              <w:t xml:space="preserve">which it stated was </w:t>
            </w:r>
            <w:r w:rsidR="00421487">
              <w:rPr>
                <w:rFonts w:cstheme="minorHAnsi"/>
                <w:szCs w:val="20"/>
              </w:rPr>
              <w:t>to align with that reported in the MSAC PICO for ECP (</w:t>
            </w:r>
            <w:r w:rsidR="00421487" w:rsidRPr="00A6154D">
              <w:t>p</w:t>
            </w:r>
            <w:r w:rsidR="00421487">
              <w:t>7</w:t>
            </w:r>
            <w:r w:rsidR="00421487" w:rsidRPr="00A6154D">
              <w:t xml:space="preserve">, </w:t>
            </w:r>
            <w:r w:rsidR="00421487">
              <w:t>E</w:t>
            </w:r>
            <w:r w:rsidR="00421487" w:rsidRPr="00A6154D">
              <w:t xml:space="preserve">xtracorporeal photopheresis </w:t>
            </w:r>
            <w:r w:rsidR="00421487">
              <w:t>(application 1651) PICO).</w:t>
            </w:r>
          </w:p>
        </w:tc>
      </w:tr>
      <w:tr w:rsidR="000A1519" w:rsidRPr="00FB0D10" w14:paraId="31CB57F6" w14:textId="77777777" w:rsidTr="00A361A7">
        <w:trPr>
          <w:cantSplit/>
          <w:trHeight w:val="46"/>
        </w:trPr>
        <w:tc>
          <w:tcPr>
            <w:tcW w:w="5000" w:type="pct"/>
            <w:gridSpan w:val="4"/>
            <w:shd w:val="clear" w:color="auto" w:fill="auto"/>
            <w:vAlign w:val="center"/>
          </w:tcPr>
          <w:p w14:paraId="4AA1872B" w14:textId="77777777" w:rsidR="000A1519" w:rsidRPr="00FB0D10" w:rsidRDefault="000A1519" w:rsidP="00A361A7">
            <w:pPr>
              <w:pStyle w:val="TableText"/>
              <w:rPr>
                <w:b/>
                <w:bCs w:val="0"/>
              </w:rPr>
            </w:pPr>
            <w:r w:rsidRPr="00FB0D10">
              <w:rPr>
                <w:b/>
                <w:bCs w:val="0"/>
              </w:rPr>
              <w:t>Utilisation of ruxolitinib</w:t>
            </w:r>
          </w:p>
        </w:tc>
      </w:tr>
      <w:tr w:rsidR="000A1519" w:rsidRPr="00FB0D10" w14:paraId="4FE91B85" w14:textId="77777777" w:rsidTr="00F86A1D">
        <w:trPr>
          <w:cantSplit/>
          <w:trHeight w:val="3193"/>
        </w:trPr>
        <w:tc>
          <w:tcPr>
            <w:tcW w:w="939" w:type="pct"/>
            <w:shd w:val="clear" w:color="auto" w:fill="auto"/>
            <w:vAlign w:val="center"/>
          </w:tcPr>
          <w:p w14:paraId="60FA3BF3" w14:textId="77777777" w:rsidR="000A1519" w:rsidRPr="00FB0D10" w:rsidRDefault="000A1519" w:rsidP="00A361A7">
            <w:pPr>
              <w:pStyle w:val="TableText"/>
              <w:rPr>
                <w:rFonts w:cs="Calibri"/>
                <w:color w:val="000000"/>
                <w:szCs w:val="20"/>
              </w:rPr>
            </w:pPr>
            <w:r w:rsidRPr="00FB0D10">
              <w:rPr>
                <w:rFonts w:cs="Calibri"/>
                <w:color w:val="000000"/>
                <w:szCs w:val="20"/>
              </w:rPr>
              <w:t xml:space="preserve">Duration of treatment and persistence </w:t>
            </w:r>
            <w:r w:rsidRPr="00FB0D10">
              <w:rPr>
                <w:rFonts w:cstheme="minorHAnsi"/>
                <w:szCs w:val="20"/>
              </w:rPr>
              <w:t>(ruxolitinib)</w:t>
            </w:r>
          </w:p>
        </w:tc>
        <w:tc>
          <w:tcPr>
            <w:tcW w:w="709" w:type="pct"/>
            <w:shd w:val="clear" w:color="auto" w:fill="auto"/>
            <w:vAlign w:val="center"/>
          </w:tcPr>
          <w:p w14:paraId="7ADAD355" w14:textId="77777777" w:rsidR="000A1519" w:rsidRPr="00FB0D10" w:rsidRDefault="000A1519" w:rsidP="00A361A7">
            <w:pPr>
              <w:pStyle w:val="TableText"/>
              <w:jc w:val="center"/>
              <w:rPr>
                <w:rFonts w:cs="Calibri"/>
                <w:color w:val="000000"/>
                <w:szCs w:val="20"/>
              </w:rPr>
            </w:pPr>
            <w:r w:rsidRPr="00FB0D10">
              <w:rPr>
                <w:rFonts w:cs="Calibri"/>
                <w:color w:val="000000"/>
                <w:szCs w:val="20"/>
              </w:rPr>
              <w:t>cGVHD</w:t>
            </w:r>
          </w:p>
          <w:p w14:paraId="37EA5FF6" w14:textId="77777777" w:rsidR="000A1519" w:rsidRPr="00FB0D10" w:rsidRDefault="000A1519" w:rsidP="00A361A7">
            <w:pPr>
              <w:pStyle w:val="TableText"/>
              <w:jc w:val="center"/>
              <w:rPr>
                <w:rFonts w:cs="Calibri"/>
                <w:color w:val="000000"/>
                <w:szCs w:val="20"/>
              </w:rPr>
            </w:pPr>
            <w:r w:rsidRPr="00FB0D10">
              <w:rPr>
                <w:rFonts w:cs="Calibri"/>
                <w:color w:val="000000"/>
                <w:szCs w:val="20"/>
              </w:rPr>
              <w:t xml:space="preserve">Year 1: Initial 20.15 </w:t>
            </w:r>
          </w:p>
          <w:p w14:paraId="3570326A" w14:textId="77777777" w:rsidR="000A1519" w:rsidRPr="00FB0D10" w:rsidRDefault="000A1519" w:rsidP="00A361A7">
            <w:pPr>
              <w:pStyle w:val="TableText"/>
              <w:jc w:val="center"/>
              <w:rPr>
                <w:rFonts w:cs="Calibri"/>
                <w:color w:val="000000"/>
                <w:szCs w:val="20"/>
              </w:rPr>
            </w:pPr>
            <w:r w:rsidRPr="00FB0D10">
              <w:rPr>
                <w:rFonts w:cs="Calibri"/>
                <w:color w:val="000000"/>
                <w:szCs w:val="20"/>
              </w:rPr>
              <w:t>Continuing: 11.13</w:t>
            </w:r>
          </w:p>
          <w:p w14:paraId="2C4AE261" w14:textId="77777777" w:rsidR="000A1519" w:rsidRPr="00FB0D10" w:rsidRDefault="000A1519" w:rsidP="00A361A7">
            <w:pPr>
              <w:pStyle w:val="TableText"/>
              <w:jc w:val="center"/>
              <w:rPr>
                <w:rFonts w:cs="Calibri"/>
                <w:color w:val="000000"/>
                <w:szCs w:val="20"/>
              </w:rPr>
            </w:pPr>
            <w:r w:rsidRPr="00FB0D10">
              <w:rPr>
                <w:rFonts w:cs="Calibri"/>
                <w:color w:val="000000"/>
                <w:szCs w:val="20"/>
              </w:rPr>
              <w:t>(weeks of treatment)</w:t>
            </w:r>
          </w:p>
          <w:p w14:paraId="4FDB5CDC" w14:textId="77777777" w:rsidR="000A1519" w:rsidRPr="00FB0D10" w:rsidRDefault="000A1519" w:rsidP="00A361A7">
            <w:pPr>
              <w:pStyle w:val="TableText"/>
              <w:jc w:val="center"/>
              <w:rPr>
                <w:rFonts w:cs="Calibri"/>
                <w:color w:val="000000"/>
                <w:szCs w:val="20"/>
              </w:rPr>
            </w:pPr>
          </w:p>
          <w:p w14:paraId="2D86318D" w14:textId="77777777" w:rsidR="000A1519" w:rsidRPr="00FB0D10" w:rsidRDefault="000A1519" w:rsidP="00A361A7">
            <w:pPr>
              <w:pStyle w:val="TableText"/>
              <w:jc w:val="center"/>
              <w:rPr>
                <w:rFonts w:cs="Calibri"/>
                <w:color w:val="000000"/>
                <w:szCs w:val="20"/>
              </w:rPr>
            </w:pPr>
            <w:r w:rsidRPr="00FB0D10">
              <w:rPr>
                <w:rFonts w:cs="Calibri"/>
                <w:color w:val="000000"/>
                <w:szCs w:val="20"/>
              </w:rPr>
              <w:t xml:space="preserve">Year 2: </w:t>
            </w:r>
            <w:r w:rsidRPr="00FB0D10">
              <w:rPr>
                <w:rFonts w:cstheme="minorHAnsi"/>
                <w:szCs w:val="20"/>
              </w:rPr>
              <w:t>29.2%</w:t>
            </w:r>
          </w:p>
          <w:p w14:paraId="1027A898" w14:textId="77777777" w:rsidR="000A1519" w:rsidRPr="00FB0D10" w:rsidRDefault="000A1519" w:rsidP="00A361A7">
            <w:pPr>
              <w:pStyle w:val="TableText"/>
              <w:jc w:val="center"/>
              <w:rPr>
                <w:rFonts w:cs="Calibri"/>
                <w:color w:val="000000"/>
                <w:szCs w:val="20"/>
              </w:rPr>
            </w:pPr>
            <w:r w:rsidRPr="00FB0D10">
              <w:rPr>
                <w:rFonts w:cs="Calibri"/>
                <w:color w:val="000000"/>
                <w:szCs w:val="20"/>
              </w:rPr>
              <w:t xml:space="preserve">Year 3: </w:t>
            </w:r>
            <w:r w:rsidRPr="00FB0D10">
              <w:rPr>
                <w:rFonts w:cstheme="minorHAnsi"/>
                <w:szCs w:val="20"/>
              </w:rPr>
              <w:t>72.6%</w:t>
            </w:r>
          </w:p>
          <w:p w14:paraId="5C7B95CD" w14:textId="77777777" w:rsidR="000A1519" w:rsidRPr="00FB0D10" w:rsidRDefault="000A1519" w:rsidP="00A361A7">
            <w:pPr>
              <w:pStyle w:val="TableText"/>
              <w:jc w:val="center"/>
              <w:rPr>
                <w:rFonts w:cs="Calibri"/>
                <w:color w:val="000000"/>
                <w:szCs w:val="20"/>
              </w:rPr>
            </w:pPr>
            <w:r w:rsidRPr="00FB0D10">
              <w:rPr>
                <w:rFonts w:cs="Calibri"/>
                <w:color w:val="000000"/>
                <w:szCs w:val="20"/>
              </w:rPr>
              <w:t xml:space="preserve">Year 4: </w:t>
            </w:r>
            <w:r w:rsidRPr="00FB0D10">
              <w:rPr>
                <w:rFonts w:cstheme="minorHAnsi"/>
                <w:szCs w:val="20"/>
              </w:rPr>
              <w:t>73.0%</w:t>
            </w:r>
          </w:p>
          <w:p w14:paraId="0C2EB75C" w14:textId="77777777" w:rsidR="000A1519" w:rsidRPr="00FB0D10" w:rsidRDefault="000A1519" w:rsidP="00A361A7">
            <w:pPr>
              <w:pStyle w:val="TableText"/>
              <w:jc w:val="center"/>
              <w:rPr>
                <w:rFonts w:cs="Calibri"/>
                <w:color w:val="000000"/>
                <w:szCs w:val="20"/>
              </w:rPr>
            </w:pPr>
            <w:r w:rsidRPr="00FB0D10">
              <w:rPr>
                <w:rFonts w:cs="Calibri"/>
                <w:color w:val="000000"/>
                <w:szCs w:val="20"/>
              </w:rPr>
              <w:t xml:space="preserve">Year 5: </w:t>
            </w:r>
            <w:r w:rsidRPr="00FB0D10">
              <w:rPr>
                <w:rFonts w:cstheme="minorHAnsi"/>
                <w:szCs w:val="20"/>
              </w:rPr>
              <w:t>74.0%</w:t>
            </w:r>
          </w:p>
          <w:p w14:paraId="773D0EBF" w14:textId="77777777" w:rsidR="000A1519" w:rsidRPr="00FB0D10" w:rsidRDefault="000A1519" w:rsidP="00A361A7">
            <w:pPr>
              <w:pStyle w:val="TableText"/>
              <w:jc w:val="center"/>
              <w:rPr>
                <w:rFonts w:cs="Calibri"/>
                <w:color w:val="000000"/>
                <w:szCs w:val="20"/>
              </w:rPr>
            </w:pPr>
            <w:r w:rsidRPr="00FB0D10">
              <w:rPr>
                <w:rFonts w:cs="Calibri"/>
                <w:color w:val="000000"/>
                <w:szCs w:val="20"/>
              </w:rPr>
              <w:t xml:space="preserve">Year 6: </w:t>
            </w:r>
            <w:r w:rsidRPr="00FB0D10">
              <w:rPr>
                <w:rFonts w:cstheme="minorHAnsi"/>
                <w:szCs w:val="20"/>
              </w:rPr>
              <w:t>71.1%</w:t>
            </w:r>
          </w:p>
        </w:tc>
        <w:tc>
          <w:tcPr>
            <w:tcW w:w="786" w:type="pct"/>
            <w:shd w:val="clear" w:color="auto" w:fill="auto"/>
            <w:vAlign w:val="center"/>
          </w:tcPr>
          <w:p w14:paraId="7C6BBCC7" w14:textId="77777777" w:rsidR="000A1519" w:rsidRPr="00FB0D10" w:rsidRDefault="000A1519" w:rsidP="00A361A7">
            <w:pPr>
              <w:pStyle w:val="TableText"/>
              <w:keepNext w:val="0"/>
              <w:jc w:val="center"/>
              <w:rPr>
                <w:rFonts w:cs="Calibri"/>
                <w:color w:val="000000"/>
                <w:szCs w:val="20"/>
              </w:rPr>
            </w:pPr>
            <w:r w:rsidRPr="00FB0D10">
              <w:rPr>
                <w:rFonts w:cs="Calibri"/>
                <w:color w:val="000000"/>
                <w:szCs w:val="20"/>
              </w:rPr>
              <w:t>aGVHD</w:t>
            </w:r>
          </w:p>
          <w:p w14:paraId="4C362730" w14:textId="77777777" w:rsidR="000A1519" w:rsidRPr="00FB0D10" w:rsidRDefault="000A1519" w:rsidP="00A361A7">
            <w:pPr>
              <w:pStyle w:val="TableText"/>
              <w:jc w:val="center"/>
              <w:rPr>
                <w:rFonts w:cs="Calibri"/>
                <w:color w:val="000000"/>
                <w:szCs w:val="20"/>
              </w:rPr>
            </w:pPr>
            <w:r w:rsidRPr="00FB0D10">
              <w:rPr>
                <w:rFonts w:cs="Calibri"/>
                <w:color w:val="000000"/>
                <w:szCs w:val="20"/>
              </w:rPr>
              <w:t>Year 1: Initial: 4.00</w:t>
            </w:r>
          </w:p>
          <w:p w14:paraId="548A30E1" w14:textId="77777777" w:rsidR="000A1519" w:rsidRPr="00FB0D10" w:rsidRDefault="000A1519" w:rsidP="00A361A7">
            <w:pPr>
              <w:pStyle w:val="TableText"/>
              <w:keepNext w:val="0"/>
              <w:jc w:val="center"/>
              <w:rPr>
                <w:rFonts w:cs="Calibri"/>
                <w:color w:val="000000"/>
                <w:szCs w:val="20"/>
              </w:rPr>
            </w:pPr>
            <w:r w:rsidRPr="00FB0D10">
              <w:t xml:space="preserve">Continuing: </w:t>
            </w:r>
            <w:r w:rsidRPr="00FB0D10">
              <w:rPr>
                <w:rFonts w:cs="Calibri"/>
                <w:color w:val="000000"/>
                <w:szCs w:val="20"/>
              </w:rPr>
              <w:t xml:space="preserve">8.13 </w:t>
            </w:r>
          </w:p>
          <w:p w14:paraId="54821CC6" w14:textId="77777777" w:rsidR="000A1519" w:rsidRPr="00FB0D10" w:rsidRDefault="000A1519" w:rsidP="00A361A7">
            <w:pPr>
              <w:pStyle w:val="TableText"/>
              <w:jc w:val="center"/>
              <w:rPr>
                <w:rFonts w:cs="Calibri"/>
                <w:color w:val="000000"/>
                <w:szCs w:val="20"/>
              </w:rPr>
            </w:pPr>
            <w:r w:rsidRPr="00FB0D10">
              <w:rPr>
                <w:rFonts w:cs="Calibri"/>
                <w:color w:val="000000"/>
                <w:szCs w:val="20"/>
              </w:rPr>
              <w:t>(weeks of treatment)</w:t>
            </w:r>
          </w:p>
          <w:p w14:paraId="1B42E5D5" w14:textId="77777777" w:rsidR="00491951" w:rsidRPr="00FB0D10" w:rsidRDefault="00491951" w:rsidP="00A361A7">
            <w:pPr>
              <w:pStyle w:val="TableText"/>
              <w:keepNext w:val="0"/>
              <w:jc w:val="center"/>
              <w:rPr>
                <w:rFonts w:cs="Calibri"/>
                <w:color w:val="000000"/>
                <w:szCs w:val="20"/>
              </w:rPr>
            </w:pPr>
          </w:p>
          <w:p w14:paraId="1A563464" w14:textId="73082A12" w:rsidR="000A1519" w:rsidRPr="00FB0D10" w:rsidRDefault="000A1519" w:rsidP="00A361A7">
            <w:pPr>
              <w:pStyle w:val="TableText"/>
              <w:keepNext w:val="0"/>
              <w:jc w:val="center"/>
              <w:rPr>
                <w:rFonts w:cs="Calibri"/>
                <w:color w:val="000000"/>
                <w:szCs w:val="20"/>
              </w:rPr>
            </w:pPr>
            <w:r w:rsidRPr="00FB0D10">
              <w:rPr>
                <w:rFonts w:cs="Calibri"/>
                <w:color w:val="000000"/>
                <w:szCs w:val="20"/>
              </w:rPr>
              <w:t xml:space="preserve">Grandfathered: 13.79 </w:t>
            </w:r>
          </w:p>
          <w:p w14:paraId="6DD8E9AE" w14:textId="207F746C" w:rsidR="00491951" w:rsidRPr="00FB0D10" w:rsidRDefault="000A1519" w:rsidP="00491951">
            <w:pPr>
              <w:pStyle w:val="TableText"/>
              <w:jc w:val="center"/>
              <w:rPr>
                <w:rFonts w:cs="Calibri"/>
                <w:color w:val="000000"/>
                <w:szCs w:val="20"/>
              </w:rPr>
            </w:pPr>
            <w:r w:rsidRPr="00FB0D10">
              <w:rPr>
                <w:rFonts w:cs="Calibri"/>
                <w:color w:val="000000"/>
              </w:rPr>
              <w:t>(</w:t>
            </w:r>
            <w:r w:rsidR="00491951" w:rsidRPr="00FB0D10">
              <w:rPr>
                <w:rFonts w:cs="Calibri"/>
                <w:color w:val="000000"/>
              </w:rPr>
              <w:t>weeks of treatment</w:t>
            </w:r>
            <w:r w:rsidRPr="00FB0D10">
              <w:rPr>
                <w:rFonts w:cs="Calibri"/>
                <w:color w:val="000000"/>
              </w:rPr>
              <w:t>)</w:t>
            </w:r>
            <w:r w:rsidR="00491951" w:rsidRPr="00FB0D10">
              <w:rPr>
                <w:rFonts w:cs="Calibri"/>
                <w:color w:val="000000"/>
                <w:szCs w:val="20"/>
              </w:rPr>
              <w:t xml:space="preserve"> </w:t>
            </w:r>
          </w:p>
          <w:p w14:paraId="0026C43E" w14:textId="77777777" w:rsidR="00491951" w:rsidRPr="00FB0D10" w:rsidRDefault="00491951" w:rsidP="00491951">
            <w:pPr>
              <w:pStyle w:val="TableText"/>
              <w:jc w:val="center"/>
              <w:rPr>
                <w:rFonts w:cs="Calibri"/>
                <w:color w:val="000000"/>
                <w:szCs w:val="20"/>
              </w:rPr>
            </w:pPr>
          </w:p>
          <w:p w14:paraId="04478F98" w14:textId="3589BD0F" w:rsidR="00491951" w:rsidRPr="00FB0D10" w:rsidRDefault="00491951" w:rsidP="00491951">
            <w:pPr>
              <w:pStyle w:val="TableText"/>
              <w:jc w:val="center"/>
              <w:rPr>
                <w:rFonts w:cs="Calibri"/>
                <w:color w:val="000000"/>
                <w:szCs w:val="20"/>
              </w:rPr>
            </w:pPr>
            <w:r w:rsidRPr="00FB0D10">
              <w:rPr>
                <w:rFonts w:cs="Calibri"/>
                <w:color w:val="000000"/>
                <w:szCs w:val="20"/>
              </w:rPr>
              <w:t xml:space="preserve">Year 2: </w:t>
            </w:r>
            <w:r w:rsidRPr="00FB0D10">
              <w:rPr>
                <w:rFonts w:cstheme="minorHAnsi"/>
                <w:szCs w:val="20"/>
              </w:rPr>
              <w:t>0.31%</w:t>
            </w:r>
          </w:p>
          <w:p w14:paraId="5623A782" w14:textId="077979A1" w:rsidR="000A1519" w:rsidRPr="00FB0D10" w:rsidRDefault="00491951" w:rsidP="00034152">
            <w:pPr>
              <w:pStyle w:val="TableText"/>
              <w:jc w:val="center"/>
              <w:rPr>
                <w:rFonts w:cs="Calibri"/>
                <w:color w:val="000000"/>
              </w:rPr>
            </w:pPr>
            <w:r w:rsidRPr="00FB0D10">
              <w:rPr>
                <w:rFonts w:cs="Calibri"/>
                <w:color w:val="000000"/>
                <w:szCs w:val="20"/>
              </w:rPr>
              <w:t>Years 3-6: 0</w:t>
            </w:r>
          </w:p>
        </w:tc>
        <w:tc>
          <w:tcPr>
            <w:tcW w:w="2566" w:type="pct"/>
            <w:shd w:val="clear" w:color="auto" w:fill="auto"/>
            <w:vAlign w:val="center"/>
          </w:tcPr>
          <w:p w14:paraId="30DE016A" w14:textId="0E538EC3" w:rsidR="000A1519" w:rsidRPr="00FB0D10" w:rsidRDefault="000A1519" w:rsidP="00A361A7">
            <w:pPr>
              <w:pStyle w:val="TableText"/>
              <w:keepNext w:val="0"/>
              <w:rPr>
                <w:rFonts w:cs="Calibri"/>
                <w:color w:val="000000"/>
                <w:szCs w:val="20"/>
              </w:rPr>
            </w:pPr>
            <w:r w:rsidRPr="00FB0D10">
              <w:rPr>
                <w:rFonts w:cs="Calibri"/>
                <w:color w:val="000000"/>
                <w:szCs w:val="20"/>
              </w:rPr>
              <w:t xml:space="preserve">Year 1 duration of treatment derived from </w:t>
            </w:r>
            <w:r w:rsidRPr="00FB0D10">
              <w:t>number of weeks on ruxolitinib in Year 1 of the model (</w:t>
            </w:r>
            <w:r w:rsidRPr="00FB0D10">
              <w:rPr>
                <w:rFonts w:cs="Calibri"/>
                <w:color w:val="000000"/>
                <w:szCs w:val="20"/>
              </w:rPr>
              <w:t xml:space="preserve">cGVHD - </w:t>
            </w:r>
            <w:r w:rsidRPr="00FB0D10">
              <w:t xml:space="preserve">initial 24 weeks, continuing 28 weeks; aGVHD - initial 4 weeks, continuing 48 weeks). </w:t>
            </w:r>
            <w:r w:rsidRPr="00FB0D10">
              <w:rPr>
                <w:rFonts w:cs="Calibri"/>
                <w:color w:val="000000"/>
                <w:szCs w:val="20"/>
              </w:rPr>
              <w:t xml:space="preserve">Years 2-6 proportions derived from the </w:t>
            </w:r>
            <w:r w:rsidRPr="00FB0D10">
              <w:t>m</w:t>
            </w:r>
            <w:r w:rsidRPr="00FB0D10">
              <w:rPr>
                <w:rFonts w:cs="Calibri"/>
                <w:color w:val="000000"/>
                <w:szCs w:val="20"/>
              </w:rPr>
              <w:t xml:space="preserve">ean proportion of patients remaining on ruxolitinib in each year, derived from the economic model. </w:t>
            </w:r>
            <w:r w:rsidR="0066229C" w:rsidRPr="00FB0D10">
              <w:rPr>
                <w:rFonts w:cs="Calibri"/>
                <w:color w:val="000000"/>
                <w:szCs w:val="20"/>
              </w:rPr>
              <w:t>Ext</w:t>
            </w:r>
            <w:r w:rsidR="0003159F" w:rsidRPr="00FB0D10">
              <w:rPr>
                <w:rFonts w:cs="Calibri"/>
                <w:color w:val="000000"/>
                <w:szCs w:val="20"/>
              </w:rPr>
              <w:t>rapolat</w:t>
            </w:r>
            <w:r w:rsidR="0066229C" w:rsidRPr="00FB0D10">
              <w:rPr>
                <w:rFonts w:cs="Calibri"/>
                <w:color w:val="000000"/>
                <w:szCs w:val="20"/>
              </w:rPr>
              <w:t xml:space="preserve">ion of time to treatment discontinuation data in the economic model was considered uncertain </w:t>
            </w:r>
            <w:r w:rsidR="00375379">
              <w:rPr>
                <w:rFonts w:cs="Calibri"/>
                <w:color w:val="000000"/>
                <w:szCs w:val="20"/>
              </w:rPr>
              <w:t xml:space="preserve">during evaluation </w:t>
            </w:r>
            <w:r w:rsidR="00A2647B" w:rsidRPr="00FB0D10">
              <w:rPr>
                <w:rFonts w:cs="Calibri"/>
                <w:color w:val="000000"/>
                <w:szCs w:val="20"/>
              </w:rPr>
              <w:t>due to the limited duration of observed data (median follow-up of 57 weeks).</w:t>
            </w:r>
            <w:r w:rsidR="001658CC">
              <w:rPr>
                <w:rFonts w:cs="Calibri"/>
                <w:color w:val="000000"/>
                <w:szCs w:val="20"/>
              </w:rPr>
              <w:t xml:space="preserve"> </w:t>
            </w:r>
          </w:p>
        </w:tc>
      </w:tr>
      <w:tr w:rsidR="000A1519" w:rsidRPr="00FB0D10" w14:paraId="16AD3510" w14:textId="77777777" w:rsidTr="009116AC">
        <w:trPr>
          <w:cantSplit/>
          <w:trHeight w:val="46"/>
        </w:trPr>
        <w:tc>
          <w:tcPr>
            <w:tcW w:w="939" w:type="pct"/>
            <w:shd w:val="clear" w:color="auto" w:fill="auto"/>
            <w:vAlign w:val="center"/>
          </w:tcPr>
          <w:p w14:paraId="3CD19941" w14:textId="77777777" w:rsidR="000A1519" w:rsidRPr="00FB0D10" w:rsidRDefault="000A1519" w:rsidP="00A361A7">
            <w:pPr>
              <w:pStyle w:val="TableText"/>
              <w:keepNext w:val="0"/>
              <w:rPr>
                <w:rFonts w:cs="Calibri"/>
                <w:color w:val="000000"/>
                <w:szCs w:val="20"/>
              </w:rPr>
            </w:pPr>
            <w:r w:rsidRPr="00FB0D10">
              <w:rPr>
                <w:rFonts w:cstheme="minorHAnsi"/>
                <w:szCs w:val="20"/>
              </w:rPr>
              <w:t xml:space="preserve">Proportion of aGVHD hospitalised at ruxolitinib initiation </w:t>
            </w:r>
          </w:p>
        </w:tc>
        <w:tc>
          <w:tcPr>
            <w:tcW w:w="1494" w:type="pct"/>
            <w:gridSpan w:val="2"/>
            <w:shd w:val="clear" w:color="auto" w:fill="auto"/>
            <w:vAlign w:val="center"/>
          </w:tcPr>
          <w:p w14:paraId="4FF12795" w14:textId="69069645" w:rsidR="000A1519" w:rsidRPr="00FB0D10" w:rsidRDefault="000A1519" w:rsidP="00A361A7">
            <w:pPr>
              <w:pStyle w:val="TableText"/>
              <w:keepNext w:val="0"/>
              <w:jc w:val="center"/>
            </w:pPr>
            <w:r w:rsidRPr="00FB0D10">
              <w:t>39.5%</w:t>
            </w:r>
          </w:p>
        </w:tc>
        <w:tc>
          <w:tcPr>
            <w:tcW w:w="2566" w:type="pct"/>
            <w:shd w:val="clear" w:color="auto" w:fill="auto"/>
            <w:vAlign w:val="center"/>
          </w:tcPr>
          <w:p w14:paraId="71885837" w14:textId="1B5D655E" w:rsidR="000A1519" w:rsidRPr="00FB0D10" w:rsidRDefault="000A1519" w:rsidP="00A361A7">
            <w:pPr>
              <w:pStyle w:val="TableText"/>
              <w:keepNext w:val="0"/>
            </w:pPr>
            <w:r w:rsidRPr="00FB0D10">
              <w:t>REACH2 mean proportion of ruxolitinib and BAT patients initiating treatment in hospital</w:t>
            </w:r>
            <w:r w:rsidR="00F86A1D">
              <w:t>.</w:t>
            </w:r>
          </w:p>
        </w:tc>
      </w:tr>
      <w:tr w:rsidR="000A1519" w:rsidRPr="00FB0D10" w14:paraId="38085972" w14:textId="77777777" w:rsidTr="009116AC">
        <w:trPr>
          <w:cantSplit/>
          <w:trHeight w:val="46"/>
        </w:trPr>
        <w:tc>
          <w:tcPr>
            <w:tcW w:w="939" w:type="pct"/>
            <w:shd w:val="clear" w:color="auto" w:fill="auto"/>
            <w:vAlign w:val="center"/>
          </w:tcPr>
          <w:p w14:paraId="0DD95CB0" w14:textId="77777777" w:rsidR="000A1519" w:rsidRPr="00FB0D10" w:rsidRDefault="000A1519" w:rsidP="00A361A7">
            <w:pPr>
              <w:pStyle w:val="TableText"/>
              <w:keepNext w:val="0"/>
              <w:rPr>
                <w:rFonts w:cstheme="minorHAnsi"/>
                <w:szCs w:val="20"/>
              </w:rPr>
            </w:pPr>
            <w:r w:rsidRPr="00FB0D10">
              <w:rPr>
                <w:rFonts w:cstheme="minorHAnsi"/>
                <w:szCs w:val="20"/>
              </w:rPr>
              <w:t>Ruxolitinib scripts per patient per year</w:t>
            </w:r>
          </w:p>
        </w:tc>
        <w:tc>
          <w:tcPr>
            <w:tcW w:w="1494" w:type="pct"/>
            <w:gridSpan w:val="2"/>
            <w:shd w:val="clear" w:color="auto" w:fill="auto"/>
            <w:vAlign w:val="center"/>
          </w:tcPr>
          <w:p w14:paraId="66C5966A" w14:textId="77777777" w:rsidR="000A1519" w:rsidRPr="00FB0D10" w:rsidRDefault="000A1519" w:rsidP="00A361A7">
            <w:pPr>
              <w:pStyle w:val="TableText"/>
            </w:pPr>
            <w:r w:rsidRPr="00FB0D10">
              <w:t>cGVHD</w:t>
            </w:r>
          </w:p>
          <w:p w14:paraId="45284F7A" w14:textId="77777777" w:rsidR="000A1519" w:rsidRPr="00FB0D10" w:rsidRDefault="000A1519" w:rsidP="00A361A7">
            <w:pPr>
              <w:pStyle w:val="TableText"/>
            </w:pPr>
            <w:r w:rsidRPr="00FB0D10">
              <w:t>Initiating: 5.05 scripts</w:t>
            </w:r>
          </w:p>
          <w:p w14:paraId="367DD589" w14:textId="77777777" w:rsidR="000A1519" w:rsidRPr="00FB0D10" w:rsidRDefault="000A1519" w:rsidP="00A361A7">
            <w:pPr>
              <w:pStyle w:val="TableText"/>
            </w:pPr>
            <w:r w:rsidRPr="00FB0D10">
              <w:t>Year 1 continuing: 2.79 scripts</w:t>
            </w:r>
          </w:p>
          <w:p w14:paraId="1475B6EC" w14:textId="77777777" w:rsidR="000A1519" w:rsidRPr="00FB0D10" w:rsidRDefault="000A1519" w:rsidP="00A361A7">
            <w:pPr>
              <w:pStyle w:val="TableText"/>
            </w:pPr>
            <w:r w:rsidRPr="00FB0D10">
              <w:t>Years 2-6 continuing: 13.04 scripts</w:t>
            </w:r>
          </w:p>
          <w:p w14:paraId="02F74086" w14:textId="77777777" w:rsidR="000A1519" w:rsidRPr="00FB0D10" w:rsidRDefault="000A1519" w:rsidP="00A361A7">
            <w:pPr>
              <w:pStyle w:val="TableText"/>
            </w:pPr>
            <w:r w:rsidRPr="00FB0D10">
              <w:t xml:space="preserve"> </w:t>
            </w:r>
          </w:p>
          <w:p w14:paraId="6272FE6A" w14:textId="77777777" w:rsidR="000A1519" w:rsidRPr="00FB0D10" w:rsidRDefault="000A1519" w:rsidP="00A361A7">
            <w:pPr>
              <w:pStyle w:val="TableText"/>
            </w:pPr>
            <w:r w:rsidRPr="00FB0D10">
              <w:t>aGVHD</w:t>
            </w:r>
          </w:p>
          <w:p w14:paraId="70970904" w14:textId="77777777" w:rsidR="000A1519" w:rsidRPr="00FB0D10" w:rsidRDefault="000A1519" w:rsidP="00A361A7">
            <w:pPr>
              <w:pStyle w:val="TableText"/>
            </w:pPr>
            <w:r w:rsidRPr="00FB0D10">
              <w:t>Initiating in community: 1.0 script</w:t>
            </w:r>
          </w:p>
          <w:p w14:paraId="6D41CD7F" w14:textId="77777777" w:rsidR="000A1519" w:rsidRPr="00FB0D10" w:rsidRDefault="000A1519" w:rsidP="00A361A7">
            <w:pPr>
              <w:pStyle w:val="TableText"/>
            </w:pPr>
            <w:r w:rsidRPr="00FB0D10">
              <w:t>Initiating in hospital: Nil</w:t>
            </w:r>
          </w:p>
          <w:p w14:paraId="10756279" w14:textId="77777777" w:rsidR="000A1519" w:rsidRPr="00FB0D10" w:rsidRDefault="000A1519" w:rsidP="00A361A7">
            <w:pPr>
              <w:pStyle w:val="TableText"/>
            </w:pPr>
            <w:r w:rsidRPr="00FB0D10">
              <w:t>Year 1 continuing: 2.04 scripts</w:t>
            </w:r>
          </w:p>
          <w:p w14:paraId="024F6DA3" w14:textId="77777777" w:rsidR="000A1519" w:rsidRPr="00FB0D10" w:rsidRDefault="000A1519" w:rsidP="00A361A7">
            <w:pPr>
              <w:pStyle w:val="TableText"/>
            </w:pPr>
            <w:r w:rsidRPr="00FB0D10">
              <w:t>Year 2 continuing: 13.04 scripts/year</w:t>
            </w:r>
          </w:p>
          <w:p w14:paraId="3C2DCA1A" w14:textId="77777777" w:rsidR="000A1519" w:rsidRPr="00FB0D10" w:rsidRDefault="000A1519" w:rsidP="00A361A7">
            <w:pPr>
              <w:pStyle w:val="TableText"/>
            </w:pPr>
          </w:p>
          <w:p w14:paraId="43AF10A7" w14:textId="77777777" w:rsidR="000A1519" w:rsidRPr="00FB0D10" w:rsidRDefault="000A1519" w:rsidP="00A361A7">
            <w:pPr>
              <w:pStyle w:val="TableText"/>
            </w:pPr>
            <w:r w:rsidRPr="00FB0D10">
              <w:t>aGVHD Grandfathered</w:t>
            </w:r>
          </w:p>
          <w:p w14:paraId="2E1EB2E8" w14:textId="77777777" w:rsidR="000A1519" w:rsidRPr="00FB0D10" w:rsidRDefault="000A1519" w:rsidP="00A361A7">
            <w:pPr>
              <w:pStyle w:val="TableText"/>
            </w:pPr>
            <w:r w:rsidRPr="00FB0D10">
              <w:t>Year 1 continuing: 3.46 scripts</w:t>
            </w:r>
          </w:p>
        </w:tc>
        <w:tc>
          <w:tcPr>
            <w:tcW w:w="2566" w:type="pct"/>
            <w:shd w:val="clear" w:color="auto" w:fill="auto"/>
            <w:vAlign w:val="center"/>
          </w:tcPr>
          <w:p w14:paraId="6AC238C2" w14:textId="77777777" w:rsidR="000A1519" w:rsidRPr="00FB0D10" w:rsidRDefault="000A1519" w:rsidP="00A361A7">
            <w:pPr>
              <w:pStyle w:val="TableText"/>
              <w:keepNext w:val="0"/>
              <w:rPr>
                <w:rFonts w:cstheme="minorHAnsi"/>
                <w:szCs w:val="20"/>
              </w:rPr>
            </w:pPr>
            <w:r w:rsidRPr="00FB0D10">
              <w:rPr>
                <w:rFonts w:cstheme="minorHAnsi"/>
                <w:szCs w:val="20"/>
              </w:rPr>
              <w:t>Scripts in year 1 informed by duration of treatment from the economic model (informed by the proportion of patients on treatment; see above). Scripts in subsequent years based on perfect adherence. Assumed 100% adherence was not reasonable, and overestimated script numbers.</w:t>
            </w:r>
          </w:p>
        </w:tc>
      </w:tr>
      <w:tr w:rsidR="000A1519" w:rsidRPr="00FB0D10" w14:paraId="75C1A2A3" w14:textId="77777777" w:rsidTr="00A361A7">
        <w:trPr>
          <w:cantSplit/>
          <w:trHeight w:val="46"/>
        </w:trPr>
        <w:tc>
          <w:tcPr>
            <w:tcW w:w="5000" w:type="pct"/>
            <w:gridSpan w:val="4"/>
            <w:shd w:val="clear" w:color="auto" w:fill="auto"/>
            <w:vAlign w:val="center"/>
          </w:tcPr>
          <w:p w14:paraId="335C44A1" w14:textId="77777777" w:rsidR="000A1519" w:rsidRPr="00FB0D10" w:rsidRDefault="000A1519" w:rsidP="00A361A7">
            <w:pPr>
              <w:pStyle w:val="TableText"/>
              <w:keepNext w:val="0"/>
              <w:rPr>
                <w:rFonts w:cstheme="minorHAnsi"/>
                <w:b/>
                <w:bCs w:val="0"/>
                <w:szCs w:val="20"/>
              </w:rPr>
            </w:pPr>
            <w:r w:rsidRPr="00FB0D10">
              <w:rPr>
                <w:rFonts w:cstheme="minorHAnsi"/>
                <w:b/>
                <w:bCs w:val="0"/>
                <w:szCs w:val="20"/>
              </w:rPr>
              <w:t>Change in utilisation of BAT therapies</w:t>
            </w:r>
          </w:p>
        </w:tc>
      </w:tr>
      <w:tr w:rsidR="000A1519" w:rsidRPr="00FB0D10" w14:paraId="57A1037E" w14:textId="77777777" w:rsidTr="009116AC">
        <w:trPr>
          <w:cantSplit/>
          <w:trHeight w:val="46"/>
        </w:trPr>
        <w:tc>
          <w:tcPr>
            <w:tcW w:w="939" w:type="pct"/>
            <w:shd w:val="clear" w:color="auto" w:fill="auto"/>
            <w:vAlign w:val="center"/>
          </w:tcPr>
          <w:p w14:paraId="2089325D" w14:textId="77777777" w:rsidR="000A1519" w:rsidRPr="00FB0D10" w:rsidRDefault="000A1519" w:rsidP="00A361A7">
            <w:pPr>
              <w:pStyle w:val="TableText"/>
              <w:keepNext w:val="0"/>
              <w:rPr>
                <w:rFonts w:cstheme="minorHAnsi"/>
                <w:szCs w:val="20"/>
              </w:rPr>
            </w:pPr>
            <w:r w:rsidRPr="00FB0D10">
              <w:rPr>
                <w:rFonts w:cstheme="minorHAnsi"/>
                <w:szCs w:val="20"/>
              </w:rPr>
              <w:t>Net change in the proportions of patients receiving BAT therapies</w:t>
            </w:r>
          </w:p>
        </w:tc>
        <w:tc>
          <w:tcPr>
            <w:tcW w:w="1494" w:type="pct"/>
            <w:gridSpan w:val="2"/>
            <w:shd w:val="clear" w:color="auto" w:fill="auto"/>
            <w:vAlign w:val="center"/>
          </w:tcPr>
          <w:p w14:paraId="4A5DEA08" w14:textId="5A3BC37E" w:rsidR="000A1519" w:rsidRPr="00FB0D10" w:rsidRDefault="001658CC" w:rsidP="00A361A7">
            <w:pPr>
              <w:pStyle w:val="TableText"/>
              <w:keepNext w:val="0"/>
              <w:tabs>
                <w:tab w:val="center" w:pos="826"/>
                <w:tab w:val="center" w:pos="1534"/>
                <w:tab w:val="center" w:pos="2243"/>
                <w:tab w:val="center" w:pos="2952"/>
              </w:tabs>
              <w:jc w:val="center"/>
            </w:pPr>
            <w:r>
              <w:rPr>
                <w:rFonts w:cstheme="minorHAnsi"/>
                <w:szCs w:val="20"/>
              </w:rPr>
              <w:t>Generated by the economic model</w:t>
            </w:r>
          </w:p>
        </w:tc>
        <w:tc>
          <w:tcPr>
            <w:tcW w:w="2566" w:type="pct"/>
            <w:shd w:val="clear" w:color="auto" w:fill="auto"/>
            <w:vAlign w:val="center"/>
          </w:tcPr>
          <w:p w14:paraId="0FE8235B" w14:textId="1A763616" w:rsidR="000A1519" w:rsidRPr="00FB0D10" w:rsidRDefault="007C143F" w:rsidP="00A361A7">
            <w:pPr>
              <w:pStyle w:val="TableText"/>
              <w:keepNext w:val="0"/>
              <w:rPr>
                <w:rFonts w:cstheme="minorHAnsi"/>
                <w:szCs w:val="20"/>
              </w:rPr>
            </w:pPr>
            <w:r w:rsidRPr="00FB0D10">
              <w:rPr>
                <w:rFonts w:cstheme="minorHAnsi"/>
                <w:szCs w:val="20"/>
              </w:rPr>
              <w:t xml:space="preserve">The utilisation of cGVHD and aGVHD BAT therapies was estimated from the modelled outputs of the economic model. The </w:t>
            </w:r>
            <w:r w:rsidR="00375379">
              <w:rPr>
                <w:rFonts w:cstheme="minorHAnsi"/>
                <w:szCs w:val="20"/>
              </w:rPr>
              <w:t xml:space="preserve">evaluation considered the </w:t>
            </w:r>
            <w:r w:rsidRPr="00FB0D10">
              <w:rPr>
                <w:rFonts w:cstheme="minorHAnsi"/>
                <w:szCs w:val="20"/>
              </w:rPr>
              <w:t xml:space="preserve">estimated utilisation was </w:t>
            </w:r>
            <w:r w:rsidR="003D60E7" w:rsidRPr="00FB0D10">
              <w:rPr>
                <w:rFonts w:cstheme="minorHAnsi"/>
                <w:szCs w:val="20"/>
              </w:rPr>
              <w:t xml:space="preserve">uncertain </w:t>
            </w:r>
            <w:r w:rsidRPr="00FB0D10">
              <w:rPr>
                <w:rFonts w:cstheme="minorHAnsi"/>
                <w:szCs w:val="20"/>
              </w:rPr>
              <w:t>due to the likely differences in availability and utilisation of treatments between the clinical trial setting and Australian clinical practice.</w:t>
            </w:r>
            <w:r w:rsidR="00AB5197" w:rsidRPr="00FB0D10">
              <w:rPr>
                <w:rFonts w:cstheme="minorHAnsi"/>
                <w:szCs w:val="20"/>
              </w:rPr>
              <w:t xml:space="preserve"> </w:t>
            </w:r>
            <w:r w:rsidR="00DE0A5A" w:rsidRPr="00FB0D10">
              <w:rPr>
                <w:rFonts w:cstheme="minorHAnsi"/>
                <w:szCs w:val="20"/>
              </w:rPr>
              <w:t>Differences in the proportions of patients using BAT therapies we</w:t>
            </w:r>
            <w:r w:rsidR="00AB5197" w:rsidRPr="00FB0D10">
              <w:rPr>
                <w:rFonts w:cstheme="minorHAnsi"/>
                <w:szCs w:val="20"/>
              </w:rPr>
              <w:t>re applied to ruxolitinib patient numbers; with scripts derived assuming perfect adherence.</w:t>
            </w:r>
          </w:p>
        </w:tc>
      </w:tr>
      <w:tr w:rsidR="000A1519" w:rsidRPr="00FB0D10" w14:paraId="21024C35" w14:textId="77777777" w:rsidTr="009116AC">
        <w:trPr>
          <w:cantSplit/>
          <w:trHeight w:val="46"/>
        </w:trPr>
        <w:tc>
          <w:tcPr>
            <w:tcW w:w="939" w:type="pct"/>
            <w:shd w:val="clear" w:color="auto" w:fill="auto"/>
            <w:vAlign w:val="center"/>
          </w:tcPr>
          <w:p w14:paraId="570FE3C5" w14:textId="77777777" w:rsidR="000A1519" w:rsidRPr="00FB0D10" w:rsidRDefault="000A1519" w:rsidP="00A361A7">
            <w:pPr>
              <w:pStyle w:val="TableText"/>
              <w:keepNext w:val="0"/>
              <w:rPr>
                <w:rFonts w:cstheme="minorHAnsi"/>
                <w:szCs w:val="20"/>
              </w:rPr>
            </w:pPr>
            <w:r w:rsidRPr="00FB0D10">
              <w:rPr>
                <w:rFonts w:cstheme="minorHAnsi"/>
                <w:szCs w:val="20"/>
              </w:rPr>
              <w:t>Net change in the number of ECP administrations and associated prescriptions for methoxsalen</w:t>
            </w:r>
          </w:p>
        </w:tc>
        <w:tc>
          <w:tcPr>
            <w:tcW w:w="1494" w:type="pct"/>
            <w:gridSpan w:val="2"/>
            <w:shd w:val="clear" w:color="auto" w:fill="auto"/>
            <w:vAlign w:val="center"/>
          </w:tcPr>
          <w:p w14:paraId="17A1E518" w14:textId="77777777" w:rsidR="000A1519" w:rsidRPr="00FB0D10" w:rsidRDefault="000A1519" w:rsidP="00A361A7">
            <w:pPr>
              <w:pStyle w:val="TableText"/>
              <w:jc w:val="center"/>
            </w:pPr>
            <w:r w:rsidRPr="00FB0D10">
              <w:t>cGVHD</w:t>
            </w:r>
          </w:p>
          <w:p w14:paraId="38DE8C1B" w14:textId="77777777" w:rsidR="000A1519" w:rsidRPr="00FB0D10" w:rsidRDefault="000A1519" w:rsidP="00A361A7">
            <w:pPr>
              <w:pStyle w:val="TableText"/>
              <w:jc w:val="center"/>
            </w:pPr>
            <w:r w:rsidRPr="00FB0D10">
              <w:t xml:space="preserve">   Year 1: -2,979</w:t>
            </w:r>
          </w:p>
          <w:p w14:paraId="4CB1BF19" w14:textId="48F671A2" w:rsidR="000A1519" w:rsidRPr="00FB0D10" w:rsidRDefault="000A1519" w:rsidP="00A361A7">
            <w:pPr>
              <w:pStyle w:val="TableText"/>
              <w:jc w:val="center"/>
            </w:pPr>
            <w:r w:rsidRPr="00FB0D10">
              <w:t xml:space="preserve">   Year 2: -267</w:t>
            </w:r>
          </w:p>
          <w:p w14:paraId="59FD135F" w14:textId="03165F13" w:rsidR="000A1519" w:rsidRPr="00FB0D10" w:rsidRDefault="000A1519" w:rsidP="00A361A7">
            <w:pPr>
              <w:pStyle w:val="TableText"/>
              <w:jc w:val="center"/>
            </w:pPr>
            <w:r w:rsidRPr="00FB0D10">
              <w:t xml:space="preserve">   Year 3: -287</w:t>
            </w:r>
          </w:p>
          <w:p w14:paraId="5CDD15ED" w14:textId="0E7F41F6" w:rsidR="000A1519" w:rsidRPr="00FB0D10" w:rsidRDefault="000A1519" w:rsidP="00A361A7">
            <w:pPr>
              <w:pStyle w:val="TableText"/>
              <w:jc w:val="center"/>
            </w:pPr>
            <w:r w:rsidRPr="00FB0D10">
              <w:t xml:space="preserve">   Year 4: -335</w:t>
            </w:r>
          </w:p>
          <w:p w14:paraId="289F0CF3" w14:textId="2CD3DD64" w:rsidR="000A1519" w:rsidRPr="00FB0D10" w:rsidRDefault="000A1519" w:rsidP="00A361A7">
            <w:pPr>
              <w:pStyle w:val="TableText"/>
              <w:jc w:val="center"/>
            </w:pPr>
            <w:r w:rsidRPr="00FB0D10">
              <w:t xml:space="preserve">   Year 5: -307</w:t>
            </w:r>
          </w:p>
          <w:p w14:paraId="78C096AC" w14:textId="121FCCB5" w:rsidR="000A1519" w:rsidRPr="00FB0D10" w:rsidRDefault="000A1519" w:rsidP="00A361A7">
            <w:pPr>
              <w:pStyle w:val="TableText"/>
              <w:jc w:val="center"/>
            </w:pPr>
            <w:r w:rsidRPr="00FB0D10">
              <w:t xml:space="preserve">   Year 6: -304</w:t>
            </w:r>
          </w:p>
        </w:tc>
        <w:tc>
          <w:tcPr>
            <w:tcW w:w="2566" w:type="pct"/>
            <w:shd w:val="clear" w:color="auto" w:fill="auto"/>
            <w:vAlign w:val="center"/>
          </w:tcPr>
          <w:p w14:paraId="0F6140DE" w14:textId="3CBFCE13" w:rsidR="000A1519" w:rsidRPr="00FB0D10" w:rsidRDefault="000A1519" w:rsidP="00A361A7">
            <w:pPr>
              <w:pStyle w:val="TableText"/>
              <w:keepNext w:val="0"/>
              <w:rPr>
                <w:rFonts w:cstheme="minorHAnsi"/>
                <w:szCs w:val="20"/>
              </w:rPr>
            </w:pPr>
            <w:r w:rsidRPr="00FB0D10">
              <w:rPr>
                <w:rFonts w:cstheme="minorHAnsi"/>
                <w:szCs w:val="20"/>
              </w:rPr>
              <w:t>Derived from the number of administrations per patient starting treatment with ruxolitinib/BAT in the economic model:</w:t>
            </w:r>
            <w:r w:rsidRPr="00FB0D10">
              <w:t xml:space="preserve"> Assumed one </w:t>
            </w:r>
            <w:r w:rsidRPr="00FB0D10">
              <w:rPr>
                <w:rFonts w:cstheme="minorHAnsi"/>
                <w:szCs w:val="20"/>
              </w:rPr>
              <w:t>methoxsalen administration (1 vial) was for each ECP administration.</w:t>
            </w:r>
            <w:r w:rsidRPr="00FB0D10">
              <w:t xml:space="preserve"> The </w:t>
            </w:r>
            <w:r w:rsidR="00974DDF">
              <w:t xml:space="preserve">evaluation considered the </w:t>
            </w:r>
            <w:r w:rsidRPr="00FB0D10">
              <w:t xml:space="preserve">estimated number of ECP administrations </w:t>
            </w:r>
            <w:r w:rsidR="00974DDF">
              <w:t>wa</w:t>
            </w:r>
            <w:r w:rsidRPr="00FB0D10">
              <w:t>s most likely overestimated, particularly in Year 1 of the estimates, given ECP has only recently been listed on the MBS, is not widely available, and may not be suitable for all patients.</w:t>
            </w:r>
          </w:p>
        </w:tc>
      </w:tr>
    </w:tbl>
    <w:p w14:paraId="703252A3" w14:textId="77777777" w:rsidR="000A1519" w:rsidRPr="00EC5565" w:rsidRDefault="000A1519" w:rsidP="000A1519">
      <w:pPr>
        <w:pStyle w:val="TableFigureFooter"/>
      </w:pPr>
      <w:r w:rsidRPr="00EC5565">
        <w:t>Source: Sections 4.1</w:t>
      </w:r>
      <w:r>
        <w:t>-1</w:t>
      </w:r>
      <w:r w:rsidRPr="00EC5565">
        <w:t>, p</w:t>
      </w:r>
      <w:r>
        <w:t>p360</w:t>
      </w:r>
      <w:r w:rsidRPr="00EC5565">
        <w:t>-</w:t>
      </w:r>
      <w:r>
        <w:t>362</w:t>
      </w:r>
      <w:r w:rsidRPr="00EC5565">
        <w:t xml:space="preserve"> of the submission</w:t>
      </w:r>
      <w:r>
        <w:t xml:space="preserve">; Excel workbooks </w:t>
      </w:r>
      <w:r w:rsidRPr="00C33B9C">
        <w:t xml:space="preserve">Ruxolitinib SR-aGVHD </w:t>
      </w:r>
      <w:r>
        <w:t>–</w:t>
      </w:r>
      <w:r w:rsidRPr="00C33B9C">
        <w:t xml:space="preserve"> UCM</w:t>
      </w:r>
      <w:r>
        <w:t xml:space="preserve">.xlsx and </w:t>
      </w:r>
      <w:r w:rsidRPr="00C33B9C">
        <w:t xml:space="preserve">Ruxolitinib SR-cGVHD </w:t>
      </w:r>
      <w:r>
        <w:t>–</w:t>
      </w:r>
      <w:r w:rsidRPr="00C33B9C">
        <w:t xml:space="preserve"> UCM</w:t>
      </w:r>
      <w:r>
        <w:t>.xlsx, attached to the submission.</w:t>
      </w:r>
    </w:p>
    <w:p w14:paraId="559918B2" w14:textId="094A6BDC" w:rsidR="000A1519" w:rsidRDefault="000A1519" w:rsidP="000A1519">
      <w:pPr>
        <w:pStyle w:val="TableFigureFooter"/>
      </w:pPr>
      <w:r w:rsidRPr="00D563DB">
        <w:t>Abbreviations: aGVHD</w:t>
      </w:r>
      <w:r>
        <w:t>,</w:t>
      </w:r>
      <w:r w:rsidRPr="00D563DB">
        <w:t xml:space="preserve"> acute graft versus host disease; alloSCT</w:t>
      </w:r>
      <w:r>
        <w:t>,</w:t>
      </w:r>
      <w:r w:rsidRPr="00D563DB">
        <w:t xml:space="preserve"> allogenic stem cell transplantation; AMBTRR</w:t>
      </w:r>
      <w:r>
        <w:t>,</w:t>
      </w:r>
      <w:r w:rsidRPr="00D563DB">
        <w:t xml:space="preserve"> Australian </w:t>
      </w:r>
      <w:r>
        <w:t>B</w:t>
      </w:r>
      <w:r w:rsidRPr="00D563DB">
        <w:t xml:space="preserve">one </w:t>
      </w:r>
      <w:r>
        <w:t>M</w:t>
      </w:r>
      <w:r w:rsidRPr="00D563DB">
        <w:t xml:space="preserve">arrow </w:t>
      </w:r>
      <w:r>
        <w:t>T</w:t>
      </w:r>
      <w:r w:rsidRPr="00D563DB">
        <w:t xml:space="preserve">ransplant </w:t>
      </w:r>
      <w:r>
        <w:t>R</w:t>
      </w:r>
      <w:r w:rsidRPr="00D563DB">
        <w:t xml:space="preserve">ecipient </w:t>
      </w:r>
      <w:r>
        <w:t>R</w:t>
      </w:r>
      <w:r w:rsidRPr="00D563DB">
        <w:t>egistry; cGVHD</w:t>
      </w:r>
      <w:r>
        <w:t>,</w:t>
      </w:r>
      <w:r w:rsidRPr="00D563DB">
        <w:t xml:space="preserve"> chronic graft versus host disease; </w:t>
      </w:r>
      <w:r>
        <w:t xml:space="preserve">GVHD, graft versus host disease; </w:t>
      </w:r>
      <w:r w:rsidR="009116AC">
        <w:t xml:space="preserve">mod, moderate; </w:t>
      </w:r>
      <w:r w:rsidRPr="00D563DB">
        <w:t>PBS</w:t>
      </w:r>
      <w:r w:rsidR="009116AC">
        <w:t>,</w:t>
      </w:r>
      <w:r w:rsidRPr="00D563DB">
        <w:t xml:space="preserve"> </w:t>
      </w:r>
      <w:r>
        <w:t>P</w:t>
      </w:r>
      <w:r w:rsidRPr="00D563DB">
        <w:t xml:space="preserve">harmaceutical </w:t>
      </w:r>
      <w:r>
        <w:t>B</w:t>
      </w:r>
      <w:r w:rsidRPr="00D563DB">
        <w:t xml:space="preserve">enefits </w:t>
      </w:r>
      <w:r>
        <w:t>S</w:t>
      </w:r>
      <w:r w:rsidRPr="00D563DB">
        <w:t>cheme</w:t>
      </w:r>
    </w:p>
    <w:p w14:paraId="6D554AA4" w14:textId="77777777" w:rsidR="000A1519" w:rsidRDefault="000A1519" w:rsidP="000A1519">
      <w:pPr>
        <w:pStyle w:val="TableFigureFooter"/>
      </w:pPr>
      <w:r>
        <w:rPr>
          <w:vertAlign w:val="superscript"/>
        </w:rPr>
        <w:t>1</w:t>
      </w:r>
      <w:r>
        <w:t>The estimated alloSCT incident population in 2022 was included in the prevalent population for cGVHD and the incident population for aGVHD.</w:t>
      </w:r>
    </w:p>
    <w:p w14:paraId="7C1D5795" w14:textId="63C3EDCE" w:rsidR="000A1519" w:rsidRPr="00F86A1D" w:rsidRDefault="000A1519" w:rsidP="000A1519">
      <w:pPr>
        <w:pStyle w:val="ExecSumBodyText"/>
        <w:numPr>
          <w:ilvl w:val="1"/>
          <w:numId w:val="1"/>
        </w:numPr>
      </w:pPr>
      <w:r>
        <w:t>The table below</w:t>
      </w:r>
      <w:r w:rsidRPr="00986553">
        <w:t xml:space="preserve"> summarises the estimated </w:t>
      </w:r>
      <w:r>
        <w:t>utilisation and</w:t>
      </w:r>
      <w:r w:rsidRPr="00986553">
        <w:t xml:space="preserve"> cost of ruxolitinib to the PBS/RPBS</w:t>
      </w:r>
      <w:r>
        <w:t xml:space="preserve"> for the treatment of cGVHD.</w:t>
      </w:r>
      <w:r w:rsidRPr="00D44FF0">
        <w:t xml:space="preserve"> </w:t>
      </w:r>
      <w:r>
        <w:t xml:space="preserve">Incident patients for Year 1, and </w:t>
      </w:r>
      <w:r w:rsidR="005B09A6">
        <w:t xml:space="preserve">&lt; 500 </w:t>
      </w:r>
      <w:r>
        <w:t>patients currently receiving ruxolitinib via the sponsor’s managed access program were assumed to be included in the estimated prevalent populat</w:t>
      </w:r>
      <w:r w:rsidRPr="00F86A1D">
        <w:t>ion.</w:t>
      </w:r>
    </w:p>
    <w:p w14:paraId="0CB5DF73" w14:textId="3A84A3E0" w:rsidR="000A1519" w:rsidRDefault="00C249EA" w:rsidP="00014A9C">
      <w:pPr>
        <w:pStyle w:val="TableFigureCaption"/>
        <w:keepLines/>
      </w:pPr>
      <w:bookmarkStart w:id="71" w:name="_Hlk102993345"/>
      <w:r w:rsidRPr="0042047F">
        <w:t xml:space="preserve">Table </w:t>
      </w:r>
      <w:fldSimple w:instr=" SEQ Table \* ARABIC " w:fldLock="1">
        <w:r w:rsidR="005A7A1C">
          <w:rPr>
            <w:noProof/>
          </w:rPr>
          <w:t>22</w:t>
        </w:r>
      </w:fldSimple>
      <w:r w:rsidR="000A1519" w:rsidRPr="00606FBA">
        <w:t>: Estimated use and financial implications</w:t>
      </w:r>
      <w:r w:rsidR="000A1519">
        <w:t xml:space="preserve"> </w:t>
      </w:r>
      <w:r w:rsidR="00AB5197">
        <w:t xml:space="preserve">for </w:t>
      </w:r>
      <w:r w:rsidR="000A1519">
        <w:t>cGVHD</w:t>
      </w:r>
    </w:p>
    <w:bookmarkEnd w:id="71"/>
    <w:tbl>
      <w:tblPr>
        <w:tblStyle w:val="TableGrid"/>
        <w:tblW w:w="5028" w:type="pct"/>
        <w:tblLayout w:type="fixed"/>
        <w:tblLook w:val="04A0" w:firstRow="1" w:lastRow="0" w:firstColumn="1" w:lastColumn="0" w:noHBand="0" w:noVBand="1"/>
      </w:tblPr>
      <w:tblGrid>
        <w:gridCol w:w="3556"/>
        <w:gridCol w:w="996"/>
        <w:gridCol w:w="894"/>
        <w:gridCol w:w="894"/>
        <w:gridCol w:w="894"/>
        <w:gridCol w:w="894"/>
        <w:gridCol w:w="939"/>
      </w:tblGrid>
      <w:tr w:rsidR="000A1519" w:rsidRPr="006440B8" w14:paraId="0C1460AB" w14:textId="77777777" w:rsidTr="00A361A7">
        <w:trPr>
          <w:tblHeader/>
        </w:trPr>
        <w:tc>
          <w:tcPr>
            <w:tcW w:w="1961" w:type="pct"/>
            <w:vAlign w:val="center"/>
          </w:tcPr>
          <w:p w14:paraId="3849FD0B" w14:textId="77777777" w:rsidR="000A1519" w:rsidRPr="00F86A1D" w:rsidRDefault="000A1519" w:rsidP="00014A9C">
            <w:pPr>
              <w:keepNext/>
              <w:keepLines/>
              <w:tabs>
                <w:tab w:val="right" w:pos="3513"/>
              </w:tabs>
              <w:ind w:right="-68"/>
              <w:rPr>
                <w:rFonts w:ascii="Arial Narrow" w:hAnsi="Arial Narrow"/>
                <w:sz w:val="20"/>
                <w:szCs w:val="20"/>
              </w:rPr>
            </w:pPr>
          </w:p>
        </w:tc>
        <w:tc>
          <w:tcPr>
            <w:tcW w:w="549" w:type="pct"/>
            <w:vAlign w:val="center"/>
          </w:tcPr>
          <w:p w14:paraId="097D66AA" w14:textId="77777777" w:rsidR="000A1519" w:rsidRPr="006440B8" w:rsidRDefault="000A1519" w:rsidP="00014A9C">
            <w:pPr>
              <w:pStyle w:val="TableFigureCaption"/>
              <w:keepLines/>
              <w:jc w:val="center"/>
              <w:rPr>
                <w:szCs w:val="20"/>
              </w:rPr>
            </w:pPr>
            <w:r w:rsidRPr="006440B8">
              <w:rPr>
                <w:szCs w:val="20"/>
              </w:rPr>
              <w:t>Year 1</w:t>
            </w:r>
          </w:p>
        </w:tc>
        <w:tc>
          <w:tcPr>
            <w:tcW w:w="493" w:type="pct"/>
            <w:shd w:val="clear" w:color="auto" w:fill="auto"/>
            <w:vAlign w:val="center"/>
          </w:tcPr>
          <w:p w14:paraId="2AD84F2B" w14:textId="77777777" w:rsidR="000A1519" w:rsidRPr="006440B8" w:rsidRDefault="000A1519" w:rsidP="00014A9C">
            <w:pPr>
              <w:pStyle w:val="TableFigureCaption"/>
              <w:keepLines/>
              <w:jc w:val="center"/>
              <w:rPr>
                <w:szCs w:val="20"/>
              </w:rPr>
            </w:pPr>
            <w:r w:rsidRPr="006440B8">
              <w:rPr>
                <w:szCs w:val="20"/>
              </w:rPr>
              <w:t>Year 2</w:t>
            </w:r>
          </w:p>
        </w:tc>
        <w:tc>
          <w:tcPr>
            <w:tcW w:w="493" w:type="pct"/>
            <w:shd w:val="clear" w:color="auto" w:fill="auto"/>
            <w:vAlign w:val="center"/>
          </w:tcPr>
          <w:p w14:paraId="4761DC11" w14:textId="77777777" w:rsidR="000A1519" w:rsidRPr="006440B8" w:rsidRDefault="000A1519" w:rsidP="00014A9C">
            <w:pPr>
              <w:pStyle w:val="TableFigureCaption"/>
              <w:keepLines/>
              <w:jc w:val="center"/>
              <w:rPr>
                <w:szCs w:val="20"/>
              </w:rPr>
            </w:pPr>
            <w:r w:rsidRPr="006440B8">
              <w:rPr>
                <w:szCs w:val="20"/>
              </w:rPr>
              <w:t>Year 3</w:t>
            </w:r>
          </w:p>
        </w:tc>
        <w:tc>
          <w:tcPr>
            <w:tcW w:w="493" w:type="pct"/>
            <w:shd w:val="clear" w:color="auto" w:fill="auto"/>
            <w:vAlign w:val="center"/>
          </w:tcPr>
          <w:p w14:paraId="104461E7" w14:textId="77777777" w:rsidR="000A1519" w:rsidRPr="006440B8" w:rsidRDefault="000A1519" w:rsidP="00014A9C">
            <w:pPr>
              <w:pStyle w:val="TableFigureCaption"/>
              <w:keepLines/>
              <w:jc w:val="center"/>
              <w:rPr>
                <w:szCs w:val="20"/>
              </w:rPr>
            </w:pPr>
            <w:r w:rsidRPr="006440B8">
              <w:rPr>
                <w:szCs w:val="20"/>
              </w:rPr>
              <w:t>Year 4</w:t>
            </w:r>
          </w:p>
        </w:tc>
        <w:tc>
          <w:tcPr>
            <w:tcW w:w="493" w:type="pct"/>
            <w:shd w:val="clear" w:color="auto" w:fill="auto"/>
            <w:vAlign w:val="center"/>
          </w:tcPr>
          <w:p w14:paraId="2A6C99B6" w14:textId="77777777" w:rsidR="000A1519" w:rsidRPr="006440B8" w:rsidRDefault="000A1519" w:rsidP="00014A9C">
            <w:pPr>
              <w:pStyle w:val="TableFigureCaption"/>
              <w:keepLines/>
              <w:jc w:val="center"/>
              <w:rPr>
                <w:szCs w:val="20"/>
              </w:rPr>
            </w:pPr>
            <w:r w:rsidRPr="006440B8">
              <w:rPr>
                <w:szCs w:val="20"/>
              </w:rPr>
              <w:t>Year 5</w:t>
            </w:r>
          </w:p>
        </w:tc>
        <w:tc>
          <w:tcPr>
            <w:tcW w:w="518" w:type="pct"/>
            <w:shd w:val="clear" w:color="auto" w:fill="auto"/>
            <w:vAlign w:val="center"/>
          </w:tcPr>
          <w:p w14:paraId="235196D6" w14:textId="77777777" w:rsidR="000A1519" w:rsidRPr="006440B8" w:rsidRDefault="000A1519" w:rsidP="00014A9C">
            <w:pPr>
              <w:pStyle w:val="TableFigureCaption"/>
              <w:keepLines/>
              <w:jc w:val="center"/>
              <w:rPr>
                <w:szCs w:val="20"/>
              </w:rPr>
            </w:pPr>
            <w:r w:rsidRPr="006440B8">
              <w:rPr>
                <w:szCs w:val="20"/>
              </w:rPr>
              <w:t>Year 6</w:t>
            </w:r>
          </w:p>
        </w:tc>
      </w:tr>
      <w:tr w:rsidR="000A1519" w:rsidRPr="006440B8" w14:paraId="503E3ADF" w14:textId="77777777" w:rsidTr="00A361A7">
        <w:tc>
          <w:tcPr>
            <w:tcW w:w="5000" w:type="pct"/>
            <w:gridSpan w:val="7"/>
            <w:tcBorders>
              <w:top w:val="single" w:sz="4" w:space="0" w:color="auto"/>
            </w:tcBorders>
          </w:tcPr>
          <w:p w14:paraId="04CD3A32" w14:textId="6C463D98" w:rsidR="000A1519" w:rsidRPr="006440B8" w:rsidRDefault="000A1519" w:rsidP="00014A9C">
            <w:pPr>
              <w:pStyle w:val="TableText"/>
              <w:keepLines/>
              <w:tabs>
                <w:tab w:val="right" w:pos="3513"/>
              </w:tabs>
              <w:ind w:left="-57" w:right="-68"/>
              <w:rPr>
                <w:b/>
                <w:bCs w:val="0"/>
                <w:szCs w:val="20"/>
              </w:rPr>
            </w:pPr>
            <w:r w:rsidRPr="006440B8">
              <w:rPr>
                <w:b/>
                <w:bCs w:val="0"/>
                <w:szCs w:val="20"/>
              </w:rPr>
              <w:t>Steroid refractory moderate</w:t>
            </w:r>
            <w:r w:rsidR="00B90243">
              <w:rPr>
                <w:b/>
                <w:bCs w:val="0"/>
                <w:szCs w:val="20"/>
              </w:rPr>
              <w:t xml:space="preserve"> to </w:t>
            </w:r>
            <w:r w:rsidRPr="006440B8">
              <w:rPr>
                <w:b/>
                <w:bCs w:val="0"/>
                <w:szCs w:val="20"/>
              </w:rPr>
              <w:t>severe cGVHD (incident and prevalent)</w:t>
            </w:r>
          </w:p>
        </w:tc>
      </w:tr>
      <w:tr w:rsidR="000A1519" w:rsidRPr="006440B8" w14:paraId="326D48A0" w14:textId="77777777" w:rsidTr="00A361A7">
        <w:tc>
          <w:tcPr>
            <w:tcW w:w="1961" w:type="pct"/>
          </w:tcPr>
          <w:p w14:paraId="7E656B61" w14:textId="77777777" w:rsidR="000A1519" w:rsidRPr="006440B8" w:rsidRDefault="000A1519" w:rsidP="00014A9C">
            <w:pPr>
              <w:pStyle w:val="TableText"/>
              <w:keepLines/>
              <w:tabs>
                <w:tab w:val="right" w:pos="3513"/>
              </w:tabs>
              <w:ind w:left="-57" w:right="-68"/>
              <w:rPr>
                <w:szCs w:val="20"/>
                <w:vertAlign w:val="superscript"/>
              </w:rPr>
            </w:pPr>
            <w:r w:rsidRPr="006440B8">
              <w:rPr>
                <w:szCs w:val="20"/>
              </w:rPr>
              <w:t>alloSCT patients aged ≥12 years</w:t>
            </w:r>
            <w:r w:rsidRPr="006440B8">
              <w:rPr>
                <w:szCs w:val="20"/>
                <w:vertAlign w:val="superscript"/>
              </w:rPr>
              <w:t>1</w:t>
            </w:r>
          </w:p>
        </w:tc>
        <w:tc>
          <w:tcPr>
            <w:tcW w:w="549" w:type="pct"/>
            <w:vAlign w:val="center"/>
          </w:tcPr>
          <w:p w14:paraId="13D5576F" w14:textId="48F4E144" w:rsidR="000A1519" w:rsidRPr="00320844" w:rsidRDefault="00F96E54" w:rsidP="00014A9C">
            <w:pPr>
              <w:pStyle w:val="TableText"/>
              <w:keepLines/>
              <w:ind w:left="-57"/>
              <w:jc w:val="center"/>
              <w:rPr>
                <w:szCs w:val="20"/>
                <w:vertAlign w:val="superscript"/>
              </w:rPr>
            </w:pPr>
            <w:r w:rsidRPr="00F96E54">
              <w:rPr>
                <w:color w:val="000000"/>
                <w:spacing w:val="42"/>
                <w:szCs w:val="20"/>
                <w:shd w:val="solid" w:color="000000" w:fill="000000"/>
                <w:fitText w:val="213" w:id="-1435343091"/>
                <w14:textFill>
                  <w14:solidFill>
                    <w14:srgbClr w14:val="000000">
                      <w14:alpha w14:val="100000"/>
                    </w14:srgbClr>
                  </w14:solidFill>
                </w14:textFill>
              </w:rPr>
              <w:t>||</w:t>
            </w:r>
            <w:r w:rsidRPr="00F96E54">
              <w:rPr>
                <w:color w:val="000000"/>
                <w:spacing w:val="2"/>
                <w:szCs w:val="20"/>
                <w:shd w:val="solid" w:color="000000" w:fill="000000"/>
                <w:fitText w:val="213" w:id="-1435343091"/>
                <w14:textFill>
                  <w14:solidFill>
                    <w14:srgbClr w14:val="000000">
                      <w14:alpha w14:val="100000"/>
                    </w14:srgbClr>
                  </w14:solidFill>
                </w14:textFill>
              </w:rPr>
              <w:t>|</w:t>
            </w:r>
            <w:r w:rsidR="00B75DC4">
              <w:rPr>
                <w:szCs w:val="20"/>
                <w:vertAlign w:val="superscript"/>
              </w:rPr>
              <w:t>4</w:t>
            </w:r>
          </w:p>
        </w:tc>
        <w:tc>
          <w:tcPr>
            <w:tcW w:w="493" w:type="pct"/>
            <w:vAlign w:val="center"/>
          </w:tcPr>
          <w:p w14:paraId="7A880614" w14:textId="762FE889" w:rsidR="000A1519" w:rsidRPr="006440B8" w:rsidRDefault="00F96E54" w:rsidP="00014A9C">
            <w:pPr>
              <w:pStyle w:val="TableText"/>
              <w:keepLines/>
              <w:ind w:left="-57"/>
              <w:jc w:val="center"/>
              <w:rPr>
                <w:szCs w:val="20"/>
                <w:vertAlign w:val="superscript"/>
              </w:rPr>
            </w:pPr>
            <w:r w:rsidRPr="00F96E54">
              <w:rPr>
                <w:color w:val="000000"/>
                <w:spacing w:val="177"/>
                <w:szCs w:val="20"/>
                <w:shd w:val="solid" w:color="000000" w:fill="000000"/>
                <w:fitText w:val="263" w:id="-1435343090"/>
                <w14:textFill>
                  <w14:solidFill>
                    <w14:srgbClr w14:val="000000">
                      <w14:alpha w14:val="100000"/>
                    </w14:srgbClr>
                  </w14:solidFill>
                </w14:textFill>
              </w:rPr>
              <w:t>|</w:t>
            </w:r>
            <w:r w:rsidRPr="00F96E54">
              <w:rPr>
                <w:color w:val="000000"/>
                <w:spacing w:val="1"/>
                <w:szCs w:val="20"/>
                <w:shd w:val="solid" w:color="000000" w:fill="000000"/>
                <w:fitText w:val="263" w:id="-1435343090"/>
                <w14:textFill>
                  <w14:solidFill>
                    <w14:srgbClr w14:val="000000">
                      <w14:alpha w14:val="100000"/>
                    </w14:srgbClr>
                  </w14:solidFill>
                </w14:textFill>
              </w:rPr>
              <w:t>|</w:t>
            </w:r>
            <w:r w:rsidR="00B75DC4">
              <w:rPr>
                <w:szCs w:val="20"/>
                <w:vertAlign w:val="superscript"/>
              </w:rPr>
              <w:t>4</w:t>
            </w:r>
          </w:p>
        </w:tc>
        <w:tc>
          <w:tcPr>
            <w:tcW w:w="493" w:type="pct"/>
            <w:vAlign w:val="center"/>
          </w:tcPr>
          <w:p w14:paraId="4F5E156A" w14:textId="6B17C443" w:rsidR="000A1519" w:rsidRPr="00320844" w:rsidRDefault="00F96E54" w:rsidP="00014A9C">
            <w:pPr>
              <w:pStyle w:val="TableText"/>
              <w:keepLines/>
              <w:ind w:left="-57"/>
              <w:jc w:val="center"/>
              <w:rPr>
                <w:szCs w:val="20"/>
              </w:rPr>
            </w:pPr>
            <w:r w:rsidRPr="00F96E54">
              <w:rPr>
                <w:color w:val="000000"/>
                <w:spacing w:val="177"/>
                <w:szCs w:val="20"/>
                <w:shd w:val="solid" w:color="000000" w:fill="000000"/>
                <w:fitText w:val="263" w:id="-1435343089"/>
                <w14:textFill>
                  <w14:solidFill>
                    <w14:srgbClr w14:val="000000">
                      <w14:alpha w14:val="100000"/>
                    </w14:srgbClr>
                  </w14:solidFill>
                </w14:textFill>
              </w:rPr>
              <w:t>|</w:t>
            </w:r>
            <w:r w:rsidRPr="00F96E54">
              <w:rPr>
                <w:color w:val="000000"/>
                <w:spacing w:val="1"/>
                <w:szCs w:val="20"/>
                <w:shd w:val="solid" w:color="000000" w:fill="000000"/>
                <w:fitText w:val="263" w:id="-1435343089"/>
                <w14:textFill>
                  <w14:solidFill>
                    <w14:srgbClr w14:val="000000">
                      <w14:alpha w14:val="100000"/>
                    </w14:srgbClr>
                  </w14:solidFill>
                </w14:textFill>
              </w:rPr>
              <w:t>|</w:t>
            </w:r>
            <w:r w:rsidR="00B75DC4">
              <w:rPr>
                <w:szCs w:val="20"/>
                <w:vertAlign w:val="superscript"/>
              </w:rPr>
              <w:t>4</w:t>
            </w:r>
          </w:p>
        </w:tc>
        <w:tc>
          <w:tcPr>
            <w:tcW w:w="493" w:type="pct"/>
            <w:vAlign w:val="center"/>
          </w:tcPr>
          <w:p w14:paraId="67686FED" w14:textId="4FC6D8D8" w:rsidR="000A1519" w:rsidRPr="00C950B3" w:rsidRDefault="00F96E54" w:rsidP="00014A9C">
            <w:pPr>
              <w:pStyle w:val="TableText"/>
              <w:keepLines/>
              <w:ind w:left="-57"/>
              <w:jc w:val="center"/>
              <w:rPr>
                <w:szCs w:val="20"/>
                <w:highlight w:val="darkGray"/>
              </w:rPr>
            </w:pPr>
            <w:r w:rsidRPr="00F96E54">
              <w:rPr>
                <w:color w:val="000000"/>
                <w:spacing w:val="177"/>
                <w:szCs w:val="20"/>
                <w:shd w:val="solid" w:color="000000" w:fill="000000"/>
                <w:fitText w:val="263" w:id="-1435343088"/>
                <w14:textFill>
                  <w14:solidFill>
                    <w14:srgbClr w14:val="000000">
                      <w14:alpha w14:val="100000"/>
                    </w14:srgbClr>
                  </w14:solidFill>
                </w14:textFill>
              </w:rPr>
              <w:t>|</w:t>
            </w:r>
            <w:r w:rsidRPr="00F96E54">
              <w:rPr>
                <w:color w:val="000000"/>
                <w:spacing w:val="1"/>
                <w:szCs w:val="20"/>
                <w:shd w:val="solid" w:color="000000" w:fill="000000"/>
                <w:fitText w:val="263" w:id="-1435343088"/>
                <w14:textFill>
                  <w14:solidFill>
                    <w14:srgbClr w14:val="000000">
                      <w14:alpha w14:val="100000"/>
                    </w14:srgbClr>
                  </w14:solidFill>
                </w14:textFill>
              </w:rPr>
              <w:t>|</w:t>
            </w:r>
            <w:r w:rsidR="00B75DC4">
              <w:rPr>
                <w:szCs w:val="20"/>
                <w:vertAlign w:val="superscript"/>
              </w:rPr>
              <w:t>4</w:t>
            </w:r>
          </w:p>
        </w:tc>
        <w:tc>
          <w:tcPr>
            <w:tcW w:w="493" w:type="pct"/>
            <w:vAlign w:val="center"/>
          </w:tcPr>
          <w:p w14:paraId="2C9AD0EF" w14:textId="2F405179" w:rsidR="000A1519" w:rsidRPr="00C950B3" w:rsidRDefault="00F96E54" w:rsidP="00014A9C">
            <w:pPr>
              <w:pStyle w:val="TableText"/>
              <w:keepLines/>
              <w:ind w:left="-57"/>
              <w:jc w:val="center"/>
              <w:rPr>
                <w:szCs w:val="20"/>
                <w:highlight w:val="darkGray"/>
              </w:rPr>
            </w:pPr>
            <w:r w:rsidRPr="00F96E54">
              <w:rPr>
                <w:color w:val="000000"/>
                <w:spacing w:val="177"/>
                <w:szCs w:val="20"/>
                <w:shd w:val="solid" w:color="000000" w:fill="000000"/>
                <w:fitText w:val="263" w:id="-1435343104"/>
                <w14:textFill>
                  <w14:solidFill>
                    <w14:srgbClr w14:val="000000">
                      <w14:alpha w14:val="100000"/>
                    </w14:srgbClr>
                  </w14:solidFill>
                </w14:textFill>
              </w:rPr>
              <w:t>|</w:t>
            </w:r>
            <w:r w:rsidRPr="00F96E54">
              <w:rPr>
                <w:color w:val="000000"/>
                <w:spacing w:val="1"/>
                <w:szCs w:val="20"/>
                <w:shd w:val="solid" w:color="000000" w:fill="000000"/>
                <w:fitText w:val="263" w:id="-1435343104"/>
                <w14:textFill>
                  <w14:solidFill>
                    <w14:srgbClr w14:val="000000">
                      <w14:alpha w14:val="100000"/>
                    </w14:srgbClr>
                  </w14:solidFill>
                </w14:textFill>
              </w:rPr>
              <w:t>|</w:t>
            </w:r>
            <w:r w:rsidR="00B75DC4">
              <w:rPr>
                <w:szCs w:val="20"/>
                <w:vertAlign w:val="superscript"/>
              </w:rPr>
              <w:t>4</w:t>
            </w:r>
          </w:p>
        </w:tc>
        <w:tc>
          <w:tcPr>
            <w:tcW w:w="518" w:type="pct"/>
            <w:vAlign w:val="center"/>
          </w:tcPr>
          <w:p w14:paraId="4A4E21A3" w14:textId="1808D90A" w:rsidR="000A1519" w:rsidRPr="00C950B3" w:rsidRDefault="00F96E54" w:rsidP="00014A9C">
            <w:pPr>
              <w:pStyle w:val="TableText"/>
              <w:keepLines/>
              <w:ind w:left="-57"/>
              <w:jc w:val="center"/>
              <w:rPr>
                <w:szCs w:val="20"/>
                <w:highlight w:val="darkGray"/>
              </w:rPr>
            </w:pPr>
            <w:r w:rsidRPr="00F96E54">
              <w:rPr>
                <w:color w:val="000000"/>
                <w:spacing w:val="165"/>
                <w:szCs w:val="20"/>
                <w:shd w:val="solid" w:color="000000" w:fill="000000"/>
                <w:fitText w:val="251" w:id="-1435343103"/>
                <w14:textFill>
                  <w14:solidFill>
                    <w14:srgbClr w14:val="000000">
                      <w14:alpha w14:val="100000"/>
                    </w14:srgbClr>
                  </w14:solidFill>
                </w14:textFill>
              </w:rPr>
              <w:t>|</w:t>
            </w:r>
            <w:r w:rsidRPr="00F96E54">
              <w:rPr>
                <w:color w:val="000000"/>
                <w:spacing w:val="1"/>
                <w:szCs w:val="20"/>
                <w:shd w:val="solid" w:color="000000" w:fill="000000"/>
                <w:fitText w:val="251" w:id="-1435343103"/>
                <w14:textFill>
                  <w14:solidFill>
                    <w14:srgbClr w14:val="000000">
                      <w14:alpha w14:val="100000"/>
                    </w14:srgbClr>
                  </w14:solidFill>
                </w14:textFill>
              </w:rPr>
              <w:t>|</w:t>
            </w:r>
            <w:r w:rsidR="00B75DC4">
              <w:rPr>
                <w:szCs w:val="20"/>
                <w:vertAlign w:val="superscript"/>
              </w:rPr>
              <w:t>4</w:t>
            </w:r>
          </w:p>
        </w:tc>
      </w:tr>
      <w:tr w:rsidR="000A1519" w:rsidRPr="006440B8" w14:paraId="05CFFA45" w14:textId="77777777" w:rsidTr="00A361A7">
        <w:tc>
          <w:tcPr>
            <w:tcW w:w="1961" w:type="pct"/>
            <w:tcBorders>
              <w:bottom w:val="single" w:sz="4" w:space="0" w:color="auto"/>
            </w:tcBorders>
          </w:tcPr>
          <w:p w14:paraId="2587F6DF" w14:textId="77777777" w:rsidR="000A1519" w:rsidRPr="006440B8" w:rsidRDefault="000A1519" w:rsidP="00014A9C">
            <w:pPr>
              <w:pStyle w:val="TableText"/>
              <w:keepLines/>
              <w:tabs>
                <w:tab w:val="right" w:pos="3513"/>
              </w:tabs>
              <w:ind w:left="-57" w:right="-68"/>
              <w:rPr>
                <w:szCs w:val="20"/>
                <w:vertAlign w:val="superscript"/>
              </w:rPr>
            </w:pPr>
            <w:r w:rsidRPr="006440B8">
              <w:rPr>
                <w:szCs w:val="20"/>
              </w:rPr>
              <w:t>Patients with cGVHD</w:t>
            </w:r>
            <w:r w:rsidRPr="006440B8">
              <w:rPr>
                <w:szCs w:val="20"/>
                <w:vertAlign w:val="superscript"/>
              </w:rPr>
              <w:t>2</w:t>
            </w:r>
          </w:p>
        </w:tc>
        <w:tc>
          <w:tcPr>
            <w:tcW w:w="549" w:type="pct"/>
            <w:tcBorders>
              <w:bottom w:val="single" w:sz="4" w:space="0" w:color="auto"/>
            </w:tcBorders>
            <w:vAlign w:val="center"/>
          </w:tcPr>
          <w:p w14:paraId="6C168D32" w14:textId="7B46D4A4" w:rsidR="000A1519" w:rsidRPr="006440B8" w:rsidRDefault="00F96E54" w:rsidP="00014A9C">
            <w:pPr>
              <w:pStyle w:val="TableText"/>
              <w:keepLines/>
              <w:ind w:left="-57"/>
              <w:jc w:val="center"/>
              <w:rPr>
                <w:szCs w:val="20"/>
                <w:vertAlign w:val="superscript"/>
              </w:rPr>
            </w:pPr>
            <w:r w:rsidRPr="00F96E54">
              <w:rPr>
                <w:rFonts w:cstheme="minorHAnsi"/>
                <w:color w:val="000000"/>
                <w:spacing w:val="42"/>
                <w:szCs w:val="20"/>
                <w:shd w:val="solid" w:color="000000" w:fill="000000"/>
                <w:fitText w:val="213" w:id="-1435343102"/>
                <w14:textFill>
                  <w14:solidFill>
                    <w14:srgbClr w14:val="000000">
                      <w14:alpha w14:val="100000"/>
                    </w14:srgbClr>
                  </w14:solidFill>
                </w14:textFill>
              </w:rPr>
              <w:t>||</w:t>
            </w:r>
            <w:r w:rsidRPr="00F96E54">
              <w:rPr>
                <w:rFonts w:cstheme="minorHAnsi"/>
                <w:color w:val="000000"/>
                <w:spacing w:val="2"/>
                <w:szCs w:val="20"/>
                <w:shd w:val="solid" w:color="000000" w:fill="000000"/>
                <w:fitText w:val="213" w:id="-1435343102"/>
                <w14:textFill>
                  <w14:solidFill>
                    <w14:srgbClr w14:val="000000">
                      <w14:alpha w14:val="100000"/>
                    </w14:srgbClr>
                  </w14:solidFill>
                </w14:textFill>
              </w:rPr>
              <w:t>|</w:t>
            </w:r>
            <w:r w:rsidR="00B75DC4">
              <w:rPr>
                <w:szCs w:val="20"/>
                <w:vertAlign w:val="superscript"/>
              </w:rPr>
              <w:t>4</w:t>
            </w:r>
          </w:p>
        </w:tc>
        <w:tc>
          <w:tcPr>
            <w:tcW w:w="493" w:type="pct"/>
            <w:tcBorders>
              <w:bottom w:val="single" w:sz="4" w:space="0" w:color="auto"/>
            </w:tcBorders>
            <w:vAlign w:val="center"/>
          </w:tcPr>
          <w:p w14:paraId="38339C3E" w14:textId="63FE8E4F" w:rsidR="000A1519" w:rsidRPr="006440B8" w:rsidRDefault="00F96E54" w:rsidP="00014A9C">
            <w:pPr>
              <w:pStyle w:val="TableText"/>
              <w:keepLines/>
              <w:ind w:left="-57"/>
              <w:jc w:val="center"/>
              <w:rPr>
                <w:szCs w:val="20"/>
              </w:rPr>
            </w:pPr>
            <w:r w:rsidRPr="00F96E54">
              <w:rPr>
                <w:color w:val="000000"/>
                <w:spacing w:val="177"/>
                <w:szCs w:val="20"/>
                <w:shd w:val="solid" w:color="000000" w:fill="000000"/>
                <w:fitText w:val="263" w:id="-1435343101"/>
                <w14:textFill>
                  <w14:solidFill>
                    <w14:srgbClr w14:val="000000">
                      <w14:alpha w14:val="100000"/>
                    </w14:srgbClr>
                  </w14:solidFill>
                </w14:textFill>
              </w:rPr>
              <w:t>|</w:t>
            </w:r>
            <w:r w:rsidRPr="00F96E54">
              <w:rPr>
                <w:color w:val="000000"/>
                <w:spacing w:val="1"/>
                <w:szCs w:val="20"/>
                <w:shd w:val="solid" w:color="000000" w:fill="000000"/>
                <w:fitText w:val="263" w:id="-1435343101"/>
                <w14:textFill>
                  <w14:solidFill>
                    <w14:srgbClr w14:val="000000">
                      <w14:alpha w14:val="100000"/>
                    </w14:srgbClr>
                  </w14:solidFill>
                </w14:textFill>
              </w:rPr>
              <w:t>|</w:t>
            </w:r>
            <w:r w:rsidR="00B75DC4">
              <w:rPr>
                <w:szCs w:val="20"/>
                <w:vertAlign w:val="superscript"/>
              </w:rPr>
              <w:t>5</w:t>
            </w:r>
          </w:p>
        </w:tc>
        <w:tc>
          <w:tcPr>
            <w:tcW w:w="493" w:type="pct"/>
            <w:tcBorders>
              <w:bottom w:val="single" w:sz="4" w:space="0" w:color="auto"/>
            </w:tcBorders>
            <w:vAlign w:val="center"/>
          </w:tcPr>
          <w:p w14:paraId="2EFDD1B6" w14:textId="434E8294" w:rsidR="000A1519" w:rsidRPr="00C950B3" w:rsidRDefault="00F96E54" w:rsidP="00014A9C">
            <w:pPr>
              <w:pStyle w:val="TableText"/>
              <w:keepLines/>
              <w:ind w:left="-57"/>
              <w:jc w:val="center"/>
              <w:rPr>
                <w:szCs w:val="20"/>
                <w:highlight w:val="darkGray"/>
              </w:rPr>
            </w:pPr>
            <w:r w:rsidRPr="00F96E54">
              <w:rPr>
                <w:color w:val="000000"/>
                <w:spacing w:val="177"/>
                <w:szCs w:val="20"/>
                <w:shd w:val="solid" w:color="000000" w:fill="000000"/>
                <w:fitText w:val="263" w:id="-1435343100"/>
                <w14:textFill>
                  <w14:solidFill>
                    <w14:srgbClr w14:val="000000">
                      <w14:alpha w14:val="100000"/>
                    </w14:srgbClr>
                  </w14:solidFill>
                </w14:textFill>
              </w:rPr>
              <w:t>|</w:t>
            </w:r>
            <w:r w:rsidRPr="00F96E54">
              <w:rPr>
                <w:color w:val="000000"/>
                <w:spacing w:val="1"/>
                <w:szCs w:val="20"/>
                <w:shd w:val="solid" w:color="000000" w:fill="000000"/>
                <w:fitText w:val="263" w:id="-1435343100"/>
                <w14:textFill>
                  <w14:solidFill>
                    <w14:srgbClr w14:val="000000">
                      <w14:alpha w14:val="100000"/>
                    </w14:srgbClr>
                  </w14:solidFill>
                </w14:textFill>
              </w:rPr>
              <w:t>|</w:t>
            </w:r>
            <w:r w:rsidR="00B75DC4">
              <w:rPr>
                <w:szCs w:val="20"/>
                <w:vertAlign w:val="superscript"/>
              </w:rPr>
              <w:t>5</w:t>
            </w:r>
          </w:p>
        </w:tc>
        <w:tc>
          <w:tcPr>
            <w:tcW w:w="493" w:type="pct"/>
            <w:tcBorders>
              <w:bottom w:val="single" w:sz="4" w:space="0" w:color="auto"/>
            </w:tcBorders>
            <w:vAlign w:val="center"/>
          </w:tcPr>
          <w:p w14:paraId="5A630F21" w14:textId="3D4C527A" w:rsidR="000A1519" w:rsidRPr="00C950B3" w:rsidRDefault="00F96E54" w:rsidP="00014A9C">
            <w:pPr>
              <w:pStyle w:val="TableText"/>
              <w:keepLines/>
              <w:ind w:left="-57"/>
              <w:jc w:val="center"/>
              <w:rPr>
                <w:szCs w:val="20"/>
                <w:highlight w:val="darkGray"/>
              </w:rPr>
            </w:pPr>
            <w:r w:rsidRPr="00F96E54">
              <w:rPr>
                <w:color w:val="000000"/>
                <w:spacing w:val="177"/>
                <w:szCs w:val="20"/>
                <w:shd w:val="solid" w:color="000000" w:fill="000000"/>
                <w:fitText w:val="263" w:id="-1435343099"/>
                <w14:textFill>
                  <w14:solidFill>
                    <w14:srgbClr w14:val="000000">
                      <w14:alpha w14:val="100000"/>
                    </w14:srgbClr>
                  </w14:solidFill>
                </w14:textFill>
              </w:rPr>
              <w:t>|</w:t>
            </w:r>
            <w:r w:rsidRPr="00F96E54">
              <w:rPr>
                <w:color w:val="000000"/>
                <w:spacing w:val="1"/>
                <w:szCs w:val="20"/>
                <w:shd w:val="solid" w:color="000000" w:fill="000000"/>
                <w:fitText w:val="263" w:id="-1435343099"/>
                <w14:textFill>
                  <w14:solidFill>
                    <w14:srgbClr w14:val="000000">
                      <w14:alpha w14:val="100000"/>
                    </w14:srgbClr>
                  </w14:solidFill>
                </w14:textFill>
              </w:rPr>
              <w:t>|</w:t>
            </w:r>
            <w:r w:rsidR="00B75DC4">
              <w:rPr>
                <w:szCs w:val="20"/>
                <w:vertAlign w:val="superscript"/>
              </w:rPr>
              <w:t>5</w:t>
            </w:r>
          </w:p>
        </w:tc>
        <w:tc>
          <w:tcPr>
            <w:tcW w:w="493" w:type="pct"/>
            <w:tcBorders>
              <w:bottom w:val="single" w:sz="4" w:space="0" w:color="auto"/>
            </w:tcBorders>
            <w:vAlign w:val="center"/>
          </w:tcPr>
          <w:p w14:paraId="254840ED" w14:textId="7631D8AF" w:rsidR="000A1519" w:rsidRPr="00C950B3" w:rsidRDefault="00F96E54" w:rsidP="00014A9C">
            <w:pPr>
              <w:pStyle w:val="TableText"/>
              <w:keepLines/>
              <w:ind w:left="-57"/>
              <w:jc w:val="center"/>
              <w:rPr>
                <w:szCs w:val="20"/>
                <w:highlight w:val="darkGray"/>
              </w:rPr>
            </w:pPr>
            <w:r w:rsidRPr="00F96E54">
              <w:rPr>
                <w:color w:val="000000"/>
                <w:spacing w:val="177"/>
                <w:szCs w:val="20"/>
                <w:shd w:val="solid" w:color="000000" w:fill="000000"/>
                <w:fitText w:val="263" w:id="-1435343098"/>
                <w14:textFill>
                  <w14:solidFill>
                    <w14:srgbClr w14:val="000000">
                      <w14:alpha w14:val="100000"/>
                    </w14:srgbClr>
                  </w14:solidFill>
                </w14:textFill>
              </w:rPr>
              <w:t>|</w:t>
            </w:r>
            <w:r w:rsidRPr="00F96E54">
              <w:rPr>
                <w:color w:val="000000"/>
                <w:spacing w:val="1"/>
                <w:szCs w:val="20"/>
                <w:shd w:val="solid" w:color="000000" w:fill="000000"/>
                <w:fitText w:val="263" w:id="-1435343098"/>
                <w14:textFill>
                  <w14:solidFill>
                    <w14:srgbClr w14:val="000000">
                      <w14:alpha w14:val="100000"/>
                    </w14:srgbClr>
                  </w14:solidFill>
                </w14:textFill>
              </w:rPr>
              <w:t>|</w:t>
            </w:r>
            <w:r w:rsidR="00B75DC4">
              <w:rPr>
                <w:szCs w:val="20"/>
                <w:vertAlign w:val="superscript"/>
              </w:rPr>
              <w:t>5</w:t>
            </w:r>
          </w:p>
        </w:tc>
        <w:tc>
          <w:tcPr>
            <w:tcW w:w="518" w:type="pct"/>
            <w:tcBorders>
              <w:bottom w:val="single" w:sz="4" w:space="0" w:color="auto"/>
            </w:tcBorders>
            <w:vAlign w:val="center"/>
          </w:tcPr>
          <w:p w14:paraId="5FEF9911" w14:textId="2215B8DC" w:rsidR="000A1519" w:rsidRPr="00C950B3" w:rsidRDefault="00F96E54" w:rsidP="00014A9C">
            <w:pPr>
              <w:pStyle w:val="TableText"/>
              <w:keepLines/>
              <w:ind w:left="-57"/>
              <w:jc w:val="center"/>
              <w:rPr>
                <w:szCs w:val="20"/>
                <w:highlight w:val="darkGray"/>
              </w:rPr>
            </w:pPr>
            <w:r w:rsidRPr="00F96E54">
              <w:rPr>
                <w:color w:val="000000"/>
                <w:spacing w:val="165"/>
                <w:szCs w:val="20"/>
                <w:shd w:val="solid" w:color="000000" w:fill="000000"/>
                <w:fitText w:val="251" w:id="-1435343097"/>
                <w14:textFill>
                  <w14:solidFill>
                    <w14:srgbClr w14:val="000000">
                      <w14:alpha w14:val="100000"/>
                    </w14:srgbClr>
                  </w14:solidFill>
                </w14:textFill>
              </w:rPr>
              <w:t>|</w:t>
            </w:r>
            <w:r w:rsidRPr="00F96E54">
              <w:rPr>
                <w:color w:val="000000"/>
                <w:spacing w:val="1"/>
                <w:szCs w:val="20"/>
                <w:shd w:val="solid" w:color="000000" w:fill="000000"/>
                <w:fitText w:val="251" w:id="-1435343097"/>
                <w14:textFill>
                  <w14:solidFill>
                    <w14:srgbClr w14:val="000000">
                      <w14:alpha w14:val="100000"/>
                    </w14:srgbClr>
                  </w14:solidFill>
                </w14:textFill>
              </w:rPr>
              <w:t>|</w:t>
            </w:r>
            <w:r w:rsidR="00B75DC4">
              <w:rPr>
                <w:szCs w:val="20"/>
                <w:vertAlign w:val="superscript"/>
              </w:rPr>
              <w:t>5</w:t>
            </w:r>
          </w:p>
        </w:tc>
      </w:tr>
      <w:tr w:rsidR="000A1519" w:rsidRPr="006440B8" w14:paraId="6BA7B6B3" w14:textId="77777777" w:rsidTr="00A361A7">
        <w:tc>
          <w:tcPr>
            <w:tcW w:w="1961" w:type="pct"/>
            <w:tcBorders>
              <w:top w:val="single" w:sz="4" w:space="0" w:color="auto"/>
              <w:bottom w:val="double" w:sz="4" w:space="0" w:color="auto"/>
            </w:tcBorders>
            <w:shd w:val="clear" w:color="auto" w:fill="auto"/>
          </w:tcPr>
          <w:p w14:paraId="16C0DB6C" w14:textId="77777777" w:rsidR="000A1519" w:rsidRPr="006440B8" w:rsidRDefault="000A1519" w:rsidP="00014A9C">
            <w:pPr>
              <w:pStyle w:val="TableText"/>
              <w:keepLines/>
              <w:tabs>
                <w:tab w:val="right" w:pos="3513"/>
              </w:tabs>
              <w:ind w:left="-57" w:right="-68"/>
              <w:rPr>
                <w:szCs w:val="20"/>
                <w:vertAlign w:val="superscript"/>
              </w:rPr>
            </w:pPr>
            <w:r w:rsidRPr="006440B8">
              <w:rPr>
                <w:szCs w:val="20"/>
              </w:rPr>
              <w:t>All steroid refractory moderate-severe cGVHD</w:t>
            </w:r>
          </w:p>
        </w:tc>
        <w:tc>
          <w:tcPr>
            <w:tcW w:w="549" w:type="pct"/>
            <w:tcBorders>
              <w:top w:val="single" w:sz="4" w:space="0" w:color="auto"/>
              <w:bottom w:val="double" w:sz="4" w:space="0" w:color="auto"/>
            </w:tcBorders>
            <w:shd w:val="clear" w:color="auto" w:fill="auto"/>
            <w:vAlign w:val="center"/>
          </w:tcPr>
          <w:p w14:paraId="7FAE741B" w14:textId="73346F76" w:rsidR="000A1519" w:rsidRPr="006440B8" w:rsidRDefault="00F96E54" w:rsidP="00014A9C">
            <w:pPr>
              <w:pStyle w:val="TableText"/>
              <w:keepLines/>
              <w:ind w:left="-57"/>
              <w:jc w:val="center"/>
              <w:rPr>
                <w:szCs w:val="20"/>
              </w:rPr>
            </w:pPr>
            <w:r w:rsidRPr="00F96E54">
              <w:rPr>
                <w:color w:val="000000"/>
                <w:spacing w:val="42"/>
                <w:szCs w:val="20"/>
                <w:shd w:val="solid" w:color="000000" w:fill="000000"/>
                <w:fitText w:val="213" w:id="-1435343096"/>
                <w14:textFill>
                  <w14:solidFill>
                    <w14:srgbClr w14:val="000000">
                      <w14:alpha w14:val="100000"/>
                    </w14:srgbClr>
                  </w14:solidFill>
                </w14:textFill>
              </w:rPr>
              <w:t>||</w:t>
            </w:r>
            <w:r w:rsidRPr="00F96E54">
              <w:rPr>
                <w:color w:val="000000"/>
                <w:spacing w:val="2"/>
                <w:szCs w:val="20"/>
                <w:shd w:val="solid" w:color="000000" w:fill="000000"/>
                <w:fitText w:val="213" w:id="-1435343096"/>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double" w:sz="4" w:space="0" w:color="auto"/>
            </w:tcBorders>
            <w:shd w:val="clear" w:color="auto" w:fill="auto"/>
            <w:vAlign w:val="center"/>
          </w:tcPr>
          <w:p w14:paraId="62A920A6" w14:textId="0382C027" w:rsidR="000A1519" w:rsidRPr="006440B8" w:rsidRDefault="00F96E54" w:rsidP="00014A9C">
            <w:pPr>
              <w:pStyle w:val="TableText"/>
              <w:keepLines/>
              <w:ind w:left="-57"/>
              <w:jc w:val="center"/>
              <w:rPr>
                <w:szCs w:val="20"/>
              </w:rPr>
            </w:pPr>
            <w:r w:rsidRPr="00F96E54">
              <w:rPr>
                <w:color w:val="000000"/>
                <w:spacing w:val="177"/>
                <w:szCs w:val="20"/>
                <w:shd w:val="solid" w:color="000000" w:fill="000000"/>
                <w:fitText w:val="263" w:id="-1435343095"/>
                <w14:textFill>
                  <w14:solidFill>
                    <w14:srgbClr w14:val="000000">
                      <w14:alpha w14:val="100000"/>
                    </w14:srgbClr>
                  </w14:solidFill>
                </w14:textFill>
              </w:rPr>
              <w:t>|</w:t>
            </w:r>
            <w:r w:rsidRPr="00F96E54">
              <w:rPr>
                <w:color w:val="000000"/>
                <w:spacing w:val="1"/>
                <w:szCs w:val="20"/>
                <w:shd w:val="solid" w:color="000000" w:fill="000000"/>
                <w:fitText w:val="263" w:id="-1435343095"/>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double" w:sz="4" w:space="0" w:color="auto"/>
            </w:tcBorders>
            <w:shd w:val="clear" w:color="auto" w:fill="auto"/>
            <w:vAlign w:val="center"/>
          </w:tcPr>
          <w:p w14:paraId="0D566F6D" w14:textId="018600A8" w:rsidR="000A1519" w:rsidRPr="00C950B3" w:rsidRDefault="00F96E54" w:rsidP="00014A9C">
            <w:pPr>
              <w:pStyle w:val="TableText"/>
              <w:keepLines/>
              <w:ind w:left="-57"/>
              <w:jc w:val="center"/>
              <w:rPr>
                <w:szCs w:val="20"/>
                <w:highlight w:val="darkGray"/>
              </w:rPr>
            </w:pPr>
            <w:r w:rsidRPr="00F96E54">
              <w:rPr>
                <w:color w:val="000000"/>
                <w:spacing w:val="177"/>
                <w:szCs w:val="20"/>
                <w:shd w:val="solid" w:color="000000" w:fill="000000"/>
                <w:fitText w:val="263" w:id="-1435343094"/>
                <w14:textFill>
                  <w14:solidFill>
                    <w14:srgbClr w14:val="000000">
                      <w14:alpha w14:val="100000"/>
                    </w14:srgbClr>
                  </w14:solidFill>
                </w14:textFill>
              </w:rPr>
              <w:t>|</w:t>
            </w:r>
            <w:r w:rsidRPr="00F96E54">
              <w:rPr>
                <w:color w:val="000000"/>
                <w:spacing w:val="1"/>
                <w:szCs w:val="20"/>
                <w:shd w:val="solid" w:color="000000" w:fill="000000"/>
                <w:fitText w:val="263" w:id="-1435343094"/>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double" w:sz="4" w:space="0" w:color="auto"/>
            </w:tcBorders>
            <w:shd w:val="clear" w:color="auto" w:fill="auto"/>
            <w:vAlign w:val="center"/>
          </w:tcPr>
          <w:p w14:paraId="47FD6A62" w14:textId="509B2907" w:rsidR="000A1519" w:rsidRPr="00C950B3" w:rsidRDefault="00F96E54" w:rsidP="00014A9C">
            <w:pPr>
              <w:pStyle w:val="TableText"/>
              <w:keepLines/>
              <w:ind w:left="-57"/>
              <w:jc w:val="center"/>
              <w:rPr>
                <w:szCs w:val="20"/>
                <w:highlight w:val="darkGray"/>
              </w:rPr>
            </w:pPr>
            <w:r w:rsidRPr="00F96E54">
              <w:rPr>
                <w:color w:val="000000"/>
                <w:spacing w:val="177"/>
                <w:szCs w:val="20"/>
                <w:shd w:val="solid" w:color="000000" w:fill="000000"/>
                <w:fitText w:val="263" w:id="-1435343093"/>
                <w14:textFill>
                  <w14:solidFill>
                    <w14:srgbClr w14:val="000000">
                      <w14:alpha w14:val="100000"/>
                    </w14:srgbClr>
                  </w14:solidFill>
                </w14:textFill>
              </w:rPr>
              <w:t>|</w:t>
            </w:r>
            <w:r w:rsidRPr="00F96E54">
              <w:rPr>
                <w:color w:val="000000"/>
                <w:spacing w:val="1"/>
                <w:szCs w:val="20"/>
                <w:shd w:val="solid" w:color="000000" w:fill="000000"/>
                <w:fitText w:val="263" w:id="-1435343093"/>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double" w:sz="4" w:space="0" w:color="auto"/>
            </w:tcBorders>
            <w:shd w:val="clear" w:color="auto" w:fill="auto"/>
            <w:vAlign w:val="center"/>
          </w:tcPr>
          <w:p w14:paraId="5FE71DDF" w14:textId="7B8D608F" w:rsidR="000A1519" w:rsidRPr="00C950B3" w:rsidRDefault="00F96E54" w:rsidP="00014A9C">
            <w:pPr>
              <w:pStyle w:val="TableText"/>
              <w:keepLines/>
              <w:ind w:left="-57"/>
              <w:jc w:val="center"/>
              <w:rPr>
                <w:szCs w:val="20"/>
                <w:highlight w:val="darkGray"/>
              </w:rPr>
            </w:pPr>
            <w:r w:rsidRPr="00F96E54">
              <w:rPr>
                <w:color w:val="000000"/>
                <w:spacing w:val="177"/>
                <w:szCs w:val="20"/>
                <w:shd w:val="solid" w:color="000000" w:fill="000000"/>
                <w:fitText w:val="263" w:id="-1435343092"/>
                <w14:textFill>
                  <w14:solidFill>
                    <w14:srgbClr w14:val="000000">
                      <w14:alpha w14:val="100000"/>
                    </w14:srgbClr>
                  </w14:solidFill>
                </w14:textFill>
              </w:rPr>
              <w:t>|</w:t>
            </w:r>
            <w:r w:rsidRPr="00F96E54">
              <w:rPr>
                <w:color w:val="000000"/>
                <w:spacing w:val="1"/>
                <w:szCs w:val="20"/>
                <w:shd w:val="solid" w:color="000000" w:fill="000000"/>
                <w:fitText w:val="263" w:id="-1435343092"/>
                <w14:textFill>
                  <w14:solidFill>
                    <w14:srgbClr w14:val="000000">
                      <w14:alpha w14:val="100000"/>
                    </w14:srgbClr>
                  </w14:solidFill>
                </w14:textFill>
              </w:rPr>
              <w:t>|</w:t>
            </w:r>
            <w:r w:rsidR="00B75DC4">
              <w:rPr>
                <w:szCs w:val="20"/>
                <w:vertAlign w:val="superscript"/>
              </w:rPr>
              <w:t>5</w:t>
            </w:r>
          </w:p>
        </w:tc>
        <w:tc>
          <w:tcPr>
            <w:tcW w:w="518" w:type="pct"/>
            <w:tcBorders>
              <w:top w:val="single" w:sz="4" w:space="0" w:color="auto"/>
              <w:bottom w:val="double" w:sz="4" w:space="0" w:color="auto"/>
            </w:tcBorders>
            <w:shd w:val="clear" w:color="auto" w:fill="auto"/>
            <w:vAlign w:val="center"/>
          </w:tcPr>
          <w:p w14:paraId="4071DFE9" w14:textId="6A7E2BC5" w:rsidR="000A1519" w:rsidRPr="00C950B3" w:rsidRDefault="00F96E54" w:rsidP="00014A9C">
            <w:pPr>
              <w:pStyle w:val="TableText"/>
              <w:keepLines/>
              <w:ind w:left="-57"/>
              <w:jc w:val="center"/>
              <w:rPr>
                <w:szCs w:val="20"/>
                <w:highlight w:val="darkGray"/>
              </w:rPr>
            </w:pPr>
            <w:r w:rsidRPr="00F96E54">
              <w:rPr>
                <w:color w:val="000000"/>
                <w:spacing w:val="165"/>
                <w:szCs w:val="20"/>
                <w:shd w:val="solid" w:color="000000" w:fill="000000"/>
                <w:fitText w:val="251" w:id="-1435343091"/>
                <w14:textFill>
                  <w14:solidFill>
                    <w14:srgbClr w14:val="000000">
                      <w14:alpha w14:val="100000"/>
                    </w14:srgbClr>
                  </w14:solidFill>
                </w14:textFill>
              </w:rPr>
              <w:t>|</w:t>
            </w:r>
            <w:r w:rsidRPr="00F96E54">
              <w:rPr>
                <w:color w:val="000000"/>
                <w:spacing w:val="1"/>
                <w:szCs w:val="20"/>
                <w:shd w:val="solid" w:color="000000" w:fill="000000"/>
                <w:fitText w:val="251" w:id="-1435343091"/>
                <w14:textFill>
                  <w14:solidFill>
                    <w14:srgbClr w14:val="000000">
                      <w14:alpha w14:val="100000"/>
                    </w14:srgbClr>
                  </w14:solidFill>
                </w14:textFill>
              </w:rPr>
              <w:t>|</w:t>
            </w:r>
            <w:r w:rsidR="00B75DC4">
              <w:rPr>
                <w:szCs w:val="20"/>
                <w:vertAlign w:val="superscript"/>
              </w:rPr>
              <w:t>5</w:t>
            </w:r>
          </w:p>
        </w:tc>
      </w:tr>
      <w:tr w:rsidR="000A1519" w:rsidRPr="006440B8" w14:paraId="4320D59D" w14:textId="77777777" w:rsidTr="00A361A7">
        <w:tc>
          <w:tcPr>
            <w:tcW w:w="1961" w:type="pct"/>
            <w:tcBorders>
              <w:top w:val="double" w:sz="4" w:space="0" w:color="auto"/>
              <w:bottom w:val="single" w:sz="4" w:space="0" w:color="auto"/>
            </w:tcBorders>
            <w:shd w:val="clear" w:color="auto" w:fill="auto"/>
          </w:tcPr>
          <w:p w14:paraId="1C18CEB1" w14:textId="77777777" w:rsidR="000A1519" w:rsidRPr="006440B8" w:rsidRDefault="000A1519" w:rsidP="00014A9C">
            <w:pPr>
              <w:pStyle w:val="TableText"/>
              <w:keepLines/>
              <w:tabs>
                <w:tab w:val="right" w:pos="3513"/>
              </w:tabs>
              <w:ind w:left="-57" w:right="-68"/>
              <w:rPr>
                <w:szCs w:val="20"/>
              </w:rPr>
            </w:pPr>
            <w:r w:rsidRPr="006440B8">
              <w:rPr>
                <w:szCs w:val="20"/>
              </w:rPr>
              <w:t>Uptake of ruxolitinib</w:t>
            </w:r>
          </w:p>
        </w:tc>
        <w:tc>
          <w:tcPr>
            <w:tcW w:w="549" w:type="pct"/>
            <w:tcBorders>
              <w:top w:val="double" w:sz="4" w:space="0" w:color="auto"/>
              <w:bottom w:val="single" w:sz="4" w:space="0" w:color="auto"/>
            </w:tcBorders>
            <w:shd w:val="clear" w:color="auto" w:fill="auto"/>
            <w:vAlign w:val="center"/>
          </w:tcPr>
          <w:p w14:paraId="7EBE11DF" w14:textId="77777777" w:rsidR="000A1519" w:rsidRPr="006440B8" w:rsidRDefault="000A1519" w:rsidP="00014A9C">
            <w:pPr>
              <w:pStyle w:val="TableText"/>
              <w:keepLines/>
              <w:ind w:left="-57"/>
              <w:jc w:val="center"/>
              <w:rPr>
                <w:szCs w:val="20"/>
              </w:rPr>
            </w:pPr>
            <w:r w:rsidRPr="006440B8">
              <w:rPr>
                <w:szCs w:val="20"/>
              </w:rPr>
              <w:t>85%</w:t>
            </w:r>
          </w:p>
        </w:tc>
        <w:tc>
          <w:tcPr>
            <w:tcW w:w="493" w:type="pct"/>
            <w:tcBorders>
              <w:top w:val="double" w:sz="4" w:space="0" w:color="auto"/>
              <w:bottom w:val="single" w:sz="4" w:space="0" w:color="auto"/>
            </w:tcBorders>
            <w:shd w:val="clear" w:color="auto" w:fill="auto"/>
            <w:vAlign w:val="center"/>
          </w:tcPr>
          <w:p w14:paraId="5CC09358" w14:textId="77777777" w:rsidR="000A1519" w:rsidRPr="006440B8" w:rsidRDefault="000A1519" w:rsidP="00014A9C">
            <w:pPr>
              <w:pStyle w:val="TableText"/>
              <w:keepLines/>
              <w:ind w:left="-57"/>
              <w:jc w:val="center"/>
              <w:rPr>
                <w:szCs w:val="20"/>
              </w:rPr>
            </w:pPr>
            <w:r w:rsidRPr="006440B8">
              <w:rPr>
                <w:szCs w:val="20"/>
              </w:rPr>
              <w:t>90%</w:t>
            </w:r>
          </w:p>
        </w:tc>
        <w:tc>
          <w:tcPr>
            <w:tcW w:w="493" w:type="pct"/>
            <w:tcBorders>
              <w:top w:val="double" w:sz="4" w:space="0" w:color="auto"/>
              <w:bottom w:val="single" w:sz="4" w:space="0" w:color="auto"/>
            </w:tcBorders>
            <w:shd w:val="clear" w:color="auto" w:fill="auto"/>
            <w:vAlign w:val="center"/>
          </w:tcPr>
          <w:p w14:paraId="62E17035" w14:textId="77777777" w:rsidR="000A1519" w:rsidRPr="006440B8" w:rsidRDefault="000A1519" w:rsidP="00014A9C">
            <w:pPr>
              <w:pStyle w:val="TableText"/>
              <w:keepLines/>
              <w:ind w:left="-57"/>
              <w:jc w:val="center"/>
              <w:rPr>
                <w:szCs w:val="20"/>
              </w:rPr>
            </w:pPr>
            <w:r w:rsidRPr="006440B8">
              <w:rPr>
                <w:szCs w:val="20"/>
              </w:rPr>
              <w:t>90%</w:t>
            </w:r>
          </w:p>
        </w:tc>
        <w:tc>
          <w:tcPr>
            <w:tcW w:w="493" w:type="pct"/>
            <w:tcBorders>
              <w:top w:val="double" w:sz="4" w:space="0" w:color="auto"/>
              <w:bottom w:val="single" w:sz="4" w:space="0" w:color="auto"/>
            </w:tcBorders>
            <w:shd w:val="clear" w:color="auto" w:fill="auto"/>
            <w:vAlign w:val="center"/>
          </w:tcPr>
          <w:p w14:paraId="7D9A87E7" w14:textId="77777777" w:rsidR="000A1519" w:rsidRPr="006440B8" w:rsidRDefault="000A1519" w:rsidP="00014A9C">
            <w:pPr>
              <w:pStyle w:val="TableText"/>
              <w:keepLines/>
              <w:ind w:left="-57"/>
              <w:jc w:val="center"/>
              <w:rPr>
                <w:szCs w:val="20"/>
              </w:rPr>
            </w:pPr>
            <w:r w:rsidRPr="006440B8">
              <w:rPr>
                <w:szCs w:val="20"/>
              </w:rPr>
              <w:t>90%</w:t>
            </w:r>
          </w:p>
        </w:tc>
        <w:tc>
          <w:tcPr>
            <w:tcW w:w="493" w:type="pct"/>
            <w:tcBorders>
              <w:top w:val="double" w:sz="4" w:space="0" w:color="auto"/>
              <w:bottom w:val="single" w:sz="4" w:space="0" w:color="auto"/>
            </w:tcBorders>
            <w:shd w:val="clear" w:color="auto" w:fill="auto"/>
            <w:vAlign w:val="center"/>
          </w:tcPr>
          <w:p w14:paraId="2C5CA347" w14:textId="77777777" w:rsidR="000A1519" w:rsidRPr="006440B8" w:rsidRDefault="000A1519" w:rsidP="00014A9C">
            <w:pPr>
              <w:pStyle w:val="TableText"/>
              <w:keepLines/>
              <w:ind w:left="-57"/>
              <w:jc w:val="center"/>
              <w:rPr>
                <w:szCs w:val="20"/>
              </w:rPr>
            </w:pPr>
            <w:r w:rsidRPr="006440B8">
              <w:rPr>
                <w:szCs w:val="20"/>
              </w:rPr>
              <w:t>90%</w:t>
            </w:r>
          </w:p>
        </w:tc>
        <w:tc>
          <w:tcPr>
            <w:tcW w:w="518" w:type="pct"/>
            <w:tcBorders>
              <w:top w:val="double" w:sz="4" w:space="0" w:color="auto"/>
              <w:bottom w:val="single" w:sz="4" w:space="0" w:color="auto"/>
            </w:tcBorders>
            <w:shd w:val="clear" w:color="auto" w:fill="auto"/>
            <w:vAlign w:val="center"/>
          </w:tcPr>
          <w:p w14:paraId="78F0A618" w14:textId="77777777" w:rsidR="000A1519" w:rsidRPr="006440B8" w:rsidRDefault="000A1519" w:rsidP="00014A9C">
            <w:pPr>
              <w:pStyle w:val="TableText"/>
              <w:keepLines/>
              <w:ind w:left="-57"/>
              <w:jc w:val="center"/>
              <w:rPr>
                <w:szCs w:val="20"/>
              </w:rPr>
            </w:pPr>
            <w:r w:rsidRPr="006440B8">
              <w:rPr>
                <w:szCs w:val="20"/>
              </w:rPr>
              <w:t>90%</w:t>
            </w:r>
          </w:p>
        </w:tc>
      </w:tr>
      <w:tr w:rsidR="000A1519" w:rsidRPr="006440B8" w14:paraId="48CBC39F" w14:textId="77777777" w:rsidTr="00A361A7">
        <w:tc>
          <w:tcPr>
            <w:tcW w:w="1961" w:type="pct"/>
            <w:tcBorders>
              <w:top w:val="single" w:sz="4" w:space="0" w:color="auto"/>
              <w:bottom w:val="single" w:sz="4" w:space="0" w:color="auto"/>
            </w:tcBorders>
            <w:shd w:val="clear" w:color="auto" w:fill="auto"/>
          </w:tcPr>
          <w:p w14:paraId="5DAFBB47" w14:textId="77777777" w:rsidR="000A1519" w:rsidRPr="006440B8" w:rsidRDefault="000A1519" w:rsidP="00014A9C">
            <w:pPr>
              <w:pStyle w:val="TableText"/>
              <w:keepLines/>
              <w:tabs>
                <w:tab w:val="right" w:pos="3513"/>
              </w:tabs>
              <w:ind w:left="-57" w:right="-68"/>
              <w:rPr>
                <w:szCs w:val="20"/>
              </w:rPr>
            </w:pPr>
            <w:r w:rsidRPr="006440B8">
              <w:rPr>
                <w:szCs w:val="20"/>
              </w:rPr>
              <w:t>Initiating patients</w:t>
            </w:r>
          </w:p>
        </w:tc>
        <w:tc>
          <w:tcPr>
            <w:tcW w:w="549" w:type="pct"/>
            <w:tcBorders>
              <w:top w:val="single" w:sz="4" w:space="0" w:color="auto"/>
              <w:bottom w:val="single" w:sz="4" w:space="0" w:color="auto"/>
            </w:tcBorders>
            <w:shd w:val="clear" w:color="auto" w:fill="auto"/>
            <w:vAlign w:val="center"/>
          </w:tcPr>
          <w:p w14:paraId="39B08B6E" w14:textId="0E840F55" w:rsidR="000A1519" w:rsidRPr="006440B8" w:rsidRDefault="00F96E54" w:rsidP="00014A9C">
            <w:pPr>
              <w:pStyle w:val="TableText"/>
              <w:keepLines/>
              <w:ind w:left="-57"/>
              <w:jc w:val="center"/>
              <w:rPr>
                <w:szCs w:val="20"/>
              </w:rPr>
            </w:pPr>
            <w:r w:rsidRPr="00F96E54">
              <w:rPr>
                <w:rFonts w:cs="Calibri"/>
                <w:color w:val="000000"/>
                <w:spacing w:val="42"/>
                <w:szCs w:val="20"/>
                <w:shd w:val="solid" w:color="000000" w:fill="000000"/>
                <w:fitText w:val="213" w:id="-1435343090"/>
                <w14:textFill>
                  <w14:solidFill>
                    <w14:srgbClr w14:val="000000">
                      <w14:alpha w14:val="100000"/>
                    </w14:srgbClr>
                  </w14:solidFill>
                </w14:textFill>
              </w:rPr>
              <w:t>||</w:t>
            </w:r>
            <w:r w:rsidRPr="00F96E54">
              <w:rPr>
                <w:rFonts w:cs="Calibri"/>
                <w:color w:val="000000"/>
                <w:spacing w:val="2"/>
                <w:szCs w:val="20"/>
                <w:shd w:val="solid" w:color="000000" w:fill="000000"/>
                <w:fitText w:val="213" w:id="-1435343090"/>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single" w:sz="4" w:space="0" w:color="auto"/>
            </w:tcBorders>
            <w:shd w:val="clear" w:color="auto" w:fill="auto"/>
            <w:vAlign w:val="center"/>
          </w:tcPr>
          <w:p w14:paraId="44E1BF5F" w14:textId="29240668"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177"/>
                <w:szCs w:val="20"/>
                <w:shd w:val="solid" w:color="000000" w:fill="000000"/>
                <w:fitText w:val="263" w:id="-1435343089"/>
                <w14:textFill>
                  <w14:solidFill>
                    <w14:srgbClr w14:val="000000">
                      <w14:alpha w14:val="100000"/>
                    </w14:srgbClr>
                  </w14:solidFill>
                </w14:textFill>
              </w:rPr>
              <w:t>|</w:t>
            </w:r>
            <w:r w:rsidRPr="00F96E54">
              <w:rPr>
                <w:rFonts w:cs="Calibri"/>
                <w:color w:val="000000"/>
                <w:spacing w:val="1"/>
                <w:szCs w:val="20"/>
                <w:shd w:val="solid" w:color="000000" w:fill="000000"/>
                <w:fitText w:val="263" w:id="-1435343089"/>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single" w:sz="4" w:space="0" w:color="auto"/>
            </w:tcBorders>
            <w:shd w:val="clear" w:color="auto" w:fill="auto"/>
            <w:vAlign w:val="center"/>
          </w:tcPr>
          <w:p w14:paraId="23777322" w14:textId="00DB0BB1"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177"/>
                <w:szCs w:val="20"/>
                <w:shd w:val="solid" w:color="000000" w:fill="000000"/>
                <w:fitText w:val="263" w:id="-1435343088"/>
                <w14:textFill>
                  <w14:solidFill>
                    <w14:srgbClr w14:val="000000">
                      <w14:alpha w14:val="100000"/>
                    </w14:srgbClr>
                  </w14:solidFill>
                </w14:textFill>
              </w:rPr>
              <w:t>|</w:t>
            </w:r>
            <w:r w:rsidRPr="00F96E54">
              <w:rPr>
                <w:rFonts w:cs="Calibri"/>
                <w:color w:val="000000"/>
                <w:spacing w:val="1"/>
                <w:szCs w:val="20"/>
                <w:shd w:val="solid" w:color="000000" w:fill="000000"/>
                <w:fitText w:val="263" w:id="-1435343088"/>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single" w:sz="4" w:space="0" w:color="auto"/>
            </w:tcBorders>
            <w:shd w:val="clear" w:color="auto" w:fill="auto"/>
            <w:vAlign w:val="center"/>
          </w:tcPr>
          <w:p w14:paraId="3888AE1A" w14:textId="2E377FD5"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177"/>
                <w:szCs w:val="20"/>
                <w:shd w:val="solid" w:color="000000" w:fill="000000"/>
                <w:fitText w:val="263" w:id="-1435343104"/>
                <w14:textFill>
                  <w14:solidFill>
                    <w14:srgbClr w14:val="000000">
                      <w14:alpha w14:val="100000"/>
                    </w14:srgbClr>
                  </w14:solidFill>
                </w14:textFill>
              </w:rPr>
              <w:t>|</w:t>
            </w:r>
            <w:r w:rsidRPr="00F96E54">
              <w:rPr>
                <w:rFonts w:cs="Calibri"/>
                <w:color w:val="000000"/>
                <w:spacing w:val="1"/>
                <w:szCs w:val="20"/>
                <w:shd w:val="solid" w:color="000000" w:fill="000000"/>
                <w:fitText w:val="263" w:id="-1435343104"/>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single" w:sz="4" w:space="0" w:color="auto"/>
            </w:tcBorders>
            <w:shd w:val="clear" w:color="auto" w:fill="auto"/>
            <w:vAlign w:val="center"/>
          </w:tcPr>
          <w:p w14:paraId="6E8BF19C" w14:textId="4EE7EEE7"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177"/>
                <w:szCs w:val="20"/>
                <w:shd w:val="solid" w:color="000000" w:fill="000000"/>
                <w:fitText w:val="263" w:id="-1435343103"/>
                <w14:textFill>
                  <w14:solidFill>
                    <w14:srgbClr w14:val="000000">
                      <w14:alpha w14:val="100000"/>
                    </w14:srgbClr>
                  </w14:solidFill>
                </w14:textFill>
              </w:rPr>
              <w:t>|</w:t>
            </w:r>
            <w:r w:rsidRPr="00F96E54">
              <w:rPr>
                <w:rFonts w:cs="Calibri"/>
                <w:color w:val="000000"/>
                <w:spacing w:val="1"/>
                <w:szCs w:val="20"/>
                <w:shd w:val="solid" w:color="000000" w:fill="000000"/>
                <w:fitText w:val="263" w:id="-1435343103"/>
                <w14:textFill>
                  <w14:solidFill>
                    <w14:srgbClr w14:val="000000">
                      <w14:alpha w14:val="100000"/>
                    </w14:srgbClr>
                  </w14:solidFill>
                </w14:textFill>
              </w:rPr>
              <w:t>|</w:t>
            </w:r>
            <w:r w:rsidR="00B75DC4">
              <w:rPr>
                <w:szCs w:val="20"/>
                <w:vertAlign w:val="superscript"/>
              </w:rPr>
              <w:t>5</w:t>
            </w:r>
          </w:p>
        </w:tc>
        <w:tc>
          <w:tcPr>
            <w:tcW w:w="518" w:type="pct"/>
            <w:tcBorders>
              <w:top w:val="single" w:sz="4" w:space="0" w:color="auto"/>
              <w:bottom w:val="single" w:sz="4" w:space="0" w:color="auto"/>
            </w:tcBorders>
            <w:shd w:val="clear" w:color="auto" w:fill="auto"/>
            <w:vAlign w:val="center"/>
          </w:tcPr>
          <w:p w14:paraId="09C0E988" w14:textId="3C056C09"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165"/>
                <w:szCs w:val="20"/>
                <w:shd w:val="solid" w:color="000000" w:fill="000000"/>
                <w:fitText w:val="251" w:id="-1435343102"/>
                <w14:textFill>
                  <w14:solidFill>
                    <w14:srgbClr w14:val="000000">
                      <w14:alpha w14:val="100000"/>
                    </w14:srgbClr>
                  </w14:solidFill>
                </w14:textFill>
              </w:rPr>
              <w:t>|</w:t>
            </w:r>
            <w:r w:rsidRPr="00F96E54">
              <w:rPr>
                <w:rFonts w:cs="Calibri"/>
                <w:color w:val="000000"/>
                <w:spacing w:val="1"/>
                <w:szCs w:val="20"/>
                <w:shd w:val="solid" w:color="000000" w:fill="000000"/>
                <w:fitText w:val="251" w:id="-1435343102"/>
                <w14:textFill>
                  <w14:solidFill>
                    <w14:srgbClr w14:val="000000">
                      <w14:alpha w14:val="100000"/>
                    </w14:srgbClr>
                  </w14:solidFill>
                </w14:textFill>
              </w:rPr>
              <w:t>|</w:t>
            </w:r>
            <w:r w:rsidR="00B75DC4">
              <w:rPr>
                <w:szCs w:val="20"/>
                <w:vertAlign w:val="superscript"/>
              </w:rPr>
              <w:t>5</w:t>
            </w:r>
          </w:p>
        </w:tc>
      </w:tr>
      <w:tr w:rsidR="000A1519" w:rsidRPr="006440B8" w14:paraId="0501BC04" w14:textId="77777777" w:rsidTr="00A361A7">
        <w:tc>
          <w:tcPr>
            <w:tcW w:w="1961" w:type="pct"/>
            <w:tcBorders>
              <w:top w:val="single" w:sz="4" w:space="0" w:color="auto"/>
              <w:bottom w:val="single" w:sz="4" w:space="0" w:color="auto"/>
            </w:tcBorders>
            <w:shd w:val="clear" w:color="auto" w:fill="auto"/>
          </w:tcPr>
          <w:p w14:paraId="4C1C93F6" w14:textId="77777777" w:rsidR="000A1519" w:rsidRPr="006440B8" w:rsidRDefault="000A1519" w:rsidP="00014A9C">
            <w:pPr>
              <w:pStyle w:val="TableText"/>
              <w:keepLines/>
              <w:tabs>
                <w:tab w:val="right" w:pos="3513"/>
              </w:tabs>
              <w:ind w:left="-57" w:right="-68"/>
              <w:rPr>
                <w:szCs w:val="20"/>
              </w:rPr>
            </w:pPr>
            <w:r w:rsidRPr="006440B8">
              <w:rPr>
                <w:szCs w:val="20"/>
              </w:rPr>
              <w:t>Total continuing patients</w:t>
            </w:r>
          </w:p>
        </w:tc>
        <w:tc>
          <w:tcPr>
            <w:tcW w:w="549" w:type="pct"/>
            <w:tcBorders>
              <w:top w:val="single" w:sz="4" w:space="0" w:color="auto"/>
              <w:bottom w:val="single" w:sz="4" w:space="0" w:color="auto"/>
            </w:tcBorders>
            <w:shd w:val="clear" w:color="auto" w:fill="auto"/>
            <w:vAlign w:val="center"/>
          </w:tcPr>
          <w:p w14:paraId="7F651F1A" w14:textId="77777777" w:rsidR="000A1519" w:rsidRPr="006440B8" w:rsidRDefault="000A1519" w:rsidP="00014A9C">
            <w:pPr>
              <w:pStyle w:val="TableText"/>
              <w:keepLines/>
              <w:ind w:left="-57"/>
              <w:jc w:val="center"/>
              <w:rPr>
                <w:rFonts w:cs="Calibri"/>
                <w:color w:val="000000"/>
                <w:szCs w:val="20"/>
              </w:rPr>
            </w:pPr>
            <w:r w:rsidRPr="006440B8">
              <w:rPr>
                <w:rFonts w:cs="Calibri"/>
                <w:color w:val="000000"/>
                <w:szCs w:val="20"/>
              </w:rPr>
              <w:t>-</w:t>
            </w:r>
          </w:p>
        </w:tc>
        <w:tc>
          <w:tcPr>
            <w:tcW w:w="493" w:type="pct"/>
            <w:tcBorders>
              <w:top w:val="single" w:sz="4" w:space="0" w:color="auto"/>
              <w:bottom w:val="single" w:sz="4" w:space="0" w:color="auto"/>
            </w:tcBorders>
            <w:shd w:val="clear" w:color="auto" w:fill="auto"/>
            <w:vAlign w:val="center"/>
          </w:tcPr>
          <w:p w14:paraId="6567275F" w14:textId="6A746B2B"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177"/>
                <w:szCs w:val="20"/>
                <w:shd w:val="solid" w:color="000000" w:fill="000000"/>
                <w:fitText w:val="263" w:id="-1435343101"/>
                <w14:textFill>
                  <w14:solidFill>
                    <w14:srgbClr w14:val="000000">
                      <w14:alpha w14:val="100000"/>
                    </w14:srgbClr>
                  </w14:solidFill>
                </w14:textFill>
              </w:rPr>
              <w:t>|</w:t>
            </w:r>
            <w:r w:rsidRPr="00F96E54">
              <w:rPr>
                <w:rFonts w:cs="Calibri"/>
                <w:color w:val="000000"/>
                <w:spacing w:val="1"/>
                <w:szCs w:val="20"/>
                <w:shd w:val="solid" w:color="000000" w:fill="000000"/>
                <w:fitText w:val="263" w:id="-1435343101"/>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single" w:sz="4" w:space="0" w:color="auto"/>
            </w:tcBorders>
            <w:shd w:val="clear" w:color="auto" w:fill="auto"/>
            <w:vAlign w:val="center"/>
          </w:tcPr>
          <w:p w14:paraId="415E5C53" w14:textId="4C908588"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177"/>
                <w:szCs w:val="20"/>
                <w:shd w:val="solid" w:color="000000" w:fill="000000"/>
                <w:fitText w:val="263" w:id="-1435343100"/>
                <w14:textFill>
                  <w14:solidFill>
                    <w14:srgbClr w14:val="000000">
                      <w14:alpha w14:val="100000"/>
                    </w14:srgbClr>
                  </w14:solidFill>
                </w14:textFill>
              </w:rPr>
              <w:t>|</w:t>
            </w:r>
            <w:r w:rsidRPr="00F96E54">
              <w:rPr>
                <w:rFonts w:cs="Calibri"/>
                <w:color w:val="000000"/>
                <w:spacing w:val="1"/>
                <w:szCs w:val="20"/>
                <w:shd w:val="solid" w:color="000000" w:fill="000000"/>
                <w:fitText w:val="263" w:id="-1435343100"/>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single" w:sz="4" w:space="0" w:color="auto"/>
            </w:tcBorders>
            <w:shd w:val="clear" w:color="auto" w:fill="auto"/>
            <w:vAlign w:val="center"/>
          </w:tcPr>
          <w:p w14:paraId="5C08BCCF" w14:textId="54437A9C"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177"/>
                <w:szCs w:val="20"/>
                <w:shd w:val="solid" w:color="000000" w:fill="000000"/>
                <w:fitText w:val="263" w:id="-1435343099"/>
                <w14:textFill>
                  <w14:solidFill>
                    <w14:srgbClr w14:val="000000">
                      <w14:alpha w14:val="100000"/>
                    </w14:srgbClr>
                  </w14:solidFill>
                </w14:textFill>
              </w:rPr>
              <w:t>|</w:t>
            </w:r>
            <w:r w:rsidRPr="00F96E54">
              <w:rPr>
                <w:rFonts w:cs="Calibri"/>
                <w:color w:val="000000"/>
                <w:spacing w:val="1"/>
                <w:szCs w:val="20"/>
                <w:shd w:val="solid" w:color="000000" w:fill="000000"/>
                <w:fitText w:val="263" w:id="-1435343099"/>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single" w:sz="4" w:space="0" w:color="auto"/>
            </w:tcBorders>
            <w:shd w:val="clear" w:color="auto" w:fill="auto"/>
            <w:vAlign w:val="center"/>
          </w:tcPr>
          <w:p w14:paraId="5640372D" w14:textId="187B31F6"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177"/>
                <w:szCs w:val="20"/>
                <w:shd w:val="solid" w:color="000000" w:fill="000000"/>
                <w:fitText w:val="263" w:id="-1435343098"/>
                <w14:textFill>
                  <w14:solidFill>
                    <w14:srgbClr w14:val="000000">
                      <w14:alpha w14:val="100000"/>
                    </w14:srgbClr>
                  </w14:solidFill>
                </w14:textFill>
              </w:rPr>
              <w:t>|</w:t>
            </w:r>
            <w:r w:rsidRPr="00F96E54">
              <w:rPr>
                <w:rFonts w:cs="Calibri"/>
                <w:color w:val="000000"/>
                <w:spacing w:val="1"/>
                <w:szCs w:val="20"/>
                <w:shd w:val="solid" w:color="000000" w:fill="000000"/>
                <w:fitText w:val="263" w:id="-1435343098"/>
                <w14:textFill>
                  <w14:solidFill>
                    <w14:srgbClr w14:val="000000">
                      <w14:alpha w14:val="100000"/>
                    </w14:srgbClr>
                  </w14:solidFill>
                </w14:textFill>
              </w:rPr>
              <w:t>|</w:t>
            </w:r>
            <w:r w:rsidR="00B75DC4">
              <w:rPr>
                <w:szCs w:val="20"/>
                <w:vertAlign w:val="superscript"/>
              </w:rPr>
              <w:t>5</w:t>
            </w:r>
          </w:p>
        </w:tc>
        <w:tc>
          <w:tcPr>
            <w:tcW w:w="518" w:type="pct"/>
            <w:tcBorders>
              <w:top w:val="single" w:sz="4" w:space="0" w:color="auto"/>
              <w:bottom w:val="single" w:sz="4" w:space="0" w:color="auto"/>
            </w:tcBorders>
            <w:shd w:val="clear" w:color="auto" w:fill="auto"/>
            <w:vAlign w:val="center"/>
          </w:tcPr>
          <w:p w14:paraId="78919B5A" w14:textId="344DC797"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165"/>
                <w:szCs w:val="20"/>
                <w:shd w:val="solid" w:color="000000" w:fill="000000"/>
                <w:fitText w:val="251" w:id="-1435343097"/>
                <w14:textFill>
                  <w14:solidFill>
                    <w14:srgbClr w14:val="000000">
                      <w14:alpha w14:val="100000"/>
                    </w14:srgbClr>
                  </w14:solidFill>
                </w14:textFill>
              </w:rPr>
              <w:t>|</w:t>
            </w:r>
            <w:r w:rsidRPr="00F96E54">
              <w:rPr>
                <w:rFonts w:cs="Calibri"/>
                <w:color w:val="000000"/>
                <w:spacing w:val="1"/>
                <w:szCs w:val="20"/>
                <w:shd w:val="solid" w:color="000000" w:fill="000000"/>
                <w:fitText w:val="251" w:id="-1435343097"/>
                <w14:textFill>
                  <w14:solidFill>
                    <w14:srgbClr w14:val="000000">
                      <w14:alpha w14:val="100000"/>
                    </w14:srgbClr>
                  </w14:solidFill>
                </w14:textFill>
              </w:rPr>
              <w:t>|</w:t>
            </w:r>
            <w:r w:rsidR="00B75DC4">
              <w:rPr>
                <w:szCs w:val="20"/>
                <w:vertAlign w:val="superscript"/>
              </w:rPr>
              <w:t>5</w:t>
            </w:r>
          </w:p>
        </w:tc>
      </w:tr>
      <w:tr w:rsidR="000A1519" w:rsidRPr="006440B8" w14:paraId="6193D9BF" w14:textId="77777777" w:rsidTr="00A361A7">
        <w:tc>
          <w:tcPr>
            <w:tcW w:w="1961" w:type="pct"/>
            <w:tcBorders>
              <w:top w:val="single" w:sz="4" w:space="0" w:color="auto"/>
              <w:bottom w:val="double" w:sz="4" w:space="0" w:color="auto"/>
            </w:tcBorders>
            <w:shd w:val="clear" w:color="auto" w:fill="auto"/>
          </w:tcPr>
          <w:p w14:paraId="2E96A3B8" w14:textId="77777777" w:rsidR="000A1519" w:rsidRPr="006440B8" w:rsidRDefault="000A1519" w:rsidP="00014A9C">
            <w:pPr>
              <w:pStyle w:val="TableText"/>
              <w:keepLines/>
              <w:tabs>
                <w:tab w:val="right" w:pos="3513"/>
              </w:tabs>
              <w:ind w:left="-57" w:right="-68"/>
              <w:rPr>
                <w:b/>
                <w:bCs w:val="0"/>
                <w:szCs w:val="20"/>
              </w:rPr>
            </w:pPr>
            <w:r w:rsidRPr="006440B8">
              <w:rPr>
                <w:b/>
                <w:bCs w:val="0"/>
                <w:szCs w:val="20"/>
              </w:rPr>
              <w:t>Total treated patients</w:t>
            </w:r>
          </w:p>
        </w:tc>
        <w:tc>
          <w:tcPr>
            <w:tcW w:w="549" w:type="pct"/>
            <w:tcBorders>
              <w:top w:val="single" w:sz="4" w:space="0" w:color="auto"/>
              <w:bottom w:val="double" w:sz="4" w:space="0" w:color="auto"/>
            </w:tcBorders>
            <w:shd w:val="clear" w:color="auto" w:fill="auto"/>
            <w:vAlign w:val="center"/>
          </w:tcPr>
          <w:p w14:paraId="6413A182" w14:textId="57801C33" w:rsidR="000A1519" w:rsidRPr="006440B8" w:rsidRDefault="00F96E54" w:rsidP="00014A9C">
            <w:pPr>
              <w:pStyle w:val="TableText"/>
              <w:keepLines/>
              <w:ind w:left="-57"/>
              <w:jc w:val="center"/>
              <w:rPr>
                <w:rFonts w:cs="Calibri"/>
                <w:b/>
                <w:bCs w:val="0"/>
                <w:color w:val="000000"/>
                <w:szCs w:val="20"/>
              </w:rPr>
            </w:pPr>
            <w:r w:rsidRPr="00F96E54">
              <w:rPr>
                <w:rFonts w:cs="Calibri"/>
                <w:b/>
                <w:bCs w:val="0"/>
                <w:color w:val="000000"/>
                <w:spacing w:val="158"/>
                <w:szCs w:val="20"/>
                <w:shd w:val="solid" w:color="000000" w:fill="000000"/>
                <w:fitText w:val="250" w:id="-1435343096"/>
                <w14:textFill>
                  <w14:solidFill>
                    <w14:srgbClr w14:val="000000">
                      <w14:alpha w14:val="100000"/>
                    </w14:srgbClr>
                  </w14:solidFill>
                </w14:textFill>
              </w:rPr>
              <w:t>|</w:t>
            </w:r>
            <w:r w:rsidRPr="00F96E54">
              <w:rPr>
                <w:rFonts w:cs="Calibri"/>
                <w:b/>
                <w:bCs w:val="0"/>
                <w:color w:val="000000"/>
                <w:spacing w:val="1"/>
                <w:szCs w:val="20"/>
                <w:shd w:val="solid" w:color="000000" w:fill="000000"/>
                <w:fitText w:val="250" w:id="-1435343096"/>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double" w:sz="4" w:space="0" w:color="auto"/>
            </w:tcBorders>
            <w:shd w:val="clear" w:color="auto" w:fill="auto"/>
            <w:vAlign w:val="center"/>
          </w:tcPr>
          <w:p w14:paraId="6027E5FF" w14:textId="13D4AFD8" w:rsidR="000A1519" w:rsidRPr="00C950B3" w:rsidRDefault="00F96E54" w:rsidP="00014A9C">
            <w:pPr>
              <w:pStyle w:val="TableText"/>
              <w:keepLines/>
              <w:ind w:left="-57"/>
              <w:jc w:val="center"/>
              <w:rPr>
                <w:rFonts w:cs="Calibri"/>
                <w:b/>
                <w:bCs w:val="0"/>
                <w:color w:val="000000"/>
                <w:szCs w:val="20"/>
                <w:highlight w:val="darkGray"/>
              </w:rPr>
            </w:pPr>
            <w:r w:rsidRPr="00F96E54">
              <w:rPr>
                <w:rFonts w:cs="Calibri"/>
                <w:b/>
                <w:bCs w:val="0"/>
                <w:color w:val="000000"/>
                <w:spacing w:val="39"/>
                <w:szCs w:val="20"/>
                <w:shd w:val="solid" w:color="000000" w:fill="000000"/>
                <w:fitText w:val="301" w:id="-1435343095"/>
                <w14:textFill>
                  <w14:solidFill>
                    <w14:srgbClr w14:val="000000">
                      <w14:alpha w14:val="100000"/>
                    </w14:srgbClr>
                  </w14:solidFill>
                </w14:textFill>
              </w:rPr>
              <w:t>|||</w:t>
            </w:r>
            <w:r w:rsidRPr="00F96E54">
              <w:rPr>
                <w:rFonts w:cs="Calibri"/>
                <w:b/>
                <w:bCs w:val="0"/>
                <w:color w:val="000000"/>
                <w:spacing w:val="1"/>
                <w:szCs w:val="20"/>
                <w:shd w:val="solid" w:color="000000" w:fill="000000"/>
                <w:fitText w:val="301" w:id="-1435343095"/>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double" w:sz="4" w:space="0" w:color="auto"/>
            </w:tcBorders>
            <w:shd w:val="clear" w:color="auto" w:fill="auto"/>
            <w:vAlign w:val="center"/>
          </w:tcPr>
          <w:p w14:paraId="75AF4572" w14:textId="1B15C9AE" w:rsidR="000A1519" w:rsidRPr="00C950B3" w:rsidRDefault="00F96E54" w:rsidP="00014A9C">
            <w:pPr>
              <w:pStyle w:val="TableText"/>
              <w:keepLines/>
              <w:ind w:left="-57"/>
              <w:jc w:val="center"/>
              <w:rPr>
                <w:rFonts w:cs="Calibri"/>
                <w:b/>
                <w:bCs w:val="0"/>
                <w:color w:val="000000"/>
                <w:szCs w:val="20"/>
                <w:highlight w:val="darkGray"/>
              </w:rPr>
            </w:pPr>
            <w:r w:rsidRPr="00F96E54">
              <w:rPr>
                <w:rFonts w:cs="Calibri"/>
                <w:b/>
                <w:bCs w:val="0"/>
                <w:color w:val="000000"/>
                <w:spacing w:val="39"/>
                <w:szCs w:val="20"/>
                <w:shd w:val="solid" w:color="000000" w:fill="000000"/>
                <w:fitText w:val="301" w:id="-1435343094"/>
                <w14:textFill>
                  <w14:solidFill>
                    <w14:srgbClr w14:val="000000">
                      <w14:alpha w14:val="100000"/>
                    </w14:srgbClr>
                  </w14:solidFill>
                </w14:textFill>
              </w:rPr>
              <w:t>|||</w:t>
            </w:r>
            <w:r w:rsidRPr="00F96E54">
              <w:rPr>
                <w:rFonts w:cs="Calibri"/>
                <w:b/>
                <w:bCs w:val="0"/>
                <w:color w:val="000000"/>
                <w:spacing w:val="1"/>
                <w:szCs w:val="20"/>
                <w:shd w:val="solid" w:color="000000" w:fill="000000"/>
                <w:fitText w:val="301" w:id="-1435343094"/>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double" w:sz="4" w:space="0" w:color="auto"/>
            </w:tcBorders>
            <w:shd w:val="clear" w:color="auto" w:fill="auto"/>
            <w:vAlign w:val="center"/>
          </w:tcPr>
          <w:p w14:paraId="60081023" w14:textId="7F3FEFBF" w:rsidR="000A1519" w:rsidRPr="00C950B3" w:rsidRDefault="00F96E54" w:rsidP="00014A9C">
            <w:pPr>
              <w:pStyle w:val="TableText"/>
              <w:keepLines/>
              <w:ind w:left="-57"/>
              <w:jc w:val="center"/>
              <w:rPr>
                <w:rFonts w:cs="Calibri"/>
                <w:b/>
                <w:bCs w:val="0"/>
                <w:color w:val="000000"/>
                <w:szCs w:val="20"/>
                <w:highlight w:val="darkGray"/>
              </w:rPr>
            </w:pPr>
            <w:r w:rsidRPr="00F96E54">
              <w:rPr>
                <w:rFonts w:cs="Calibri"/>
                <w:b/>
                <w:bCs w:val="0"/>
                <w:color w:val="000000"/>
                <w:spacing w:val="39"/>
                <w:szCs w:val="20"/>
                <w:shd w:val="solid" w:color="000000" w:fill="000000"/>
                <w:fitText w:val="301" w:id="-1435343093"/>
                <w14:textFill>
                  <w14:solidFill>
                    <w14:srgbClr w14:val="000000">
                      <w14:alpha w14:val="100000"/>
                    </w14:srgbClr>
                  </w14:solidFill>
                </w14:textFill>
              </w:rPr>
              <w:t>|||</w:t>
            </w:r>
            <w:r w:rsidRPr="00F96E54">
              <w:rPr>
                <w:rFonts w:cs="Calibri"/>
                <w:b/>
                <w:bCs w:val="0"/>
                <w:color w:val="000000"/>
                <w:spacing w:val="1"/>
                <w:szCs w:val="20"/>
                <w:shd w:val="solid" w:color="000000" w:fill="000000"/>
                <w:fitText w:val="301" w:id="-1435343093"/>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double" w:sz="4" w:space="0" w:color="auto"/>
            </w:tcBorders>
            <w:shd w:val="clear" w:color="auto" w:fill="auto"/>
            <w:vAlign w:val="center"/>
          </w:tcPr>
          <w:p w14:paraId="305FF3F2" w14:textId="3B4323A4" w:rsidR="000A1519" w:rsidRPr="00C950B3" w:rsidRDefault="00F96E54" w:rsidP="00014A9C">
            <w:pPr>
              <w:pStyle w:val="TableText"/>
              <w:keepLines/>
              <w:ind w:left="-57"/>
              <w:jc w:val="center"/>
              <w:rPr>
                <w:rFonts w:cs="Calibri"/>
                <w:b/>
                <w:bCs w:val="0"/>
                <w:color w:val="000000"/>
                <w:szCs w:val="20"/>
                <w:highlight w:val="darkGray"/>
              </w:rPr>
            </w:pPr>
            <w:r w:rsidRPr="00F96E54">
              <w:rPr>
                <w:rFonts w:cs="Calibri"/>
                <w:b/>
                <w:bCs w:val="0"/>
                <w:color w:val="000000"/>
                <w:spacing w:val="39"/>
                <w:szCs w:val="20"/>
                <w:shd w:val="solid" w:color="000000" w:fill="000000"/>
                <w:fitText w:val="301" w:id="-1435343092"/>
                <w14:textFill>
                  <w14:solidFill>
                    <w14:srgbClr w14:val="000000">
                      <w14:alpha w14:val="100000"/>
                    </w14:srgbClr>
                  </w14:solidFill>
                </w14:textFill>
              </w:rPr>
              <w:t>|||</w:t>
            </w:r>
            <w:r w:rsidRPr="00F96E54">
              <w:rPr>
                <w:rFonts w:cs="Calibri"/>
                <w:b/>
                <w:bCs w:val="0"/>
                <w:color w:val="000000"/>
                <w:spacing w:val="1"/>
                <w:szCs w:val="20"/>
                <w:shd w:val="solid" w:color="000000" w:fill="000000"/>
                <w:fitText w:val="301" w:id="-1435343092"/>
                <w14:textFill>
                  <w14:solidFill>
                    <w14:srgbClr w14:val="000000">
                      <w14:alpha w14:val="100000"/>
                    </w14:srgbClr>
                  </w14:solidFill>
                </w14:textFill>
              </w:rPr>
              <w:t>|</w:t>
            </w:r>
            <w:r w:rsidR="00B75DC4">
              <w:rPr>
                <w:szCs w:val="20"/>
                <w:vertAlign w:val="superscript"/>
              </w:rPr>
              <w:t>5</w:t>
            </w:r>
          </w:p>
        </w:tc>
        <w:tc>
          <w:tcPr>
            <w:tcW w:w="518" w:type="pct"/>
            <w:tcBorders>
              <w:top w:val="single" w:sz="4" w:space="0" w:color="auto"/>
              <w:bottom w:val="double" w:sz="4" w:space="0" w:color="auto"/>
            </w:tcBorders>
            <w:shd w:val="clear" w:color="auto" w:fill="auto"/>
            <w:vAlign w:val="center"/>
          </w:tcPr>
          <w:p w14:paraId="6C1E4D99" w14:textId="1BCA0667" w:rsidR="000A1519" w:rsidRPr="00C950B3" w:rsidRDefault="00F96E54" w:rsidP="00014A9C">
            <w:pPr>
              <w:pStyle w:val="TableText"/>
              <w:keepLines/>
              <w:ind w:left="-57"/>
              <w:jc w:val="center"/>
              <w:rPr>
                <w:rFonts w:cs="Calibri"/>
                <w:b/>
                <w:bCs w:val="0"/>
                <w:color w:val="000000"/>
                <w:szCs w:val="20"/>
                <w:highlight w:val="darkGray"/>
              </w:rPr>
            </w:pPr>
            <w:r w:rsidRPr="00F96E54">
              <w:rPr>
                <w:rFonts w:cs="Calibri"/>
                <w:b/>
                <w:bCs w:val="0"/>
                <w:color w:val="000000"/>
                <w:spacing w:val="196"/>
                <w:szCs w:val="20"/>
                <w:shd w:val="solid" w:color="000000" w:fill="000000"/>
                <w:fitText w:val="288" w:id="-1435343091"/>
                <w14:textFill>
                  <w14:solidFill>
                    <w14:srgbClr w14:val="000000">
                      <w14:alpha w14:val="100000"/>
                    </w14:srgbClr>
                  </w14:solidFill>
                </w14:textFill>
              </w:rPr>
              <w:t>|</w:t>
            </w:r>
            <w:r w:rsidRPr="00F96E54">
              <w:rPr>
                <w:rFonts w:cs="Calibri"/>
                <w:b/>
                <w:bCs w:val="0"/>
                <w:color w:val="000000"/>
                <w:spacing w:val="1"/>
                <w:szCs w:val="20"/>
                <w:shd w:val="solid" w:color="000000" w:fill="000000"/>
                <w:fitText w:val="288" w:id="-1435343091"/>
                <w14:textFill>
                  <w14:solidFill>
                    <w14:srgbClr w14:val="000000">
                      <w14:alpha w14:val="100000"/>
                    </w14:srgbClr>
                  </w14:solidFill>
                </w14:textFill>
              </w:rPr>
              <w:t>|</w:t>
            </w:r>
            <w:r w:rsidR="00B75DC4">
              <w:rPr>
                <w:szCs w:val="20"/>
                <w:vertAlign w:val="superscript"/>
              </w:rPr>
              <w:t>5</w:t>
            </w:r>
          </w:p>
        </w:tc>
      </w:tr>
      <w:tr w:rsidR="000A1519" w:rsidRPr="006440B8" w14:paraId="1BEE1A2C" w14:textId="77777777" w:rsidTr="00A361A7">
        <w:tc>
          <w:tcPr>
            <w:tcW w:w="1961" w:type="pct"/>
            <w:tcBorders>
              <w:top w:val="double" w:sz="4" w:space="0" w:color="auto"/>
              <w:bottom w:val="single" w:sz="4" w:space="0" w:color="auto"/>
            </w:tcBorders>
            <w:shd w:val="clear" w:color="auto" w:fill="auto"/>
          </w:tcPr>
          <w:p w14:paraId="00155546" w14:textId="77777777" w:rsidR="000A1519" w:rsidRPr="00314E42" w:rsidRDefault="000A1519" w:rsidP="00014A9C">
            <w:pPr>
              <w:pStyle w:val="TableText"/>
              <w:keepLines/>
              <w:tabs>
                <w:tab w:val="right" w:pos="3513"/>
              </w:tabs>
              <w:ind w:left="-57" w:right="-68"/>
              <w:rPr>
                <w:szCs w:val="20"/>
              </w:rPr>
            </w:pPr>
            <w:r>
              <w:rPr>
                <w:szCs w:val="20"/>
              </w:rPr>
              <w:t>R</w:t>
            </w:r>
            <w:r w:rsidRPr="00314E42">
              <w:rPr>
                <w:szCs w:val="20"/>
              </w:rPr>
              <w:t>uxolitinib 5 mg scripts (33%)</w:t>
            </w:r>
            <w:r>
              <w:rPr>
                <w:szCs w:val="20"/>
                <w:vertAlign w:val="superscript"/>
              </w:rPr>
              <w:t>3</w:t>
            </w:r>
          </w:p>
        </w:tc>
        <w:tc>
          <w:tcPr>
            <w:tcW w:w="549" w:type="pct"/>
            <w:tcBorders>
              <w:top w:val="double" w:sz="4" w:space="0" w:color="auto"/>
              <w:bottom w:val="single" w:sz="4" w:space="0" w:color="auto"/>
            </w:tcBorders>
            <w:shd w:val="clear" w:color="auto" w:fill="auto"/>
            <w:vAlign w:val="center"/>
          </w:tcPr>
          <w:p w14:paraId="4D750C96" w14:textId="43BCD55F"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42"/>
                <w:szCs w:val="20"/>
                <w:shd w:val="solid" w:color="000000" w:fill="000000"/>
                <w:fitText w:val="213" w:id="-1435343090"/>
                <w14:textFill>
                  <w14:solidFill>
                    <w14:srgbClr w14:val="000000">
                      <w14:alpha w14:val="100000"/>
                    </w14:srgbClr>
                  </w14:solidFill>
                </w14:textFill>
              </w:rPr>
              <w:t>||</w:t>
            </w:r>
            <w:r w:rsidRPr="00F96E54">
              <w:rPr>
                <w:rFonts w:cs="Calibri"/>
                <w:color w:val="000000"/>
                <w:spacing w:val="2"/>
                <w:szCs w:val="20"/>
                <w:shd w:val="solid" w:color="000000" w:fill="000000"/>
                <w:fitText w:val="213" w:id="-1435343090"/>
                <w14:textFill>
                  <w14:solidFill>
                    <w14:srgbClr w14:val="000000">
                      <w14:alpha w14:val="100000"/>
                    </w14:srgbClr>
                  </w14:solidFill>
                </w14:textFill>
              </w:rPr>
              <w:t>|</w:t>
            </w:r>
            <w:r w:rsidR="00B75DC4">
              <w:rPr>
                <w:szCs w:val="20"/>
                <w:vertAlign w:val="superscript"/>
              </w:rPr>
              <w:t>4</w:t>
            </w:r>
          </w:p>
        </w:tc>
        <w:tc>
          <w:tcPr>
            <w:tcW w:w="493" w:type="pct"/>
            <w:tcBorders>
              <w:top w:val="double" w:sz="4" w:space="0" w:color="auto"/>
              <w:bottom w:val="single" w:sz="4" w:space="0" w:color="auto"/>
            </w:tcBorders>
            <w:shd w:val="clear" w:color="auto" w:fill="auto"/>
            <w:vAlign w:val="center"/>
          </w:tcPr>
          <w:p w14:paraId="1E70AC24" w14:textId="145134CF" w:rsidR="000A1519" w:rsidRPr="00314E42" w:rsidRDefault="00F96E54" w:rsidP="00014A9C">
            <w:pPr>
              <w:pStyle w:val="TableText"/>
              <w:keepLines/>
              <w:ind w:left="-57"/>
              <w:jc w:val="center"/>
              <w:rPr>
                <w:rFonts w:cs="Calibri"/>
                <w:color w:val="000000"/>
                <w:szCs w:val="20"/>
              </w:rPr>
            </w:pPr>
            <w:r w:rsidRPr="00F96E54">
              <w:rPr>
                <w:rFonts w:cs="Calibri"/>
                <w:color w:val="000000"/>
                <w:spacing w:val="177"/>
                <w:szCs w:val="20"/>
                <w:shd w:val="solid" w:color="000000" w:fill="000000"/>
                <w:fitText w:val="263" w:id="-1435343089"/>
                <w14:textFill>
                  <w14:solidFill>
                    <w14:srgbClr w14:val="000000">
                      <w14:alpha w14:val="100000"/>
                    </w14:srgbClr>
                  </w14:solidFill>
                </w14:textFill>
              </w:rPr>
              <w:t>|</w:t>
            </w:r>
            <w:r w:rsidRPr="00F96E54">
              <w:rPr>
                <w:rFonts w:cs="Calibri"/>
                <w:color w:val="000000"/>
                <w:spacing w:val="1"/>
                <w:szCs w:val="20"/>
                <w:shd w:val="solid" w:color="000000" w:fill="000000"/>
                <w:fitText w:val="263" w:id="-1435343089"/>
                <w14:textFill>
                  <w14:solidFill>
                    <w14:srgbClr w14:val="000000">
                      <w14:alpha w14:val="100000"/>
                    </w14:srgbClr>
                  </w14:solidFill>
                </w14:textFill>
              </w:rPr>
              <w:t>|</w:t>
            </w:r>
            <w:r w:rsidR="00B75DC4">
              <w:rPr>
                <w:szCs w:val="20"/>
                <w:vertAlign w:val="superscript"/>
              </w:rPr>
              <w:t>5</w:t>
            </w:r>
          </w:p>
        </w:tc>
        <w:tc>
          <w:tcPr>
            <w:tcW w:w="493" w:type="pct"/>
            <w:tcBorders>
              <w:top w:val="double" w:sz="4" w:space="0" w:color="auto"/>
              <w:bottom w:val="single" w:sz="4" w:space="0" w:color="auto"/>
            </w:tcBorders>
            <w:shd w:val="clear" w:color="auto" w:fill="auto"/>
            <w:vAlign w:val="center"/>
          </w:tcPr>
          <w:p w14:paraId="6388936E" w14:textId="47067204" w:rsidR="000A1519" w:rsidRPr="00314E42" w:rsidRDefault="00F96E54" w:rsidP="00014A9C">
            <w:pPr>
              <w:pStyle w:val="TableText"/>
              <w:keepLines/>
              <w:ind w:left="-57"/>
              <w:jc w:val="center"/>
              <w:rPr>
                <w:rFonts w:cs="Calibri"/>
                <w:color w:val="000000"/>
                <w:szCs w:val="20"/>
              </w:rPr>
            </w:pPr>
            <w:r w:rsidRPr="00F96E54">
              <w:rPr>
                <w:rFonts w:cs="Calibri"/>
                <w:color w:val="000000"/>
                <w:spacing w:val="177"/>
                <w:szCs w:val="20"/>
                <w:shd w:val="solid" w:color="000000" w:fill="000000"/>
                <w:fitText w:val="263" w:id="-1435343088"/>
                <w14:textFill>
                  <w14:solidFill>
                    <w14:srgbClr w14:val="000000">
                      <w14:alpha w14:val="100000"/>
                    </w14:srgbClr>
                  </w14:solidFill>
                </w14:textFill>
              </w:rPr>
              <w:t>|</w:t>
            </w:r>
            <w:r w:rsidRPr="00F96E54">
              <w:rPr>
                <w:rFonts w:cs="Calibri"/>
                <w:color w:val="000000"/>
                <w:spacing w:val="1"/>
                <w:szCs w:val="20"/>
                <w:shd w:val="solid" w:color="000000" w:fill="000000"/>
                <w:fitText w:val="263" w:id="-1435343088"/>
                <w14:textFill>
                  <w14:solidFill>
                    <w14:srgbClr w14:val="000000">
                      <w14:alpha w14:val="100000"/>
                    </w14:srgbClr>
                  </w14:solidFill>
                </w14:textFill>
              </w:rPr>
              <w:t>|</w:t>
            </w:r>
            <w:r w:rsidR="00B75DC4">
              <w:rPr>
                <w:szCs w:val="20"/>
                <w:vertAlign w:val="superscript"/>
              </w:rPr>
              <w:t>5</w:t>
            </w:r>
          </w:p>
        </w:tc>
        <w:tc>
          <w:tcPr>
            <w:tcW w:w="493" w:type="pct"/>
            <w:tcBorders>
              <w:top w:val="double" w:sz="4" w:space="0" w:color="auto"/>
              <w:bottom w:val="single" w:sz="4" w:space="0" w:color="auto"/>
            </w:tcBorders>
            <w:shd w:val="clear" w:color="auto" w:fill="auto"/>
            <w:vAlign w:val="center"/>
          </w:tcPr>
          <w:p w14:paraId="098CBF34" w14:textId="745B2874" w:rsidR="000A1519" w:rsidRPr="00314E42" w:rsidRDefault="00F96E54" w:rsidP="00014A9C">
            <w:pPr>
              <w:pStyle w:val="TableText"/>
              <w:keepLines/>
              <w:ind w:left="-57"/>
              <w:jc w:val="center"/>
              <w:rPr>
                <w:rFonts w:cs="Calibri"/>
                <w:color w:val="000000"/>
                <w:szCs w:val="20"/>
              </w:rPr>
            </w:pPr>
            <w:r w:rsidRPr="00F96E54">
              <w:rPr>
                <w:rFonts w:cs="Calibri"/>
                <w:color w:val="000000"/>
                <w:spacing w:val="177"/>
                <w:szCs w:val="20"/>
                <w:shd w:val="solid" w:color="000000" w:fill="000000"/>
                <w:fitText w:val="263" w:id="-1435343104"/>
                <w14:textFill>
                  <w14:solidFill>
                    <w14:srgbClr w14:val="000000">
                      <w14:alpha w14:val="100000"/>
                    </w14:srgbClr>
                  </w14:solidFill>
                </w14:textFill>
              </w:rPr>
              <w:t>|</w:t>
            </w:r>
            <w:r w:rsidRPr="00F96E54">
              <w:rPr>
                <w:rFonts w:cs="Calibri"/>
                <w:color w:val="000000"/>
                <w:spacing w:val="1"/>
                <w:szCs w:val="20"/>
                <w:shd w:val="solid" w:color="000000" w:fill="000000"/>
                <w:fitText w:val="263" w:id="-1435343104"/>
                <w14:textFill>
                  <w14:solidFill>
                    <w14:srgbClr w14:val="000000">
                      <w14:alpha w14:val="100000"/>
                    </w14:srgbClr>
                  </w14:solidFill>
                </w14:textFill>
              </w:rPr>
              <w:t>|</w:t>
            </w:r>
            <w:r w:rsidR="00B75DC4">
              <w:rPr>
                <w:szCs w:val="20"/>
                <w:vertAlign w:val="superscript"/>
              </w:rPr>
              <w:t>5</w:t>
            </w:r>
          </w:p>
        </w:tc>
        <w:tc>
          <w:tcPr>
            <w:tcW w:w="493" w:type="pct"/>
            <w:tcBorders>
              <w:top w:val="double" w:sz="4" w:space="0" w:color="auto"/>
              <w:bottom w:val="single" w:sz="4" w:space="0" w:color="auto"/>
            </w:tcBorders>
            <w:shd w:val="clear" w:color="auto" w:fill="auto"/>
            <w:vAlign w:val="center"/>
          </w:tcPr>
          <w:p w14:paraId="778FD201" w14:textId="2C7B6EB0" w:rsidR="000A1519" w:rsidRPr="00314E42" w:rsidRDefault="00F96E54" w:rsidP="00014A9C">
            <w:pPr>
              <w:pStyle w:val="TableText"/>
              <w:keepLines/>
              <w:ind w:left="-57"/>
              <w:jc w:val="center"/>
              <w:rPr>
                <w:rFonts w:cs="Calibri"/>
                <w:color w:val="000000"/>
                <w:szCs w:val="20"/>
              </w:rPr>
            </w:pPr>
            <w:r w:rsidRPr="00F96E54">
              <w:rPr>
                <w:rFonts w:cs="Calibri"/>
                <w:color w:val="000000"/>
                <w:spacing w:val="177"/>
                <w:szCs w:val="20"/>
                <w:shd w:val="solid" w:color="000000" w:fill="000000"/>
                <w:fitText w:val="263" w:id="-1435343103"/>
                <w14:textFill>
                  <w14:solidFill>
                    <w14:srgbClr w14:val="000000">
                      <w14:alpha w14:val="100000"/>
                    </w14:srgbClr>
                  </w14:solidFill>
                </w14:textFill>
              </w:rPr>
              <w:t>|</w:t>
            </w:r>
            <w:r w:rsidRPr="00F96E54">
              <w:rPr>
                <w:rFonts w:cs="Calibri"/>
                <w:color w:val="000000"/>
                <w:spacing w:val="1"/>
                <w:szCs w:val="20"/>
                <w:shd w:val="solid" w:color="000000" w:fill="000000"/>
                <w:fitText w:val="263" w:id="-1435343103"/>
                <w14:textFill>
                  <w14:solidFill>
                    <w14:srgbClr w14:val="000000">
                      <w14:alpha w14:val="100000"/>
                    </w14:srgbClr>
                  </w14:solidFill>
                </w14:textFill>
              </w:rPr>
              <w:t>|</w:t>
            </w:r>
            <w:r w:rsidR="00B75DC4">
              <w:rPr>
                <w:szCs w:val="20"/>
                <w:vertAlign w:val="superscript"/>
              </w:rPr>
              <w:t>5</w:t>
            </w:r>
          </w:p>
        </w:tc>
        <w:tc>
          <w:tcPr>
            <w:tcW w:w="518" w:type="pct"/>
            <w:tcBorders>
              <w:top w:val="double" w:sz="4" w:space="0" w:color="auto"/>
              <w:bottom w:val="single" w:sz="4" w:space="0" w:color="auto"/>
            </w:tcBorders>
            <w:shd w:val="clear" w:color="auto" w:fill="auto"/>
            <w:vAlign w:val="center"/>
          </w:tcPr>
          <w:p w14:paraId="63785F55" w14:textId="43BDAC3F" w:rsidR="000A1519" w:rsidRPr="00314E42" w:rsidRDefault="00F96E54" w:rsidP="00014A9C">
            <w:pPr>
              <w:pStyle w:val="TableText"/>
              <w:keepLines/>
              <w:ind w:left="-57"/>
              <w:jc w:val="center"/>
              <w:rPr>
                <w:rFonts w:cs="Calibri"/>
                <w:color w:val="000000"/>
                <w:szCs w:val="20"/>
              </w:rPr>
            </w:pPr>
            <w:r w:rsidRPr="00F96E54">
              <w:rPr>
                <w:rFonts w:cs="Calibri"/>
                <w:color w:val="000000"/>
                <w:spacing w:val="165"/>
                <w:szCs w:val="20"/>
                <w:shd w:val="solid" w:color="000000" w:fill="000000"/>
                <w:fitText w:val="251" w:id="-1435343102"/>
                <w14:textFill>
                  <w14:solidFill>
                    <w14:srgbClr w14:val="000000">
                      <w14:alpha w14:val="100000"/>
                    </w14:srgbClr>
                  </w14:solidFill>
                </w14:textFill>
              </w:rPr>
              <w:t>|</w:t>
            </w:r>
            <w:r w:rsidRPr="00F96E54">
              <w:rPr>
                <w:rFonts w:cs="Calibri"/>
                <w:color w:val="000000"/>
                <w:spacing w:val="1"/>
                <w:szCs w:val="20"/>
                <w:shd w:val="solid" w:color="000000" w:fill="000000"/>
                <w:fitText w:val="251" w:id="-1435343102"/>
                <w14:textFill>
                  <w14:solidFill>
                    <w14:srgbClr w14:val="000000">
                      <w14:alpha w14:val="100000"/>
                    </w14:srgbClr>
                  </w14:solidFill>
                </w14:textFill>
              </w:rPr>
              <w:t>|</w:t>
            </w:r>
            <w:r w:rsidR="00B75DC4">
              <w:rPr>
                <w:szCs w:val="20"/>
                <w:vertAlign w:val="superscript"/>
              </w:rPr>
              <w:t>5</w:t>
            </w:r>
          </w:p>
        </w:tc>
      </w:tr>
      <w:tr w:rsidR="000A1519" w:rsidRPr="006440B8" w14:paraId="2FA473CD" w14:textId="77777777" w:rsidTr="00A361A7">
        <w:tc>
          <w:tcPr>
            <w:tcW w:w="1961" w:type="pct"/>
            <w:tcBorders>
              <w:top w:val="single" w:sz="4" w:space="0" w:color="auto"/>
              <w:bottom w:val="single" w:sz="4" w:space="0" w:color="auto"/>
            </w:tcBorders>
            <w:shd w:val="clear" w:color="auto" w:fill="auto"/>
          </w:tcPr>
          <w:p w14:paraId="186EB8BE" w14:textId="77777777" w:rsidR="000A1519" w:rsidRPr="00314E42" w:rsidRDefault="000A1519" w:rsidP="00014A9C">
            <w:pPr>
              <w:pStyle w:val="TableText"/>
              <w:keepLines/>
              <w:tabs>
                <w:tab w:val="right" w:pos="3513"/>
              </w:tabs>
              <w:ind w:left="-57" w:right="-68"/>
              <w:rPr>
                <w:szCs w:val="20"/>
              </w:rPr>
            </w:pPr>
            <w:r>
              <w:rPr>
                <w:szCs w:val="20"/>
              </w:rPr>
              <w:t>R</w:t>
            </w:r>
            <w:r w:rsidRPr="00314E42">
              <w:rPr>
                <w:szCs w:val="20"/>
              </w:rPr>
              <w:t>uxolitinib 10 mg scripts (67%)</w:t>
            </w:r>
            <w:r>
              <w:rPr>
                <w:szCs w:val="20"/>
                <w:vertAlign w:val="superscript"/>
              </w:rPr>
              <w:t>3</w:t>
            </w:r>
          </w:p>
        </w:tc>
        <w:tc>
          <w:tcPr>
            <w:tcW w:w="549" w:type="pct"/>
            <w:tcBorders>
              <w:top w:val="single" w:sz="4" w:space="0" w:color="auto"/>
              <w:bottom w:val="single" w:sz="4" w:space="0" w:color="auto"/>
            </w:tcBorders>
            <w:shd w:val="clear" w:color="auto" w:fill="auto"/>
            <w:vAlign w:val="center"/>
          </w:tcPr>
          <w:p w14:paraId="6AB211AF" w14:textId="59AD41E9" w:rsidR="000A1519" w:rsidRPr="00314E42" w:rsidRDefault="00F96E54" w:rsidP="00014A9C">
            <w:pPr>
              <w:pStyle w:val="TableText"/>
              <w:keepLines/>
              <w:ind w:left="-57"/>
              <w:jc w:val="center"/>
              <w:rPr>
                <w:rFonts w:cs="Calibri"/>
                <w:color w:val="000000"/>
                <w:szCs w:val="20"/>
              </w:rPr>
            </w:pPr>
            <w:r w:rsidRPr="00F96E54">
              <w:rPr>
                <w:rFonts w:cs="Calibri"/>
                <w:color w:val="000000"/>
                <w:spacing w:val="42"/>
                <w:szCs w:val="20"/>
                <w:shd w:val="solid" w:color="000000" w:fill="000000"/>
                <w:fitText w:val="213" w:id="-1435343101"/>
                <w14:textFill>
                  <w14:solidFill>
                    <w14:srgbClr w14:val="000000">
                      <w14:alpha w14:val="100000"/>
                    </w14:srgbClr>
                  </w14:solidFill>
                </w14:textFill>
              </w:rPr>
              <w:t>||</w:t>
            </w:r>
            <w:r w:rsidRPr="00F96E54">
              <w:rPr>
                <w:rFonts w:cs="Calibri"/>
                <w:color w:val="000000"/>
                <w:spacing w:val="2"/>
                <w:szCs w:val="20"/>
                <w:shd w:val="solid" w:color="000000" w:fill="000000"/>
                <w:fitText w:val="213" w:id="-1435343101"/>
                <w14:textFill>
                  <w14:solidFill>
                    <w14:srgbClr w14:val="000000">
                      <w14:alpha w14:val="100000"/>
                    </w14:srgbClr>
                  </w14:solidFill>
                </w14:textFill>
              </w:rPr>
              <w:t>|</w:t>
            </w:r>
            <w:r w:rsidR="00B75DC4">
              <w:rPr>
                <w:szCs w:val="20"/>
                <w:vertAlign w:val="superscript"/>
              </w:rPr>
              <w:t>4</w:t>
            </w:r>
          </w:p>
        </w:tc>
        <w:tc>
          <w:tcPr>
            <w:tcW w:w="493" w:type="pct"/>
            <w:tcBorders>
              <w:top w:val="single" w:sz="4" w:space="0" w:color="auto"/>
              <w:bottom w:val="single" w:sz="4" w:space="0" w:color="auto"/>
            </w:tcBorders>
            <w:shd w:val="clear" w:color="auto" w:fill="auto"/>
            <w:vAlign w:val="center"/>
          </w:tcPr>
          <w:p w14:paraId="4C5D5D69" w14:textId="765F32C7" w:rsidR="000A1519" w:rsidRPr="00314E42" w:rsidRDefault="00F96E54" w:rsidP="00014A9C">
            <w:pPr>
              <w:pStyle w:val="TableText"/>
              <w:keepLines/>
              <w:ind w:left="-57"/>
              <w:jc w:val="center"/>
              <w:rPr>
                <w:rFonts w:cs="Calibri"/>
                <w:color w:val="000000"/>
                <w:szCs w:val="20"/>
              </w:rPr>
            </w:pPr>
            <w:r w:rsidRPr="00F96E54">
              <w:rPr>
                <w:rFonts w:cs="Calibri"/>
                <w:color w:val="000000"/>
                <w:spacing w:val="177"/>
                <w:szCs w:val="20"/>
                <w:shd w:val="solid" w:color="000000" w:fill="000000"/>
                <w:fitText w:val="263" w:id="-1435343100"/>
                <w14:textFill>
                  <w14:solidFill>
                    <w14:srgbClr w14:val="000000">
                      <w14:alpha w14:val="100000"/>
                    </w14:srgbClr>
                  </w14:solidFill>
                </w14:textFill>
              </w:rPr>
              <w:t>|</w:t>
            </w:r>
            <w:r w:rsidRPr="00F96E54">
              <w:rPr>
                <w:rFonts w:cs="Calibri"/>
                <w:color w:val="000000"/>
                <w:spacing w:val="1"/>
                <w:szCs w:val="20"/>
                <w:shd w:val="solid" w:color="000000" w:fill="000000"/>
                <w:fitText w:val="263" w:id="-1435343100"/>
                <w14:textFill>
                  <w14:solidFill>
                    <w14:srgbClr w14:val="000000">
                      <w14:alpha w14:val="100000"/>
                    </w14:srgbClr>
                  </w14:solidFill>
                </w14:textFill>
              </w:rPr>
              <w:t>|</w:t>
            </w:r>
            <w:r w:rsidR="00B75DC4">
              <w:rPr>
                <w:szCs w:val="20"/>
                <w:vertAlign w:val="superscript"/>
              </w:rPr>
              <w:t>4</w:t>
            </w:r>
          </w:p>
        </w:tc>
        <w:tc>
          <w:tcPr>
            <w:tcW w:w="493" w:type="pct"/>
            <w:tcBorders>
              <w:top w:val="single" w:sz="4" w:space="0" w:color="auto"/>
              <w:bottom w:val="single" w:sz="4" w:space="0" w:color="auto"/>
            </w:tcBorders>
            <w:shd w:val="clear" w:color="auto" w:fill="auto"/>
            <w:vAlign w:val="center"/>
          </w:tcPr>
          <w:p w14:paraId="34D56222" w14:textId="055BAF8A" w:rsidR="000A1519" w:rsidRPr="00314E42" w:rsidRDefault="00F96E54" w:rsidP="00014A9C">
            <w:pPr>
              <w:pStyle w:val="TableText"/>
              <w:keepLines/>
              <w:ind w:left="-57"/>
              <w:jc w:val="center"/>
              <w:rPr>
                <w:rFonts w:cs="Calibri"/>
                <w:color w:val="000000"/>
                <w:szCs w:val="20"/>
              </w:rPr>
            </w:pPr>
            <w:r w:rsidRPr="00F96E54">
              <w:rPr>
                <w:rFonts w:cs="Calibri"/>
                <w:color w:val="000000"/>
                <w:spacing w:val="177"/>
                <w:szCs w:val="20"/>
                <w:shd w:val="solid" w:color="000000" w:fill="000000"/>
                <w:fitText w:val="263" w:id="-1435343099"/>
                <w14:textFill>
                  <w14:solidFill>
                    <w14:srgbClr w14:val="000000">
                      <w14:alpha w14:val="100000"/>
                    </w14:srgbClr>
                  </w14:solidFill>
                </w14:textFill>
              </w:rPr>
              <w:t>|</w:t>
            </w:r>
            <w:r w:rsidRPr="00F96E54">
              <w:rPr>
                <w:rFonts w:cs="Calibri"/>
                <w:color w:val="000000"/>
                <w:spacing w:val="1"/>
                <w:szCs w:val="20"/>
                <w:shd w:val="solid" w:color="000000" w:fill="000000"/>
                <w:fitText w:val="263" w:id="-1435343099"/>
                <w14:textFill>
                  <w14:solidFill>
                    <w14:srgbClr w14:val="000000">
                      <w14:alpha w14:val="100000"/>
                    </w14:srgbClr>
                  </w14:solidFill>
                </w14:textFill>
              </w:rPr>
              <w:t>|</w:t>
            </w:r>
            <w:r w:rsidR="00B75DC4">
              <w:rPr>
                <w:szCs w:val="20"/>
                <w:vertAlign w:val="superscript"/>
              </w:rPr>
              <w:t>4</w:t>
            </w:r>
          </w:p>
        </w:tc>
        <w:tc>
          <w:tcPr>
            <w:tcW w:w="493" w:type="pct"/>
            <w:tcBorders>
              <w:top w:val="single" w:sz="4" w:space="0" w:color="auto"/>
              <w:bottom w:val="single" w:sz="4" w:space="0" w:color="auto"/>
            </w:tcBorders>
            <w:shd w:val="clear" w:color="auto" w:fill="auto"/>
            <w:vAlign w:val="center"/>
          </w:tcPr>
          <w:p w14:paraId="792275C9" w14:textId="79967036" w:rsidR="000A1519" w:rsidRPr="00314E42" w:rsidRDefault="00F96E54" w:rsidP="00014A9C">
            <w:pPr>
              <w:pStyle w:val="TableText"/>
              <w:keepLines/>
              <w:ind w:left="-57"/>
              <w:jc w:val="center"/>
              <w:rPr>
                <w:rFonts w:cs="Calibri"/>
                <w:color w:val="000000"/>
                <w:szCs w:val="20"/>
              </w:rPr>
            </w:pPr>
            <w:r w:rsidRPr="00F96E54">
              <w:rPr>
                <w:rFonts w:cs="Calibri"/>
                <w:color w:val="000000"/>
                <w:spacing w:val="177"/>
                <w:szCs w:val="20"/>
                <w:shd w:val="solid" w:color="000000" w:fill="000000"/>
                <w:fitText w:val="263" w:id="-1435343098"/>
                <w14:textFill>
                  <w14:solidFill>
                    <w14:srgbClr w14:val="000000">
                      <w14:alpha w14:val="100000"/>
                    </w14:srgbClr>
                  </w14:solidFill>
                </w14:textFill>
              </w:rPr>
              <w:t>|</w:t>
            </w:r>
            <w:r w:rsidRPr="00F96E54">
              <w:rPr>
                <w:rFonts w:cs="Calibri"/>
                <w:color w:val="000000"/>
                <w:spacing w:val="1"/>
                <w:szCs w:val="20"/>
                <w:shd w:val="solid" w:color="000000" w:fill="000000"/>
                <w:fitText w:val="263" w:id="-1435343098"/>
                <w14:textFill>
                  <w14:solidFill>
                    <w14:srgbClr w14:val="000000">
                      <w14:alpha w14:val="100000"/>
                    </w14:srgbClr>
                  </w14:solidFill>
                </w14:textFill>
              </w:rPr>
              <w:t>|</w:t>
            </w:r>
            <w:r w:rsidR="00B75DC4">
              <w:rPr>
                <w:szCs w:val="20"/>
                <w:vertAlign w:val="superscript"/>
              </w:rPr>
              <w:t>4</w:t>
            </w:r>
          </w:p>
        </w:tc>
        <w:tc>
          <w:tcPr>
            <w:tcW w:w="493" w:type="pct"/>
            <w:tcBorders>
              <w:top w:val="single" w:sz="4" w:space="0" w:color="auto"/>
              <w:bottom w:val="single" w:sz="4" w:space="0" w:color="auto"/>
            </w:tcBorders>
            <w:shd w:val="clear" w:color="auto" w:fill="auto"/>
            <w:vAlign w:val="center"/>
          </w:tcPr>
          <w:p w14:paraId="3A0D8C24" w14:textId="2C66DBC6" w:rsidR="000A1519" w:rsidRPr="00314E42" w:rsidRDefault="00F96E54" w:rsidP="00014A9C">
            <w:pPr>
              <w:pStyle w:val="TableText"/>
              <w:keepLines/>
              <w:ind w:left="-57"/>
              <w:jc w:val="center"/>
              <w:rPr>
                <w:rFonts w:cs="Calibri"/>
                <w:color w:val="000000"/>
                <w:szCs w:val="20"/>
              </w:rPr>
            </w:pPr>
            <w:r w:rsidRPr="00F96E54">
              <w:rPr>
                <w:rFonts w:cs="Calibri"/>
                <w:color w:val="000000"/>
                <w:spacing w:val="177"/>
                <w:szCs w:val="20"/>
                <w:shd w:val="solid" w:color="000000" w:fill="000000"/>
                <w:fitText w:val="263" w:id="-1435343097"/>
                <w14:textFill>
                  <w14:solidFill>
                    <w14:srgbClr w14:val="000000">
                      <w14:alpha w14:val="100000"/>
                    </w14:srgbClr>
                  </w14:solidFill>
                </w14:textFill>
              </w:rPr>
              <w:t>|</w:t>
            </w:r>
            <w:r w:rsidRPr="00F96E54">
              <w:rPr>
                <w:rFonts w:cs="Calibri"/>
                <w:color w:val="000000"/>
                <w:spacing w:val="1"/>
                <w:szCs w:val="20"/>
                <w:shd w:val="solid" w:color="000000" w:fill="000000"/>
                <w:fitText w:val="263" w:id="-1435343097"/>
                <w14:textFill>
                  <w14:solidFill>
                    <w14:srgbClr w14:val="000000">
                      <w14:alpha w14:val="100000"/>
                    </w14:srgbClr>
                  </w14:solidFill>
                </w14:textFill>
              </w:rPr>
              <w:t>|</w:t>
            </w:r>
            <w:r w:rsidR="00B75DC4">
              <w:rPr>
                <w:szCs w:val="20"/>
                <w:vertAlign w:val="superscript"/>
              </w:rPr>
              <w:t>4</w:t>
            </w:r>
          </w:p>
        </w:tc>
        <w:tc>
          <w:tcPr>
            <w:tcW w:w="518" w:type="pct"/>
            <w:tcBorders>
              <w:top w:val="single" w:sz="4" w:space="0" w:color="auto"/>
              <w:bottom w:val="single" w:sz="4" w:space="0" w:color="auto"/>
            </w:tcBorders>
            <w:shd w:val="clear" w:color="auto" w:fill="auto"/>
            <w:vAlign w:val="center"/>
          </w:tcPr>
          <w:p w14:paraId="34C61F1D" w14:textId="0BEE9219" w:rsidR="000A1519" w:rsidRPr="00314E42" w:rsidRDefault="00F96E54" w:rsidP="00014A9C">
            <w:pPr>
              <w:pStyle w:val="TableText"/>
              <w:keepLines/>
              <w:ind w:left="-57"/>
              <w:jc w:val="center"/>
              <w:rPr>
                <w:rFonts w:cs="Calibri"/>
                <w:color w:val="000000"/>
                <w:szCs w:val="20"/>
              </w:rPr>
            </w:pPr>
            <w:r w:rsidRPr="00F96E54">
              <w:rPr>
                <w:rFonts w:cs="Calibri"/>
                <w:color w:val="000000"/>
                <w:spacing w:val="165"/>
                <w:szCs w:val="20"/>
                <w:shd w:val="solid" w:color="000000" w:fill="000000"/>
                <w:fitText w:val="251" w:id="-1435343096"/>
                <w14:textFill>
                  <w14:solidFill>
                    <w14:srgbClr w14:val="000000">
                      <w14:alpha w14:val="100000"/>
                    </w14:srgbClr>
                  </w14:solidFill>
                </w14:textFill>
              </w:rPr>
              <w:t>|</w:t>
            </w:r>
            <w:r w:rsidRPr="00F96E54">
              <w:rPr>
                <w:rFonts w:cs="Calibri"/>
                <w:color w:val="000000"/>
                <w:spacing w:val="1"/>
                <w:szCs w:val="20"/>
                <w:shd w:val="solid" w:color="000000" w:fill="000000"/>
                <w:fitText w:val="251" w:id="-1435343096"/>
                <w14:textFill>
                  <w14:solidFill>
                    <w14:srgbClr w14:val="000000">
                      <w14:alpha w14:val="100000"/>
                    </w14:srgbClr>
                  </w14:solidFill>
                </w14:textFill>
              </w:rPr>
              <w:t>|</w:t>
            </w:r>
            <w:r w:rsidR="00B75DC4">
              <w:rPr>
                <w:szCs w:val="20"/>
                <w:vertAlign w:val="superscript"/>
              </w:rPr>
              <w:t>4</w:t>
            </w:r>
          </w:p>
        </w:tc>
      </w:tr>
      <w:tr w:rsidR="000A1519" w:rsidRPr="006440B8" w14:paraId="17FD6822" w14:textId="77777777" w:rsidTr="00A361A7">
        <w:tc>
          <w:tcPr>
            <w:tcW w:w="1961" w:type="pct"/>
            <w:tcBorders>
              <w:bottom w:val="double" w:sz="4" w:space="0" w:color="auto"/>
            </w:tcBorders>
          </w:tcPr>
          <w:p w14:paraId="52FB5843" w14:textId="77777777" w:rsidR="000A1519" w:rsidRPr="00314E42" w:rsidRDefault="000A1519" w:rsidP="00014A9C">
            <w:pPr>
              <w:pStyle w:val="TableText"/>
              <w:keepLines/>
              <w:tabs>
                <w:tab w:val="right" w:pos="3513"/>
              </w:tabs>
              <w:ind w:left="-57" w:right="-68"/>
              <w:rPr>
                <w:rFonts w:cstheme="minorHAnsi"/>
                <w:b/>
                <w:bCs w:val="0"/>
                <w:szCs w:val="20"/>
              </w:rPr>
            </w:pPr>
            <w:r w:rsidRPr="00314E42">
              <w:rPr>
                <w:rFonts w:cstheme="minorHAnsi"/>
                <w:b/>
                <w:bCs w:val="0"/>
                <w:szCs w:val="20"/>
              </w:rPr>
              <w:t xml:space="preserve">Total scripts </w:t>
            </w:r>
          </w:p>
        </w:tc>
        <w:tc>
          <w:tcPr>
            <w:tcW w:w="549" w:type="pct"/>
            <w:tcBorders>
              <w:bottom w:val="double" w:sz="4" w:space="0" w:color="auto"/>
            </w:tcBorders>
            <w:vAlign w:val="center"/>
          </w:tcPr>
          <w:p w14:paraId="0F75E58C" w14:textId="6E74923A" w:rsidR="000A1519" w:rsidRPr="00C950B3" w:rsidRDefault="00F96E54" w:rsidP="00014A9C">
            <w:pPr>
              <w:pStyle w:val="TableText"/>
              <w:keepLines/>
              <w:ind w:left="-57"/>
              <w:jc w:val="center"/>
              <w:rPr>
                <w:rFonts w:cs="Calibri"/>
                <w:b/>
                <w:bCs w:val="0"/>
                <w:color w:val="000000"/>
                <w:szCs w:val="20"/>
                <w:highlight w:val="darkGray"/>
              </w:rPr>
            </w:pPr>
            <w:r w:rsidRPr="00F96E54">
              <w:rPr>
                <w:rFonts w:cs="Calibri"/>
                <w:b/>
                <w:bCs w:val="0"/>
                <w:color w:val="000000"/>
                <w:spacing w:val="158"/>
                <w:szCs w:val="20"/>
                <w:shd w:val="solid" w:color="000000" w:fill="000000"/>
                <w:fitText w:val="250" w:id="-1435343095"/>
                <w14:textFill>
                  <w14:solidFill>
                    <w14:srgbClr w14:val="000000">
                      <w14:alpha w14:val="100000"/>
                    </w14:srgbClr>
                  </w14:solidFill>
                </w14:textFill>
              </w:rPr>
              <w:t>|</w:t>
            </w:r>
            <w:r w:rsidRPr="00F96E54">
              <w:rPr>
                <w:rFonts w:cs="Calibri"/>
                <w:b/>
                <w:bCs w:val="0"/>
                <w:color w:val="000000"/>
                <w:spacing w:val="1"/>
                <w:szCs w:val="20"/>
                <w:shd w:val="solid" w:color="000000" w:fill="000000"/>
                <w:fitText w:val="250" w:id="-1435343095"/>
                <w14:textFill>
                  <w14:solidFill>
                    <w14:srgbClr w14:val="000000">
                      <w14:alpha w14:val="100000"/>
                    </w14:srgbClr>
                  </w14:solidFill>
                </w14:textFill>
              </w:rPr>
              <w:t>|</w:t>
            </w:r>
            <w:r w:rsidR="00B75DC4">
              <w:rPr>
                <w:szCs w:val="20"/>
                <w:vertAlign w:val="superscript"/>
              </w:rPr>
              <w:t>4</w:t>
            </w:r>
          </w:p>
        </w:tc>
        <w:tc>
          <w:tcPr>
            <w:tcW w:w="493" w:type="pct"/>
            <w:tcBorders>
              <w:bottom w:val="double" w:sz="4" w:space="0" w:color="auto"/>
            </w:tcBorders>
            <w:vAlign w:val="center"/>
          </w:tcPr>
          <w:p w14:paraId="38F3F238" w14:textId="7CD73B02" w:rsidR="000A1519" w:rsidRPr="00314E42" w:rsidRDefault="00F96E54" w:rsidP="00014A9C">
            <w:pPr>
              <w:pStyle w:val="TableText"/>
              <w:keepLines/>
              <w:ind w:left="-57"/>
              <w:jc w:val="center"/>
              <w:rPr>
                <w:rFonts w:cs="Calibri"/>
                <w:b/>
                <w:bCs w:val="0"/>
                <w:color w:val="000000"/>
                <w:szCs w:val="20"/>
              </w:rPr>
            </w:pPr>
            <w:r w:rsidRPr="00F96E54">
              <w:rPr>
                <w:rFonts w:cs="Calibri"/>
                <w:b/>
                <w:bCs w:val="0"/>
                <w:color w:val="000000"/>
                <w:spacing w:val="39"/>
                <w:szCs w:val="20"/>
                <w:shd w:val="solid" w:color="000000" w:fill="000000"/>
                <w:fitText w:val="301" w:id="-1435343094"/>
                <w14:textFill>
                  <w14:solidFill>
                    <w14:srgbClr w14:val="000000">
                      <w14:alpha w14:val="100000"/>
                    </w14:srgbClr>
                  </w14:solidFill>
                </w14:textFill>
              </w:rPr>
              <w:t>|||</w:t>
            </w:r>
            <w:r w:rsidRPr="00F96E54">
              <w:rPr>
                <w:rFonts w:cs="Calibri"/>
                <w:b/>
                <w:bCs w:val="0"/>
                <w:color w:val="000000"/>
                <w:spacing w:val="1"/>
                <w:szCs w:val="20"/>
                <w:shd w:val="solid" w:color="000000" w:fill="000000"/>
                <w:fitText w:val="301" w:id="-1435343094"/>
                <w14:textFill>
                  <w14:solidFill>
                    <w14:srgbClr w14:val="000000">
                      <w14:alpha w14:val="100000"/>
                    </w14:srgbClr>
                  </w14:solidFill>
                </w14:textFill>
              </w:rPr>
              <w:t>|</w:t>
            </w:r>
            <w:r w:rsidR="00B75DC4">
              <w:rPr>
                <w:szCs w:val="20"/>
                <w:vertAlign w:val="superscript"/>
              </w:rPr>
              <w:t>4</w:t>
            </w:r>
          </w:p>
        </w:tc>
        <w:tc>
          <w:tcPr>
            <w:tcW w:w="493" w:type="pct"/>
            <w:tcBorders>
              <w:bottom w:val="double" w:sz="4" w:space="0" w:color="auto"/>
            </w:tcBorders>
            <w:vAlign w:val="center"/>
          </w:tcPr>
          <w:p w14:paraId="01A01754" w14:textId="49D56D24" w:rsidR="000A1519" w:rsidRPr="00314E42" w:rsidRDefault="00F96E54" w:rsidP="00014A9C">
            <w:pPr>
              <w:pStyle w:val="TableText"/>
              <w:keepLines/>
              <w:ind w:left="-57"/>
              <w:jc w:val="center"/>
              <w:rPr>
                <w:rFonts w:cs="Calibri"/>
                <w:b/>
                <w:bCs w:val="0"/>
                <w:color w:val="000000"/>
                <w:szCs w:val="20"/>
              </w:rPr>
            </w:pPr>
            <w:r w:rsidRPr="00F96E54">
              <w:rPr>
                <w:rFonts w:cs="Calibri"/>
                <w:b/>
                <w:bCs w:val="0"/>
                <w:color w:val="000000"/>
                <w:spacing w:val="39"/>
                <w:szCs w:val="20"/>
                <w:shd w:val="solid" w:color="000000" w:fill="000000"/>
                <w:fitText w:val="301" w:id="-1435343093"/>
                <w14:textFill>
                  <w14:solidFill>
                    <w14:srgbClr w14:val="000000">
                      <w14:alpha w14:val="100000"/>
                    </w14:srgbClr>
                  </w14:solidFill>
                </w14:textFill>
              </w:rPr>
              <w:t>|||</w:t>
            </w:r>
            <w:r w:rsidRPr="00F96E54">
              <w:rPr>
                <w:rFonts w:cs="Calibri"/>
                <w:b/>
                <w:bCs w:val="0"/>
                <w:color w:val="000000"/>
                <w:spacing w:val="1"/>
                <w:szCs w:val="20"/>
                <w:shd w:val="solid" w:color="000000" w:fill="000000"/>
                <w:fitText w:val="301" w:id="-1435343093"/>
                <w14:textFill>
                  <w14:solidFill>
                    <w14:srgbClr w14:val="000000">
                      <w14:alpha w14:val="100000"/>
                    </w14:srgbClr>
                  </w14:solidFill>
                </w14:textFill>
              </w:rPr>
              <w:t>|</w:t>
            </w:r>
            <w:r w:rsidR="00B75DC4">
              <w:rPr>
                <w:szCs w:val="20"/>
                <w:vertAlign w:val="superscript"/>
              </w:rPr>
              <w:t>4</w:t>
            </w:r>
          </w:p>
        </w:tc>
        <w:tc>
          <w:tcPr>
            <w:tcW w:w="493" w:type="pct"/>
            <w:tcBorders>
              <w:bottom w:val="double" w:sz="4" w:space="0" w:color="auto"/>
            </w:tcBorders>
            <w:vAlign w:val="center"/>
          </w:tcPr>
          <w:p w14:paraId="75ABA1D7" w14:textId="798E1BF2" w:rsidR="000A1519" w:rsidRPr="00314E42" w:rsidRDefault="00F96E54" w:rsidP="00014A9C">
            <w:pPr>
              <w:pStyle w:val="TableText"/>
              <w:keepLines/>
              <w:ind w:left="-57"/>
              <w:jc w:val="center"/>
              <w:rPr>
                <w:rFonts w:cs="Calibri"/>
                <w:b/>
                <w:bCs w:val="0"/>
                <w:color w:val="000000"/>
                <w:szCs w:val="20"/>
              </w:rPr>
            </w:pPr>
            <w:r w:rsidRPr="00F96E54">
              <w:rPr>
                <w:rFonts w:cs="Calibri"/>
                <w:b/>
                <w:bCs w:val="0"/>
                <w:color w:val="000000"/>
                <w:spacing w:val="39"/>
                <w:szCs w:val="20"/>
                <w:shd w:val="solid" w:color="000000" w:fill="000000"/>
                <w:fitText w:val="301" w:id="-1435343092"/>
                <w14:textFill>
                  <w14:solidFill>
                    <w14:srgbClr w14:val="000000">
                      <w14:alpha w14:val="100000"/>
                    </w14:srgbClr>
                  </w14:solidFill>
                </w14:textFill>
              </w:rPr>
              <w:t>|||</w:t>
            </w:r>
            <w:r w:rsidRPr="00F96E54">
              <w:rPr>
                <w:rFonts w:cs="Calibri"/>
                <w:b/>
                <w:bCs w:val="0"/>
                <w:color w:val="000000"/>
                <w:spacing w:val="1"/>
                <w:szCs w:val="20"/>
                <w:shd w:val="solid" w:color="000000" w:fill="000000"/>
                <w:fitText w:val="301" w:id="-1435343092"/>
                <w14:textFill>
                  <w14:solidFill>
                    <w14:srgbClr w14:val="000000">
                      <w14:alpha w14:val="100000"/>
                    </w14:srgbClr>
                  </w14:solidFill>
                </w14:textFill>
              </w:rPr>
              <w:t>|</w:t>
            </w:r>
            <w:r w:rsidR="00B75DC4">
              <w:rPr>
                <w:szCs w:val="20"/>
                <w:vertAlign w:val="superscript"/>
              </w:rPr>
              <w:t>4</w:t>
            </w:r>
          </w:p>
        </w:tc>
        <w:tc>
          <w:tcPr>
            <w:tcW w:w="493" w:type="pct"/>
            <w:tcBorders>
              <w:bottom w:val="double" w:sz="4" w:space="0" w:color="auto"/>
            </w:tcBorders>
            <w:vAlign w:val="center"/>
          </w:tcPr>
          <w:p w14:paraId="546CBB61" w14:textId="6BFEAFB8" w:rsidR="000A1519" w:rsidRPr="00314E42" w:rsidRDefault="00F96E54" w:rsidP="00014A9C">
            <w:pPr>
              <w:pStyle w:val="TableText"/>
              <w:keepLines/>
              <w:ind w:left="-57"/>
              <w:jc w:val="center"/>
              <w:rPr>
                <w:rFonts w:cs="Calibri"/>
                <w:b/>
                <w:bCs w:val="0"/>
                <w:color w:val="000000"/>
                <w:szCs w:val="20"/>
              </w:rPr>
            </w:pPr>
            <w:r w:rsidRPr="00F96E54">
              <w:rPr>
                <w:rFonts w:cs="Calibri"/>
                <w:b/>
                <w:bCs w:val="0"/>
                <w:color w:val="000000"/>
                <w:spacing w:val="39"/>
                <w:szCs w:val="20"/>
                <w:shd w:val="solid" w:color="000000" w:fill="000000"/>
                <w:fitText w:val="301" w:id="-1435343091"/>
                <w14:textFill>
                  <w14:solidFill>
                    <w14:srgbClr w14:val="000000">
                      <w14:alpha w14:val="100000"/>
                    </w14:srgbClr>
                  </w14:solidFill>
                </w14:textFill>
              </w:rPr>
              <w:t>|||</w:t>
            </w:r>
            <w:r w:rsidRPr="00F96E54">
              <w:rPr>
                <w:rFonts w:cs="Calibri"/>
                <w:b/>
                <w:bCs w:val="0"/>
                <w:color w:val="000000"/>
                <w:spacing w:val="1"/>
                <w:szCs w:val="20"/>
                <w:shd w:val="solid" w:color="000000" w:fill="000000"/>
                <w:fitText w:val="301" w:id="-1435343091"/>
                <w14:textFill>
                  <w14:solidFill>
                    <w14:srgbClr w14:val="000000">
                      <w14:alpha w14:val="100000"/>
                    </w14:srgbClr>
                  </w14:solidFill>
                </w14:textFill>
              </w:rPr>
              <w:t>|</w:t>
            </w:r>
            <w:r w:rsidR="00B75DC4">
              <w:rPr>
                <w:szCs w:val="20"/>
                <w:vertAlign w:val="superscript"/>
              </w:rPr>
              <w:t>4</w:t>
            </w:r>
          </w:p>
        </w:tc>
        <w:tc>
          <w:tcPr>
            <w:tcW w:w="518" w:type="pct"/>
            <w:tcBorders>
              <w:bottom w:val="double" w:sz="4" w:space="0" w:color="auto"/>
            </w:tcBorders>
            <w:vAlign w:val="center"/>
          </w:tcPr>
          <w:p w14:paraId="6A5D4A6F" w14:textId="2E783619" w:rsidR="000A1519" w:rsidRPr="00314E42" w:rsidRDefault="00F96E54" w:rsidP="00014A9C">
            <w:pPr>
              <w:pStyle w:val="TableText"/>
              <w:keepLines/>
              <w:ind w:left="-57"/>
              <w:jc w:val="center"/>
              <w:rPr>
                <w:rFonts w:cs="Calibri"/>
                <w:b/>
                <w:bCs w:val="0"/>
                <w:color w:val="000000"/>
                <w:szCs w:val="20"/>
              </w:rPr>
            </w:pPr>
            <w:r w:rsidRPr="00F96E54">
              <w:rPr>
                <w:rFonts w:cs="Calibri"/>
                <w:b/>
                <w:bCs w:val="0"/>
                <w:color w:val="000000"/>
                <w:spacing w:val="196"/>
                <w:szCs w:val="20"/>
                <w:shd w:val="solid" w:color="000000" w:fill="000000"/>
                <w:fitText w:val="288" w:id="-1435343090"/>
                <w14:textFill>
                  <w14:solidFill>
                    <w14:srgbClr w14:val="000000">
                      <w14:alpha w14:val="100000"/>
                    </w14:srgbClr>
                  </w14:solidFill>
                </w14:textFill>
              </w:rPr>
              <w:t>|</w:t>
            </w:r>
            <w:r w:rsidRPr="00F96E54">
              <w:rPr>
                <w:rFonts w:cs="Calibri"/>
                <w:b/>
                <w:bCs w:val="0"/>
                <w:color w:val="000000"/>
                <w:spacing w:val="1"/>
                <w:szCs w:val="20"/>
                <w:shd w:val="solid" w:color="000000" w:fill="000000"/>
                <w:fitText w:val="288" w:id="-1435343090"/>
                <w14:textFill>
                  <w14:solidFill>
                    <w14:srgbClr w14:val="000000">
                      <w14:alpha w14:val="100000"/>
                    </w14:srgbClr>
                  </w14:solidFill>
                </w14:textFill>
              </w:rPr>
              <w:t>|</w:t>
            </w:r>
            <w:r w:rsidR="00B75DC4">
              <w:rPr>
                <w:szCs w:val="20"/>
                <w:vertAlign w:val="superscript"/>
              </w:rPr>
              <w:t>4</w:t>
            </w:r>
          </w:p>
        </w:tc>
      </w:tr>
      <w:tr w:rsidR="000A1519" w:rsidRPr="006440B8" w14:paraId="18338150" w14:textId="77777777" w:rsidTr="00A361A7">
        <w:tc>
          <w:tcPr>
            <w:tcW w:w="5000" w:type="pct"/>
            <w:gridSpan w:val="7"/>
          </w:tcPr>
          <w:p w14:paraId="6F9091BA" w14:textId="77777777" w:rsidR="000A1519" w:rsidRPr="006440B8" w:rsidRDefault="000A1519" w:rsidP="00014A9C">
            <w:pPr>
              <w:pStyle w:val="TableText"/>
              <w:keepLines/>
              <w:ind w:left="-65" w:right="-82"/>
              <w:rPr>
                <w:rFonts w:cs="Calibri"/>
                <w:b/>
                <w:bCs w:val="0"/>
                <w:color w:val="000000"/>
                <w:szCs w:val="20"/>
              </w:rPr>
            </w:pPr>
            <w:r w:rsidRPr="006440B8">
              <w:rPr>
                <w:rFonts w:cs="Calibri"/>
                <w:b/>
                <w:bCs w:val="0"/>
                <w:color w:val="000000"/>
                <w:szCs w:val="20"/>
              </w:rPr>
              <w:t>Cost of ruxolitinib to the PBS/RPBS (effective price)</w:t>
            </w:r>
          </w:p>
        </w:tc>
      </w:tr>
      <w:tr w:rsidR="000A1519" w:rsidRPr="006440B8" w14:paraId="16AD5FBB" w14:textId="77777777" w:rsidTr="00A361A7">
        <w:tc>
          <w:tcPr>
            <w:tcW w:w="1961" w:type="pct"/>
          </w:tcPr>
          <w:p w14:paraId="0AF48D8B" w14:textId="77777777" w:rsidR="000A1519" w:rsidRPr="006440B8" w:rsidRDefault="000A1519" w:rsidP="00014A9C">
            <w:pPr>
              <w:pStyle w:val="TableText"/>
              <w:keepLines/>
              <w:tabs>
                <w:tab w:val="right" w:pos="3513"/>
              </w:tabs>
              <w:ind w:left="-57" w:right="-68"/>
              <w:rPr>
                <w:b/>
                <w:bCs w:val="0"/>
                <w:szCs w:val="20"/>
              </w:rPr>
            </w:pPr>
            <w:r w:rsidRPr="006440B8">
              <w:rPr>
                <w:szCs w:val="20"/>
              </w:rPr>
              <w:t xml:space="preserve">Cost of ruxolitinib 5 mg </w:t>
            </w:r>
          </w:p>
        </w:tc>
        <w:tc>
          <w:tcPr>
            <w:tcW w:w="549" w:type="pct"/>
            <w:vAlign w:val="center"/>
          </w:tcPr>
          <w:p w14:paraId="62E6B8CE" w14:textId="257BE760"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55"/>
                <w:szCs w:val="20"/>
                <w:shd w:val="solid" w:color="000000" w:fill="000000"/>
                <w:fitText w:val="238" w:id="-1435343089"/>
                <w14:textFill>
                  <w14:solidFill>
                    <w14:srgbClr w14:val="000000">
                      <w14:alpha w14:val="100000"/>
                    </w14:srgbClr>
                  </w14:solidFill>
                </w14:textFill>
              </w:rPr>
              <w:t>||</w:t>
            </w:r>
            <w:r w:rsidR="00F96E54" w:rsidRPr="00F96E54">
              <w:rPr>
                <w:color w:val="000000"/>
                <w:spacing w:val="1"/>
                <w:szCs w:val="20"/>
                <w:shd w:val="solid" w:color="000000" w:fill="000000"/>
                <w:fitText w:val="238" w:id="-1435343089"/>
                <w14:textFill>
                  <w14:solidFill>
                    <w14:srgbClr w14:val="000000">
                      <w14:alpha w14:val="100000"/>
                    </w14:srgbClr>
                  </w14:solidFill>
                </w14:textFill>
              </w:rPr>
              <w:t>|</w:t>
            </w:r>
            <w:r w:rsidR="00B75DC4">
              <w:rPr>
                <w:szCs w:val="20"/>
                <w:vertAlign w:val="superscript"/>
              </w:rPr>
              <w:t>6</w:t>
            </w:r>
          </w:p>
        </w:tc>
        <w:tc>
          <w:tcPr>
            <w:tcW w:w="493" w:type="pct"/>
            <w:vAlign w:val="center"/>
          </w:tcPr>
          <w:p w14:paraId="484C903A" w14:textId="31C957B0"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190"/>
                <w:szCs w:val="20"/>
                <w:shd w:val="solid" w:color="000000" w:fill="000000"/>
                <w:fitText w:val="276" w:id="-1435343088"/>
                <w14:textFill>
                  <w14:solidFill>
                    <w14:srgbClr w14:val="000000">
                      <w14:alpha w14:val="100000"/>
                    </w14:srgbClr>
                  </w14:solidFill>
                </w14:textFill>
              </w:rPr>
              <w:t>|</w:t>
            </w:r>
            <w:r w:rsidR="00F96E54" w:rsidRPr="00F96E54">
              <w:rPr>
                <w:color w:val="000000"/>
                <w:spacing w:val="1"/>
                <w:szCs w:val="20"/>
                <w:shd w:val="solid" w:color="000000" w:fill="000000"/>
                <w:fitText w:val="276" w:id="-1435343088"/>
                <w14:textFill>
                  <w14:solidFill>
                    <w14:srgbClr w14:val="000000">
                      <w14:alpha w14:val="100000"/>
                    </w14:srgbClr>
                  </w14:solidFill>
                </w14:textFill>
              </w:rPr>
              <w:t>|</w:t>
            </w:r>
            <w:r w:rsidR="00B75DC4">
              <w:rPr>
                <w:szCs w:val="20"/>
                <w:vertAlign w:val="superscript"/>
              </w:rPr>
              <w:t>6</w:t>
            </w:r>
          </w:p>
        </w:tc>
        <w:tc>
          <w:tcPr>
            <w:tcW w:w="493" w:type="pct"/>
            <w:vAlign w:val="center"/>
          </w:tcPr>
          <w:p w14:paraId="3C45CF4C" w14:textId="1033F48D"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190"/>
                <w:szCs w:val="20"/>
                <w:shd w:val="solid" w:color="000000" w:fill="000000"/>
                <w:fitText w:val="276" w:id="-1435343104"/>
                <w14:textFill>
                  <w14:solidFill>
                    <w14:srgbClr w14:val="000000">
                      <w14:alpha w14:val="100000"/>
                    </w14:srgbClr>
                  </w14:solidFill>
                </w14:textFill>
              </w:rPr>
              <w:t>|</w:t>
            </w:r>
            <w:r w:rsidR="00F96E54" w:rsidRPr="00F96E54">
              <w:rPr>
                <w:color w:val="000000"/>
                <w:spacing w:val="1"/>
                <w:szCs w:val="20"/>
                <w:shd w:val="solid" w:color="000000" w:fill="000000"/>
                <w:fitText w:val="276" w:id="-1435343104"/>
                <w14:textFill>
                  <w14:solidFill>
                    <w14:srgbClr w14:val="000000">
                      <w14:alpha w14:val="100000"/>
                    </w14:srgbClr>
                  </w14:solidFill>
                </w14:textFill>
              </w:rPr>
              <w:t>|</w:t>
            </w:r>
            <w:r w:rsidR="00B75DC4">
              <w:rPr>
                <w:szCs w:val="20"/>
                <w:vertAlign w:val="superscript"/>
              </w:rPr>
              <w:t>6</w:t>
            </w:r>
          </w:p>
        </w:tc>
        <w:tc>
          <w:tcPr>
            <w:tcW w:w="493" w:type="pct"/>
            <w:vAlign w:val="center"/>
          </w:tcPr>
          <w:p w14:paraId="5D2E625C" w14:textId="4748C027"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190"/>
                <w:szCs w:val="20"/>
                <w:shd w:val="solid" w:color="000000" w:fill="000000"/>
                <w:fitText w:val="276" w:id="-1435343103"/>
                <w14:textFill>
                  <w14:solidFill>
                    <w14:srgbClr w14:val="000000">
                      <w14:alpha w14:val="100000"/>
                    </w14:srgbClr>
                  </w14:solidFill>
                </w14:textFill>
              </w:rPr>
              <w:t>|</w:t>
            </w:r>
            <w:r w:rsidR="00F96E54" w:rsidRPr="00F96E54">
              <w:rPr>
                <w:color w:val="000000"/>
                <w:spacing w:val="1"/>
                <w:szCs w:val="20"/>
                <w:shd w:val="solid" w:color="000000" w:fill="000000"/>
                <w:fitText w:val="276" w:id="-1435343103"/>
                <w14:textFill>
                  <w14:solidFill>
                    <w14:srgbClr w14:val="000000">
                      <w14:alpha w14:val="100000"/>
                    </w14:srgbClr>
                  </w14:solidFill>
                </w14:textFill>
              </w:rPr>
              <w:t>|</w:t>
            </w:r>
            <w:r w:rsidR="00B75DC4">
              <w:rPr>
                <w:szCs w:val="20"/>
                <w:vertAlign w:val="superscript"/>
              </w:rPr>
              <w:t>6</w:t>
            </w:r>
          </w:p>
        </w:tc>
        <w:tc>
          <w:tcPr>
            <w:tcW w:w="493" w:type="pct"/>
            <w:vAlign w:val="center"/>
          </w:tcPr>
          <w:p w14:paraId="578055C3" w14:textId="663A4D15"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189"/>
                <w:szCs w:val="20"/>
                <w:shd w:val="solid" w:color="000000" w:fill="000000"/>
                <w:fitText w:val="275" w:id="-1435343102"/>
                <w14:textFill>
                  <w14:solidFill>
                    <w14:srgbClr w14:val="000000">
                      <w14:alpha w14:val="100000"/>
                    </w14:srgbClr>
                  </w14:solidFill>
                </w14:textFill>
              </w:rPr>
              <w:t>|</w:t>
            </w:r>
            <w:r w:rsidR="00F96E54" w:rsidRPr="00F96E54">
              <w:rPr>
                <w:color w:val="000000"/>
                <w:spacing w:val="1"/>
                <w:szCs w:val="20"/>
                <w:shd w:val="solid" w:color="000000" w:fill="000000"/>
                <w:fitText w:val="275" w:id="-1435343102"/>
                <w14:textFill>
                  <w14:solidFill>
                    <w14:srgbClr w14:val="000000">
                      <w14:alpha w14:val="100000"/>
                    </w14:srgbClr>
                  </w14:solidFill>
                </w14:textFill>
              </w:rPr>
              <w:t>|</w:t>
            </w:r>
            <w:r w:rsidR="00B75DC4">
              <w:rPr>
                <w:szCs w:val="20"/>
                <w:vertAlign w:val="superscript"/>
              </w:rPr>
              <w:t>6</w:t>
            </w:r>
          </w:p>
        </w:tc>
        <w:tc>
          <w:tcPr>
            <w:tcW w:w="518" w:type="pct"/>
            <w:vAlign w:val="center"/>
          </w:tcPr>
          <w:p w14:paraId="7166FAB8" w14:textId="7BCF89B9" w:rsidR="000A1519" w:rsidRPr="00C950B3" w:rsidRDefault="000A1519" w:rsidP="00014A9C">
            <w:pPr>
              <w:pStyle w:val="TableText"/>
              <w:keepLines/>
              <w:ind w:left="-65" w:right="-82"/>
              <w:jc w:val="center"/>
              <w:rPr>
                <w:rFonts w:cs="Calibri"/>
                <w:b/>
                <w:bCs w:val="0"/>
                <w:color w:val="000000"/>
                <w:szCs w:val="20"/>
                <w:highlight w:val="darkGray"/>
              </w:rPr>
            </w:pPr>
            <w:r w:rsidRPr="00320844">
              <w:rPr>
                <w:szCs w:val="20"/>
              </w:rPr>
              <w:t>$</w:t>
            </w:r>
            <w:r w:rsidR="00F96E54" w:rsidRPr="00F96E54">
              <w:rPr>
                <w:color w:val="000000"/>
                <w:spacing w:val="164"/>
                <w:szCs w:val="20"/>
                <w:shd w:val="solid" w:color="000000" w:fill="000000"/>
                <w:fitText w:val="250" w:id="-1435343101"/>
                <w14:textFill>
                  <w14:solidFill>
                    <w14:srgbClr w14:val="000000">
                      <w14:alpha w14:val="100000"/>
                    </w14:srgbClr>
                  </w14:solidFill>
                </w14:textFill>
              </w:rPr>
              <w:t>|</w:t>
            </w:r>
            <w:r w:rsidR="00F96E54" w:rsidRPr="00F96E54">
              <w:rPr>
                <w:color w:val="000000"/>
                <w:spacing w:val="1"/>
                <w:szCs w:val="20"/>
                <w:shd w:val="solid" w:color="000000" w:fill="000000"/>
                <w:fitText w:val="250" w:id="-1435343101"/>
                <w14:textFill>
                  <w14:solidFill>
                    <w14:srgbClr w14:val="000000">
                      <w14:alpha w14:val="100000"/>
                    </w14:srgbClr>
                  </w14:solidFill>
                </w14:textFill>
              </w:rPr>
              <w:t>|</w:t>
            </w:r>
            <w:r w:rsidR="00B75DC4">
              <w:rPr>
                <w:szCs w:val="20"/>
                <w:vertAlign w:val="superscript"/>
              </w:rPr>
              <w:t>6</w:t>
            </w:r>
          </w:p>
        </w:tc>
      </w:tr>
      <w:tr w:rsidR="000A1519" w:rsidRPr="006440B8" w14:paraId="51C1B553" w14:textId="77777777" w:rsidTr="00A361A7">
        <w:trPr>
          <w:trHeight w:val="25"/>
        </w:trPr>
        <w:tc>
          <w:tcPr>
            <w:tcW w:w="1961" w:type="pct"/>
          </w:tcPr>
          <w:p w14:paraId="143E3837" w14:textId="77777777" w:rsidR="000A1519" w:rsidRPr="006440B8" w:rsidRDefault="000A1519" w:rsidP="00014A9C">
            <w:pPr>
              <w:pStyle w:val="TableText"/>
              <w:keepLines/>
              <w:tabs>
                <w:tab w:val="right" w:pos="3513"/>
              </w:tabs>
              <w:ind w:left="-57" w:right="-68"/>
              <w:rPr>
                <w:b/>
                <w:bCs w:val="0"/>
                <w:szCs w:val="20"/>
              </w:rPr>
            </w:pPr>
            <w:r w:rsidRPr="006440B8">
              <w:rPr>
                <w:szCs w:val="20"/>
              </w:rPr>
              <w:t xml:space="preserve">Cost of ruxolitinib 10 mg </w:t>
            </w:r>
          </w:p>
        </w:tc>
        <w:tc>
          <w:tcPr>
            <w:tcW w:w="549" w:type="pct"/>
            <w:vAlign w:val="center"/>
          </w:tcPr>
          <w:p w14:paraId="31FF610F" w14:textId="52C663D6"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55"/>
                <w:szCs w:val="20"/>
                <w:shd w:val="solid" w:color="000000" w:fill="000000"/>
                <w:fitText w:val="238" w:id="-1435343100"/>
                <w14:textFill>
                  <w14:solidFill>
                    <w14:srgbClr w14:val="000000">
                      <w14:alpha w14:val="100000"/>
                    </w14:srgbClr>
                  </w14:solidFill>
                </w14:textFill>
              </w:rPr>
              <w:t>||</w:t>
            </w:r>
            <w:r w:rsidR="00F96E54" w:rsidRPr="00F96E54">
              <w:rPr>
                <w:color w:val="000000"/>
                <w:spacing w:val="1"/>
                <w:szCs w:val="20"/>
                <w:shd w:val="solid" w:color="000000" w:fill="000000"/>
                <w:fitText w:val="238" w:id="-1435343100"/>
                <w14:textFill>
                  <w14:solidFill>
                    <w14:srgbClr w14:val="000000">
                      <w14:alpha w14:val="100000"/>
                    </w14:srgbClr>
                  </w14:solidFill>
                </w14:textFill>
              </w:rPr>
              <w:t>|</w:t>
            </w:r>
            <w:r w:rsidR="00B75DC4">
              <w:rPr>
                <w:szCs w:val="20"/>
                <w:vertAlign w:val="superscript"/>
              </w:rPr>
              <w:t>6</w:t>
            </w:r>
          </w:p>
        </w:tc>
        <w:tc>
          <w:tcPr>
            <w:tcW w:w="493" w:type="pct"/>
            <w:vAlign w:val="center"/>
          </w:tcPr>
          <w:p w14:paraId="2D3B5671" w14:textId="7EAE4117"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190"/>
                <w:szCs w:val="20"/>
                <w:shd w:val="solid" w:color="000000" w:fill="000000"/>
                <w:fitText w:val="276" w:id="-1435343099"/>
                <w14:textFill>
                  <w14:solidFill>
                    <w14:srgbClr w14:val="000000">
                      <w14:alpha w14:val="100000"/>
                    </w14:srgbClr>
                  </w14:solidFill>
                </w14:textFill>
              </w:rPr>
              <w:t>|</w:t>
            </w:r>
            <w:r w:rsidR="00F96E54" w:rsidRPr="00F96E54">
              <w:rPr>
                <w:color w:val="000000"/>
                <w:spacing w:val="1"/>
                <w:szCs w:val="20"/>
                <w:shd w:val="solid" w:color="000000" w:fill="000000"/>
                <w:fitText w:val="276" w:id="-1435343099"/>
                <w14:textFill>
                  <w14:solidFill>
                    <w14:srgbClr w14:val="000000">
                      <w14:alpha w14:val="100000"/>
                    </w14:srgbClr>
                  </w14:solidFill>
                </w14:textFill>
              </w:rPr>
              <w:t>|</w:t>
            </w:r>
            <w:r w:rsidR="00B75DC4">
              <w:rPr>
                <w:szCs w:val="20"/>
                <w:vertAlign w:val="superscript"/>
              </w:rPr>
              <w:t>6</w:t>
            </w:r>
          </w:p>
        </w:tc>
        <w:tc>
          <w:tcPr>
            <w:tcW w:w="493" w:type="pct"/>
            <w:vAlign w:val="center"/>
          </w:tcPr>
          <w:p w14:paraId="586FE64B" w14:textId="7A85D4AB"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190"/>
                <w:szCs w:val="20"/>
                <w:shd w:val="solid" w:color="000000" w:fill="000000"/>
                <w:fitText w:val="276" w:id="-1435343098"/>
                <w14:textFill>
                  <w14:solidFill>
                    <w14:srgbClr w14:val="000000">
                      <w14:alpha w14:val="100000"/>
                    </w14:srgbClr>
                  </w14:solidFill>
                </w14:textFill>
              </w:rPr>
              <w:t>|</w:t>
            </w:r>
            <w:r w:rsidR="00F96E54" w:rsidRPr="00F96E54">
              <w:rPr>
                <w:color w:val="000000"/>
                <w:spacing w:val="1"/>
                <w:szCs w:val="20"/>
                <w:shd w:val="solid" w:color="000000" w:fill="000000"/>
                <w:fitText w:val="276" w:id="-1435343098"/>
                <w14:textFill>
                  <w14:solidFill>
                    <w14:srgbClr w14:val="000000">
                      <w14:alpha w14:val="100000"/>
                    </w14:srgbClr>
                  </w14:solidFill>
                </w14:textFill>
              </w:rPr>
              <w:t>|</w:t>
            </w:r>
            <w:r w:rsidR="00B75DC4">
              <w:rPr>
                <w:szCs w:val="20"/>
                <w:vertAlign w:val="superscript"/>
              </w:rPr>
              <w:t>6</w:t>
            </w:r>
          </w:p>
        </w:tc>
        <w:tc>
          <w:tcPr>
            <w:tcW w:w="493" w:type="pct"/>
            <w:vAlign w:val="center"/>
          </w:tcPr>
          <w:p w14:paraId="57E2C2C1" w14:textId="57151706"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190"/>
                <w:szCs w:val="20"/>
                <w:shd w:val="solid" w:color="000000" w:fill="000000"/>
                <w:fitText w:val="276" w:id="-1435343097"/>
                <w14:textFill>
                  <w14:solidFill>
                    <w14:srgbClr w14:val="000000">
                      <w14:alpha w14:val="100000"/>
                    </w14:srgbClr>
                  </w14:solidFill>
                </w14:textFill>
              </w:rPr>
              <w:t>|</w:t>
            </w:r>
            <w:r w:rsidR="00F96E54" w:rsidRPr="00F96E54">
              <w:rPr>
                <w:color w:val="000000"/>
                <w:spacing w:val="1"/>
                <w:szCs w:val="20"/>
                <w:shd w:val="solid" w:color="000000" w:fill="000000"/>
                <w:fitText w:val="276" w:id="-1435343097"/>
                <w14:textFill>
                  <w14:solidFill>
                    <w14:srgbClr w14:val="000000">
                      <w14:alpha w14:val="100000"/>
                    </w14:srgbClr>
                  </w14:solidFill>
                </w14:textFill>
              </w:rPr>
              <w:t>|</w:t>
            </w:r>
            <w:r w:rsidR="00B75DC4">
              <w:rPr>
                <w:szCs w:val="20"/>
                <w:vertAlign w:val="superscript"/>
              </w:rPr>
              <w:t>6</w:t>
            </w:r>
          </w:p>
        </w:tc>
        <w:tc>
          <w:tcPr>
            <w:tcW w:w="493" w:type="pct"/>
            <w:vAlign w:val="center"/>
          </w:tcPr>
          <w:p w14:paraId="31565B74" w14:textId="02AC5253"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189"/>
                <w:szCs w:val="20"/>
                <w:shd w:val="solid" w:color="000000" w:fill="000000"/>
                <w:fitText w:val="275" w:id="-1435343096"/>
                <w14:textFill>
                  <w14:solidFill>
                    <w14:srgbClr w14:val="000000">
                      <w14:alpha w14:val="100000"/>
                    </w14:srgbClr>
                  </w14:solidFill>
                </w14:textFill>
              </w:rPr>
              <w:t>|</w:t>
            </w:r>
            <w:r w:rsidR="00F96E54" w:rsidRPr="00F96E54">
              <w:rPr>
                <w:color w:val="000000"/>
                <w:spacing w:val="1"/>
                <w:szCs w:val="20"/>
                <w:shd w:val="solid" w:color="000000" w:fill="000000"/>
                <w:fitText w:val="275" w:id="-1435343096"/>
                <w14:textFill>
                  <w14:solidFill>
                    <w14:srgbClr w14:val="000000">
                      <w14:alpha w14:val="100000"/>
                    </w14:srgbClr>
                  </w14:solidFill>
                </w14:textFill>
              </w:rPr>
              <w:t>|</w:t>
            </w:r>
            <w:r w:rsidR="00B75DC4">
              <w:rPr>
                <w:szCs w:val="20"/>
                <w:vertAlign w:val="superscript"/>
              </w:rPr>
              <w:t>6</w:t>
            </w:r>
          </w:p>
        </w:tc>
        <w:tc>
          <w:tcPr>
            <w:tcW w:w="518" w:type="pct"/>
            <w:vAlign w:val="center"/>
          </w:tcPr>
          <w:p w14:paraId="58FF35D9" w14:textId="66FEE31E"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164"/>
                <w:szCs w:val="20"/>
                <w:shd w:val="solid" w:color="000000" w:fill="000000"/>
                <w:fitText w:val="250" w:id="-1435343095"/>
                <w14:textFill>
                  <w14:solidFill>
                    <w14:srgbClr w14:val="000000">
                      <w14:alpha w14:val="100000"/>
                    </w14:srgbClr>
                  </w14:solidFill>
                </w14:textFill>
              </w:rPr>
              <w:t>|</w:t>
            </w:r>
            <w:r w:rsidR="00F96E54" w:rsidRPr="00F96E54">
              <w:rPr>
                <w:color w:val="000000"/>
                <w:spacing w:val="1"/>
                <w:szCs w:val="20"/>
                <w:shd w:val="solid" w:color="000000" w:fill="000000"/>
                <w:fitText w:val="250" w:id="-1435343095"/>
                <w14:textFill>
                  <w14:solidFill>
                    <w14:srgbClr w14:val="000000">
                      <w14:alpha w14:val="100000"/>
                    </w14:srgbClr>
                  </w14:solidFill>
                </w14:textFill>
              </w:rPr>
              <w:t>|</w:t>
            </w:r>
            <w:r w:rsidR="00B75DC4">
              <w:rPr>
                <w:szCs w:val="20"/>
                <w:vertAlign w:val="superscript"/>
              </w:rPr>
              <w:t>6</w:t>
            </w:r>
          </w:p>
        </w:tc>
      </w:tr>
      <w:tr w:rsidR="000A1519" w:rsidRPr="006440B8" w14:paraId="15D5928A" w14:textId="77777777" w:rsidTr="00A361A7">
        <w:tc>
          <w:tcPr>
            <w:tcW w:w="1961" w:type="pct"/>
          </w:tcPr>
          <w:p w14:paraId="0F5615C9" w14:textId="77777777" w:rsidR="000A1519" w:rsidRPr="006440B8" w:rsidRDefault="000A1519" w:rsidP="00014A9C">
            <w:pPr>
              <w:pStyle w:val="TableText"/>
              <w:keepLines/>
              <w:tabs>
                <w:tab w:val="right" w:pos="3513"/>
              </w:tabs>
              <w:ind w:left="-57" w:right="-68"/>
              <w:rPr>
                <w:b/>
                <w:bCs w:val="0"/>
                <w:szCs w:val="20"/>
              </w:rPr>
            </w:pPr>
            <w:r w:rsidRPr="006440B8">
              <w:rPr>
                <w:b/>
                <w:bCs w:val="0"/>
                <w:szCs w:val="20"/>
              </w:rPr>
              <w:t>Cost of ruxolitinib</w:t>
            </w:r>
          </w:p>
        </w:tc>
        <w:tc>
          <w:tcPr>
            <w:tcW w:w="549" w:type="pct"/>
            <w:vAlign w:val="center"/>
          </w:tcPr>
          <w:p w14:paraId="748E7152" w14:textId="79BF7592" w:rsidR="000A1519" w:rsidRPr="006440B8" w:rsidRDefault="000A1519" w:rsidP="00014A9C">
            <w:pPr>
              <w:pStyle w:val="TableText"/>
              <w:keepLines/>
              <w:ind w:left="-65" w:right="-82"/>
              <w:jc w:val="center"/>
              <w:rPr>
                <w:rFonts w:cs="Calibri"/>
                <w:b/>
                <w:bCs w:val="0"/>
                <w:color w:val="000000"/>
                <w:szCs w:val="20"/>
              </w:rPr>
            </w:pPr>
            <w:r w:rsidRPr="006440B8">
              <w:rPr>
                <w:b/>
                <w:bCs w:val="0"/>
                <w:szCs w:val="20"/>
              </w:rPr>
              <w:t>$</w:t>
            </w:r>
            <w:r w:rsidR="00F96E54" w:rsidRPr="00F96E54">
              <w:rPr>
                <w:b/>
                <w:bCs w:val="0"/>
                <w:color w:val="000000"/>
                <w:spacing w:val="171"/>
                <w:szCs w:val="20"/>
                <w:shd w:val="solid" w:color="000000" w:fill="000000"/>
                <w:fitText w:val="263" w:id="-1435343094"/>
                <w14:textFill>
                  <w14:solidFill>
                    <w14:srgbClr w14:val="000000">
                      <w14:alpha w14:val="100000"/>
                    </w14:srgbClr>
                  </w14:solidFill>
                </w14:textFill>
              </w:rPr>
              <w:t>|</w:t>
            </w:r>
            <w:r w:rsidR="00F96E54" w:rsidRPr="00F96E54">
              <w:rPr>
                <w:b/>
                <w:bCs w:val="0"/>
                <w:color w:val="000000"/>
                <w:spacing w:val="1"/>
                <w:szCs w:val="20"/>
                <w:shd w:val="solid" w:color="000000" w:fill="000000"/>
                <w:fitText w:val="263" w:id="-1435343094"/>
                <w14:textFill>
                  <w14:solidFill>
                    <w14:srgbClr w14:val="000000">
                      <w14:alpha w14:val="100000"/>
                    </w14:srgbClr>
                  </w14:solidFill>
                </w14:textFill>
              </w:rPr>
              <w:t>|</w:t>
            </w:r>
            <w:r w:rsidR="00B75DC4">
              <w:rPr>
                <w:szCs w:val="20"/>
                <w:vertAlign w:val="superscript"/>
              </w:rPr>
              <w:t>6</w:t>
            </w:r>
          </w:p>
        </w:tc>
        <w:tc>
          <w:tcPr>
            <w:tcW w:w="493" w:type="pct"/>
            <w:vAlign w:val="center"/>
          </w:tcPr>
          <w:p w14:paraId="179E4490" w14:textId="7930274E" w:rsidR="000A1519" w:rsidRPr="006440B8" w:rsidRDefault="000A1519" w:rsidP="00014A9C">
            <w:pPr>
              <w:pStyle w:val="TableText"/>
              <w:keepLines/>
              <w:ind w:left="-65" w:right="-82"/>
              <w:jc w:val="center"/>
              <w:rPr>
                <w:rFonts w:cs="Calibri"/>
                <w:b/>
                <w:bCs w:val="0"/>
                <w:color w:val="000000"/>
                <w:szCs w:val="20"/>
              </w:rPr>
            </w:pPr>
            <w:r w:rsidRPr="006440B8">
              <w:rPr>
                <w:b/>
                <w:bCs w:val="0"/>
                <w:szCs w:val="20"/>
              </w:rPr>
              <w:t>$</w:t>
            </w:r>
            <w:r w:rsidR="00F96E54" w:rsidRPr="00F96E54">
              <w:rPr>
                <w:b/>
                <w:bCs w:val="0"/>
                <w:color w:val="000000"/>
                <w:spacing w:val="43"/>
                <w:szCs w:val="20"/>
                <w:shd w:val="solid" w:color="000000" w:fill="000000"/>
                <w:fitText w:val="313" w:id="-1435343093"/>
                <w14:textFill>
                  <w14:solidFill>
                    <w14:srgbClr w14:val="000000">
                      <w14:alpha w14:val="100000"/>
                    </w14:srgbClr>
                  </w14:solidFill>
                </w14:textFill>
              </w:rPr>
              <w:t>|||</w:t>
            </w:r>
            <w:r w:rsidR="00F96E54" w:rsidRPr="00F96E54">
              <w:rPr>
                <w:b/>
                <w:bCs w:val="0"/>
                <w:color w:val="000000"/>
                <w:spacing w:val="1"/>
                <w:szCs w:val="20"/>
                <w:shd w:val="solid" w:color="000000" w:fill="000000"/>
                <w:fitText w:val="313" w:id="-1435343093"/>
                <w14:textFill>
                  <w14:solidFill>
                    <w14:srgbClr w14:val="000000">
                      <w14:alpha w14:val="100000"/>
                    </w14:srgbClr>
                  </w14:solidFill>
                </w14:textFill>
              </w:rPr>
              <w:t>|</w:t>
            </w:r>
            <w:r w:rsidR="00B75DC4">
              <w:rPr>
                <w:szCs w:val="20"/>
                <w:vertAlign w:val="superscript"/>
              </w:rPr>
              <w:t>6</w:t>
            </w:r>
          </w:p>
        </w:tc>
        <w:tc>
          <w:tcPr>
            <w:tcW w:w="493" w:type="pct"/>
            <w:vAlign w:val="center"/>
          </w:tcPr>
          <w:p w14:paraId="2DB8FFD6" w14:textId="7259AC41" w:rsidR="000A1519" w:rsidRPr="006440B8" w:rsidRDefault="000A1519" w:rsidP="00014A9C">
            <w:pPr>
              <w:pStyle w:val="TableText"/>
              <w:keepLines/>
              <w:ind w:left="-65" w:right="-82"/>
              <w:jc w:val="center"/>
              <w:rPr>
                <w:rFonts w:cs="Calibri"/>
                <w:b/>
                <w:bCs w:val="0"/>
                <w:color w:val="000000"/>
                <w:szCs w:val="20"/>
              </w:rPr>
            </w:pPr>
            <w:r w:rsidRPr="006440B8">
              <w:rPr>
                <w:b/>
                <w:bCs w:val="0"/>
                <w:szCs w:val="20"/>
              </w:rPr>
              <w:t>$</w:t>
            </w:r>
            <w:r w:rsidR="00F96E54" w:rsidRPr="00F96E54">
              <w:rPr>
                <w:b/>
                <w:bCs w:val="0"/>
                <w:color w:val="000000"/>
                <w:spacing w:val="43"/>
                <w:szCs w:val="20"/>
                <w:shd w:val="solid" w:color="000000" w:fill="000000"/>
                <w:fitText w:val="313" w:id="-1435343092"/>
                <w14:textFill>
                  <w14:solidFill>
                    <w14:srgbClr w14:val="000000">
                      <w14:alpha w14:val="100000"/>
                    </w14:srgbClr>
                  </w14:solidFill>
                </w14:textFill>
              </w:rPr>
              <w:t>|||</w:t>
            </w:r>
            <w:r w:rsidR="00F96E54" w:rsidRPr="00F96E54">
              <w:rPr>
                <w:b/>
                <w:bCs w:val="0"/>
                <w:color w:val="000000"/>
                <w:spacing w:val="1"/>
                <w:szCs w:val="20"/>
                <w:shd w:val="solid" w:color="000000" w:fill="000000"/>
                <w:fitText w:val="313" w:id="-1435343092"/>
                <w14:textFill>
                  <w14:solidFill>
                    <w14:srgbClr w14:val="000000">
                      <w14:alpha w14:val="100000"/>
                    </w14:srgbClr>
                  </w14:solidFill>
                </w14:textFill>
              </w:rPr>
              <w:t>|</w:t>
            </w:r>
            <w:r w:rsidR="00B75DC4">
              <w:rPr>
                <w:szCs w:val="20"/>
                <w:vertAlign w:val="superscript"/>
              </w:rPr>
              <w:t>6</w:t>
            </w:r>
          </w:p>
        </w:tc>
        <w:tc>
          <w:tcPr>
            <w:tcW w:w="493" w:type="pct"/>
            <w:vAlign w:val="center"/>
          </w:tcPr>
          <w:p w14:paraId="2D3B7F13" w14:textId="4FB604E8" w:rsidR="000A1519" w:rsidRPr="006440B8" w:rsidRDefault="000A1519" w:rsidP="00014A9C">
            <w:pPr>
              <w:pStyle w:val="TableText"/>
              <w:keepLines/>
              <w:ind w:left="-65" w:right="-82"/>
              <w:jc w:val="center"/>
              <w:rPr>
                <w:rFonts w:cs="Calibri"/>
                <w:b/>
                <w:bCs w:val="0"/>
                <w:color w:val="000000"/>
                <w:szCs w:val="20"/>
              </w:rPr>
            </w:pPr>
            <w:r w:rsidRPr="006440B8">
              <w:rPr>
                <w:b/>
                <w:bCs w:val="0"/>
                <w:szCs w:val="20"/>
              </w:rPr>
              <w:t>$</w:t>
            </w:r>
            <w:r w:rsidR="00F96E54" w:rsidRPr="00F96E54">
              <w:rPr>
                <w:b/>
                <w:bCs w:val="0"/>
                <w:color w:val="000000"/>
                <w:spacing w:val="43"/>
                <w:szCs w:val="20"/>
                <w:shd w:val="solid" w:color="000000" w:fill="000000"/>
                <w:fitText w:val="313" w:id="-1435343091"/>
                <w14:textFill>
                  <w14:solidFill>
                    <w14:srgbClr w14:val="000000">
                      <w14:alpha w14:val="100000"/>
                    </w14:srgbClr>
                  </w14:solidFill>
                </w14:textFill>
              </w:rPr>
              <w:t>|||</w:t>
            </w:r>
            <w:r w:rsidR="00F96E54" w:rsidRPr="00F96E54">
              <w:rPr>
                <w:b/>
                <w:bCs w:val="0"/>
                <w:color w:val="000000"/>
                <w:spacing w:val="1"/>
                <w:szCs w:val="20"/>
                <w:shd w:val="solid" w:color="000000" w:fill="000000"/>
                <w:fitText w:val="313" w:id="-1435343091"/>
                <w14:textFill>
                  <w14:solidFill>
                    <w14:srgbClr w14:val="000000">
                      <w14:alpha w14:val="100000"/>
                    </w14:srgbClr>
                  </w14:solidFill>
                </w14:textFill>
              </w:rPr>
              <w:t>|</w:t>
            </w:r>
            <w:r w:rsidR="00B75DC4">
              <w:rPr>
                <w:szCs w:val="20"/>
                <w:vertAlign w:val="superscript"/>
              </w:rPr>
              <w:t>6</w:t>
            </w:r>
          </w:p>
        </w:tc>
        <w:tc>
          <w:tcPr>
            <w:tcW w:w="493" w:type="pct"/>
            <w:vAlign w:val="center"/>
          </w:tcPr>
          <w:p w14:paraId="5E86B692" w14:textId="3F16AFCC" w:rsidR="000A1519" w:rsidRPr="006440B8" w:rsidRDefault="000A1519" w:rsidP="00014A9C">
            <w:pPr>
              <w:pStyle w:val="TableText"/>
              <w:keepLines/>
              <w:ind w:left="-65" w:right="-82"/>
              <w:jc w:val="center"/>
              <w:rPr>
                <w:rFonts w:cs="Calibri"/>
                <w:b/>
                <w:bCs w:val="0"/>
                <w:color w:val="000000"/>
                <w:szCs w:val="20"/>
              </w:rPr>
            </w:pPr>
            <w:r w:rsidRPr="006440B8">
              <w:rPr>
                <w:b/>
                <w:bCs w:val="0"/>
                <w:szCs w:val="20"/>
              </w:rPr>
              <w:t>$</w:t>
            </w:r>
            <w:r w:rsidR="00F96E54" w:rsidRPr="00F96E54">
              <w:rPr>
                <w:b/>
                <w:bCs w:val="0"/>
                <w:color w:val="000000"/>
                <w:spacing w:val="43"/>
                <w:szCs w:val="20"/>
                <w:shd w:val="solid" w:color="000000" w:fill="000000"/>
                <w:fitText w:val="313" w:id="-1435343090"/>
                <w14:textFill>
                  <w14:solidFill>
                    <w14:srgbClr w14:val="000000">
                      <w14:alpha w14:val="100000"/>
                    </w14:srgbClr>
                  </w14:solidFill>
                </w14:textFill>
              </w:rPr>
              <w:t>|||</w:t>
            </w:r>
            <w:r w:rsidR="00F96E54" w:rsidRPr="00F96E54">
              <w:rPr>
                <w:b/>
                <w:bCs w:val="0"/>
                <w:color w:val="000000"/>
                <w:spacing w:val="1"/>
                <w:szCs w:val="20"/>
                <w:shd w:val="solid" w:color="000000" w:fill="000000"/>
                <w:fitText w:val="313" w:id="-1435343090"/>
                <w14:textFill>
                  <w14:solidFill>
                    <w14:srgbClr w14:val="000000">
                      <w14:alpha w14:val="100000"/>
                    </w14:srgbClr>
                  </w14:solidFill>
                </w14:textFill>
              </w:rPr>
              <w:t>|</w:t>
            </w:r>
            <w:r w:rsidR="00B75DC4">
              <w:rPr>
                <w:szCs w:val="20"/>
                <w:vertAlign w:val="superscript"/>
              </w:rPr>
              <w:t>6</w:t>
            </w:r>
          </w:p>
        </w:tc>
        <w:tc>
          <w:tcPr>
            <w:tcW w:w="518" w:type="pct"/>
            <w:vAlign w:val="center"/>
          </w:tcPr>
          <w:p w14:paraId="7116E17E" w14:textId="11F3012E" w:rsidR="000A1519" w:rsidRPr="006440B8" w:rsidRDefault="000A1519" w:rsidP="00014A9C">
            <w:pPr>
              <w:pStyle w:val="TableText"/>
              <w:keepLines/>
              <w:ind w:left="-65" w:right="-82"/>
              <w:jc w:val="center"/>
              <w:rPr>
                <w:rFonts w:cs="Calibri"/>
                <w:b/>
                <w:bCs w:val="0"/>
                <w:color w:val="000000"/>
                <w:szCs w:val="20"/>
              </w:rPr>
            </w:pPr>
            <w:r w:rsidRPr="006440B8">
              <w:rPr>
                <w:b/>
                <w:bCs w:val="0"/>
                <w:szCs w:val="20"/>
              </w:rPr>
              <w:t>$</w:t>
            </w:r>
            <w:r w:rsidR="00F96E54" w:rsidRPr="00F96E54">
              <w:rPr>
                <w:b/>
                <w:bCs w:val="0"/>
                <w:color w:val="000000"/>
                <w:spacing w:val="39"/>
                <w:szCs w:val="20"/>
                <w:shd w:val="solid" w:color="000000" w:fill="000000"/>
                <w:fitText w:val="301" w:id="-1435343089"/>
                <w14:textFill>
                  <w14:solidFill>
                    <w14:srgbClr w14:val="000000">
                      <w14:alpha w14:val="100000"/>
                    </w14:srgbClr>
                  </w14:solidFill>
                </w14:textFill>
              </w:rPr>
              <w:t>|||</w:t>
            </w:r>
            <w:r w:rsidR="00F96E54" w:rsidRPr="00F96E54">
              <w:rPr>
                <w:b/>
                <w:bCs w:val="0"/>
                <w:color w:val="000000"/>
                <w:spacing w:val="1"/>
                <w:szCs w:val="20"/>
                <w:shd w:val="solid" w:color="000000" w:fill="000000"/>
                <w:fitText w:val="301" w:id="-1435343089"/>
                <w14:textFill>
                  <w14:solidFill>
                    <w14:srgbClr w14:val="000000">
                      <w14:alpha w14:val="100000"/>
                    </w14:srgbClr>
                  </w14:solidFill>
                </w14:textFill>
              </w:rPr>
              <w:t>|</w:t>
            </w:r>
            <w:r w:rsidR="00B75DC4">
              <w:rPr>
                <w:szCs w:val="20"/>
                <w:vertAlign w:val="superscript"/>
              </w:rPr>
              <w:t>6</w:t>
            </w:r>
          </w:p>
        </w:tc>
      </w:tr>
      <w:tr w:rsidR="000A1519" w:rsidRPr="006440B8" w14:paraId="71435A22" w14:textId="77777777" w:rsidTr="00A361A7">
        <w:tc>
          <w:tcPr>
            <w:tcW w:w="1961" w:type="pct"/>
          </w:tcPr>
          <w:p w14:paraId="3D638409" w14:textId="77777777" w:rsidR="000A1519" w:rsidRPr="006440B8" w:rsidRDefault="000A1519" w:rsidP="00014A9C">
            <w:pPr>
              <w:pStyle w:val="TableText"/>
              <w:keepLines/>
              <w:tabs>
                <w:tab w:val="right" w:pos="3513"/>
              </w:tabs>
              <w:ind w:left="-57" w:right="-68"/>
              <w:rPr>
                <w:szCs w:val="20"/>
              </w:rPr>
            </w:pPr>
            <w:r w:rsidRPr="006440B8">
              <w:rPr>
                <w:szCs w:val="20"/>
              </w:rPr>
              <w:t>Patient copayment</w:t>
            </w:r>
          </w:p>
        </w:tc>
        <w:tc>
          <w:tcPr>
            <w:tcW w:w="549" w:type="pct"/>
            <w:vAlign w:val="center"/>
          </w:tcPr>
          <w:p w14:paraId="2DCD272F" w14:textId="5B17E14B" w:rsidR="000A1519" w:rsidRPr="006440B8" w:rsidRDefault="000A1519" w:rsidP="00014A9C">
            <w:pPr>
              <w:pStyle w:val="TableText"/>
              <w:keepLines/>
              <w:ind w:left="-65" w:right="-82"/>
              <w:jc w:val="center"/>
              <w:rPr>
                <w:rFonts w:cs="Calibri"/>
                <w:b/>
                <w:bCs w:val="0"/>
                <w:color w:val="000000"/>
                <w:szCs w:val="20"/>
              </w:rPr>
            </w:pPr>
            <w:r w:rsidRPr="006440B8">
              <w:rPr>
                <w:rFonts w:cs="Calibri"/>
                <w:color w:val="000000"/>
                <w:szCs w:val="20"/>
              </w:rPr>
              <w:t>$</w:t>
            </w:r>
            <w:r w:rsidR="00F96E54" w:rsidRPr="00F96E54">
              <w:rPr>
                <w:rFonts w:cs="Calibri"/>
                <w:color w:val="000000"/>
                <w:spacing w:val="55"/>
                <w:szCs w:val="20"/>
                <w:shd w:val="solid" w:color="000000" w:fill="000000"/>
                <w:fitText w:val="238" w:id="-1435343088"/>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38" w:id="-1435343088"/>
                <w14:textFill>
                  <w14:solidFill>
                    <w14:srgbClr w14:val="000000">
                      <w14:alpha w14:val="100000"/>
                    </w14:srgbClr>
                  </w14:solidFill>
                </w14:textFill>
              </w:rPr>
              <w:t>|</w:t>
            </w:r>
            <w:r w:rsidR="00B75DC4">
              <w:rPr>
                <w:szCs w:val="20"/>
                <w:vertAlign w:val="superscript"/>
              </w:rPr>
              <w:t>6</w:t>
            </w:r>
          </w:p>
        </w:tc>
        <w:tc>
          <w:tcPr>
            <w:tcW w:w="493" w:type="pct"/>
            <w:vAlign w:val="center"/>
          </w:tcPr>
          <w:p w14:paraId="32650EB7" w14:textId="66C4804C" w:rsidR="000A1519" w:rsidRPr="006440B8" w:rsidRDefault="000A1519" w:rsidP="00014A9C">
            <w:pPr>
              <w:pStyle w:val="TableText"/>
              <w:keepLines/>
              <w:ind w:left="-65" w:right="-82"/>
              <w:jc w:val="center"/>
              <w:rPr>
                <w:rFonts w:cs="Calibri"/>
                <w:b/>
                <w:bCs w:val="0"/>
                <w:color w:val="000000"/>
                <w:szCs w:val="20"/>
              </w:rPr>
            </w:pPr>
            <w:r w:rsidRPr="006440B8">
              <w:rPr>
                <w:rFonts w:cs="Calibri"/>
                <w:color w:val="000000"/>
                <w:szCs w:val="20"/>
              </w:rPr>
              <w:t>$</w:t>
            </w:r>
            <w:r w:rsidR="00F96E54" w:rsidRPr="00F96E54">
              <w:rPr>
                <w:rFonts w:cs="Calibri"/>
                <w:color w:val="000000"/>
                <w:spacing w:val="190"/>
                <w:szCs w:val="20"/>
                <w:shd w:val="solid" w:color="000000" w:fill="000000"/>
                <w:fitText w:val="276" w:id="-1435343104"/>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76" w:id="-1435343104"/>
                <w14:textFill>
                  <w14:solidFill>
                    <w14:srgbClr w14:val="000000">
                      <w14:alpha w14:val="100000"/>
                    </w14:srgbClr>
                  </w14:solidFill>
                </w14:textFill>
              </w:rPr>
              <w:t>|</w:t>
            </w:r>
            <w:r w:rsidR="00B75DC4">
              <w:rPr>
                <w:szCs w:val="20"/>
                <w:vertAlign w:val="superscript"/>
              </w:rPr>
              <w:t>6</w:t>
            </w:r>
          </w:p>
        </w:tc>
        <w:tc>
          <w:tcPr>
            <w:tcW w:w="493" w:type="pct"/>
            <w:vAlign w:val="center"/>
          </w:tcPr>
          <w:p w14:paraId="69F257BF" w14:textId="6F67DD8E" w:rsidR="000A1519" w:rsidRPr="006440B8" w:rsidRDefault="000A1519" w:rsidP="00014A9C">
            <w:pPr>
              <w:pStyle w:val="TableText"/>
              <w:keepLines/>
              <w:ind w:left="-65" w:right="-82"/>
              <w:jc w:val="center"/>
              <w:rPr>
                <w:rFonts w:cs="Calibri"/>
                <w:b/>
                <w:bCs w:val="0"/>
                <w:color w:val="000000"/>
                <w:szCs w:val="20"/>
              </w:rPr>
            </w:pPr>
            <w:r w:rsidRPr="006440B8">
              <w:rPr>
                <w:rFonts w:cs="Calibri"/>
                <w:color w:val="000000"/>
                <w:szCs w:val="20"/>
              </w:rPr>
              <w:t>$</w:t>
            </w:r>
            <w:r w:rsidR="00F96E54" w:rsidRPr="00F96E54">
              <w:rPr>
                <w:rFonts w:cs="Calibri"/>
                <w:color w:val="000000"/>
                <w:spacing w:val="190"/>
                <w:szCs w:val="20"/>
                <w:shd w:val="solid" w:color="000000" w:fill="000000"/>
                <w:fitText w:val="276" w:id="-1435343103"/>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76" w:id="-1435343103"/>
                <w14:textFill>
                  <w14:solidFill>
                    <w14:srgbClr w14:val="000000">
                      <w14:alpha w14:val="100000"/>
                    </w14:srgbClr>
                  </w14:solidFill>
                </w14:textFill>
              </w:rPr>
              <w:t>|</w:t>
            </w:r>
            <w:r w:rsidR="00B75DC4">
              <w:rPr>
                <w:szCs w:val="20"/>
                <w:vertAlign w:val="superscript"/>
              </w:rPr>
              <w:t>6</w:t>
            </w:r>
          </w:p>
        </w:tc>
        <w:tc>
          <w:tcPr>
            <w:tcW w:w="493" w:type="pct"/>
            <w:vAlign w:val="center"/>
          </w:tcPr>
          <w:p w14:paraId="111D2F5A" w14:textId="0DC40B54" w:rsidR="000A1519" w:rsidRPr="006440B8" w:rsidRDefault="000A1519" w:rsidP="00014A9C">
            <w:pPr>
              <w:pStyle w:val="TableText"/>
              <w:keepLines/>
              <w:ind w:left="-65" w:right="-82"/>
              <w:jc w:val="center"/>
              <w:rPr>
                <w:rFonts w:cs="Calibri"/>
                <w:b/>
                <w:bCs w:val="0"/>
                <w:color w:val="000000"/>
                <w:szCs w:val="20"/>
              </w:rPr>
            </w:pPr>
            <w:r w:rsidRPr="006440B8">
              <w:rPr>
                <w:rFonts w:cs="Calibri"/>
                <w:color w:val="000000"/>
                <w:szCs w:val="20"/>
              </w:rPr>
              <w:t>$</w:t>
            </w:r>
            <w:r w:rsidR="00F96E54" w:rsidRPr="00F96E54">
              <w:rPr>
                <w:rFonts w:cs="Calibri"/>
                <w:color w:val="000000"/>
                <w:spacing w:val="190"/>
                <w:szCs w:val="20"/>
                <w:shd w:val="solid" w:color="000000" w:fill="000000"/>
                <w:fitText w:val="276" w:id="-1435343102"/>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76" w:id="-1435343102"/>
                <w14:textFill>
                  <w14:solidFill>
                    <w14:srgbClr w14:val="000000">
                      <w14:alpha w14:val="100000"/>
                    </w14:srgbClr>
                  </w14:solidFill>
                </w14:textFill>
              </w:rPr>
              <w:t>|</w:t>
            </w:r>
            <w:r w:rsidR="00B75DC4">
              <w:rPr>
                <w:szCs w:val="20"/>
                <w:vertAlign w:val="superscript"/>
              </w:rPr>
              <w:t>6</w:t>
            </w:r>
          </w:p>
        </w:tc>
        <w:tc>
          <w:tcPr>
            <w:tcW w:w="493" w:type="pct"/>
            <w:vAlign w:val="center"/>
          </w:tcPr>
          <w:p w14:paraId="27AE57EE" w14:textId="3023F93B" w:rsidR="000A1519" w:rsidRPr="006440B8" w:rsidRDefault="000A1519" w:rsidP="00014A9C">
            <w:pPr>
              <w:pStyle w:val="TableText"/>
              <w:keepLines/>
              <w:ind w:left="-65" w:right="-82"/>
              <w:jc w:val="center"/>
              <w:rPr>
                <w:rFonts w:cs="Calibri"/>
                <w:b/>
                <w:bCs w:val="0"/>
                <w:color w:val="000000"/>
                <w:szCs w:val="20"/>
              </w:rPr>
            </w:pPr>
            <w:r w:rsidRPr="006440B8">
              <w:rPr>
                <w:rFonts w:cs="Calibri"/>
                <w:color w:val="000000"/>
                <w:szCs w:val="20"/>
              </w:rPr>
              <w:t>$</w:t>
            </w:r>
            <w:r w:rsidR="00F96E54" w:rsidRPr="00F96E54">
              <w:rPr>
                <w:rFonts w:cs="Calibri"/>
                <w:color w:val="000000"/>
                <w:spacing w:val="189"/>
                <w:szCs w:val="20"/>
                <w:shd w:val="solid" w:color="000000" w:fill="000000"/>
                <w:fitText w:val="275" w:id="-1435343101"/>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75" w:id="-1435343101"/>
                <w14:textFill>
                  <w14:solidFill>
                    <w14:srgbClr w14:val="000000">
                      <w14:alpha w14:val="100000"/>
                    </w14:srgbClr>
                  </w14:solidFill>
                </w14:textFill>
              </w:rPr>
              <w:t>|</w:t>
            </w:r>
            <w:r w:rsidR="00B75DC4">
              <w:rPr>
                <w:szCs w:val="20"/>
                <w:vertAlign w:val="superscript"/>
              </w:rPr>
              <w:t>6</w:t>
            </w:r>
          </w:p>
        </w:tc>
        <w:tc>
          <w:tcPr>
            <w:tcW w:w="518" w:type="pct"/>
            <w:vAlign w:val="center"/>
          </w:tcPr>
          <w:p w14:paraId="666FFCD5" w14:textId="4B5765C8" w:rsidR="000A1519" w:rsidRPr="006440B8" w:rsidRDefault="000A1519" w:rsidP="00014A9C">
            <w:pPr>
              <w:pStyle w:val="TableText"/>
              <w:keepLines/>
              <w:ind w:left="-65" w:right="-82"/>
              <w:jc w:val="center"/>
              <w:rPr>
                <w:rFonts w:cs="Calibri"/>
                <w:b/>
                <w:bCs w:val="0"/>
                <w:color w:val="000000"/>
                <w:szCs w:val="20"/>
              </w:rPr>
            </w:pPr>
            <w:r w:rsidRPr="006440B8">
              <w:rPr>
                <w:rFonts w:cs="Calibri"/>
                <w:color w:val="000000"/>
                <w:szCs w:val="20"/>
              </w:rPr>
              <w:t>$</w:t>
            </w:r>
            <w:r w:rsidR="00F96E54" w:rsidRPr="00F96E54">
              <w:rPr>
                <w:rFonts w:cs="Calibri"/>
                <w:color w:val="000000"/>
                <w:spacing w:val="164"/>
                <w:szCs w:val="20"/>
                <w:shd w:val="solid" w:color="000000" w:fill="000000"/>
                <w:fitText w:val="250" w:id="-1435343100"/>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3100"/>
                <w14:textFill>
                  <w14:solidFill>
                    <w14:srgbClr w14:val="000000">
                      <w14:alpha w14:val="100000"/>
                    </w14:srgbClr>
                  </w14:solidFill>
                </w14:textFill>
              </w:rPr>
              <w:t>|</w:t>
            </w:r>
            <w:r w:rsidR="00B75DC4">
              <w:rPr>
                <w:szCs w:val="20"/>
                <w:vertAlign w:val="superscript"/>
              </w:rPr>
              <w:t>6</w:t>
            </w:r>
          </w:p>
        </w:tc>
      </w:tr>
      <w:tr w:rsidR="000A1519" w:rsidRPr="006440B8" w14:paraId="48A3AABD" w14:textId="77777777" w:rsidTr="00A361A7">
        <w:tc>
          <w:tcPr>
            <w:tcW w:w="1961" w:type="pct"/>
          </w:tcPr>
          <w:p w14:paraId="3FE5B3A0" w14:textId="77777777" w:rsidR="000A1519" w:rsidRPr="006440B8" w:rsidRDefault="000A1519" w:rsidP="00014A9C">
            <w:pPr>
              <w:pStyle w:val="TableText"/>
              <w:keepLines/>
              <w:tabs>
                <w:tab w:val="right" w:pos="3513"/>
              </w:tabs>
              <w:ind w:left="-57" w:right="-68"/>
              <w:rPr>
                <w:b/>
                <w:bCs w:val="0"/>
                <w:szCs w:val="20"/>
              </w:rPr>
            </w:pPr>
            <w:r w:rsidRPr="006440B8">
              <w:rPr>
                <w:b/>
                <w:bCs w:val="0"/>
                <w:szCs w:val="20"/>
              </w:rPr>
              <w:t>Total cost of ruxolitinib to the PBS/RPBS (less copayment)</w:t>
            </w:r>
          </w:p>
        </w:tc>
        <w:tc>
          <w:tcPr>
            <w:tcW w:w="549" w:type="pct"/>
            <w:vAlign w:val="center"/>
          </w:tcPr>
          <w:p w14:paraId="6A28E2E7" w14:textId="7A87E454" w:rsidR="000A1519" w:rsidRPr="006440B8" w:rsidRDefault="000A1519" w:rsidP="00014A9C">
            <w:pPr>
              <w:pStyle w:val="TableText"/>
              <w:keepLines/>
              <w:ind w:left="-65" w:right="-82"/>
              <w:jc w:val="center"/>
              <w:rPr>
                <w:rFonts w:cs="Calibri"/>
                <w:b/>
                <w:bCs w:val="0"/>
                <w:color w:val="000000"/>
                <w:szCs w:val="20"/>
              </w:rPr>
            </w:pPr>
            <w:r w:rsidRPr="006440B8">
              <w:rPr>
                <w:rFonts w:cs="Calibri"/>
                <w:b/>
                <w:bCs w:val="0"/>
                <w:color w:val="000000"/>
                <w:szCs w:val="20"/>
              </w:rPr>
              <w:t>$</w:t>
            </w:r>
            <w:r w:rsidR="00F96E54" w:rsidRPr="00F96E54">
              <w:rPr>
                <w:rFonts w:cs="Calibri"/>
                <w:b/>
                <w:bCs w:val="0"/>
                <w:color w:val="000000"/>
                <w:spacing w:val="171"/>
                <w:szCs w:val="20"/>
                <w:shd w:val="solid" w:color="000000" w:fill="000000"/>
                <w:fitText w:val="263" w:id="-1435343099"/>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63" w:id="-1435343099"/>
                <w14:textFill>
                  <w14:solidFill>
                    <w14:srgbClr w14:val="000000">
                      <w14:alpha w14:val="100000"/>
                    </w14:srgbClr>
                  </w14:solidFill>
                </w14:textFill>
              </w:rPr>
              <w:t>|</w:t>
            </w:r>
            <w:r w:rsidR="00B75DC4">
              <w:rPr>
                <w:szCs w:val="20"/>
                <w:vertAlign w:val="superscript"/>
              </w:rPr>
              <w:t>6</w:t>
            </w:r>
          </w:p>
        </w:tc>
        <w:tc>
          <w:tcPr>
            <w:tcW w:w="493" w:type="pct"/>
            <w:vAlign w:val="center"/>
          </w:tcPr>
          <w:p w14:paraId="3D95B9B2" w14:textId="34BCB000" w:rsidR="000A1519" w:rsidRPr="006440B8" w:rsidRDefault="000A1519" w:rsidP="00014A9C">
            <w:pPr>
              <w:pStyle w:val="TableText"/>
              <w:keepLines/>
              <w:ind w:left="-65" w:right="-82"/>
              <w:jc w:val="center"/>
              <w:rPr>
                <w:rFonts w:cs="Calibri"/>
                <w:b/>
                <w:bCs w:val="0"/>
                <w:color w:val="000000"/>
                <w:szCs w:val="20"/>
              </w:rPr>
            </w:pPr>
            <w:r w:rsidRPr="006440B8">
              <w:rPr>
                <w:rFonts w:cs="Calibri"/>
                <w:b/>
                <w:bCs w:val="0"/>
                <w:color w:val="000000"/>
                <w:szCs w:val="20"/>
              </w:rPr>
              <w:t>$</w:t>
            </w:r>
            <w:r w:rsidR="00F96E54" w:rsidRPr="00F96E54">
              <w:rPr>
                <w:rFonts w:cs="Calibri"/>
                <w:b/>
                <w:bCs w:val="0"/>
                <w:color w:val="000000"/>
                <w:spacing w:val="43"/>
                <w:szCs w:val="20"/>
                <w:shd w:val="solid" w:color="000000" w:fill="000000"/>
                <w:fitText w:val="313" w:id="-1435343098"/>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3098"/>
                <w14:textFill>
                  <w14:solidFill>
                    <w14:srgbClr w14:val="000000">
                      <w14:alpha w14:val="100000"/>
                    </w14:srgbClr>
                  </w14:solidFill>
                </w14:textFill>
              </w:rPr>
              <w:t>|</w:t>
            </w:r>
            <w:r w:rsidR="00B75DC4">
              <w:rPr>
                <w:szCs w:val="20"/>
                <w:vertAlign w:val="superscript"/>
              </w:rPr>
              <w:t>6</w:t>
            </w:r>
          </w:p>
        </w:tc>
        <w:tc>
          <w:tcPr>
            <w:tcW w:w="493" w:type="pct"/>
            <w:vAlign w:val="center"/>
          </w:tcPr>
          <w:p w14:paraId="3401AC38" w14:textId="09644493" w:rsidR="000A1519" w:rsidRPr="006440B8" w:rsidRDefault="000A1519" w:rsidP="00014A9C">
            <w:pPr>
              <w:pStyle w:val="TableText"/>
              <w:keepLines/>
              <w:ind w:left="-65" w:right="-82"/>
              <w:jc w:val="center"/>
              <w:rPr>
                <w:rFonts w:cs="Calibri"/>
                <w:b/>
                <w:bCs w:val="0"/>
                <w:color w:val="000000"/>
                <w:szCs w:val="20"/>
              </w:rPr>
            </w:pPr>
            <w:r w:rsidRPr="006440B8">
              <w:rPr>
                <w:rFonts w:cs="Calibri"/>
                <w:b/>
                <w:bCs w:val="0"/>
                <w:color w:val="000000"/>
                <w:szCs w:val="20"/>
              </w:rPr>
              <w:t>$</w:t>
            </w:r>
            <w:r w:rsidR="00F96E54" w:rsidRPr="00F96E54">
              <w:rPr>
                <w:rFonts w:cs="Calibri"/>
                <w:b/>
                <w:bCs w:val="0"/>
                <w:color w:val="000000"/>
                <w:spacing w:val="43"/>
                <w:szCs w:val="20"/>
                <w:shd w:val="solid" w:color="000000" w:fill="000000"/>
                <w:fitText w:val="313" w:id="-1435343097"/>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3097"/>
                <w14:textFill>
                  <w14:solidFill>
                    <w14:srgbClr w14:val="000000">
                      <w14:alpha w14:val="100000"/>
                    </w14:srgbClr>
                  </w14:solidFill>
                </w14:textFill>
              </w:rPr>
              <w:t>|</w:t>
            </w:r>
            <w:r w:rsidR="00B75DC4">
              <w:rPr>
                <w:szCs w:val="20"/>
                <w:vertAlign w:val="superscript"/>
              </w:rPr>
              <w:t>6</w:t>
            </w:r>
          </w:p>
        </w:tc>
        <w:tc>
          <w:tcPr>
            <w:tcW w:w="493" w:type="pct"/>
            <w:vAlign w:val="center"/>
          </w:tcPr>
          <w:p w14:paraId="3F38AFEB" w14:textId="63AD0E5A" w:rsidR="000A1519" w:rsidRPr="006440B8" w:rsidRDefault="000A1519" w:rsidP="00014A9C">
            <w:pPr>
              <w:pStyle w:val="TableText"/>
              <w:keepLines/>
              <w:ind w:left="-65" w:right="-82"/>
              <w:jc w:val="center"/>
              <w:rPr>
                <w:rFonts w:cs="Calibri"/>
                <w:b/>
                <w:bCs w:val="0"/>
                <w:color w:val="000000"/>
                <w:szCs w:val="20"/>
              </w:rPr>
            </w:pPr>
            <w:r w:rsidRPr="006440B8">
              <w:rPr>
                <w:rFonts w:cs="Calibri"/>
                <w:b/>
                <w:bCs w:val="0"/>
                <w:color w:val="000000"/>
                <w:szCs w:val="20"/>
              </w:rPr>
              <w:t>$</w:t>
            </w:r>
            <w:r w:rsidR="00F96E54" w:rsidRPr="00F96E54">
              <w:rPr>
                <w:rFonts w:cs="Calibri"/>
                <w:b/>
                <w:bCs w:val="0"/>
                <w:color w:val="000000"/>
                <w:spacing w:val="43"/>
                <w:szCs w:val="20"/>
                <w:shd w:val="solid" w:color="000000" w:fill="000000"/>
                <w:fitText w:val="313" w:id="-1435343096"/>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3096"/>
                <w14:textFill>
                  <w14:solidFill>
                    <w14:srgbClr w14:val="000000">
                      <w14:alpha w14:val="100000"/>
                    </w14:srgbClr>
                  </w14:solidFill>
                </w14:textFill>
              </w:rPr>
              <w:t>|</w:t>
            </w:r>
            <w:r w:rsidR="00B75DC4">
              <w:rPr>
                <w:szCs w:val="20"/>
                <w:vertAlign w:val="superscript"/>
              </w:rPr>
              <w:t>6</w:t>
            </w:r>
          </w:p>
        </w:tc>
        <w:tc>
          <w:tcPr>
            <w:tcW w:w="493" w:type="pct"/>
            <w:vAlign w:val="center"/>
          </w:tcPr>
          <w:p w14:paraId="7CC1A076" w14:textId="4813061C" w:rsidR="000A1519" w:rsidRPr="006440B8" w:rsidRDefault="000A1519" w:rsidP="00014A9C">
            <w:pPr>
              <w:pStyle w:val="TableText"/>
              <w:keepLines/>
              <w:ind w:left="-65" w:right="-82"/>
              <w:jc w:val="center"/>
              <w:rPr>
                <w:rFonts w:cs="Calibri"/>
                <w:b/>
                <w:bCs w:val="0"/>
                <w:color w:val="000000"/>
                <w:szCs w:val="20"/>
              </w:rPr>
            </w:pPr>
            <w:r w:rsidRPr="006440B8">
              <w:rPr>
                <w:rFonts w:cs="Calibri"/>
                <w:b/>
                <w:bCs w:val="0"/>
                <w:color w:val="000000"/>
                <w:szCs w:val="20"/>
              </w:rPr>
              <w:t>$</w:t>
            </w:r>
            <w:r w:rsidR="00F96E54" w:rsidRPr="00F96E54">
              <w:rPr>
                <w:rFonts w:cs="Calibri"/>
                <w:b/>
                <w:bCs w:val="0"/>
                <w:color w:val="000000"/>
                <w:spacing w:val="43"/>
                <w:szCs w:val="20"/>
                <w:shd w:val="solid" w:color="000000" w:fill="000000"/>
                <w:fitText w:val="313" w:id="-1435343095"/>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3095"/>
                <w14:textFill>
                  <w14:solidFill>
                    <w14:srgbClr w14:val="000000">
                      <w14:alpha w14:val="100000"/>
                    </w14:srgbClr>
                  </w14:solidFill>
                </w14:textFill>
              </w:rPr>
              <w:t>|</w:t>
            </w:r>
            <w:r w:rsidR="00B75DC4">
              <w:rPr>
                <w:szCs w:val="20"/>
                <w:vertAlign w:val="superscript"/>
              </w:rPr>
              <w:t>6</w:t>
            </w:r>
          </w:p>
        </w:tc>
        <w:tc>
          <w:tcPr>
            <w:tcW w:w="518" w:type="pct"/>
            <w:vAlign w:val="center"/>
          </w:tcPr>
          <w:p w14:paraId="2B35C3C2" w14:textId="70594636" w:rsidR="000A1519" w:rsidRPr="006440B8" w:rsidRDefault="000A1519" w:rsidP="00014A9C">
            <w:pPr>
              <w:pStyle w:val="TableText"/>
              <w:keepLines/>
              <w:ind w:left="-65" w:right="-82"/>
              <w:jc w:val="center"/>
              <w:rPr>
                <w:rFonts w:cs="Calibri"/>
                <w:b/>
                <w:bCs w:val="0"/>
                <w:color w:val="000000"/>
                <w:szCs w:val="20"/>
              </w:rPr>
            </w:pPr>
            <w:r w:rsidRPr="006440B8">
              <w:rPr>
                <w:rFonts w:cs="Calibri"/>
                <w:b/>
                <w:bCs w:val="0"/>
                <w:color w:val="000000"/>
                <w:szCs w:val="20"/>
              </w:rPr>
              <w:t>$</w:t>
            </w:r>
            <w:r w:rsidR="00F96E54" w:rsidRPr="00F96E54">
              <w:rPr>
                <w:rFonts w:cs="Calibri"/>
                <w:b/>
                <w:bCs w:val="0"/>
                <w:color w:val="000000"/>
                <w:spacing w:val="39"/>
                <w:szCs w:val="20"/>
                <w:shd w:val="solid" w:color="000000" w:fill="000000"/>
                <w:fitText w:val="301" w:id="-1435343094"/>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01" w:id="-1435343094"/>
                <w14:textFill>
                  <w14:solidFill>
                    <w14:srgbClr w14:val="000000">
                      <w14:alpha w14:val="100000"/>
                    </w14:srgbClr>
                  </w14:solidFill>
                </w14:textFill>
              </w:rPr>
              <w:t>|</w:t>
            </w:r>
            <w:r w:rsidR="00B75DC4">
              <w:rPr>
                <w:szCs w:val="20"/>
                <w:vertAlign w:val="superscript"/>
              </w:rPr>
              <w:t>6</w:t>
            </w:r>
          </w:p>
        </w:tc>
      </w:tr>
      <w:tr w:rsidR="000A1519" w:rsidRPr="00A737C2" w14:paraId="49D30855" w14:textId="77777777" w:rsidTr="00A361A7">
        <w:tc>
          <w:tcPr>
            <w:tcW w:w="5000" w:type="pct"/>
            <w:gridSpan w:val="7"/>
            <w:vAlign w:val="center"/>
          </w:tcPr>
          <w:p w14:paraId="49D9F684" w14:textId="66167641" w:rsidR="000A1519" w:rsidRPr="00A737C2" w:rsidRDefault="000A1519" w:rsidP="00014A9C">
            <w:pPr>
              <w:pStyle w:val="TableText"/>
              <w:keepLines/>
              <w:ind w:left="-65" w:right="-82"/>
              <w:rPr>
                <w:rFonts w:cs="Arial"/>
                <w:b/>
                <w:bCs w:val="0"/>
                <w:szCs w:val="20"/>
              </w:rPr>
            </w:pPr>
            <w:r>
              <w:rPr>
                <w:rFonts w:cstheme="minorHAnsi"/>
                <w:b/>
                <w:bCs w:val="0"/>
                <w:szCs w:val="20"/>
              </w:rPr>
              <w:t xml:space="preserve">Changes in </w:t>
            </w:r>
            <w:r w:rsidRPr="00A737C2">
              <w:rPr>
                <w:rFonts w:cstheme="minorHAnsi"/>
                <w:b/>
                <w:bCs w:val="0"/>
                <w:szCs w:val="20"/>
              </w:rPr>
              <w:t>BAT therapy scripts for steroid refractory moderate</w:t>
            </w:r>
            <w:r w:rsidR="00B90243">
              <w:rPr>
                <w:rFonts w:cstheme="minorHAnsi"/>
                <w:b/>
                <w:bCs w:val="0"/>
                <w:szCs w:val="20"/>
              </w:rPr>
              <w:t xml:space="preserve"> to </w:t>
            </w:r>
            <w:r w:rsidRPr="00A737C2">
              <w:rPr>
                <w:rFonts w:cstheme="minorHAnsi"/>
                <w:b/>
                <w:bCs w:val="0"/>
                <w:szCs w:val="20"/>
              </w:rPr>
              <w:t>severe cGVHD substituted by ruxolitinib</w:t>
            </w:r>
          </w:p>
        </w:tc>
      </w:tr>
      <w:tr w:rsidR="000A1519" w:rsidRPr="006440B8" w14:paraId="50103EFC" w14:textId="77777777" w:rsidTr="00A361A7">
        <w:tc>
          <w:tcPr>
            <w:tcW w:w="1961" w:type="pct"/>
          </w:tcPr>
          <w:p w14:paraId="3FF391AD" w14:textId="77777777" w:rsidR="000A1519" w:rsidRPr="006440B8" w:rsidRDefault="000A1519" w:rsidP="00014A9C">
            <w:pPr>
              <w:pStyle w:val="TableText"/>
              <w:keepLines/>
              <w:tabs>
                <w:tab w:val="right" w:pos="3513"/>
              </w:tabs>
              <w:ind w:left="-57" w:right="-68"/>
              <w:rPr>
                <w:b/>
                <w:bCs w:val="0"/>
                <w:szCs w:val="20"/>
              </w:rPr>
            </w:pPr>
            <w:r w:rsidRPr="00A737C2">
              <w:rPr>
                <w:rFonts w:cstheme="minorHAnsi"/>
                <w:szCs w:val="20"/>
              </w:rPr>
              <w:t>Mycophenolate 500 mg tab</w:t>
            </w:r>
          </w:p>
        </w:tc>
        <w:tc>
          <w:tcPr>
            <w:tcW w:w="549" w:type="pct"/>
            <w:vAlign w:val="center"/>
          </w:tcPr>
          <w:p w14:paraId="7E2869CB" w14:textId="6B7CD15A"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14"/>
                <w:szCs w:val="20"/>
                <w:shd w:val="solid" w:color="000000" w:fill="000000"/>
                <w:fitText w:val="200" w:id="-1435343093"/>
                <w14:textFill>
                  <w14:solidFill>
                    <w14:srgbClr w14:val="000000">
                      <w14:alpha w14:val="100000"/>
                    </w14:srgbClr>
                  </w14:solidFill>
                </w14:textFill>
              </w:rPr>
              <w:t>|</w:t>
            </w:r>
            <w:r w:rsidR="00F96E54" w:rsidRPr="00F96E54">
              <w:rPr>
                <w:rFonts w:cs="Arial"/>
                <w:color w:val="000000"/>
                <w:spacing w:val="1"/>
                <w:szCs w:val="20"/>
                <w:shd w:val="solid" w:color="000000" w:fill="000000"/>
                <w:fitText w:val="200" w:id="-1435343093"/>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6F6F89AE" w14:textId="444FE1B9"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3092"/>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3092"/>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2501B8A5" w14:textId="105B3E62"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3091"/>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3091"/>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4E156317" w14:textId="26F7097D"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3090"/>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3090"/>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25873855" w14:textId="3835DAEC"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5"/>
                <w:szCs w:val="20"/>
                <w:shd w:val="solid" w:color="000000" w:fill="000000"/>
                <w:fitText w:val="251" w:id="-1435343089"/>
                <w14:textFill>
                  <w14:solidFill>
                    <w14:srgbClr w14:val="000000">
                      <w14:alpha w14:val="100000"/>
                    </w14:srgbClr>
                  </w14:solidFill>
                </w14:textFill>
              </w:rPr>
              <w:t>|</w:t>
            </w:r>
            <w:r w:rsidR="00F96E54" w:rsidRPr="00F96E54">
              <w:rPr>
                <w:rFonts w:cs="Arial"/>
                <w:color w:val="000000"/>
                <w:spacing w:val="1"/>
                <w:szCs w:val="20"/>
                <w:shd w:val="solid" w:color="000000" w:fill="000000"/>
                <w:fitText w:val="251" w:id="-1435343089"/>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518" w:type="pct"/>
            <w:vAlign w:val="center"/>
          </w:tcPr>
          <w:p w14:paraId="4F88D996" w14:textId="657E71A9"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49"/>
                <w:szCs w:val="20"/>
                <w:shd w:val="solid" w:color="000000" w:fill="000000"/>
                <w:fitText w:val="226" w:id="-1435343088"/>
                <w14:textFill>
                  <w14:solidFill>
                    <w14:srgbClr w14:val="000000">
                      <w14:alpha w14:val="100000"/>
                    </w14:srgbClr>
                  </w14:solidFill>
                </w14:textFill>
              </w:rPr>
              <w:t>||</w:t>
            </w:r>
            <w:r w:rsidR="00F96E54" w:rsidRPr="00F96E54">
              <w:rPr>
                <w:rFonts w:cs="Arial"/>
                <w:color w:val="000000"/>
                <w:spacing w:val="1"/>
                <w:szCs w:val="20"/>
                <w:shd w:val="solid" w:color="000000" w:fill="000000"/>
                <w:fitText w:val="226" w:id="-1435343088"/>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r>
      <w:tr w:rsidR="000A1519" w:rsidRPr="006440B8" w14:paraId="1580E675" w14:textId="77777777" w:rsidTr="00A361A7">
        <w:tc>
          <w:tcPr>
            <w:tcW w:w="1961" w:type="pct"/>
          </w:tcPr>
          <w:p w14:paraId="1A4D2E2E" w14:textId="77777777" w:rsidR="000A1519" w:rsidRPr="006440B8" w:rsidRDefault="000A1519" w:rsidP="00014A9C">
            <w:pPr>
              <w:pStyle w:val="TableText"/>
              <w:keepLines/>
              <w:tabs>
                <w:tab w:val="right" w:pos="3513"/>
              </w:tabs>
              <w:ind w:left="-57" w:right="-68"/>
              <w:rPr>
                <w:b/>
                <w:bCs w:val="0"/>
                <w:szCs w:val="20"/>
              </w:rPr>
            </w:pPr>
            <w:r w:rsidRPr="00A737C2">
              <w:rPr>
                <w:rFonts w:cstheme="minorHAnsi"/>
                <w:szCs w:val="20"/>
              </w:rPr>
              <w:t>Methotrexate 10 mg tab</w:t>
            </w:r>
          </w:p>
        </w:tc>
        <w:tc>
          <w:tcPr>
            <w:tcW w:w="549" w:type="pct"/>
            <w:vAlign w:val="center"/>
          </w:tcPr>
          <w:p w14:paraId="1DF14C04" w14:textId="68CFFABC"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14"/>
                <w:szCs w:val="20"/>
                <w:shd w:val="solid" w:color="000000" w:fill="000000"/>
                <w:fitText w:val="200" w:id="-1435343104"/>
                <w14:textFill>
                  <w14:solidFill>
                    <w14:srgbClr w14:val="000000">
                      <w14:alpha w14:val="100000"/>
                    </w14:srgbClr>
                  </w14:solidFill>
                </w14:textFill>
              </w:rPr>
              <w:t>|</w:t>
            </w:r>
            <w:r w:rsidR="00F96E54" w:rsidRPr="00F96E54">
              <w:rPr>
                <w:rFonts w:cs="Arial"/>
                <w:color w:val="000000"/>
                <w:spacing w:val="1"/>
                <w:szCs w:val="20"/>
                <w:shd w:val="solid" w:color="000000" w:fill="000000"/>
                <w:fitText w:val="200" w:id="-1435343104"/>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4CFDFCDC" w14:textId="4DB9896D"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48"/>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8"/>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46DA61BB" w14:textId="105B816C"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47"/>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7"/>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42E42CA8" w14:textId="4951FBC8"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46"/>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6"/>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46920E2F" w14:textId="26FB0F9B"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5"/>
                <w:szCs w:val="20"/>
                <w:shd w:val="solid" w:color="000000" w:fill="000000"/>
                <w:fitText w:val="251" w:id="-1435342845"/>
                <w14:textFill>
                  <w14:solidFill>
                    <w14:srgbClr w14:val="000000">
                      <w14:alpha w14:val="100000"/>
                    </w14:srgbClr>
                  </w14:solidFill>
                </w14:textFill>
              </w:rPr>
              <w:t>|</w:t>
            </w:r>
            <w:r w:rsidR="00F96E54" w:rsidRPr="00F96E54">
              <w:rPr>
                <w:rFonts w:cs="Arial"/>
                <w:color w:val="000000"/>
                <w:spacing w:val="1"/>
                <w:szCs w:val="20"/>
                <w:shd w:val="solid" w:color="000000" w:fill="000000"/>
                <w:fitText w:val="251" w:id="-1435342845"/>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518" w:type="pct"/>
            <w:vAlign w:val="center"/>
          </w:tcPr>
          <w:p w14:paraId="6C370327" w14:textId="1820661B"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49"/>
                <w:szCs w:val="20"/>
                <w:shd w:val="solid" w:color="000000" w:fill="000000"/>
                <w:fitText w:val="226" w:id="-1435342844"/>
                <w14:textFill>
                  <w14:solidFill>
                    <w14:srgbClr w14:val="000000">
                      <w14:alpha w14:val="100000"/>
                    </w14:srgbClr>
                  </w14:solidFill>
                </w14:textFill>
              </w:rPr>
              <w:t>||</w:t>
            </w:r>
            <w:r w:rsidR="00F96E54" w:rsidRPr="00F96E54">
              <w:rPr>
                <w:rFonts w:cs="Arial"/>
                <w:color w:val="000000"/>
                <w:spacing w:val="1"/>
                <w:szCs w:val="20"/>
                <w:shd w:val="solid" w:color="000000" w:fill="000000"/>
                <w:fitText w:val="226" w:id="-1435342844"/>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r>
      <w:tr w:rsidR="000A1519" w:rsidRPr="006440B8" w14:paraId="12380F1F" w14:textId="77777777" w:rsidTr="00A361A7">
        <w:tc>
          <w:tcPr>
            <w:tcW w:w="1961" w:type="pct"/>
          </w:tcPr>
          <w:p w14:paraId="0D15D094" w14:textId="77777777" w:rsidR="000A1519" w:rsidRPr="006440B8" w:rsidRDefault="000A1519" w:rsidP="00014A9C">
            <w:pPr>
              <w:pStyle w:val="TableText"/>
              <w:keepLines/>
              <w:tabs>
                <w:tab w:val="right" w:pos="3513"/>
              </w:tabs>
              <w:ind w:left="-57" w:right="-68"/>
              <w:rPr>
                <w:b/>
                <w:bCs w:val="0"/>
                <w:szCs w:val="20"/>
              </w:rPr>
            </w:pPr>
            <w:r w:rsidRPr="00A737C2">
              <w:rPr>
                <w:szCs w:val="20"/>
              </w:rPr>
              <w:t>Sirolimus 1 mg tab</w:t>
            </w:r>
          </w:p>
        </w:tc>
        <w:tc>
          <w:tcPr>
            <w:tcW w:w="549" w:type="pct"/>
            <w:vAlign w:val="center"/>
          </w:tcPr>
          <w:p w14:paraId="18EF687A" w14:textId="6B5651AB"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14"/>
                <w:szCs w:val="20"/>
                <w:shd w:val="solid" w:color="000000" w:fill="000000"/>
                <w:fitText w:val="200" w:id="-1435342843"/>
                <w14:textFill>
                  <w14:solidFill>
                    <w14:srgbClr w14:val="000000">
                      <w14:alpha w14:val="100000"/>
                    </w14:srgbClr>
                  </w14:solidFill>
                </w14:textFill>
              </w:rPr>
              <w:t>|</w:t>
            </w:r>
            <w:r w:rsidR="00F96E54" w:rsidRPr="00F96E54">
              <w:rPr>
                <w:rFonts w:cs="Arial"/>
                <w:color w:val="000000"/>
                <w:spacing w:val="1"/>
                <w:szCs w:val="20"/>
                <w:shd w:val="solid" w:color="000000" w:fill="000000"/>
                <w:fitText w:val="200" w:id="-1435342843"/>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3387D854" w14:textId="5F1E5CE6"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42"/>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2"/>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7D82D758" w14:textId="5953E24A"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41"/>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1"/>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1F8C3A17" w14:textId="6E83FAC3"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40"/>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0"/>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619D4637" w14:textId="759B248F"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5"/>
                <w:szCs w:val="20"/>
                <w:shd w:val="solid" w:color="000000" w:fill="000000"/>
                <w:fitText w:val="251" w:id="-1435342839"/>
                <w14:textFill>
                  <w14:solidFill>
                    <w14:srgbClr w14:val="000000">
                      <w14:alpha w14:val="100000"/>
                    </w14:srgbClr>
                  </w14:solidFill>
                </w14:textFill>
              </w:rPr>
              <w:t>|</w:t>
            </w:r>
            <w:r w:rsidR="00F96E54" w:rsidRPr="00F96E54">
              <w:rPr>
                <w:rFonts w:cs="Arial"/>
                <w:color w:val="000000"/>
                <w:spacing w:val="1"/>
                <w:szCs w:val="20"/>
                <w:shd w:val="solid" w:color="000000" w:fill="000000"/>
                <w:fitText w:val="251" w:id="-1435342839"/>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518" w:type="pct"/>
            <w:vAlign w:val="center"/>
          </w:tcPr>
          <w:p w14:paraId="699B9F38" w14:textId="6A1642FF"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49"/>
                <w:szCs w:val="20"/>
                <w:shd w:val="solid" w:color="000000" w:fill="000000"/>
                <w:fitText w:val="226" w:id="-1435342838"/>
                <w14:textFill>
                  <w14:solidFill>
                    <w14:srgbClr w14:val="000000">
                      <w14:alpha w14:val="100000"/>
                    </w14:srgbClr>
                  </w14:solidFill>
                </w14:textFill>
              </w:rPr>
              <w:t>||</w:t>
            </w:r>
            <w:r w:rsidR="00F96E54" w:rsidRPr="00F96E54">
              <w:rPr>
                <w:rFonts w:cs="Arial"/>
                <w:color w:val="000000"/>
                <w:spacing w:val="1"/>
                <w:szCs w:val="20"/>
                <w:shd w:val="solid" w:color="000000" w:fill="000000"/>
                <w:fitText w:val="226" w:id="-1435342838"/>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r>
      <w:tr w:rsidR="000A1519" w:rsidRPr="006440B8" w14:paraId="72192187" w14:textId="77777777" w:rsidTr="00A361A7">
        <w:tc>
          <w:tcPr>
            <w:tcW w:w="1961" w:type="pct"/>
          </w:tcPr>
          <w:p w14:paraId="0BA8E1B2" w14:textId="77777777" w:rsidR="000A1519" w:rsidRPr="006440B8" w:rsidRDefault="000A1519" w:rsidP="00014A9C">
            <w:pPr>
              <w:pStyle w:val="TableText"/>
              <w:keepLines/>
              <w:tabs>
                <w:tab w:val="right" w:pos="3513"/>
              </w:tabs>
              <w:ind w:left="-57" w:right="-68"/>
              <w:rPr>
                <w:b/>
                <w:bCs w:val="0"/>
                <w:szCs w:val="20"/>
              </w:rPr>
            </w:pPr>
            <w:r w:rsidRPr="00A737C2">
              <w:rPr>
                <w:szCs w:val="20"/>
              </w:rPr>
              <w:t>Everolimus 1 mg tab</w:t>
            </w:r>
          </w:p>
        </w:tc>
        <w:tc>
          <w:tcPr>
            <w:tcW w:w="549" w:type="pct"/>
            <w:vAlign w:val="center"/>
          </w:tcPr>
          <w:p w14:paraId="68E71D70" w14:textId="2AE60E3C"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14"/>
                <w:szCs w:val="20"/>
                <w:shd w:val="solid" w:color="000000" w:fill="000000"/>
                <w:fitText w:val="200" w:id="-1435342837"/>
                <w14:textFill>
                  <w14:solidFill>
                    <w14:srgbClr w14:val="000000">
                      <w14:alpha w14:val="100000"/>
                    </w14:srgbClr>
                  </w14:solidFill>
                </w14:textFill>
              </w:rPr>
              <w:t>|</w:t>
            </w:r>
            <w:r w:rsidR="00F96E54" w:rsidRPr="00F96E54">
              <w:rPr>
                <w:rFonts w:cs="Arial"/>
                <w:color w:val="000000"/>
                <w:spacing w:val="1"/>
                <w:szCs w:val="20"/>
                <w:shd w:val="solid" w:color="000000" w:fill="000000"/>
                <w:fitText w:val="200" w:id="-1435342837"/>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05613F3D" w14:textId="1A9C0EED"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36"/>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36"/>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7EC3A9B3" w14:textId="3B4AD264"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35"/>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35"/>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33522E1E" w14:textId="0A17BEE3"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34"/>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34"/>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72BFF290" w14:textId="2695A93E"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5"/>
                <w:szCs w:val="20"/>
                <w:shd w:val="solid" w:color="000000" w:fill="000000"/>
                <w:fitText w:val="251" w:id="-1435342833"/>
                <w14:textFill>
                  <w14:solidFill>
                    <w14:srgbClr w14:val="000000">
                      <w14:alpha w14:val="100000"/>
                    </w14:srgbClr>
                  </w14:solidFill>
                </w14:textFill>
              </w:rPr>
              <w:t>|</w:t>
            </w:r>
            <w:r w:rsidR="00F96E54" w:rsidRPr="00F96E54">
              <w:rPr>
                <w:rFonts w:cs="Arial"/>
                <w:color w:val="000000"/>
                <w:spacing w:val="1"/>
                <w:szCs w:val="20"/>
                <w:shd w:val="solid" w:color="000000" w:fill="000000"/>
                <w:fitText w:val="251" w:id="-1435342833"/>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518" w:type="pct"/>
            <w:vAlign w:val="center"/>
          </w:tcPr>
          <w:p w14:paraId="48C96AF5" w14:textId="0F5AD8FC"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49"/>
                <w:szCs w:val="20"/>
                <w:shd w:val="solid" w:color="000000" w:fill="000000"/>
                <w:fitText w:val="226" w:id="-1435342832"/>
                <w14:textFill>
                  <w14:solidFill>
                    <w14:srgbClr w14:val="000000">
                      <w14:alpha w14:val="100000"/>
                    </w14:srgbClr>
                  </w14:solidFill>
                </w14:textFill>
              </w:rPr>
              <w:t>||</w:t>
            </w:r>
            <w:r w:rsidR="00F96E54" w:rsidRPr="00F96E54">
              <w:rPr>
                <w:rFonts w:cs="Arial"/>
                <w:color w:val="000000"/>
                <w:spacing w:val="1"/>
                <w:szCs w:val="20"/>
                <w:shd w:val="solid" w:color="000000" w:fill="000000"/>
                <w:fitText w:val="226" w:id="-1435342832"/>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r>
      <w:tr w:rsidR="000A1519" w:rsidRPr="006440B8" w14:paraId="2A174EF4" w14:textId="77777777" w:rsidTr="00A361A7">
        <w:tc>
          <w:tcPr>
            <w:tcW w:w="1961" w:type="pct"/>
          </w:tcPr>
          <w:p w14:paraId="492820CB" w14:textId="77777777" w:rsidR="000A1519" w:rsidRPr="006440B8" w:rsidRDefault="000A1519" w:rsidP="00014A9C">
            <w:pPr>
              <w:pStyle w:val="TableText"/>
              <w:keepLines/>
              <w:tabs>
                <w:tab w:val="right" w:pos="3513"/>
              </w:tabs>
              <w:ind w:left="-57" w:right="-68"/>
              <w:rPr>
                <w:b/>
                <w:bCs w:val="0"/>
                <w:szCs w:val="20"/>
              </w:rPr>
            </w:pPr>
            <w:r w:rsidRPr="00A737C2">
              <w:rPr>
                <w:szCs w:val="20"/>
              </w:rPr>
              <w:t>Methoxsalen inj 200 mcg</w:t>
            </w:r>
          </w:p>
        </w:tc>
        <w:tc>
          <w:tcPr>
            <w:tcW w:w="549" w:type="pct"/>
            <w:vAlign w:val="center"/>
          </w:tcPr>
          <w:p w14:paraId="237EE331" w14:textId="5841CDE6"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14"/>
                <w:szCs w:val="20"/>
                <w:shd w:val="solid" w:color="000000" w:fill="000000"/>
                <w:fitText w:val="200" w:id="-1435342848"/>
                <w14:textFill>
                  <w14:solidFill>
                    <w14:srgbClr w14:val="000000">
                      <w14:alpha w14:val="100000"/>
                    </w14:srgbClr>
                  </w14:solidFill>
                </w14:textFill>
              </w:rPr>
              <w:t>|</w:t>
            </w:r>
            <w:r w:rsidR="00F96E54" w:rsidRPr="00F96E54">
              <w:rPr>
                <w:rFonts w:cs="Arial"/>
                <w:color w:val="000000"/>
                <w:spacing w:val="1"/>
                <w:szCs w:val="20"/>
                <w:shd w:val="solid" w:color="000000" w:fill="000000"/>
                <w:fitText w:val="200" w:id="-1435342848"/>
                <w14:textFill>
                  <w14:solidFill>
                    <w14:srgbClr w14:val="000000">
                      <w14:alpha w14:val="100000"/>
                    </w14:srgbClr>
                  </w14:solidFill>
                </w14:textFill>
              </w:rPr>
              <w:t>|</w:t>
            </w:r>
            <w:r w:rsidR="008F5AEA">
              <w:rPr>
                <w:szCs w:val="20"/>
                <w:vertAlign w:val="superscript"/>
              </w:rPr>
              <w:t>4</w:t>
            </w:r>
            <w:r w:rsidRPr="00A737C2">
              <w:rPr>
                <w:rFonts w:cs="Arial"/>
                <w:szCs w:val="20"/>
              </w:rPr>
              <w:t xml:space="preserve"> </w:t>
            </w:r>
          </w:p>
        </w:tc>
        <w:tc>
          <w:tcPr>
            <w:tcW w:w="493" w:type="pct"/>
            <w:vAlign w:val="center"/>
          </w:tcPr>
          <w:p w14:paraId="55DE814D" w14:textId="1C15F1F2"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47"/>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7"/>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54135125" w14:textId="7677AEBC"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46"/>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6"/>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041CE10C" w14:textId="1690B4AF"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45"/>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5"/>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62F22C59" w14:textId="6F7E7862"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5"/>
                <w:szCs w:val="20"/>
                <w:shd w:val="solid" w:color="000000" w:fill="000000"/>
                <w:fitText w:val="251" w:id="-1435342844"/>
                <w14:textFill>
                  <w14:solidFill>
                    <w14:srgbClr w14:val="000000">
                      <w14:alpha w14:val="100000"/>
                    </w14:srgbClr>
                  </w14:solidFill>
                </w14:textFill>
              </w:rPr>
              <w:t>|</w:t>
            </w:r>
            <w:r w:rsidR="00F96E54" w:rsidRPr="00F96E54">
              <w:rPr>
                <w:rFonts w:cs="Arial"/>
                <w:color w:val="000000"/>
                <w:spacing w:val="1"/>
                <w:szCs w:val="20"/>
                <w:shd w:val="solid" w:color="000000" w:fill="000000"/>
                <w:fitText w:val="251" w:id="-1435342844"/>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518" w:type="pct"/>
            <w:vAlign w:val="center"/>
          </w:tcPr>
          <w:p w14:paraId="7F9C4BDD" w14:textId="6EC28916"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49"/>
                <w:szCs w:val="20"/>
                <w:shd w:val="solid" w:color="000000" w:fill="000000"/>
                <w:fitText w:val="226" w:id="-1435342843"/>
                <w14:textFill>
                  <w14:solidFill>
                    <w14:srgbClr w14:val="000000">
                      <w14:alpha w14:val="100000"/>
                    </w14:srgbClr>
                  </w14:solidFill>
                </w14:textFill>
              </w:rPr>
              <w:t>||</w:t>
            </w:r>
            <w:r w:rsidR="00F96E54" w:rsidRPr="00F96E54">
              <w:rPr>
                <w:rFonts w:cs="Arial"/>
                <w:color w:val="000000"/>
                <w:spacing w:val="1"/>
                <w:szCs w:val="20"/>
                <w:shd w:val="solid" w:color="000000" w:fill="000000"/>
                <w:fitText w:val="226" w:id="-1435342843"/>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r>
      <w:tr w:rsidR="000A1519" w:rsidRPr="00A737C2" w14:paraId="421BDE1A" w14:textId="77777777" w:rsidTr="00A361A7">
        <w:tc>
          <w:tcPr>
            <w:tcW w:w="5000" w:type="pct"/>
            <w:gridSpan w:val="7"/>
            <w:vAlign w:val="center"/>
          </w:tcPr>
          <w:p w14:paraId="5B3CAF3F" w14:textId="263E8E21" w:rsidR="000A1519" w:rsidRPr="00A737C2" w:rsidRDefault="000A1519" w:rsidP="00014A9C">
            <w:pPr>
              <w:pStyle w:val="TableText"/>
              <w:keepLines/>
              <w:ind w:left="-65" w:right="-82"/>
              <w:rPr>
                <w:rFonts w:cs="Arial"/>
                <w:b/>
                <w:bCs w:val="0"/>
                <w:szCs w:val="20"/>
              </w:rPr>
            </w:pPr>
            <w:r w:rsidRPr="00EE14F0">
              <w:rPr>
                <w:rFonts w:cstheme="minorHAnsi"/>
                <w:b/>
                <w:bCs w:val="0"/>
                <w:szCs w:val="20"/>
              </w:rPr>
              <w:t>Cost offsets from substitution of BAT therapies for steroid refractory moderate</w:t>
            </w:r>
            <w:r w:rsidR="00B90243">
              <w:rPr>
                <w:rFonts w:cstheme="minorHAnsi"/>
                <w:b/>
                <w:bCs w:val="0"/>
                <w:szCs w:val="20"/>
              </w:rPr>
              <w:t xml:space="preserve"> to </w:t>
            </w:r>
            <w:r w:rsidRPr="00EE14F0">
              <w:rPr>
                <w:rFonts w:cstheme="minorHAnsi"/>
                <w:b/>
                <w:bCs w:val="0"/>
                <w:szCs w:val="20"/>
              </w:rPr>
              <w:t>severe cGVHD</w:t>
            </w:r>
          </w:p>
        </w:tc>
      </w:tr>
      <w:tr w:rsidR="000A1519" w:rsidRPr="003B7C85" w14:paraId="08670D49" w14:textId="77777777" w:rsidTr="00A361A7">
        <w:tc>
          <w:tcPr>
            <w:tcW w:w="1961" w:type="pct"/>
          </w:tcPr>
          <w:p w14:paraId="42245999" w14:textId="77777777" w:rsidR="000A1519" w:rsidRPr="003B7C85" w:rsidRDefault="000A1519" w:rsidP="00014A9C">
            <w:pPr>
              <w:pStyle w:val="TableText"/>
              <w:keepLines/>
              <w:tabs>
                <w:tab w:val="right" w:pos="3513"/>
              </w:tabs>
              <w:ind w:left="-57" w:right="-68"/>
              <w:rPr>
                <w:szCs w:val="20"/>
              </w:rPr>
            </w:pPr>
            <w:r w:rsidRPr="003B7C85">
              <w:rPr>
                <w:rFonts w:cstheme="minorHAnsi"/>
                <w:szCs w:val="20"/>
              </w:rPr>
              <w:t>Mycophenolate cost to PBS (less copayment)</w:t>
            </w:r>
          </w:p>
        </w:tc>
        <w:tc>
          <w:tcPr>
            <w:tcW w:w="549" w:type="pct"/>
            <w:vAlign w:val="center"/>
          </w:tcPr>
          <w:p w14:paraId="078E075F" w14:textId="706EFEC6"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164"/>
                <w:szCs w:val="20"/>
                <w:shd w:val="solid" w:color="000000" w:fill="000000"/>
                <w:fitText w:val="250" w:id="-1435342842"/>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2"/>
                <w14:textFill>
                  <w14:solidFill>
                    <w14:srgbClr w14:val="000000">
                      <w14:alpha w14:val="100000"/>
                    </w14:srgbClr>
                  </w14:solidFill>
                </w14:textFill>
              </w:rPr>
              <w:t>|</w:t>
            </w:r>
            <w:r w:rsidR="00B75DC4">
              <w:rPr>
                <w:szCs w:val="20"/>
                <w:vertAlign w:val="superscript"/>
              </w:rPr>
              <w:t>6</w:t>
            </w:r>
          </w:p>
        </w:tc>
        <w:tc>
          <w:tcPr>
            <w:tcW w:w="493" w:type="pct"/>
            <w:vAlign w:val="center"/>
          </w:tcPr>
          <w:p w14:paraId="6EBD713F" w14:textId="345F69E2"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41"/>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41"/>
                <w14:textFill>
                  <w14:solidFill>
                    <w14:srgbClr w14:val="000000">
                      <w14:alpha w14:val="100000"/>
                    </w14:srgbClr>
                  </w14:solidFill>
                </w14:textFill>
              </w:rPr>
              <w:t>|</w:t>
            </w:r>
            <w:r w:rsidR="00B75DC4">
              <w:rPr>
                <w:szCs w:val="20"/>
                <w:vertAlign w:val="superscript"/>
              </w:rPr>
              <w:t>6</w:t>
            </w:r>
          </w:p>
        </w:tc>
        <w:tc>
          <w:tcPr>
            <w:tcW w:w="493" w:type="pct"/>
            <w:vAlign w:val="center"/>
          </w:tcPr>
          <w:p w14:paraId="74AE5E64" w14:textId="4844B617"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40"/>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40"/>
                <w14:textFill>
                  <w14:solidFill>
                    <w14:srgbClr w14:val="000000">
                      <w14:alpha w14:val="100000"/>
                    </w14:srgbClr>
                  </w14:solidFill>
                </w14:textFill>
              </w:rPr>
              <w:t>|</w:t>
            </w:r>
            <w:r w:rsidR="00B75DC4">
              <w:rPr>
                <w:szCs w:val="20"/>
                <w:vertAlign w:val="superscript"/>
              </w:rPr>
              <w:t>6</w:t>
            </w:r>
          </w:p>
        </w:tc>
        <w:tc>
          <w:tcPr>
            <w:tcW w:w="493" w:type="pct"/>
            <w:vAlign w:val="center"/>
          </w:tcPr>
          <w:p w14:paraId="606820BB" w14:textId="7E12A399"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39"/>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9"/>
                <w14:textFill>
                  <w14:solidFill>
                    <w14:srgbClr w14:val="000000">
                      <w14:alpha w14:val="100000"/>
                    </w14:srgbClr>
                  </w14:solidFill>
                </w14:textFill>
              </w:rPr>
              <w:t>|</w:t>
            </w:r>
            <w:r w:rsidR="00B75DC4">
              <w:rPr>
                <w:szCs w:val="20"/>
                <w:vertAlign w:val="superscript"/>
              </w:rPr>
              <w:t>6</w:t>
            </w:r>
          </w:p>
        </w:tc>
        <w:tc>
          <w:tcPr>
            <w:tcW w:w="493" w:type="pct"/>
            <w:vAlign w:val="center"/>
          </w:tcPr>
          <w:p w14:paraId="15BC9042" w14:textId="71E0BEE1"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38"/>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8"/>
                <w14:textFill>
                  <w14:solidFill>
                    <w14:srgbClr w14:val="000000">
                      <w14:alpha w14:val="100000"/>
                    </w14:srgbClr>
                  </w14:solidFill>
                </w14:textFill>
              </w:rPr>
              <w:t>|</w:t>
            </w:r>
            <w:r w:rsidR="00B75DC4">
              <w:rPr>
                <w:szCs w:val="20"/>
                <w:vertAlign w:val="superscript"/>
              </w:rPr>
              <w:t>6</w:t>
            </w:r>
          </w:p>
        </w:tc>
        <w:tc>
          <w:tcPr>
            <w:tcW w:w="518" w:type="pct"/>
            <w:vAlign w:val="center"/>
          </w:tcPr>
          <w:p w14:paraId="7DF70425" w14:textId="59EFFFDA"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189"/>
                <w:szCs w:val="20"/>
                <w:shd w:val="solid" w:color="000000" w:fill="000000"/>
                <w:fitText w:val="275" w:id="-1435342837"/>
                <w14:textFill>
                  <w14:solidFill>
                    <w14:srgbClr w14:val="000000">
                      <w14:alpha w14:val="100000"/>
                    </w14:srgbClr>
                  </w14:solidFill>
                </w14:textFill>
              </w:rPr>
              <w:t>|</w:t>
            </w:r>
            <w:r w:rsidR="00F96E54" w:rsidRPr="00F96E54">
              <w:rPr>
                <w:rFonts w:cs="Arial"/>
                <w:color w:val="000000"/>
                <w:spacing w:val="1"/>
                <w:szCs w:val="20"/>
                <w:shd w:val="solid" w:color="000000" w:fill="000000"/>
                <w:fitText w:val="275" w:id="-1435342837"/>
                <w14:textFill>
                  <w14:solidFill>
                    <w14:srgbClr w14:val="000000">
                      <w14:alpha w14:val="100000"/>
                    </w14:srgbClr>
                  </w14:solidFill>
                </w14:textFill>
              </w:rPr>
              <w:t>|</w:t>
            </w:r>
            <w:r w:rsidR="00B75DC4">
              <w:rPr>
                <w:szCs w:val="20"/>
                <w:vertAlign w:val="superscript"/>
              </w:rPr>
              <w:t>6</w:t>
            </w:r>
          </w:p>
        </w:tc>
      </w:tr>
      <w:tr w:rsidR="000A1519" w:rsidRPr="003B7C85" w14:paraId="16FCCF53" w14:textId="77777777" w:rsidTr="00A361A7">
        <w:tc>
          <w:tcPr>
            <w:tcW w:w="1961" w:type="pct"/>
          </w:tcPr>
          <w:p w14:paraId="74755726" w14:textId="77777777" w:rsidR="000A1519" w:rsidRPr="003B7C85" w:rsidRDefault="000A1519" w:rsidP="00014A9C">
            <w:pPr>
              <w:pStyle w:val="TableText"/>
              <w:keepLines/>
              <w:tabs>
                <w:tab w:val="right" w:pos="3513"/>
              </w:tabs>
              <w:ind w:left="-57" w:right="-68"/>
              <w:rPr>
                <w:szCs w:val="20"/>
              </w:rPr>
            </w:pPr>
            <w:r w:rsidRPr="003B7C85">
              <w:rPr>
                <w:rFonts w:cstheme="minorHAnsi"/>
                <w:szCs w:val="20"/>
              </w:rPr>
              <w:t>Methotrexate cost to PBS (less copayment)</w:t>
            </w:r>
          </w:p>
        </w:tc>
        <w:tc>
          <w:tcPr>
            <w:tcW w:w="549" w:type="pct"/>
            <w:vAlign w:val="center"/>
          </w:tcPr>
          <w:p w14:paraId="549D3E65" w14:textId="02F4F7B8"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164"/>
                <w:szCs w:val="20"/>
                <w:shd w:val="solid" w:color="000000" w:fill="000000"/>
                <w:fitText w:val="250" w:id="-1435342836"/>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36"/>
                <w14:textFill>
                  <w14:solidFill>
                    <w14:srgbClr w14:val="000000">
                      <w14:alpha w14:val="100000"/>
                    </w14:srgbClr>
                  </w14:solidFill>
                </w14:textFill>
              </w:rPr>
              <w:t>|</w:t>
            </w:r>
            <w:r w:rsidR="00B75DC4">
              <w:rPr>
                <w:szCs w:val="20"/>
                <w:vertAlign w:val="superscript"/>
              </w:rPr>
              <w:t>6</w:t>
            </w:r>
          </w:p>
        </w:tc>
        <w:tc>
          <w:tcPr>
            <w:tcW w:w="493" w:type="pct"/>
            <w:vAlign w:val="center"/>
          </w:tcPr>
          <w:p w14:paraId="2F6F909E" w14:textId="1377D18E"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35"/>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5"/>
                <w14:textFill>
                  <w14:solidFill>
                    <w14:srgbClr w14:val="000000">
                      <w14:alpha w14:val="100000"/>
                    </w14:srgbClr>
                  </w14:solidFill>
                </w14:textFill>
              </w:rPr>
              <w:t>|</w:t>
            </w:r>
            <w:r w:rsidR="00B75DC4">
              <w:rPr>
                <w:szCs w:val="20"/>
                <w:vertAlign w:val="superscript"/>
              </w:rPr>
              <w:t>6</w:t>
            </w:r>
          </w:p>
        </w:tc>
        <w:tc>
          <w:tcPr>
            <w:tcW w:w="493" w:type="pct"/>
            <w:vAlign w:val="center"/>
          </w:tcPr>
          <w:p w14:paraId="660BD4C3" w14:textId="2885DE2C"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34"/>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4"/>
                <w14:textFill>
                  <w14:solidFill>
                    <w14:srgbClr w14:val="000000">
                      <w14:alpha w14:val="100000"/>
                    </w14:srgbClr>
                  </w14:solidFill>
                </w14:textFill>
              </w:rPr>
              <w:t>|</w:t>
            </w:r>
            <w:r w:rsidR="00B75DC4">
              <w:rPr>
                <w:szCs w:val="20"/>
                <w:vertAlign w:val="superscript"/>
              </w:rPr>
              <w:t>6</w:t>
            </w:r>
          </w:p>
        </w:tc>
        <w:tc>
          <w:tcPr>
            <w:tcW w:w="493" w:type="pct"/>
            <w:vAlign w:val="center"/>
          </w:tcPr>
          <w:p w14:paraId="6EEE3519" w14:textId="2EDC4432"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33"/>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3"/>
                <w14:textFill>
                  <w14:solidFill>
                    <w14:srgbClr w14:val="000000">
                      <w14:alpha w14:val="100000"/>
                    </w14:srgbClr>
                  </w14:solidFill>
                </w14:textFill>
              </w:rPr>
              <w:t>|</w:t>
            </w:r>
            <w:r w:rsidR="00B75DC4">
              <w:rPr>
                <w:szCs w:val="20"/>
                <w:vertAlign w:val="superscript"/>
              </w:rPr>
              <w:t>6</w:t>
            </w:r>
          </w:p>
        </w:tc>
        <w:tc>
          <w:tcPr>
            <w:tcW w:w="493" w:type="pct"/>
            <w:vAlign w:val="center"/>
          </w:tcPr>
          <w:p w14:paraId="4377EE60" w14:textId="4B82C28A"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32"/>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2"/>
                <w14:textFill>
                  <w14:solidFill>
                    <w14:srgbClr w14:val="000000">
                      <w14:alpha w14:val="100000"/>
                    </w14:srgbClr>
                  </w14:solidFill>
                </w14:textFill>
              </w:rPr>
              <w:t>|</w:t>
            </w:r>
            <w:r w:rsidR="00B75DC4">
              <w:rPr>
                <w:szCs w:val="20"/>
                <w:vertAlign w:val="superscript"/>
              </w:rPr>
              <w:t>6</w:t>
            </w:r>
          </w:p>
        </w:tc>
        <w:tc>
          <w:tcPr>
            <w:tcW w:w="518" w:type="pct"/>
            <w:vAlign w:val="center"/>
          </w:tcPr>
          <w:p w14:paraId="6B00C119" w14:textId="7D72E96A"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189"/>
                <w:szCs w:val="20"/>
                <w:shd w:val="solid" w:color="000000" w:fill="000000"/>
                <w:fitText w:val="275" w:id="-1435342848"/>
                <w14:textFill>
                  <w14:solidFill>
                    <w14:srgbClr w14:val="000000">
                      <w14:alpha w14:val="100000"/>
                    </w14:srgbClr>
                  </w14:solidFill>
                </w14:textFill>
              </w:rPr>
              <w:t>|</w:t>
            </w:r>
            <w:r w:rsidR="00F96E54" w:rsidRPr="00F96E54">
              <w:rPr>
                <w:rFonts w:cs="Arial"/>
                <w:color w:val="000000"/>
                <w:spacing w:val="1"/>
                <w:szCs w:val="20"/>
                <w:shd w:val="solid" w:color="000000" w:fill="000000"/>
                <w:fitText w:val="275" w:id="-1435342848"/>
                <w14:textFill>
                  <w14:solidFill>
                    <w14:srgbClr w14:val="000000">
                      <w14:alpha w14:val="100000"/>
                    </w14:srgbClr>
                  </w14:solidFill>
                </w14:textFill>
              </w:rPr>
              <w:t>|</w:t>
            </w:r>
            <w:r w:rsidR="00B75DC4">
              <w:rPr>
                <w:szCs w:val="20"/>
                <w:vertAlign w:val="superscript"/>
              </w:rPr>
              <w:t>6</w:t>
            </w:r>
          </w:p>
        </w:tc>
      </w:tr>
      <w:tr w:rsidR="000A1519" w:rsidRPr="003B7C85" w14:paraId="600D1B60" w14:textId="77777777" w:rsidTr="00A361A7">
        <w:tc>
          <w:tcPr>
            <w:tcW w:w="1961" w:type="pct"/>
          </w:tcPr>
          <w:p w14:paraId="7BAA64B6" w14:textId="77777777" w:rsidR="000A1519" w:rsidRPr="003B7C85" w:rsidRDefault="000A1519" w:rsidP="00014A9C">
            <w:pPr>
              <w:pStyle w:val="TableText"/>
              <w:keepLines/>
              <w:tabs>
                <w:tab w:val="right" w:pos="3513"/>
              </w:tabs>
              <w:ind w:left="-57" w:right="-68"/>
              <w:rPr>
                <w:szCs w:val="20"/>
              </w:rPr>
            </w:pPr>
            <w:r w:rsidRPr="003B7C85">
              <w:rPr>
                <w:szCs w:val="20"/>
              </w:rPr>
              <w:t>Sirolimus</w:t>
            </w:r>
            <w:r w:rsidRPr="003B7C85">
              <w:rPr>
                <w:rFonts w:cstheme="minorHAnsi"/>
                <w:szCs w:val="20"/>
              </w:rPr>
              <w:t xml:space="preserve"> cost to PBS (less copayment)</w:t>
            </w:r>
          </w:p>
        </w:tc>
        <w:tc>
          <w:tcPr>
            <w:tcW w:w="549" w:type="pct"/>
            <w:vAlign w:val="center"/>
          </w:tcPr>
          <w:p w14:paraId="52E697D9" w14:textId="319BD877"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164"/>
                <w:szCs w:val="20"/>
                <w:shd w:val="solid" w:color="000000" w:fill="000000"/>
                <w:fitText w:val="250" w:id="-1435342847"/>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7"/>
                <w14:textFill>
                  <w14:solidFill>
                    <w14:srgbClr w14:val="000000">
                      <w14:alpha w14:val="100000"/>
                    </w14:srgbClr>
                  </w14:solidFill>
                </w14:textFill>
              </w:rPr>
              <w:t>|</w:t>
            </w:r>
            <w:r w:rsidR="00B75DC4">
              <w:rPr>
                <w:szCs w:val="20"/>
                <w:vertAlign w:val="superscript"/>
              </w:rPr>
              <w:t>6</w:t>
            </w:r>
          </w:p>
        </w:tc>
        <w:tc>
          <w:tcPr>
            <w:tcW w:w="493" w:type="pct"/>
            <w:vAlign w:val="center"/>
          </w:tcPr>
          <w:p w14:paraId="735C31E0" w14:textId="6AEAB5FB"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46"/>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46"/>
                <w14:textFill>
                  <w14:solidFill>
                    <w14:srgbClr w14:val="000000">
                      <w14:alpha w14:val="100000"/>
                    </w14:srgbClr>
                  </w14:solidFill>
                </w14:textFill>
              </w:rPr>
              <w:t>|</w:t>
            </w:r>
            <w:r w:rsidR="00B75DC4">
              <w:rPr>
                <w:szCs w:val="20"/>
                <w:vertAlign w:val="superscript"/>
              </w:rPr>
              <w:t>6</w:t>
            </w:r>
          </w:p>
        </w:tc>
        <w:tc>
          <w:tcPr>
            <w:tcW w:w="493" w:type="pct"/>
            <w:vAlign w:val="center"/>
          </w:tcPr>
          <w:p w14:paraId="32F25A9B" w14:textId="5B99BF9D"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45"/>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45"/>
                <w14:textFill>
                  <w14:solidFill>
                    <w14:srgbClr w14:val="000000">
                      <w14:alpha w14:val="100000"/>
                    </w14:srgbClr>
                  </w14:solidFill>
                </w14:textFill>
              </w:rPr>
              <w:t>|</w:t>
            </w:r>
            <w:r w:rsidR="00B75DC4">
              <w:rPr>
                <w:szCs w:val="20"/>
                <w:vertAlign w:val="superscript"/>
              </w:rPr>
              <w:t>6</w:t>
            </w:r>
          </w:p>
        </w:tc>
        <w:tc>
          <w:tcPr>
            <w:tcW w:w="493" w:type="pct"/>
            <w:vAlign w:val="center"/>
          </w:tcPr>
          <w:p w14:paraId="168ACC72" w14:textId="1D1D21E4"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44"/>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44"/>
                <w14:textFill>
                  <w14:solidFill>
                    <w14:srgbClr w14:val="000000">
                      <w14:alpha w14:val="100000"/>
                    </w14:srgbClr>
                  </w14:solidFill>
                </w14:textFill>
              </w:rPr>
              <w:t>|</w:t>
            </w:r>
            <w:r w:rsidR="00B75DC4">
              <w:rPr>
                <w:szCs w:val="20"/>
                <w:vertAlign w:val="superscript"/>
              </w:rPr>
              <w:t>6</w:t>
            </w:r>
          </w:p>
        </w:tc>
        <w:tc>
          <w:tcPr>
            <w:tcW w:w="493" w:type="pct"/>
            <w:vAlign w:val="center"/>
          </w:tcPr>
          <w:p w14:paraId="65D1E69C" w14:textId="4EE73787"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43"/>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43"/>
                <w14:textFill>
                  <w14:solidFill>
                    <w14:srgbClr w14:val="000000">
                      <w14:alpha w14:val="100000"/>
                    </w14:srgbClr>
                  </w14:solidFill>
                </w14:textFill>
              </w:rPr>
              <w:t>|</w:t>
            </w:r>
            <w:r w:rsidR="00B75DC4">
              <w:rPr>
                <w:szCs w:val="20"/>
                <w:vertAlign w:val="superscript"/>
              </w:rPr>
              <w:t>6</w:t>
            </w:r>
          </w:p>
        </w:tc>
        <w:tc>
          <w:tcPr>
            <w:tcW w:w="518" w:type="pct"/>
            <w:vAlign w:val="center"/>
          </w:tcPr>
          <w:p w14:paraId="4088ED87" w14:textId="1DB3697D"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189"/>
                <w:szCs w:val="20"/>
                <w:shd w:val="solid" w:color="000000" w:fill="000000"/>
                <w:fitText w:val="275" w:id="-1435342842"/>
                <w14:textFill>
                  <w14:solidFill>
                    <w14:srgbClr w14:val="000000">
                      <w14:alpha w14:val="100000"/>
                    </w14:srgbClr>
                  </w14:solidFill>
                </w14:textFill>
              </w:rPr>
              <w:t>|</w:t>
            </w:r>
            <w:r w:rsidR="00F96E54" w:rsidRPr="00F96E54">
              <w:rPr>
                <w:rFonts w:cs="Arial"/>
                <w:color w:val="000000"/>
                <w:spacing w:val="1"/>
                <w:szCs w:val="20"/>
                <w:shd w:val="solid" w:color="000000" w:fill="000000"/>
                <w:fitText w:val="275" w:id="-1435342842"/>
                <w14:textFill>
                  <w14:solidFill>
                    <w14:srgbClr w14:val="000000">
                      <w14:alpha w14:val="100000"/>
                    </w14:srgbClr>
                  </w14:solidFill>
                </w14:textFill>
              </w:rPr>
              <w:t>|</w:t>
            </w:r>
            <w:r w:rsidR="00B75DC4">
              <w:rPr>
                <w:szCs w:val="20"/>
                <w:vertAlign w:val="superscript"/>
              </w:rPr>
              <w:t>6</w:t>
            </w:r>
          </w:p>
        </w:tc>
      </w:tr>
      <w:tr w:rsidR="000A1519" w:rsidRPr="003B7C85" w14:paraId="55C81D61" w14:textId="77777777" w:rsidTr="00A361A7">
        <w:tc>
          <w:tcPr>
            <w:tcW w:w="1961" w:type="pct"/>
          </w:tcPr>
          <w:p w14:paraId="71E008B7" w14:textId="77777777" w:rsidR="000A1519" w:rsidRPr="003B7C85" w:rsidRDefault="000A1519" w:rsidP="00014A9C">
            <w:pPr>
              <w:pStyle w:val="TableText"/>
              <w:keepLines/>
              <w:tabs>
                <w:tab w:val="right" w:pos="3513"/>
              </w:tabs>
              <w:ind w:left="-57" w:right="-68"/>
              <w:rPr>
                <w:szCs w:val="20"/>
              </w:rPr>
            </w:pPr>
            <w:r w:rsidRPr="003B7C85">
              <w:rPr>
                <w:szCs w:val="20"/>
              </w:rPr>
              <w:t>Everolimus</w:t>
            </w:r>
            <w:r w:rsidRPr="003B7C85">
              <w:rPr>
                <w:rFonts w:cstheme="minorHAnsi"/>
                <w:szCs w:val="20"/>
              </w:rPr>
              <w:t xml:space="preserve"> cost to PBS (less copayment)</w:t>
            </w:r>
          </w:p>
        </w:tc>
        <w:tc>
          <w:tcPr>
            <w:tcW w:w="549" w:type="pct"/>
            <w:vAlign w:val="center"/>
          </w:tcPr>
          <w:p w14:paraId="3ABB4253" w14:textId="417240AD"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164"/>
                <w:szCs w:val="20"/>
                <w:shd w:val="solid" w:color="000000" w:fill="000000"/>
                <w:fitText w:val="250" w:id="-1435342841"/>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1"/>
                <w14:textFill>
                  <w14:solidFill>
                    <w14:srgbClr w14:val="000000">
                      <w14:alpha w14:val="100000"/>
                    </w14:srgbClr>
                  </w14:solidFill>
                </w14:textFill>
              </w:rPr>
              <w:t>|</w:t>
            </w:r>
            <w:r w:rsidR="00B75DC4">
              <w:rPr>
                <w:szCs w:val="20"/>
                <w:vertAlign w:val="superscript"/>
              </w:rPr>
              <w:t>6</w:t>
            </w:r>
          </w:p>
        </w:tc>
        <w:tc>
          <w:tcPr>
            <w:tcW w:w="493" w:type="pct"/>
            <w:vAlign w:val="center"/>
          </w:tcPr>
          <w:p w14:paraId="3CEC4F15" w14:textId="111A65B6"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40"/>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40"/>
                <w14:textFill>
                  <w14:solidFill>
                    <w14:srgbClr w14:val="000000">
                      <w14:alpha w14:val="100000"/>
                    </w14:srgbClr>
                  </w14:solidFill>
                </w14:textFill>
              </w:rPr>
              <w:t>|</w:t>
            </w:r>
            <w:r w:rsidR="00B75DC4">
              <w:rPr>
                <w:szCs w:val="20"/>
                <w:vertAlign w:val="superscript"/>
              </w:rPr>
              <w:t>6</w:t>
            </w:r>
          </w:p>
        </w:tc>
        <w:tc>
          <w:tcPr>
            <w:tcW w:w="493" w:type="pct"/>
            <w:vAlign w:val="center"/>
          </w:tcPr>
          <w:p w14:paraId="50A2A5CE" w14:textId="42E1CEB5"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39"/>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9"/>
                <w14:textFill>
                  <w14:solidFill>
                    <w14:srgbClr w14:val="000000">
                      <w14:alpha w14:val="100000"/>
                    </w14:srgbClr>
                  </w14:solidFill>
                </w14:textFill>
              </w:rPr>
              <w:t>|</w:t>
            </w:r>
            <w:r w:rsidR="00B75DC4">
              <w:rPr>
                <w:szCs w:val="20"/>
                <w:vertAlign w:val="superscript"/>
              </w:rPr>
              <w:t>6</w:t>
            </w:r>
          </w:p>
        </w:tc>
        <w:tc>
          <w:tcPr>
            <w:tcW w:w="493" w:type="pct"/>
            <w:vAlign w:val="center"/>
          </w:tcPr>
          <w:p w14:paraId="0ABFAD20" w14:textId="6DF74796"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38"/>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8"/>
                <w14:textFill>
                  <w14:solidFill>
                    <w14:srgbClr w14:val="000000">
                      <w14:alpha w14:val="100000"/>
                    </w14:srgbClr>
                  </w14:solidFill>
                </w14:textFill>
              </w:rPr>
              <w:t>|</w:t>
            </w:r>
            <w:r w:rsidR="00B75DC4">
              <w:rPr>
                <w:szCs w:val="20"/>
                <w:vertAlign w:val="superscript"/>
              </w:rPr>
              <w:t>6</w:t>
            </w:r>
          </w:p>
        </w:tc>
        <w:tc>
          <w:tcPr>
            <w:tcW w:w="493" w:type="pct"/>
            <w:vAlign w:val="center"/>
          </w:tcPr>
          <w:p w14:paraId="76615D91" w14:textId="72A0C1BC"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37"/>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7"/>
                <w14:textFill>
                  <w14:solidFill>
                    <w14:srgbClr w14:val="000000">
                      <w14:alpha w14:val="100000"/>
                    </w14:srgbClr>
                  </w14:solidFill>
                </w14:textFill>
              </w:rPr>
              <w:t>|</w:t>
            </w:r>
            <w:r w:rsidR="00B75DC4">
              <w:rPr>
                <w:szCs w:val="20"/>
                <w:vertAlign w:val="superscript"/>
              </w:rPr>
              <w:t>6</w:t>
            </w:r>
          </w:p>
        </w:tc>
        <w:tc>
          <w:tcPr>
            <w:tcW w:w="518" w:type="pct"/>
            <w:vAlign w:val="center"/>
          </w:tcPr>
          <w:p w14:paraId="104F85AE" w14:textId="71E7A765"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189"/>
                <w:szCs w:val="20"/>
                <w:shd w:val="solid" w:color="000000" w:fill="000000"/>
                <w:fitText w:val="275" w:id="-1435342836"/>
                <w14:textFill>
                  <w14:solidFill>
                    <w14:srgbClr w14:val="000000">
                      <w14:alpha w14:val="100000"/>
                    </w14:srgbClr>
                  </w14:solidFill>
                </w14:textFill>
              </w:rPr>
              <w:t>|</w:t>
            </w:r>
            <w:r w:rsidR="00F96E54" w:rsidRPr="00F96E54">
              <w:rPr>
                <w:rFonts w:cs="Arial"/>
                <w:color w:val="000000"/>
                <w:spacing w:val="1"/>
                <w:szCs w:val="20"/>
                <w:shd w:val="solid" w:color="000000" w:fill="000000"/>
                <w:fitText w:val="275" w:id="-1435342836"/>
                <w14:textFill>
                  <w14:solidFill>
                    <w14:srgbClr w14:val="000000">
                      <w14:alpha w14:val="100000"/>
                    </w14:srgbClr>
                  </w14:solidFill>
                </w14:textFill>
              </w:rPr>
              <w:t>|</w:t>
            </w:r>
            <w:r w:rsidR="00B75DC4">
              <w:rPr>
                <w:szCs w:val="20"/>
                <w:vertAlign w:val="superscript"/>
              </w:rPr>
              <w:t>6</w:t>
            </w:r>
          </w:p>
        </w:tc>
      </w:tr>
      <w:tr w:rsidR="000A1519" w:rsidRPr="003B7C85" w14:paraId="3351EF6A" w14:textId="77777777" w:rsidTr="00A361A7">
        <w:tc>
          <w:tcPr>
            <w:tcW w:w="1961" w:type="pct"/>
          </w:tcPr>
          <w:p w14:paraId="791C02C7" w14:textId="77777777" w:rsidR="000A1519" w:rsidRPr="003B7C85" w:rsidRDefault="000A1519" w:rsidP="00014A9C">
            <w:pPr>
              <w:pStyle w:val="TableText"/>
              <w:keepLines/>
              <w:tabs>
                <w:tab w:val="right" w:pos="3513"/>
              </w:tabs>
              <w:ind w:left="-57" w:right="-68"/>
              <w:rPr>
                <w:szCs w:val="20"/>
              </w:rPr>
            </w:pPr>
            <w:r w:rsidRPr="003B7C85">
              <w:rPr>
                <w:szCs w:val="20"/>
              </w:rPr>
              <w:t>Methoxsalen</w:t>
            </w:r>
            <w:r w:rsidRPr="003B7C85">
              <w:rPr>
                <w:rFonts w:cstheme="minorHAnsi"/>
                <w:szCs w:val="20"/>
              </w:rPr>
              <w:t xml:space="preserve"> cost to PBS (less copayment)</w:t>
            </w:r>
          </w:p>
        </w:tc>
        <w:tc>
          <w:tcPr>
            <w:tcW w:w="549" w:type="pct"/>
            <w:vAlign w:val="center"/>
          </w:tcPr>
          <w:p w14:paraId="42A385C0" w14:textId="1F42CF7E" w:rsidR="000A1519" w:rsidRPr="003B7C85" w:rsidRDefault="000A1519" w:rsidP="00014A9C">
            <w:pPr>
              <w:pStyle w:val="TableText"/>
              <w:keepLines/>
              <w:ind w:left="-65" w:right="-82"/>
              <w:jc w:val="center"/>
              <w:rPr>
                <w:rFonts w:cs="Calibri"/>
                <w:color w:val="000000"/>
                <w:szCs w:val="20"/>
              </w:rPr>
            </w:pPr>
            <w:r w:rsidRPr="00AA24C5">
              <w:rPr>
                <w:rFonts w:cs="Arial"/>
                <w:szCs w:val="20"/>
              </w:rPr>
              <w:t>-$</w:t>
            </w:r>
            <w:r w:rsidR="00F96E54" w:rsidRPr="00F96E54">
              <w:rPr>
                <w:rFonts w:cs="Arial"/>
                <w:color w:val="000000"/>
                <w:spacing w:val="164"/>
                <w:szCs w:val="20"/>
                <w:shd w:val="solid" w:color="000000" w:fill="000000"/>
                <w:fitText w:val="250" w:id="-1435342835"/>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35"/>
                <w14:textFill>
                  <w14:solidFill>
                    <w14:srgbClr w14:val="000000">
                      <w14:alpha w14:val="100000"/>
                    </w14:srgbClr>
                  </w14:solidFill>
                </w14:textFill>
              </w:rPr>
              <w:t>|</w:t>
            </w:r>
            <w:r w:rsidR="00B75DC4">
              <w:rPr>
                <w:szCs w:val="20"/>
                <w:vertAlign w:val="superscript"/>
              </w:rPr>
              <w:t>6</w:t>
            </w:r>
          </w:p>
        </w:tc>
        <w:tc>
          <w:tcPr>
            <w:tcW w:w="493" w:type="pct"/>
            <w:vAlign w:val="center"/>
          </w:tcPr>
          <w:p w14:paraId="164F0187" w14:textId="7B7ED876" w:rsidR="000A1519" w:rsidRPr="003B7C85" w:rsidRDefault="000A1519" w:rsidP="00014A9C">
            <w:pPr>
              <w:pStyle w:val="TableText"/>
              <w:keepLines/>
              <w:ind w:left="-65" w:right="-82"/>
              <w:jc w:val="center"/>
              <w:rPr>
                <w:rFonts w:cs="Calibri"/>
                <w:color w:val="000000"/>
                <w:szCs w:val="20"/>
              </w:rPr>
            </w:pPr>
            <w:r w:rsidRPr="00AA24C5">
              <w:rPr>
                <w:rFonts w:cs="Arial"/>
                <w:szCs w:val="20"/>
              </w:rPr>
              <w:t>-$</w:t>
            </w:r>
            <w:r w:rsidR="00F96E54" w:rsidRPr="00F96E54">
              <w:rPr>
                <w:rFonts w:cs="Arial"/>
                <w:color w:val="000000"/>
                <w:spacing w:val="47"/>
                <w:szCs w:val="20"/>
                <w:shd w:val="solid" w:color="000000" w:fill="000000"/>
                <w:fitText w:val="313" w:id="-1435342834"/>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4"/>
                <w14:textFill>
                  <w14:solidFill>
                    <w14:srgbClr w14:val="000000">
                      <w14:alpha w14:val="100000"/>
                    </w14:srgbClr>
                  </w14:solidFill>
                </w14:textFill>
              </w:rPr>
              <w:t>|</w:t>
            </w:r>
            <w:r w:rsidR="00B75DC4">
              <w:rPr>
                <w:szCs w:val="20"/>
                <w:vertAlign w:val="superscript"/>
              </w:rPr>
              <w:t>6</w:t>
            </w:r>
          </w:p>
        </w:tc>
        <w:tc>
          <w:tcPr>
            <w:tcW w:w="493" w:type="pct"/>
            <w:vAlign w:val="center"/>
          </w:tcPr>
          <w:p w14:paraId="6FFA454C" w14:textId="5EF9735A" w:rsidR="000A1519" w:rsidRPr="003B7C85" w:rsidRDefault="000A1519" w:rsidP="00014A9C">
            <w:pPr>
              <w:pStyle w:val="TableText"/>
              <w:keepLines/>
              <w:ind w:left="-65" w:right="-82"/>
              <w:jc w:val="center"/>
              <w:rPr>
                <w:rFonts w:cs="Calibri"/>
                <w:color w:val="000000"/>
                <w:szCs w:val="20"/>
              </w:rPr>
            </w:pPr>
            <w:r w:rsidRPr="00AA24C5">
              <w:rPr>
                <w:rFonts w:cs="Arial"/>
                <w:szCs w:val="20"/>
              </w:rPr>
              <w:t>-$</w:t>
            </w:r>
            <w:r w:rsidR="00F96E54" w:rsidRPr="00F96E54">
              <w:rPr>
                <w:rFonts w:cs="Arial"/>
                <w:color w:val="000000"/>
                <w:spacing w:val="47"/>
                <w:szCs w:val="20"/>
                <w:shd w:val="solid" w:color="000000" w:fill="000000"/>
                <w:fitText w:val="313" w:id="-1435342833"/>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3"/>
                <w14:textFill>
                  <w14:solidFill>
                    <w14:srgbClr w14:val="000000">
                      <w14:alpha w14:val="100000"/>
                    </w14:srgbClr>
                  </w14:solidFill>
                </w14:textFill>
              </w:rPr>
              <w:t>|</w:t>
            </w:r>
            <w:r w:rsidR="00B75DC4">
              <w:rPr>
                <w:szCs w:val="20"/>
                <w:vertAlign w:val="superscript"/>
              </w:rPr>
              <w:t>6</w:t>
            </w:r>
          </w:p>
        </w:tc>
        <w:tc>
          <w:tcPr>
            <w:tcW w:w="493" w:type="pct"/>
            <w:vAlign w:val="center"/>
          </w:tcPr>
          <w:p w14:paraId="6F4169B8" w14:textId="752E3D1F" w:rsidR="000A1519" w:rsidRPr="003B7C85" w:rsidRDefault="000A1519" w:rsidP="00014A9C">
            <w:pPr>
              <w:pStyle w:val="TableText"/>
              <w:keepLines/>
              <w:ind w:left="-65" w:right="-82"/>
              <w:jc w:val="center"/>
              <w:rPr>
                <w:rFonts w:cs="Calibri"/>
                <w:color w:val="000000"/>
                <w:szCs w:val="20"/>
              </w:rPr>
            </w:pPr>
            <w:r w:rsidRPr="00AA24C5">
              <w:rPr>
                <w:rFonts w:cs="Arial"/>
                <w:szCs w:val="20"/>
              </w:rPr>
              <w:t>-$</w:t>
            </w:r>
            <w:r w:rsidR="00F96E54" w:rsidRPr="00F96E54">
              <w:rPr>
                <w:rFonts w:cs="Arial"/>
                <w:color w:val="000000"/>
                <w:spacing w:val="47"/>
                <w:szCs w:val="20"/>
                <w:shd w:val="solid" w:color="000000" w:fill="000000"/>
                <w:fitText w:val="313" w:id="-1435342832"/>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2"/>
                <w14:textFill>
                  <w14:solidFill>
                    <w14:srgbClr w14:val="000000">
                      <w14:alpha w14:val="100000"/>
                    </w14:srgbClr>
                  </w14:solidFill>
                </w14:textFill>
              </w:rPr>
              <w:t>|</w:t>
            </w:r>
            <w:r w:rsidR="00B75DC4">
              <w:rPr>
                <w:szCs w:val="20"/>
                <w:vertAlign w:val="superscript"/>
              </w:rPr>
              <w:t>6</w:t>
            </w:r>
          </w:p>
        </w:tc>
        <w:tc>
          <w:tcPr>
            <w:tcW w:w="493" w:type="pct"/>
            <w:vAlign w:val="center"/>
          </w:tcPr>
          <w:p w14:paraId="3B81B473" w14:textId="345782D0" w:rsidR="000A1519" w:rsidRPr="003B7C85" w:rsidRDefault="000A1519" w:rsidP="00014A9C">
            <w:pPr>
              <w:pStyle w:val="TableText"/>
              <w:keepLines/>
              <w:ind w:left="-65" w:right="-82"/>
              <w:jc w:val="center"/>
              <w:rPr>
                <w:rFonts w:cs="Calibri"/>
                <w:color w:val="000000"/>
                <w:szCs w:val="20"/>
              </w:rPr>
            </w:pPr>
            <w:r w:rsidRPr="00AA24C5">
              <w:rPr>
                <w:rFonts w:cs="Arial"/>
                <w:szCs w:val="20"/>
              </w:rPr>
              <w:t>-$</w:t>
            </w:r>
            <w:r w:rsidR="00F96E54" w:rsidRPr="00F96E54">
              <w:rPr>
                <w:rFonts w:cs="Arial"/>
                <w:color w:val="000000"/>
                <w:spacing w:val="47"/>
                <w:szCs w:val="20"/>
                <w:shd w:val="solid" w:color="000000" w:fill="000000"/>
                <w:fitText w:val="313" w:id="-1435342848"/>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48"/>
                <w14:textFill>
                  <w14:solidFill>
                    <w14:srgbClr w14:val="000000">
                      <w14:alpha w14:val="100000"/>
                    </w14:srgbClr>
                  </w14:solidFill>
                </w14:textFill>
              </w:rPr>
              <w:t>|</w:t>
            </w:r>
            <w:r w:rsidR="00B75DC4">
              <w:rPr>
                <w:szCs w:val="20"/>
                <w:vertAlign w:val="superscript"/>
              </w:rPr>
              <w:t>6</w:t>
            </w:r>
          </w:p>
        </w:tc>
        <w:tc>
          <w:tcPr>
            <w:tcW w:w="518" w:type="pct"/>
            <w:vAlign w:val="center"/>
          </w:tcPr>
          <w:p w14:paraId="79F47C50" w14:textId="056094B2" w:rsidR="000A1519" w:rsidRPr="003B7C85" w:rsidRDefault="000A1519" w:rsidP="00014A9C">
            <w:pPr>
              <w:pStyle w:val="TableText"/>
              <w:keepLines/>
              <w:ind w:left="-65" w:right="-82"/>
              <w:jc w:val="center"/>
              <w:rPr>
                <w:rFonts w:cs="Calibri"/>
                <w:color w:val="000000"/>
                <w:szCs w:val="20"/>
              </w:rPr>
            </w:pPr>
            <w:r w:rsidRPr="00AA24C5">
              <w:rPr>
                <w:rFonts w:cs="Arial"/>
                <w:szCs w:val="20"/>
              </w:rPr>
              <w:t>-$</w:t>
            </w:r>
            <w:r w:rsidR="00F96E54" w:rsidRPr="00F96E54">
              <w:rPr>
                <w:rFonts w:cs="Arial"/>
                <w:color w:val="000000"/>
                <w:spacing w:val="189"/>
                <w:szCs w:val="20"/>
                <w:shd w:val="solid" w:color="000000" w:fill="000000"/>
                <w:fitText w:val="275" w:id="-1435342847"/>
                <w14:textFill>
                  <w14:solidFill>
                    <w14:srgbClr w14:val="000000">
                      <w14:alpha w14:val="100000"/>
                    </w14:srgbClr>
                  </w14:solidFill>
                </w14:textFill>
              </w:rPr>
              <w:t>|</w:t>
            </w:r>
            <w:r w:rsidR="00F96E54" w:rsidRPr="00F96E54">
              <w:rPr>
                <w:rFonts w:cs="Arial"/>
                <w:color w:val="000000"/>
                <w:spacing w:val="1"/>
                <w:szCs w:val="20"/>
                <w:shd w:val="solid" w:color="000000" w:fill="000000"/>
                <w:fitText w:val="275" w:id="-1435342847"/>
                <w14:textFill>
                  <w14:solidFill>
                    <w14:srgbClr w14:val="000000">
                      <w14:alpha w14:val="100000"/>
                    </w14:srgbClr>
                  </w14:solidFill>
                </w14:textFill>
              </w:rPr>
              <w:t>|</w:t>
            </w:r>
            <w:r w:rsidR="00B75DC4">
              <w:rPr>
                <w:szCs w:val="20"/>
                <w:vertAlign w:val="superscript"/>
              </w:rPr>
              <w:t>6</w:t>
            </w:r>
          </w:p>
        </w:tc>
      </w:tr>
      <w:tr w:rsidR="000A1519" w:rsidRPr="006440B8" w14:paraId="2205A1CA" w14:textId="77777777" w:rsidTr="00A361A7">
        <w:tc>
          <w:tcPr>
            <w:tcW w:w="1961" w:type="pct"/>
          </w:tcPr>
          <w:p w14:paraId="695A9424" w14:textId="77777777" w:rsidR="000A1519" w:rsidRPr="006440B8" w:rsidRDefault="000A1519" w:rsidP="00014A9C">
            <w:pPr>
              <w:pStyle w:val="TableText"/>
              <w:keepLines/>
              <w:tabs>
                <w:tab w:val="right" w:pos="3513"/>
              </w:tabs>
              <w:ind w:left="-57" w:right="-68"/>
              <w:rPr>
                <w:b/>
                <w:bCs w:val="0"/>
                <w:szCs w:val="20"/>
              </w:rPr>
            </w:pPr>
            <w:r w:rsidRPr="00EE14F0">
              <w:rPr>
                <w:b/>
                <w:bCs w:val="0"/>
                <w:szCs w:val="20"/>
              </w:rPr>
              <w:t>Total cost offset less copayment</w:t>
            </w:r>
          </w:p>
        </w:tc>
        <w:tc>
          <w:tcPr>
            <w:tcW w:w="549" w:type="pct"/>
            <w:vAlign w:val="center"/>
          </w:tcPr>
          <w:p w14:paraId="52F212BA" w14:textId="7ADE2865" w:rsidR="000A1519" w:rsidRPr="006440B8" w:rsidRDefault="000A1519" w:rsidP="00014A9C">
            <w:pPr>
              <w:pStyle w:val="TableText"/>
              <w:keepLines/>
              <w:ind w:left="-65" w:right="-82"/>
              <w:jc w:val="center"/>
              <w:rPr>
                <w:rFonts w:cs="Calibri"/>
                <w:b/>
                <w:bCs w:val="0"/>
                <w:color w:val="000000"/>
                <w:szCs w:val="20"/>
              </w:rPr>
            </w:pPr>
            <w:r w:rsidRPr="00EE14F0">
              <w:rPr>
                <w:rFonts w:cs="Calibri"/>
                <w:b/>
                <w:bCs w:val="0"/>
                <w:color w:val="000000"/>
                <w:szCs w:val="20"/>
              </w:rPr>
              <w:t>-$</w:t>
            </w:r>
            <w:r w:rsidR="00F96E54" w:rsidRPr="00F96E54">
              <w:rPr>
                <w:rFonts w:cs="Calibri"/>
                <w:b/>
                <w:bCs w:val="0"/>
                <w:color w:val="000000"/>
                <w:spacing w:val="196"/>
                <w:szCs w:val="20"/>
                <w:shd w:val="solid" w:color="000000" w:fill="000000"/>
                <w:fitText w:val="288" w:id="-1435342846"/>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846"/>
                <w14:textFill>
                  <w14:solidFill>
                    <w14:srgbClr w14:val="000000">
                      <w14:alpha w14:val="100000"/>
                    </w14:srgbClr>
                  </w14:solidFill>
                </w14:textFill>
              </w:rPr>
              <w:t>|</w:t>
            </w:r>
            <w:r w:rsidR="00B75DC4">
              <w:rPr>
                <w:szCs w:val="20"/>
                <w:vertAlign w:val="superscript"/>
              </w:rPr>
              <w:t>6</w:t>
            </w:r>
          </w:p>
        </w:tc>
        <w:tc>
          <w:tcPr>
            <w:tcW w:w="493" w:type="pct"/>
            <w:vAlign w:val="center"/>
          </w:tcPr>
          <w:p w14:paraId="2BC547C2" w14:textId="4B13B980" w:rsidR="000A1519" w:rsidRPr="006440B8" w:rsidRDefault="000A1519" w:rsidP="00014A9C">
            <w:pPr>
              <w:pStyle w:val="TableText"/>
              <w:keepLines/>
              <w:ind w:left="-65" w:right="-82"/>
              <w:jc w:val="center"/>
              <w:rPr>
                <w:rFonts w:cs="Calibri"/>
                <w:b/>
                <w:bCs w:val="0"/>
                <w:color w:val="000000"/>
                <w:szCs w:val="20"/>
              </w:rPr>
            </w:pPr>
            <w:r w:rsidRPr="00EE14F0">
              <w:rPr>
                <w:rFonts w:cs="Calibri"/>
                <w:b/>
                <w:bCs w:val="0"/>
                <w:color w:val="000000"/>
                <w:szCs w:val="20"/>
              </w:rPr>
              <w:t>-$</w:t>
            </w:r>
            <w:r w:rsidR="00F96E54" w:rsidRPr="00F96E54">
              <w:rPr>
                <w:rFonts w:cs="Calibri"/>
                <w:b/>
                <w:bCs w:val="0"/>
                <w:color w:val="000000"/>
                <w:spacing w:val="51"/>
                <w:szCs w:val="20"/>
                <w:shd w:val="solid" w:color="000000" w:fill="000000"/>
                <w:fitText w:val="338" w:id="-1435342845"/>
                <w14:textFill>
                  <w14:solidFill>
                    <w14:srgbClr w14:val="000000">
                      <w14:alpha w14:val="100000"/>
                    </w14:srgbClr>
                  </w14:solidFill>
                </w14:textFill>
              </w:rPr>
              <w:t>|||</w:t>
            </w:r>
            <w:r w:rsidR="00F96E54" w:rsidRPr="00F96E54">
              <w:rPr>
                <w:rFonts w:cs="Calibri"/>
                <w:b/>
                <w:bCs w:val="0"/>
                <w:color w:val="000000"/>
                <w:spacing w:val="2"/>
                <w:szCs w:val="20"/>
                <w:shd w:val="solid" w:color="000000" w:fill="000000"/>
                <w:fitText w:val="338" w:id="-1435342845"/>
                <w14:textFill>
                  <w14:solidFill>
                    <w14:srgbClr w14:val="000000">
                      <w14:alpha w14:val="100000"/>
                    </w14:srgbClr>
                  </w14:solidFill>
                </w14:textFill>
              </w:rPr>
              <w:t>|</w:t>
            </w:r>
            <w:r w:rsidR="00B75DC4">
              <w:rPr>
                <w:szCs w:val="20"/>
                <w:vertAlign w:val="superscript"/>
              </w:rPr>
              <w:t>6</w:t>
            </w:r>
          </w:p>
        </w:tc>
        <w:tc>
          <w:tcPr>
            <w:tcW w:w="493" w:type="pct"/>
            <w:vAlign w:val="center"/>
          </w:tcPr>
          <w:p w14:paraId="4A5E9D51" w14:textId="5E33F18B" w:rsidR="000A1519" w:rsidRPr="006440B8" w:rsidRDefault="000A1519" w:rsidP="00014A9C">
            <w:pPr>
              <w:pStyle w:val="TableText"/>
              <w:keepLines/>
              <w:ind w:left="-65" w:right="-82"/>
              <w:jc w:val="center"/>
              <w:rPr>
                <w:rFonts w:cs="Calibri"/>
                <w:b/>
                <w:bCs w:val="0"/>
                <w:color w:val="000000"/>
                <w:szCs w:val="20"/>
              </w:rPr>
            </w:pPr>
            <w:r w:rsidRPr="00EE14F0">
              <w:rPr>
                <w:rFonts w:cs="Calibri"/>
                <w:b/>
                <w:bCs w:val="0"/>
                <w:color w:val="000000"/>
                <w:szCs w:val="20"/>
              </w:rPr>
              <w:t>-$</w:t>
            </w:r>
            <w:r w:rsidR="00F96E54" w:rsidRPr="00F96E54">
              <w:rPr>
                <w:rFonts w:cs="Calibri"/>
                <w:b/>
                <w:bCs w:val="0"/>
                <w:color w:val="000000"/>
                <w:spacing w:val="51"/>
                <w:szCs w:val="20"/>
                <w:shd w:val="solid" w:color="000000" w:fill="000000"/>
                <w:fitText w:val="338" w:id="-1435342844"/>
                <w14:textFill>
                  <w14:solidFill>
                    <w14:srgbClr w14:val="000000">
                      <w14:alpha w14:val="100000"/>
                    </w14:srgbClr>
                  </w14:solidFill>
                </w14:textFill>
              </w:rPr>
              <w:t>|||</w:t>
            </w:r>
            <w:r w:rsidR="00F96E54" w:rsidRPr="00F96E54">
              <w:rPr>
                <w:rFonts w:cs="Calibri"/>
                <w:b/>
                <w:bCs w:val="0"/>
                <w:color w:val="000000"/>
                <w:spacing w:val="2"/>
                <w:szCs w:val="20"/>
                <w:shd w:val="solid" w:color="000000" w:fill="000000"/>
                <w:fitText w:val="338" w:id="-1435342844"/>
                <w14:textFill>
                  <w14:solidFill>
                    <w14:srgbClr w14:val="000000">
                      <w14:alpha w14:val="100000"/>
                    </w14:srgbClr>
                  </w14:solidFill>
                </w14:textFill>
              </w:rPr>
              <w:t>|</w:t>
            </w:r>
            <w:r w:rsidR="00B75DC4">
              <w:rPr>
                <w:szCs w:val="20"/>
                <w:vertAlign w:val="superscript"/>
              </w:rPr>
              <w:t>6</w:t>
            </w:r>
          </w:p>
        </w:tc>
        <w:tc>
          <w:tcPr>
            <w:tcW w:w="493" w:type="pct"/>
            <w:vAlign w:val="center"/>
          </w:tcPr>
          <w:p w14:paraId="2AC5FCFA" w14:textId="6A79A4AB" w:rsidR="000A1519" w:rsidRPr="006440B8" w:rsidRDefault="000A1519" w:rsidP="00014A9C">
            <w:pPr>
              <w:pStyle w:val="TableText"/>
              <w:keepLines/>
              <w:ind w:left="-65" w:right="-82"/>
              <w:jc w:val="center"/>
              <w:rPr>
                <w:rFonts w:cs="Calibri"/>
                <w:b/>
                <w:bCs w:val="0"/>
                <w:color w:val="000000"/>
                <w:szCs w:val="20"/>
              </w:rPr>
            </w:pPr>
            <w:r w:rsidRPr="00EE14F0">
              <w:rPr>
                <w:rFonts w:cs="Calibri"/>
                <w:b/>
                <w:bCs w:val="0"/>
                <w:color w:val="000000"/>
                <w:szCs w:val="20"/>
              </w:rPr>
              <w:t>-$</w:t>
            </w:r>
            <w:r w:rsidR="00F96E54" w:rsidRPr="00F96E54">
              <w:rPr>
                <w:rFonts w:cs="Calibri"/>
                <w:b/>
                <w:bCs w:val="0"/>
                <w:color w:val="000000"/>
                <w:spacing w:val="51"/>
                <w:szCs w:val="20"/>
                <w:shd w:val="solid" w:color="000000" w:fill="000000"/>
                <w:fitText w:val="338" w:id="-1435342843"/>
                <w14:textFill>
                  <w14:solidFill>
                    <w14:srgbClr w14:val="000000">
                      <w14:alpha w14:val="100000"/>
                    </w14:srgbClr>
                  </w14:solidFill>
                </w14:textFill>
              </w:rPr>
              <w:t>|||</w:t>
            </w:r>
            <w:r w:rsidR="00F96E54" w:rsidRPr="00F96E54">
              <w:rPr>
                <w:rFonts w:cs="Calibri"/>
                <w:b/>
                <w:bCs w:val="0"/>
                <w:color w:val="000000"/>
                <w:spacing w:val="2"/>
                <w:szCs w:val="20"/>
                <w:shd w:val="solid" w:color="000000" w:fill="000000"/>
                <w:fitText w:val="338" w:id="-1435342843"/>
                <w14:textFill>
                  <w14:solidFill>
                    <w14:srgbClr w14:val="000000">
                      <w14:alpha w14:val="100000"/>
                    </w14:srgbClr>
                  </w14:solidFill>
                </w14:textFill>
              </w:rPr>
              <w:t>|</w:t>
            </w:r>
            <w:r w:rsidR="00B75DC4">
              <w:rPr>
                <w:szCs w:val="20"/>
                <w:vertAlign w:val="superscript"/>
              </w:rPr>
              <w:t>6</w:t>
            </w:r>
          </w:p>
        </w:tc>
        <w:tc>
          <w:tcPr>
            <w:tcW w:w="493" w:type="pct"/>
            <w:vAlign w:val="center"/>
          </w:tcPr>
          <w:p w14:paraId="0886C06A" w14:textId="03BD9F0A" w:rsidR="000A1519" w:rsidRPr="006440B8" w:rsidRDefault="000A1519" w:rsidP="00014A9C">
            <w:pPr>
              <w:pStyle w:val="TableText"/>
              <w:keepLines/>
              <w:ind w:left="-65" w:right="-82"/>
              <w:jc w:val="center"/>
              <w:rPr>
                <w:rFonts w:cs="Calibri"/>
                <w:b/>
                <w:bCs w:val="0"/>
                <w:color w:val="000000"/>
                <w:szCs w:val="20"/>
              </w:rPr>
            </w:pPr>
            <w:r w:rsidRPr="00EE14F0">
              <w:rPr>
                <w:rFonts w:cs="Calibri"/>
                <w:b/>
                <w:bCs w:val="0"/>
                <w:color w:val="000000"/>
                <w:szCs w:val="20"/>
              </w:rPr>
              <w:t>-$</w:t>
            </w:r>
            <w:r w:rsidR="00F96E54" w:rsidRPr="00F96E54">
              <w:rPr>
                <w:rFonts w:cs="Calibri"/>
                <w:b/>
                <w:bCs w:val="0"/>
                <w:color w:val="000000"/>
                <w:spacing w:val="51"/>
                <w:szCs w:val="20"/>
                <w:shd w:val="solid" w:color="000000" w:fill="000000"/>
                <w:fitText w:val="338" w:id="-1435342842"/>
                <w14:textFill>
                  <w14:solidFill>
                    <w14:srgbClr w14:val="000000">
                      <w14:alpha w14:val="100000"/>
                    </w14:srgbClr>
                  </w14:solidFill>
                </w14:textFill>
              </w:rPr>
              <w:t>|||</w:t>
            </w:r>
            <w:r w:rsidR="00F96E54" w:rsidRPr="00F96E54">
              <w:rPr>
                <w:rFonts w:cs="Calibri"/>
                <w:b/>
                <w:bCs w:val="0"/>
                <w:color w:val="000000"/>
                <w:spacing w:val="2"/>
                <w:szCs w:val="20"/>
                <w:shd w:val="solid" w:color="000000" w:fill="000000"/>
                <w:fitText w:val="338" w:id="-1435342842"/>
                <w14:textFill>
                  <w14:solidFill>
                    <w14:srgbClr w14:val="000000">
                      <w14:alpha w14:val="100000"/>
                    </w14:srgbClr>
                  </w14:solidFill>
                </w14:textFill>
              </w:rPr>
              <w:t>|</w:t>
            </w:r>
            <w:r w:rsidR="00B75DC4">
              <w:rPr>
                <w:szCs w:val="20"/>
                <w:vertAlign w:val="superscript"/>
              </w:rPr>
              <w:t>6</w:t>
            </w:r>
          </w:p>
        </w:tc>
        <w:tc>
          <w:tcPr>
            <w:tcW w:w="518" w:type="pct"/>
            <w:vAlign w:val="center"/>
          </w:tcPr>
          <w:p w14:paraId="349061D3" w14:textId="0890CE57" w:rsidR="000A1519" w:rsidRPr="006440B8" w:rsidRDefault="000A1519" w:rsidP="00014A9C">
            <w:pPr>
              <w:pStyle w:val="TableText"/>
              <w:keepLines/>
              <w:ind w:left="-65" w:right="-82"/>
              <w:jc w:val="center"/>
              <w:rPr>
                <w:rFonts w:cs="Calibri"/>
                <w:b/>
                <w:bCs w:val="0"/>
                <w:color w:val="000000"/>
                <w:szCs w:val="20"/>
              </w:rPr>
            </w:pPr>
            <w:r w:rsidRPr="00EE14F0">
              <w:rPr>
                <w:rFonts w:cs="Calibri"/>
                <w:b/>
                <w:bCs w:val="0"/>
                <w:color w:val="000000"/>
                <w:szCs w:val="20"/>
              </w:rPr>
              <w:t>-$</w:t>
            </w:r>
            <w:r w:rsidR="00F96E54" w:rsidRPr="00F96E54">
              <w:rPr>
                <w:rFonts w:cs="Calibri"/>
                <w:b/>
                <w:bCs w:val="0"/>
                <w:color w:val="000000"/>
                <w:spacing w:val="47"/>
                <w:szCs w:val="20"/>
                <w:shd w:val="solid" w:color="000000" w:fill="000000"/>
                <w:fitText w:val="325" w:id="-1435342841"/>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841"/>
                <w14:textFill>
                  <w14:solidFill>
                    <w14:srgbClr w14:val="000000">
                      <w14:alpha w14:val="100000"/>
                    </w14:srgbClr>
                  </w14:solidFill>
                </w14:textFill>
              </w:rPr>
              <w:t>|</w:t>
            </w:r>
            <w:r w:rsidR="00B75DC4">
              <w:rPr>
                <w:szCs w:val="20"/>
                <w:vertAlign w:val="superscript"/>
              </w:rPr>
              <w:t>6</w:t>
            </w:r>
          </w:p>
        </w:tc>
      </w:tr>
      <w:tr w:rsidR="000A1519" w:rsidRPr="006440B8" w14:paraId="782223D6" w14:textId="77777777" w:rsidTr="00A361A7">
        <w:tc>
          <w:tcPr>
            <w:tcW w:w="1961" w:type="pct"/>
          </w:tcPr>
          <w:p w14:paraId="4D1C7675" w14:textId="77777777" w:rsidR="000A1519" w:rsidRPr="00EE14F0" w:rsidRDefault="000A1519" w:rsidP="00014A9C">
            <w:pPr>
              <w:pStyle w:val="TableText"/>
              <w:keepLines/>
              <w:tabs>
                <w:tab w:val="right" w:pos="3513"/>
              </w:tabs>
              <w:ind w:left="-57" w:right="-68"/>
              <w:rPr>
                <w:b/>
                <w:bCs w:val="0"/>
                <w:szCs w:val="20"/>
              </w:rPr>
            </w:pPr>
            <w:r>
              <w:rPr>
                <w:b/>
                <w:bCs w:val="0"/>
                <w:szCs w:val="20"/>
              </w:rPr>
              <w:t>Net cost to the PBS/RPBS</w:t>
            </w:r>
          </w:p>
        </w:tc>
        <w:tc>
          <w:tcPr>
            <w:tcW w:w="549" w:type="pct"/>
            <w:vAlign w:val="center"/>
          </w:tcPr>
          <w:p w14:paraId="57F9498F" w14:textId="32A15FCB" w:rsidR="000A1519" w:rsidRPr="00EE14F0" w:rsidRDefault="000A1519" w:rsidP="00014A9C">
            <w:pPr>
              <w:pStyle w:val="TableText"/>
              <w:keepLines/>
              <w:ind w:left="-65" w:right="-82"/>
              <w:jc w:val="center"/>
              <w:rPr>
                <w:rFonts w:cs="Calibri"/>
                <w:b/>
                <w:bCs w:val="0"/>
                <w:color w:val="000000"/>
                <w:szCs w:val="20"/>
              </w:rPr>
            </w:pPr>
            <w:r>
              <w:rPr>
                <w:rFonts w:cs="Calibri"/>
                <w:b/>
                <w:bCs w:val="0"/>
                <w:color w:val="000000"/>
                <w:szCs w:val="20"/>
              </w:rPr>
              <w:t>$</w:t>
            </w:r>
            <w:r w:rsidR="00F96E54" w:rsidRPr="00F96E54">
              <w:rPr>
                <w:rFonts w:cs="Calibri"/>
                <w:b/>
                <w:bCs w:val="0"/>
                <w:color w:val="000000"/>
                <w:spacing w:val="171"/>
                <w:szCs w:val="20"/>
                <w:shd w:val="solid" w:color="000000" w:fill="000000"/>
                <w:fitText w:val="263" w:id="-1435342840"/>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63" w:id="-1435342840"/>
                <w14:textFill>
                  <w14:solidFill>
                    <w14:srgbClr w14:val="000000">
                      <w14:alpha w14:val="100000"/>
                    </w14:srgbClr>
                  </w14:solidFill>
                </w14:textFill>
              </w:rPr>
              <w:t>|</w:t>
            </w:r>
            <w:r w:rsidR="00B75DC4">
              <w:rPr>
                <w:szCs w:val="20"/>
                <w:vertAlign w:val="superscript"/>
              </w:rPr>
              <w:t>6</w:t>
            </w:r>
          </w:p>
        </w:tc>
        <w:tc>
          <w:tcPr>
            <w:tcW w:w="493" w:type="pct"/>
            <w:vAlign w:val="center"/>
          </w:tcPr>
          <w:p w14:paraId="1187D1BD" w14:textId="61A69DCF" w:rsidR="000A1519" w:rsidRPr="00EE14F0" w:rsidRDefault="000A1519" w:rsidP="00014A9C">
            <w:pPr>
              <w:pStyle w:val="TableText"/>
              <w:keepLines/>
              <w:ind w:left="-65" w:right="-82"/>
              <w:jc w:val="center"/>
              <w:rPr>
                <w:rFonts w:cs="Calibri"/>
                <w:b/>
                <w:bCs w:val="0"/>
                <w:color w:val="000000"/>
                <w:szCs w:val="20"/>
              </w:rPr>
            </w:pPr>
            <w:r>
              <w:rPr>
                <w:rFonts w:cs="Calibri"/>
                <w:b/>
                <w:bCs w:val="0"/>
                <w:color w:val="000000"/>
                <w:szCs w:val="20"/>
              </w:rPr>
              <w:t>$</w:t>
            </w:r>
            <w:r w:rsidR="00F96E54" w:rsidRPr="00F96E54">
              <w:rPr>
                <w:rFonts w:cs="Calibri"/>
                <w:b/>
                <w:bCs w:val="0"/>
                <w:color w:val="000000"/>
                <w:spacing w:val="43"/>
                <w:szCs w:val="20"/>
                <w:shd w:val="solid" w:color="000000" w:fill="000000"/>
                <w:fitText w:val="313" w:id="-1435342839"/>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839"/>
                <w14:textFill>
                  <w14:solidFill>
                    <w14:srgbClr w14:val="000000">
                      <w14:alpha w14:val="100000"/>
                    </w14:srgbClr>
                  </w14:solidFill>
                </w14:textFill>
              </w:rPr>
              <w:t>|</w:t>
            </w:r>
            <w:r w:rsidR="00B75DC4">
              <w:rPr>
                <w:szCs w:val="20"/>
                <w:vertAlign w:val="superscript"/>
              </w:rPr>
              <w:t>6</w:t>
            </w:r>
          </w:p>
        </w:tc>
        <w:tc>
          <w:tcPr>
            <w:tcW w:w="493" w:type="pct"/>
            <w:vAlign w:val="center"/>
          </w:tcPr>
          <w:p w14:paraId="2285EA85" w14:textId="27BC6F69" w:rsidR="000A1519" w:rsidRPr="00EE14F0" w:rsidRDefault="000A1519" w:rsidP="00014A9C">
            <w:pPr>
              <w:pStyle w:val="TableText"/>
              <w:keepLines/>
              <w:ind w:left="-65" w:right="-82"/>
              <w:jc w:val="center"/>
              <w:rPr>
                <w:rFonts w:cs="Calibri"/>
                <w:b/>
                <w:bCs w:val="0"/>
                <w:color w:val="000000"/>
                <w:szCs w:val="20"/>
              </w:rPr>
            </w:pPr>
            <w:r>
              <w:rPr>
                <w:rFonts w:cs="Calibri"/>
                <w:b/>
                <w:bCs w:val="0"/>
                <w:color w:val="000000"/>
                <w:szCs w:val="20"/>
              </w:rPr>
              <w:t>$</w:t>
            </w:r>
            <w:r w:rsidR="00F96E54" w:rsidRPr="00F96E54">
              <w:rPr>
                <w:rFonts w:cs="Calibri"/>
                <w:b/>
                <w:bCs w:val="0"/>
                <w:color w:val="000000"/>
                <w:spacing w:val="43"/>
                <w:szCs w:val="20"/>
                <w:shd w:val="solid" w:color="000000" w:fill="000000"/>
                <w:fitText w:val="313" w:id="-1435342838"/>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838"/>
                <w14:textFill>
                  <w14:solidFill>
                    <w14:srgbClr w14:val="000000">
                      <w14:alpha w14:val="100000"/>
                    </w14:srgbClr>
                  </w14:solidFill>
                </w14:textFill>
              </w:rPr>
              <w:t>|</w:t>
            </w:r>
            <w:r w:rsidR="00B75DC4">
              <w:rPr>
                <w:szCs w:val="20"/>
                <w:vertAlign w:val="superscript"/>
              </w:rPr>
              <w:t>6</w:t>
            </w:r>
          </w:p>
        </w:tc>
        <w:tc>
          <w:tcPr>
            <w:tcW w:w="493" w:type="pct"/>
            <w:vAlign w:val="center"/>
          </w:tcPr>
          <w:p w14:paraId="0682C643" w14:textId="38222FE7" w:rsidR="000A1519" w:rsidRPr="00EE14F0" w:rsidRDefault="000A1519" w:rsidP="00014A9C">
            <w:pPr>
              <w:pStyle w:val="TableText"/>
              <w:keepLines/>
              <w:ind w:left="-65" w:right="-82"/>
              <w:jc w:val="center"/>
              <w:rPr>
                <w:rFonts w:cs="Calibri"/>
                <w:b/>
                <w:bCs w:val="0"/>
                <w:color w:val="000000"/>
                <w:szCs w:val="20"/>
              </w:rPr>
            </w:pPr>
            <w:r>
              <w:rPr>
                <w:rFonts w:cs="Calibri"/>
                <w:b/>
                <w:bCs w:val="0"/>
                <w:color w:val="000000"/>
                <w:szCs w:val="20"/>
              </w:rPr>
              <w:t>$</w:t>
            </w:r>
            <w:r w:rsidR="00F96E54" w:rsidRPr="00F96E54">
              <w:rPr>
                <w:rFonts w:cs="Calibri"/>
                <w:b/>
                <w:bCs w:val="0"/>
                <w:color w:val="000000"/>
                <w:spacing w:val="43"/>
                <w:szCs w:val="20"/>
                <w:shd w:val="solid" w:color="000000" w:fill="000000"/>
                <w:fitText w:val="313" w:id="-1435342837"/>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837"/>
                <w14:textFill>
                  <w14:solidFill>
                    <w14:srgbClr w14:val="000000">
                      <w14:alpha w14:val="100000"/>
                    </w14:srgbClr>
                  </w14:solidFill>
                </w14:textFill>
              </w:rPr>
              <w:t>|</w:t>
            </w:r>
            <w:r w:rsidR="00B75DC4">
              <w:rPr>
                <w:szCs w:val="20"/>
                <w:vertAlign w:val="superscript"/>
              </w:rPr>
              <w:t>6</w:t>
            </w:r>
          </w:p>
        </w:tc>
        <w:tc>
          <w:tcPr>
            <w:tcW w:w="493" w:type="pct"/>
            <w:vAlign w:val="center"/>
          </w:tcPr>
          <w:p w14:paraId="61FCB8ED" w14:textId="2EF66DF5" w:rsidR="000A1519" w:rsidRPr="00EE14F0" w:rsidRDefault="000A1519" w:rsidP="00014A9C">
            <w:pPr>
              <w:pStyle w:val="TableText"/>
              <w:keepLines/>
              <w:ind w:left="-65" w:right="-82"/>
              <w:jc w:val="center"/>
              <w:rPr>
                <w:rFonts w:cs="Calibri"/>
                <w:b/>
                <w:bCs w:val="0"/>
                <w:color w:val="000000"/>
                <w:szCs w:val="20"/>
              </w:rPr>
            </w:pPr>
            <w:r>
              <w:rPr>
                <w:rFonts w:cs="Calibri"/>
                <w:b/>
                <w:bCs w:val="0"/>
                <w:color w:val="000000"/>
                <w:szCs w:val="20"/>
              </w:rPr>
              <w:t>$</w:t>
            </w:r>
            <w:r w:rsidR="00F96E54" w:rsidRPr="00F96E54">
              <w:rPr>
                <w:rFonts w:cs="Calibri"/>
                <w:b/>
                <w:bCs w:val="0"/>
                <w:color w:val="000000"/>
                <w:spacing w:val="43"/>
                <w:szCs w:val="20"/>
                <w:shd w:val="solid" w:color="000000" w:fill="000000"/>
                <w:fitText w:val="313" w:id="-1435342836"/>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836"/>
                <w14:textFill>
                  <w14:solidFill>
                    <w14:srgbClr w14:val="000000">
                      <w14:alpha w14:val="100000"/>
                    </w14:srgbClr>
                  </w14:solidFill>
                </w14:textFill>
              </w:rPr>
              <w:t>|</w:t>
            </w:r>
            <w:r w:rsidR="00B75DC4">
              <w:rPr>
                <w:szCs w:val="20"/>
                <w:vertAlign w:val="superscript"/>
              </w:rPr>
              <w:t>6</w:t>
            </w:r>
          </w:p>
        </w:tc>
        <w:tc>
          <w:tcPr>
            <w:tcW w:w="518" w:type="pct"/>
            <w:vAlign w:val="center"/>
          </w:tcPr>
          <w:p w14:paraId="374F4BF7" w14:textId="3AEDC77E" w:rsidR="000A1519" w:rsidRPr="00EE14F0" w:rsidRDefault="000A1519" w:rsidP="00014A9C">
            <w:pPr>
              <w:pStyle w:val="TableText"/>
              <w:keepLines/>
              <w:ind w:left="-65" w:right="-82"/>
              <w:jc w:val="center"/>
              <w:rPr>
                <w:rFonts w:cs="Calibri"/>
                <w:b/>
                <w:bCs w:val="0"/>
                <w:color w:val="000000"/>
                <w:szCs w:val="20"/>
              </w:rPr>
            </w:pPr>
            <w:r>
              <w:rPr>
                <w:rFonts w:cs="Calibri"/>
                <w:b/>
                <w:bCs w:val="0"/>
                <w:color w:val="000000"/>
                <w:szCs w:val="20"/>
              </w:rPr>
              <w:t>$</w:t>
            </w:r>
            <w:r w:rsidR="00F96E54" w:rsidRPr="00F96E54">
              <w:rPr>
                <w:rFonts w:cs="Calibri"/>
                <w:b/>
                <w:bCs w:val="0"/>
                <w:color w:val="000000"/>
                <w:spacing w:val="39"/>
                <w:szCs w:val="20"/>
                <w:shd w:val="solid" w:color="000000" w:fill="000000"/>
                <w:fitText w:val="301" w:id="-1435342835"/>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01" w:id="-1435342835"/>
                <w14:textFill>
                  <w14:solidFill>
                    <w14:srgbClr w14:val="000000">
                      <w14:alpha w14:val="100000"/>
                    </w14:srgbClr>
                  </w14:solidFill>
                </w14:textFill>
              </w:rPr>
              <w:t>|</w:t>
            </w:r>
            <w:r w:rsidR="00B75DC4">
              <w:rPr>
                <w:szCs w:val="20"/>
                <w:vertAlign w:val="superscript"/>
              </w:rPr>
              <w:t>6</w:t>
            </w:r>
          </w:p>
        </w:tc>
      </w:tr>
      <w:tr w:rsidR="000A1519" w:rsidRPr="007F3612" w14:paraId="4B50E4FA" w14:textId="77777777" w:rsidTr="00A361A7">
        <w:tc>
          <w:tcPr>
            <w:tcW w:w="5000" w:type="pct"/>
            <w:gridSpan w:val="7"/>
          </w:tcPr>
          <w:p w14:paraId="50C5B22A" w14:textId="145C6F13" w:rsidR="000A1519" w:rsidRPr="007F3612" w:rsidRDefault="000A1519" w:rsidP="00014A9C">
            <w:pPr>
              <w:pStyle w:val="TableText"/>
              <w:keepLines/>
              <w:ind w:left="-65" w:right="-82"/>
              <w:rPr>
                <w:rFonts w:cs="Arial"/>
                <w:b/>
                <w:bCs w:val="0"/>
                <w:szCs w:val="20"/>
              </w:rPr>
            </w:pPr>
            <w:r w:rsidRPr="007F3612">
              <w:rPr>
                <w:b/>
                <w:bCs w:val="0"/>
              </w:rPr>
              <w:t xml:space="preserve">Net changes to MBS from substituted </w:t>
            </w:r>
            <w:r>
              <w:rPr>
                <w:b/>
                <w:bCs w:val="0"/>
              </w:rPr>
              <w:t>ECP</w:t>
            </w:r>
            <w:r w:rsidRPr="007F3612">
              <w:rPr>
                <w:b/>
                <w:bCs w:val="0"/>
              </w:rPr>
              <w:t xml:space="preserve"> sessions</w:t>
            </w:r>
            <w:r>
              <w:rPr>
                <w:b/>
                <w:bCs w:val="0"/>
              </w:rPr>
              <w:t xml:space="preserve"> for </w:t>
            </w:r>
            <w:r w:rsidRPr="00EE14F0">
              <w:rPr>
                <w:rFonts w:cstheme="minorHAnsi"/>
                <w:b/>
                <w:bCs w:val="0"/>
                <w:szCs w:val="20"/>
              </w:rPr>
              <w:t>steroid refractory moderate</w:t>
            </w:r>
            <w:r w:rsidR="00B90243">
              <w:rPr>
                <w:rFonts w:cstheme="minorHAnsi"/>
                <w:b/>
                <w:bCs w:val="0"/>
                <w:szCs w:val="20"/>
              </w:rPr>
              <w:t xml:space="preserve"> to </w:t>
            </w:r>
            <w:r w:rsidRPr="00EE14F0">
              <w:rPr>
                <w:rFonts w:cstheme="minorHAnsi"/>
                <w:b/>
                <w:bCs w:val="0"/>
                <w:szCs w:val="20"/>
              </w:rPr>
              <w:t>severe cGVHD</w:t>
            </w:r>
          </w:p>
        </w:tc>
      </w:tr>
      <w:tr w:rsidR="000A1519" w:rsidRPr="006440B8" w14:paraId="01EDE4EA" w14:textId="77777777" w:rsidTr="00A361A7">
        <w:tc>
          <w:tcPr>
            <w:tcW w:w="1961" w:type="pct"/>
            <w:vAlign w:val="center"/>
          </w:tcPr>
          <w:p w14:paraId="796D1DFD" w14:textId="77777777" w:rsidR="000A1519" w:rsidRPr="006440B8" w:rsidRDefault="000A1519" w:rsidP="00014A9C">
            <w:pPr>
              <w:pStyle w:val="TableText"/>
              <w:keepLines/>
              <w:tabs>
                <w:tab w:val="right" w:pos="3513"/>
              </w:tabs>
              <w:ind w:left="-57" w:right="-68"/>
              <w:rPr>
                <w:b/>
                <w:bCs w:val="0"/>
                <w:szCs w:val="20"/>
              </w:rPr>
            </w:pPr>
            <w:r w:rsidRPr="003814C9">
              <w:rPr>
                <w:rFonts w:cs="Calibri"/>
                <w:color w:val="000000"/>
                <w:szCs w:val="20"/>
              </w:rPr>
              <w:t>ECP sessions offset</w:t>
            </w:r>
          </w:p>
        </w:tc>
        <w:tc>
          <w:tcPr>
            <w:tcW w:w="549" w:type="pct"/>
            <w:vAlign w:val="center"/>
          </w:tcPr>
          <w:p w14:paraId="6A246493" w14:textId="7A1A92A2" w:rsidR="000A1519" w:rsidRPr="006440B8" w:rsidRDefault="000A1519" w:rsidP="00014A9C">
            <w:pPr>
              <w:pStyle w:val="TableText"/>
              <w:keepLines/>
              <w:ind w:left="-65" w:right="-82"/>
              <w:jc w:val="center"/>
              <w:rPr>
                <w:rFonts w:cs="Calibri"/>
                <w:b/>
                <w:bCs w:val="0"/>
                <w:color w:val="000000"/>
                <w:szCs w:val="20"/>
              </w:rPr>
            </w:pPr>
            <w:r w:rsidRPr="003814C9">
              <w:rPr>
                <w:rFonts w:cs="Calibri"/>
                <w:color w:val="000000"/>
                <w:szCs w:val="20"/>
              </w:rPr>
              <w:t>-</w:t>
            </w:r>
            <w:r w:rsidR="00F96E54" w:rsidRPr="00F96E54">
              <w:rPr>
                <w:rFonts w:cs="Calibri"/>
                <w:color w:val="000000"/>
                <w:spacing w:val="114"/>
                <w:szCs w:val="20"/>
                <w:shd w:val="solid" w:color="000000" w:fill="000000"/>
                <w:fitText w:val="200" w:id="-1435342834"/>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00" w:id="-1435342834"/>
                <w14:textFill>
                  <w14:solidFill>
                    <w14:srgbClr w14:val="000000">
                      <w14:alpha w14:val="100000"/>
                    </w14:srgbClr>
                  </w14:solidFill>
                </w14:textFill>
              </w:rPr>
              <w:t>|</w:t>
            </w:r>
            <w:r w:rsidR="008F5AEA">
              <w:rPr>
                <w:szCs w:val="20"/>
                <w:vertAlign w:val="superscript"/>
              </w:rPr>
              <w:t>4</w:t>
            </w:r>
          </w:p>
        </w:tc>
        <w:tc>
          <w:tcPr>
            <w:tcW w:w="493" w:type="pct"/>
            <w:vAlign w:val="center"/>
          </w:tcPr>
          <w:p w14:paraId="11334A60" w14:textId="296CD29C" w:rsidR="000A1519" w:rsidRPr="006440B8" w:rsidRDefault="000A1519" w:rsidP="00014A9C">
            <w:pPr>
              <w:pStyle w:val="TableText"/>
              <w:keepLines/>
              <w:ind w:left="-65" w:right="-82"/>
              <w:jc w:val="center"/>
              <w:rPr>
                <w:rFonts w:cs="Calibri"/>
                <w:b/>
                <w:bCs w:val="0"/>
                <w:color w:val="000000"/>
                <w:szCs w:val="20"/>
              </w:rPr>
            </w:pPr>
            <w:r w:rsidRPr="003814C9">
              <w:rPr>
                <w:rFonts w:cs="Calibri"/>
                <w:color w:val="000000"/>
                <w:szCs w:val="20"/>
              </w:rPr>
              <w:t>-</w:t>
            </w:r>
            <w:r w:rsidR="00F96E54" w:rsidRPr="00F96E54">
              <w:rPr>
                <w:rFonts w:cs="Calibri"/>
                <w:color w:val="000000"/>
                <w:spacing w:val="164"/>
                <w:szCs w:val="20"/>
                <w:shd w:val="solid" w:color="000000" w:fill="000000"/>
                <w:fitText w:val="250" w:id="-1435342833"/>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2833"/>
                <w14:textFill>
                  <w14:solidFill>
                    <w14:srgbClr w14:val="000000">
                      <w14:alpha w14:val="100000"/>
                    </w14:srgbClr>
                  </w14:solidFill>
                </w14:textFill>
              </w:rPr>
              <w:t>|</w:t>
            </w:r>
            <w:r w:rsidR="008F5AEA">
              <w:rPr>
                <w:szCs w:val="20"/>
                <w:vertAlign w:val="superscript"/>
              </w:rPr>
              <w:t>5</w:t>
            </w:r>
          </w:p>
        </w:tc>
        <w:tc>
          <w:tcPr>
            <w:tcW w:w="493" w:type="pct"/>
            <w:vAlign w:val="center"/>
          </w:tcPr>
          <w:p w14:paraId="77B8F8B9" w14:textId="3C796E1E" w:rsidR="000A1519" w:rsidRPr="00C950B3" w:rsidRDefault="000A1519" w:rsidP="00014A9C">
            <w:pPr>
              <w:pStyle w:val="TableText"/>
              <w:keepLines/>
              <w:ind w:left="-65" w:right="-82"/>
              <w:jc w:val="center"/>
              <w:rPr>
                <w:rFonts w:cs="Calibri"/>
                <w:b/>
                <w:bCs w:val="0"/>
                <w:color w:val="000000"/>
                <w:szCs w:val="20"/>
                <w:highlight w:val="darkGray"/>
              </w:rPr>
            </w:pPr>
            <w:r w:rsidRPr="00320844">
              <w:rPr>
                <w:rFonts w:cs="Calibri"/>
                <w:color w:val="000000"/>
                <w:szCs w:val="20"/>
              </w:rPr>
              <w:t>-</w:t>
            </w:r>
            <w:r w:rsidR="00F96E54" w:rsidRPr="00F96E54">
              <w:rPr>
                <w:rFonts w:cs="Calibri"/>
                <w:color w:val="000000"/>
                <w:spacing w:val="164"/>
                <w:szCs w:val="20"/>
                <w:shd w:val="solid" w:color="000000" w:fill="000000"/>
                <w:fitText w:val="250" w:id="-1435342832"/>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2832"/>
                <w14:textFill>
                  <w14:solidFill>
                    <w14:srgbClr w14:val="000000">
                      <w14:alpha w14:val="100000"/>
                    </w14:srgbClr>
                  </w14:solidFill>
                </w14:textFill>
              </w:rPr>
              <w:t>|</w:t>
            </w:r>
            <w:r w:rsidR="008F5AEA">
              <w:rPr>
                <w:szCs w:val="20"/>
                <w:vertAlign w:val="superscript"/>
              </w:rPr>
              <w:t>5</w:t>
            </w:r>
          </w:p>
        </w:tc>
        <w:tc>
          <w:tcPr>
            <w:tcW w:w="493" w:type="pct"/>
            <w:vAlign w:val="center"/>
          </w:tcPr>
          <w:p w14:paraId="0E2AC5B9" w14:textId="5BF2EBC3" w:rsidR="000A1519" w:rsidRPr="006440B8" w:rsidRDefault="000A1519" w:rsidP="00014A9C">
            <w:pPr>
              <w:pStyle w:val="TableText"/>
              <w:keepLines/>
              <w:ind w:left="-65" w:right="-82"/>
              <w:jc w:val="center"/>
              <w:rPr>
                <w:rFonts w:cs="Calibri"/>
                <w:b/>
                <w:bCs w:val="0"/>
                <w:color w:val="000000"/>
                <w:szCs w:val="20"/>
              </w:rPr>
            </w:pPr>
            <w:r w:rsidRPr="003814C9">
              <w:rPr>
                <w:rFonts w:cs="Calibri"/>
                <w:color w:val="000000"/>
                <w:szCs w:val="20"/>
              </w:rPr>
              <w:t>-</w:t>
            </w:r>
            <w:r w:rsidR="00F96E54" w:rsidRPr="00F96E54">
              <w:rPr>
                <w:rFonts w:cs="Calibri"/>
                <w:color w:val="000000"/>
                <w:spacing w:val="164"/>
                <w:szCs w:val="20"/>
                <w:shd w:val="solid" w:color="000000" w:fill="000000"/>
                <w:fitText w:val="250" w:id="-1435342848"/>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2848"/>
                <w14:textFill>
                  <w14:solidFill>
                    <w14:srgbClr w14:val="000000">
                      <w14:alpha w14:val="100000"/>
                    </w14:srgbClr>
                  </w14:solidFill>
                </w14:textFill>
              </w:rPr>
              <w:t>|</w:t>
            </w:r>
            <w:r w:rsidR="008F5AEA">
              <w:rPr>
                <w:szCs w:val="20"/>
                <w:vertAlign w:val="superscript"/>
              </w:rPr>
              <w:t>5</w:t>
            </w:r>
          </w:p>
        </w:tc>
        <w:tc>
          <w:tcPr>
            <w:tcW w:w="493" w:type="pct"/>
            <w:vAlign w:val="center"/>
          </w:tcPr>
          <w:p w14:paraId="19F00F12" w14:textId="2756F43B" w:rsidR="000A1519" w:rsidRPr="006440B8" w:rsidRDefault="000A1519" w:rsidP="00014A9C">
            <w:pPr>
              <w:pStyle w:val="TableText"/>
              <w:keepLines/>
              <w:ind w:left="-65" w:right="-82"/>
              <w:jc w:val="center"/>
              <w:rPr>
                <w:rFonts w:cs="Calibri"/>
                <w:b/>
                <w:bCs w:val="0"/>
                <w:color w:val="000000"/>
                <w:szCs w:val="20"/>
              </w:rPr>
            </w:pPr>
            <w:r w:rsidRPr="003814C9">
              <w:rPr>
                <w:rFonts w:cs="Calibri"/>
                <w:color w:val="000000"/>
                <w:szCs w:val="20"/>
              </w:rPr>
              <w:t>-</w:t>
            </w:r>
            <w:r w:rsidR="00F96E54" w:rsidRPr="00F96E54">
              <w:rPr>
                <w:rFonts w:cs="Calibri"/>
                <w:color w:val="000000"/>
                <w:spacing w:val="165"/>
                <w:szCs w:val="20"/>
                <w:shd w:val="solid" w:color="000000" w:fill="000000"/>
                <w:fitText w:val="251" w:id="-1435342847"/>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1" w:id="-1435342847"/>
                <w14:textFill>
                  <w14:solidFill>
                    <w14:srgbClr w14:val="000000">
                      <w14:alpha w14:val="100000"/>
                    </w14:srgbClr>
                  </w14:solidFill>
                </w14:textFill>
              </w:rPr>
              <w:t>|</w:t>
            </w:r>
            <w:r w:rsidR="008F5AEA">
              <w:rPr>
                <w:szCs w:val="20"/>
                <w:vertAlign w:val="superscript"/>
              </w:rPr>
              <w:t>5</w:t>
            </w:r>
          </w:p>
        </w:tc>
        <w:tc>
          <w:tcPr>
            <w:tcW w:w="518" w:type="pct"/>
            <w:vAlign w:val="center"/>
          </w:tcPr>
          <w:p w14:paraId="297ED63F" w14:textId="2DB4F294" w:rsidR="000A1519" w:rsidRPr="006440B8" w:rsidRDefault="000A1519" w:rsidP="00014A9C">
            <w:pPr>
              <w:pStyle w:val="TableText"/>
              <w:keepLines/>
              <w:ind w:left="-65" w:right="-82"/>
              <w:jc w:val="center"/>
              <w:rPr>
                <w:rFonts w:cs="Calibri"/>
                <w:b/>
                <w:bCs w:val="0"/>
                <w:color w:val="000000"/>
                <w:szCs w:val="20"/>
              </w:rPr>
            </w:pPr>
            <w:r w:rsidRPr="003814C9">
              <w:rPr>
                <w:rFonts w:cs="Calibri"/>
                <w:color w:val="000000"/>
                <w:szCs w:val="20"/>
              </w:rPr>
              <w:t>-</w:t>
            </w:r>
            <w:r w:rsidR="00F96E54" w:rsidRPr="00F96E54">
              <w:rPr>
                <w:rFonts w:cs="Calibri"/>
                <w:color w:val="000000"/>
                <w:spacing w:val="49"/>
                <w:szCs w:val="20"/>
                <w:shd w:val="solid" w:color="000000" w:fill="000000"/>
                <w:fitText w:val="226" w:id="-1435342846"/>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26" w:id="-1435342846"/>
                <w14:textFill>
                  <w14:solidFill>
                    <w14:srgbClr w14:val="000000">
                      <w14:alpha w14:val="100000"/>
                    </w14:srgbClr>
                  </w14:solidFill>
                </w14:textFill>
              </w:rPr>
              <w:t>|</w:t>
            </w:r>
            <w:r w:rsidR="008F5AEA">
              <w:rPr>
                <w:szCs w:val="20"/>
                <w:vertAlign w:val="superscript"/>
              </w:rPr>
              <w:t>5</w:t>
            </w:r>
          </w:p>
        </w:tc>
      </w:tr>
      <w:tr w:rsidR="000A1519" w:rsidRPr="006440B8" w14:paraId="61AB9676" w14:textId="77777777" w:rsidTr="00A361A7">
        <w:tc>
          <w:tcPr>
            <w:tcW w:w="1961" w:type="pct"/>
            <w:vAlign w:val="center"/>
          </w:tcPr>
          <w:p w14:paraId="1E739710" w14:textId="77777777" w:rsidR="000A1519" w:rsidRPr="006440B8" w:rsidRDefault="000A1519" w:rsidP="00014A9C">
            <w:pPr>
              <w:pStyle w:val="TableText"/>
              <w:keepLines/>
              <w:tabs>
                <w:tab w:val="right" w:pos="3513"/>
              </w:tabs>
              <w:ind w:left="-57" w:right="-68"/>
              <w:rPr>
                <w:b/>
                <w:bCs w:val="0"/>
                <w:szCs w:val="20"/>
              </w:rPr>
            </w:pPr>
            <w:r w:rsidRPr="003814C9">
              <w:rPr>
                <w:rFonts w:cstheme="minorHAnsi"/>
                <w:szCs w:val="20"/>
              </w:rPr>
              <w:t>Cost to MBS (80% benefit, $1,526,68)</w:t>
            </w:r>
          </w:p>
        </w:tc>
        <w:tc>
          <w:tcPr>
            <w:tcW w:w="549" w:type="pct"/>
            <w:vAlign w:val="center"/>
          </w:tcPr>
          <w:p w14:paraId="5377012D" w14:textId="380BB2B6" w:rsidR="000A1519" w:rsidRPr="00C950B3" w:rsidRDefault="000A1519" w:rsidP="00014A9C">
            <w:pPr>
              <w:pStyle w:val="TableText"/>
              <w:keepLines/>
              <w:ind w:left="-65" w:right="-82"/>
              <w:jc w:val="center"/>
              <w:rPr>
                <w:rFonts w:cs="Calibri"/>
                <w:b/>
                <w:bCs w:val="0"/>
                <w:color w:val="000000"/>
                <w:szCs w:val="20"/>
                <w:highlight w:val="darkGray"/>
              </w:rPr>
            </w:pPr>
            <w:r w:rsidRPr="00320844">
              <w:rPr>
                <w:rFonts w:cs="Calibri"/>
                <w:color w:val="000000"/>
                <w:szCs w:val="20"/>
              </w:rPr>
              <w:t>-$</w:t>
            </w:r>
            <w:r w:rsidR="00F96E54" w:rsidRPr="00F96E54">
              <w:rPr>
                <w:rFonts w:cs="Calibri"/>
                <w:color w:val="000000"/>
                <w:spacing w:val="164"/>
                <w:szCs w:val="20"/>
                <w:shd w:val="solid" w:color="000000" w:fill="000000"/>
                <w:fitText w:val="250" w:id="-1435342845"/>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2845"/>
                <w14:textFill>
                  <w14:solidFill>
                    <w14:srgbClr w14:val="000000">
                      <w14:alpha w14:val="100000"/>
                    </w14:srgbClr>
                  </w14:solidFill>
                </w14:textFill>
              </w:rPr>
              <w:t>|</w:t>
            </w:r>
            <w:r w:rsidR="00B75DC4">
              <w:rPr>
                <w:szCs w:val="20"/>
                <w:vertAlign w:val="superscript"/>
              </w:rPr>
              <w:t>6</w:t>
            </w:r>
          </w:p>
        </w:tc>
        <w:tc>
          <w:tcPr>
            <w:tcW w:w="493" w:type="pct"/>
            <w:vAlign w:val="center"/>
          </w:tcPr>
          <w:p w14:paraId="17750D51" w14:textId="5F780479" w:rsidR="000A1519" w:rsidRPr="006440B8" w:rsidRDefault="000A1519" w:rsidP="00014A9C">
            <w:pPr>
              <w:pStyle w:val="TableText"/>
              <w:keepLines/>
              <w:ind w:left="-65" w:right="-82"/>
              <w:jc w:val="center"/>
              <w:rPr>
                <w:rFonts w:cs="Calibri"/>
                <w:b/>
                <w:bCs w:val="0"/>
                <w:color w:val="000000"/>
                <w:szCs w:val="20"/>
              </w:rPr>
            </w:pPr>
            <w:r w:rsidRPr="003814C9">
              <w:rPr>
                <w:rFonts w:cs="Calibri"/>
                <w:color w:val="000000"/>
                <w:szCs w:val="20"/>
              </w:rPr>
              <w:t>-$</w:t>
            </w:r>
            <w:r w:rsidR="00F96E54" w:rsidRPr="00F96E54">
              <w:rPr>
                <w:rFonts w:cs="Calibri"/>
                <w:color w:val="000000"/>
                <w:spacing w:val="47"/>
                <w:szCs w:val="20"/>
                <w:shd w:val="solid" w:color="000000" w:fill="000000"/>
                <w:fitText w:val="313" w:id="-1435342844"/>
                <w14:textFill>
                  <w14:solidFill>
                    <w14:srgbClr w14:val="000000">
                      <w14:alpha w14:val="100000"/>
                    </w14:srgbClr>
                  </w14:solidFill>
                </w14:textFill>
              </w:rPr>
              <w:t>|||</w:t>
            </w:r>
            <w:r w:rsidR="00F96E54" w:rsidRPr="00F96E54">
              <w:rPr>
                <w:rFonts w:cs="Calibri"/>
                <w:color w:val="000000"/>
                <w:spacing w:val="2"/>
                <w:szCs w:val="20"/>
                <w:shd w:val="solid" w:color="000000" w:fill="000000"/>
                <w:fitText w:val="313" w:id="-1435342844"/>
                <w14:textFill>
                  <w14:solidFill>
                    <w14:srgbClr w14:val="000000">
                      <w14:alpha w14:val="100000"/>
                    </w14:srgbClr>
                  </w14:solidFill>
                </w14:textFill>
              </w:rPr>
              <w:t>|</w:t>
            </w:r>
            <w:r w:rsidR="00B75DC4">
              <w:rPr>
                <w:szCs w:val="20"/>
                <w:vertAlign w:val="superscript"/>
              </w:rPr>
              <w:t>6</w:t>
            </w:r>
          </w:p>
        </w:tc>
        <w:tc>
          <w:tcPr>
            <w:tcW w:w="493" w:type="pct"/>
            <w:vAlign w:val="center"/>
          </w:tcPr>
          <w:p w14:paraId="008C9A78" w14:textId="78C2C97C" w:rsidR="000A1519" w:rsidRPr="006440B8" w:rsidRDefault="000A1519" w:rsidP="00014A9C">
            <w:pPr>
              <w:pStyle w:val="TableText"/>
              <w:keepLines/>
              <w:ind w:left="-65" w:right="-82"/>
              <w:jc w:val="center"/>
              <w:rPr>
                <w:rFonts w:cs="Calibri"/>
                <w:b/>
                <w:bCs w:val="0"/>
                <w:color w:val="000000"/>
                <w:szCs w:val="20"/>
              </w:rPr>
            </w:pPr>
            <w:r w:rsidRPr="003814C9">
              <w:rPr>
                <w:rFonts w:cs="Calibri"/>
                <w:color w:val="000000"/>
                <w:szCs w:val="20"/>
              </w:rPr>
              <w:t>-$</w:t>
            </w:r>
            <w:r w:rsidR="00F96E54" w:rsidRPr="00F96E54">
              <w:rPr>
                <w:rFonts w:cs="Calibri"/>
                <w:color w:val="000000"/>
                <w:spacing w:val="47"/>
                <w:szCs w:val="20"/>
                <w:shd w:val="solid" w:color="000000" w:fill="000000"/>
                <w:fitText w:val="313" w:id="-1435342843"/>
                <w14:textFill>
                  <w14:solidFill>
                    <w14:srgbClr w14:val="000000">
                      <w14:alpha w14:val="100000"/>
                    </w14:srgbClr>
                  </w14:solidFill>
                </w14:textFill>
              </w:rPr>
              <w:t>|||</w:t>
            </w:r>
            <w:r w:rsidR="00F96E54" w:rsidRPr="00F96E54">
              <w:rPr>
                <w:rFonts w:cs="Calibri"/>
                <w:color w:val="000000"/>
                <w:spacing w:val="2"/>
                <w:szCs w:val="20"/>
                <w:shd w:val="solid" w:color="000000" w:fill="000000"/>
                <w:fitText w:val="313" w:id="-1435342843"/>
                <w14:textFill>
                  <w14:solidFill>
                    <w14:srgbClr w14:val="000000">
                      <w14:alpha w14:val="100000"/>
                    </w14:srgbClr>
                  </w14:solidFill>
                </w14:textFill>
              </w:rPr>
              <w:t>|</w:t>
            </w:r>
            <w:r w:rsidR="008F5AEA">
              <w:rPr>
                <w:szCs w:val="20"/>
                <w:vertAlign w:val="superscript"/>
              </w:rPr>
              <w:t>6</w:t>
            </w:r>
          </w:p>
        </w:tc>
        <w:tc>
          <w:tcPr>
            <w:tcW w:w="493" w:type="pct"/>
            <w:vAlign w:val="center"/>
          </w:tcPr>
          <w:p w14:paraId="2D0EB05B" w14:textId="6EB30343" w:rsidR="000A1519" w:rsidRPr="006440B8" w:rsidRDefault="000A1519" w:rsidP="00014A9C">
            <w:pPr>
              <w:pStyle w:val="TableText"/>
              <w:keepLines/>
              <w:ind w:left="-65" w:right="-82"/>
              <w:jc w:val="center"/>
              <w:rPr>
                <w:rFonts w:cs="Calibri"/>
                <w:b/>
                <w:bCs w:val="0"/>
                <w:color w:val="000000"/>
                <w:szCs w:val="20"/>
              </w:rPr>
            </w:pPr>
            <w:r w:rsidRPr="003814C9">
              <w:rPr>
                <w:rFonts w:cs="Calibri"/>
                <w:color w:val="000000"/>
                <w:szCs w:val="20"/>
              </w:rPr>
              <w:t>-$</w:t>
            </w:r>
            <w:r w:rsidR="00F96E54" w:rsidRPr="00F96E54">
              <w:rPr>
                <w:rFonts w:cs="Calibri"/>
                <w:color w:val="000000"/>
                <w:spacing w:val="47"/>
                <w:szCs w:val="20"/>
                <w:shd w:val="solid" w:color="000000" w:fill="000000"/>
                <w:fitText w:val="313" w:id="-1435342842"/>
                <w14:textFill>
                  <w14:solidFill>
                    <w14:srgbClr w14:val="000000">
                      <w14:alpha w14:val="100000"/>
                    </w14:srgbClr>
                  </w14:solidFill>
                </w14:textFill>
              </w:rPr>
              <w:t>|||</w:t>
            </w:r>
            <w:r w:rsidR="00F96E54" w:rsidRPr="00F96E54">
              <w:rPr>
                <w:rFonts w:cs="Calibri"/>
                <w:color w:val="000000"/>
                <w:spacing w:val="2"/>
                <w:szCs w:val="20"/>
                <w:shd w:val="solid" w:color="000000" w:fill="000000"/>
                <w:fitText w:val="313" w:id="-1435342842"/>
                <w14:textFill>
                  <w14:solidFill>
                    <w14:srgbClr w14:val="000000">
                      <w14:alpha w14:val="100000"/>
                    </w14:srgbClr>
                  </w14:solidFill>
                </w14:textFill>
              </w:rPr>
              <w:t>|</w:t>
            </w:r>
            <w:r w:rsidR="008F5AEA">
              <w:rPr>
                <w:szCs w:val="20"/>
                <w:vertAlign w:val="superscript"/>
              </w:rPr>
              <w:t>6</w:t>
            </w:r>
          </w:p>
        </w:tc>
        <w:tc>
          <w:tcPr>
            <w:tcW w:w="493" w:type="pct"/>
            <w:vAlign w:val="center"/>
          </w:tcPr>
          <w:p w14:paraId="279066D5" w14:textId="6B37D55B" w:rsidR="000A1519" w:rsidRPr="006440B8" w:rsidRDefault="000A1519" w:rsidP="00014A9C">
            <w:pPr>
              <w:pStyle w:val="TableText"/>
              <w:keepLines/>
              <w:ind w:left="-65" w:right="-82"/>
              <w:jc w:val="center"/>
              <w:rPr>
                <w:rFonts w:cs="Calibri"/>
                <w:b/>
                <w:bCs w:val="0"/>
                <w:color w:val="000000"/>
                <w:szCs w:val="20"/>
              </w:rPr>
            </w:pPr>
            <w:r w:rsidRPr="003814C9">
              <w:rPr>
                <w:rFonts w:cs="Calibri"/>
                <w:color w:val="000000"/>
                <w:szCs w:val="20"/>
              </w:rPr>
              <w:t>-$</w:t>
            </w:r>
            <w:r w:rsidR="00F96E54" w:rsidRPr="00F96E54">
              <w:rPr>
                <w:rFonts w:cs="Calibri"/>
                <w:color w:val="000000"/>
                <w:spacing w:val="47"/>
                <w:szCs w:val="20"/>
                <w:shd w:val="solid" w:color="000000" w:fill="000000"/>
                <w:fitText w:val="313" w:id="-1435342841"/>
                <w14:textFill>
                  <w14:solidFill>
                    <w14:srgbClr w14:val="000000">
                      <w14:alpha w14:val="100000"/>
                    </w14:srgbClr>
                  </w14:solidFill>
                </w14:textFill>
              </w:rPr>
              <w:t>|||</w:t>
            </w:r>
            <w:r w:rsidR="00F96E54" w:rsidRPr="00F96E54">
              <w:rPr>
                <w:rFonts w:cs="Calibri"/>
                <w:color w:val="000000"/>
                <w:spacing w:val="2"/>
                <w:szCs w:val="20"/>
                <w:shd w:val="solid" w:color="000000" w:fill="000000"/>
                <w:fitText w:val="313" w:id="-1435342841"/>
                <w14:textFill>
                  <w14:solidFill>
                    <w14:srgbClr w14:val="000000">
                      <w14:alpha w14:val="100000"/>
                    </w14:srgbClr>
                  </w14:solidFill>
                </w14:textFill>
              </w:rPr>
              <w:t>|</w:t>
            </w:r>
            <w:r w:rsidR="008F5AEA">
              <w:rPr>
                <w:szCs w:val="20"/>
                <w:vertAlign w:val="superscript"/>
              </w:rPr>
              <w:t>6</w:t>
            </w:r>
          </w:p>
        </w:tc>
        <w:tc>
          <w:tcPr>
            <w:tcW w:w="518" w:type="pct"/>
            <w:vAlign w:val="center"/>
          </w:tcPr>
          <w:p w14:paraId="69C5BB34" w14:textId="017D0A20" w:rsidR="000A1519" w:rsidRPr="006440B8" w:rsidRDefault="000A1519" w:rsidP="00014A9C">
            <w:pPr>
              <w:pStyle w:val="TableText"/>
              <w:keepLines/>
              <w:ind w:left="-65" w:right="-82"/>
              <w:jc w:val="center"/>
              <w:rPr>
                <w:rFonts w:cs="Calibri"/>
                <w:b/>
                <w:bCs w:val="0"/>
                <w:color w:val="000000"/>
                <w:szCs w:val="20"/>
              </w:rPr>
            </w:pPr>
            <w:r w:rsidRPr="003814C9">
              <w:rPr>
                <w:rFonts w:cs="Calibri"/>
                <w:color w:val="000000"/>
                <w:szCs w:val="20"/>
              </w:rPr>
              <w:t>-$</w:t>
            </w:r>
            <w:r w:rsidR="00F96E54" w:rsidRPr="00F96E54">
              <w:rPr>
                <w:rFonts w:cs="Calibri"/>
                <w:color w:val="000000"/>
                <w:spacing w:val="189"/>
                <w:szCs w:val="20"/>
                <w:shd w:val="solid" w:color="000000" w:fill="000000"/>
                <w:fitText w:val="275" w:id="-1435342840"/>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75" w:id="-1435342840"/>
                <w14:textFill>
                  <w14:solidFill>
                    <w14:srgbClr w14:val="000000">
                      <w14:alpha w14:val="100000"/>
                    </w14:srgbClr>
                  </w14:solidFill>
                </w14:textFill>
              </w:rPr>
              <w:t>|</w:t>
            </w:r>
            <w:r w:rsidR="008F5AEA">
              <w:rPr>
                <w:szCs w:val="20"/>
                <w:vertAlign w:val="superscript"/>
              </w:rPr>
              <w:t>6</w:t>
            </w:r>
          </w:p>
        </w:tc>
      </w:tr>
      <w:tr w:rsidR="000A1519" w:rsidRPr="00BF3F00" w14:paraId="4A2A42C6" w14:textId="77777777" w:rsidTr="00A361A7">
        <w:tc>
          <w:tcPr>
            <w:tcW w:w="5000" w:type="pct"/>
            <w:gridSpan w:val="7"/>
          </w:tcPr>
          <w:p w14:paraId="0EB829DA" w14:textId="77777777" w:rsidR="000A1519" w:rsidRPr="00BF3F00" w:rsidRDefault="000A1519" w:rsidP="00014A9C">
            <w:pPr>
              <w:pStyle w:val="TableText"/>
              <w:keepLines/>
              <w:ind w:left="-65" w:right="-82"/>
              <w:rPr>
                <w:rFonts w:cs="Arial"/>
                <w:b/>
                <w:bCs w:val="0"/>
                <w:szCs w:val="20"/>
              </w:rPr>
            </w:pPr>
            <w:r w:rsidRPr="00BF3F00">
              <w:rPr>
                <w:b/>
                <w:bCs w:val="0"/>
              </w:rPr>
              <w:t xml:space="preserve">Net changes to financial implications for the health budget </w:t>
            </w:r>
            <w:r>
              <w:rPr>
                <w:b/>
                <w:bCs w:val="0"/>
              </w:rPr>
              <w:t xml:space="preserve">for </w:t>
            </w:r>
            <w:r w:rsidRPr="00EE14F0">
              <w:rPr>
                <w:rFonts w:cstheme="minorHAnsi"/>
                <w:b/>
                <w:bCs w:val="0"/>
                <w:szCs w:val="20"/>
              </w:rPr>
              <w:t>cGVHD</w:t>
            </w:r>
            <w:r w:rsidRPr="00BF3F00">
              <w:rPr>
                <w:b/>
                <w:bCs w:val="0"/>
              </w:rPr>
              <w:t xml:space="preserve"> (effective price)</w:t>
            </w:r>
          </w:p>
        </w:tc>
      </w:tr>
      <w:tr w:rsidR="000A1519" w:rsidRPr="00CE56E3" w14:paraId="7575FE39" w14:textId="77777777" w:rsidTr="00A361A7">
        <w:tc>
          <w:tcPr>
            <w:tcW w:w="1961" w:type="pct"/>
          </w:tcPr>
          <w:p w14:paraId="525070B5" w14:textId="77777777" w:rsidR="000A1519" w:rsidRPr="007F3612" w:rsidRDefault="000A1519" w:rsidP="00014A9C">
            <w:pPr>
              <w:pStyle w:val="TableText"/>
              <w:tabs>
                <w:tab w:val="right" w:pos="3513"/>
              </w:tabs>
              <w:ind w:left="-57" w:right="-68"/>
              <w:rPr>
                <w:b/>
                <w:bCs w:val="0"/>
                <w:szCs w:val="20"/>
              </w:rPr>
            </w:pPr>
            <w:r>
              <w:rPr>
                <w:b/>
                <w:bCs w:val="0"/>
                <w:szCs w:val="20"/>
              </w:rPr>
              <w:t>Total net change (less copayment)</w:t>
            </w:r>
          </w:p>
        </w:tc>
        <w:tc>
          <w:tcPr>
            <w:tcW w:w="549" w:type="pct"/>
            <w:vAlign w:val="center"/>
          </w:tcPr>
          <w:p w14:paraId="7300B43B" w14:textId="41240E7A" w:rsidR="000A1519" w:rsidRPr="007F3612" w:rsidRDefault="000A1519" w:rsidP="00014A9C">
            <w:pPr>
              <w:pStyle w:val="TableText"/>
              <w:ind w:left="-65" w:right="-82"/>
              <w:jc w:val="center"/>
              <w:rPr>
                <w:rFonts w:cs="Calibri"/>
                <w:b/>
                <w:bCs w:val="0"/>
                <w:color w:val="000000"/>
                <w:szCs w:val="20"/>
              </w:rPr>
            </w:pPr>
            <w:r w:rsidRPr="00CE56E3">
              <w:rPr>
                <w:rFonts w:cs="Calibri"/>
                <w:b/>
                <w:bCs w:val="0"/>
                <w:color w:val="000000"/>
                <w:szCs w:val="20"/>
              </w:rPr>
              <w:t>$</w:t>
            </w:r>
            <w:r w:rsidR="00F96E54" w:rsidRPr="00F96E54">
              <w:rPr>
                <w:rFonts w:cs="Calibri"/>
                <w:b/>
                <w:bCs w:val="0"/>
                <w:color w:val="000000"/>
                <w:spacing w:val="171"/>
                <w:szCs w:val="20"/>
                <w:shd w:val="solid" w:color="000000" w:fill="000000"/>
                <w:fitText w:val="263" w:id="-1435342839"/>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63" w:id="-1435342839"/>
                <w14:textFill>
                  <w14:solidFill>
                    <w14:srgbClr w14:val="000000">
                      <w14:alpha w14:val="100000"/>
                    </w14:srgbClr>
                  </w14:solidFill>
                </w14:textFill>
              </w:rPr>
              <w:t>|</w:t>
            </w:r>
            <w:r w:rsidR="008F5AEA">
              <w:rPr>
                <w:szCs w:val="20"/>
                <w:vertAlign w:val="superscript"/>
              </w:rPr>
              <w:t>6</w:t>
            </w:r>
          </w:p>
        </w:tc>
        <w:tc>
          <w:tcPr>
            <w:tcW w:w="493" w:type="pct"/>
            <w:vAlign w:val="center"/>
          </w:tcPr>
          <w:p w14:paraId="7D0F2B86" w14:textId="2031D49A" w:rsidR="000A1519" w:rsidRPr="007F3612" w:rsidRDefault="000A1519" w:rsidP="00014A9C">
            <w:pPr>
              <w:pStyle w:val="TableText"/>
              <w:ind w:left="-65" w:right="-82"/>
              <w:jc w:val="center"/>
              <w:rPr>
                <w:rFonts w:cs="Calibri"/>
                <w:b/>
                <w:bCs w:val="0"/>
                <w:color w:val="000000"/>
                <w:szCs w:val="20"/>
              </w:rPr>
            </w:pPr>
            <w:r w:rsidRPr="00CE56E3">
              <w:rPr>
                <w:rFonts w:cs="Calibri"/>
                <w:b/>
                <w:bCs w:val="0"/>
                <w:color w:val="000000"/>
                <w:szCs w:val="20"/>
              </w:rPr>
              <w:t>$</w:t>
            </w:r>
            <w:r w:rsidR="00F96E54" w:rsidRPr="00F96E54">
              <w:rPr>
                <w:rFonts w:cs="Calibri"/>
                <w:b/>
                <w:bCs w:val="0"/>
                <w:color w:val="000000"/>
                <w:spacing w:val="43"/>
                <w:szCs w:val="20"/>
                <w:shd w:val="solid" w:color="000000" w:fill="000000"/>
                <w:fitText w:val="313" w:id="-1435342838"/>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838"/>
                <w14:textFill>
                  <w14:solidFill>
                    <w14:srgbClr w14:val="000000">
                      <w14:alpha w14:val="100000"/>
                    </w14:srgbClr>
                  </w14:solidFill>
                </w14:textFill>
              </w:rPr>
              <w:t>|</w:t>
            </w:r>
            <w:r w:rsidR="008F5AEA">
              <w:rPr>
                <w:szCs w:val="20"/>
                <w:vertAlign w:val="superscript"/>
              </w:rPr>
              <w:t>6</w:t>
            </w:r>
          </w:p>
        </w:tc>
        <w:tc>
          <w:tcPr>
            <w:tcW w:w="493" w:type="pct"/>
            <w:vAlign w:val="center"/>
          </w:tcPr>
          <w:p w14:paraId="4A05A9B1" w14:textId="778405D9" w:rsidR="000A1519" w:rsidRPr="007F3612" w:rsidRDefault="000A1519" w:rsidP="00014A9C">
            <w:pPr>
              <w:pStyle w:val="TableText"/>
              <w:ind w:left="-65" w:right="-82"/>
              <w:jc w:val="center"/>
              <w:rPr>
                <w:rFonts w:cs="Calibri"/>
                <w:b/>
                <w:bCs w:val="0"/>
                <w:color w:val="000000"/>
                <w:szCs w:val="20"/>
              </w:rPr>
            </w:pPr>
            <w:r w:rsidRPr="00CE56E3">
              <w:rPr>
                <w:rFonts w:cs="Calibri"/>
                <w:b/>
                <w:bCs w:val="0"/>
                <w:color w:val="000000"/>
                <w:szCs w:val="20"/>
              </w:rPr>
              <w:t>$</w:t>
            </w:r>
            <w:r w:rsidR="00F96E54" w:rsidRPr="00F96E54">
              <w:rPr>
                <w:rFonts w:cs="Calibri"/>
                <w:b/>
                <w:bCs w:val="0"/>
                <w:color w:val="000000"/>
                <w:spacing w:val="43"/>
                <w:szCs w:val="20"/>
                <w:shd w:val="solid" w:color="000000" w:fill="000000"/>
                <w:fitText w:val="313" w:id="-1435342837"/>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837"/>
                <w14:textFill>
                  <w14:solidFill>
                    <w14:srgbClr w14:val="000000">
                      <w14:alpha w14:val="100000"/>
                    </w14:srgbClr>
                  </w14:solidFill>
                </w14:textFill>
              </w:rPr>
              <w:t>|</w:t>
            </w:r>
            <w:r w:rsidR="008F5AEA">
              <w:rPr>
                <w:szCs w:val="20"/>
                <w:vertAlign w:val="superscript"/>
              </w:rPr>
              <w:t>6</w:t>
            </w:r>
          </w:p>
        </w:tc>
        <w:tc>
          <w:tcPr>
            <w:tcW w:w="493" w:type="pct"/>
            <w:vAlign w:val="center"/>
          </w:tcPr>
          <w:p w14:paraId="564BC870" w14:textId="0C28C930" w:rsidR="000A1519" w:rsidRPr="007F3612" w:rsidRDefault="000A1519" w:rsidP="00014A9C">
            <w:pPr>
              <w:pStyle w:val="TableText"/>
              <w:ind w:left="-65" w:right="-82"/>
              <w:jc w:val="center"/>
              <w:rPr>
                <w:rFonts w:cs="Calibri"/>
                <w:b/>
                <w:bCs w:val="0"/>
                <w:color w:val="000000"/>
                <w:szCs w:val="20"/>
              </w:rPr>
            </w:pPr>
            <w:r w:rsidRPr="00CE56E3">
              <w:rPr>
                <w:rFonts w:cs="Calibri"/>
                <w:b/>
                <w:bCs w:val="0"/>
                <w:color w:val="000000"/>
                <w:szCs w:val="20"/>
              </w:rPr>
              <w:t>$</w:t>
            </w:r>
            <w:r w:rsidR="00F96E54" w:rsidRPr="00F96E54">
              <w:rPr>
                <w:rFonts w:cs="Calibri"/>
                <w:b/>
                <w:bCs w:val="0"/>
                <w:color w:val="000000"/>
                <w:spacing w:val="43"/>
                <w:szCs w:val="20"/>
                <w:shd w:val="solid" w:color="000000" w:fill="000000"/>
                <w:fitText w:val="313" w:id="-1435342836"/>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836"/>
                <w14:textFill>
                  <w14:solidFill>
                    <w14:srgbClr w14:val="000000">
                      <w14:alpha w14:val="100000"/>
                    </w14:srgbClr>
                  </w14:solidFill>
                </w14:textFill>
              </w:rPr>
              <w:t>|</w:t>
            </w:r>
            <w:r w:rsidR="008F5AEA">
              <w:rPr>
                <w:szCs w:val="20"/>
                <w:vertAlign w:val="superscript"/>
              </w:rPr>
              <w:t>6</w:t>
            </w:r>
          </w:p>
        </w:tc>
        <w:tc>
          <w:tcPr>
            <w:tcW w:w="493" w:type="pct"/>
            <w:vAlign w:val="center"/>
          </w:tcPr>
          <w:p w14:paraId="34554210" w14:textId="08942321" w:rsidR="000A1519" w:rsidRPr="007F3612" w:rsidRDefault="000A1519" w:rsidP="00014A9C">
            <w:pPr>
              <w:pStyle w:val="TableText"/>
              <w:ind w:left="-65" w:right="-82"/>
              <w:jc w:val="center"/>
              <w:rPr>
                <w:rFonts w:cs="Calibri"/>
                <w:b/>
                <w:bCs w:val="0"/>
                <w:color w:val="000000"/>
                <w:szCs w:val="20"/>
              </w:rPr>
            </w:pPr>
            <w:r w:rsidRPr="00CE56E3">
              <w:rPr>
                <w:rFonts w:cs="Calibri"/>
                <w:b/>
                <w:bCs w:val="0"/>
                <w:color w:val="000000"/>
                <w:szCs w:val="20"/>
              </w:rPr>
              <w:t>$</w:t>
            </w:r>
            <w:r w:rsidR="00F96E54" w:rsidRPr="00F96E54">
              <w:rPr>
                <w:rFonts w:cs="Calibri"/>
                <w:b/>
                <w:bCs w:val="0"/>
                <w:color w:val="000000"/>
                <w:spacing w:val="43"/>
                <w:szCs w:val="20"/>
                <w:shd w:val="solid" w:color="000000" w:fill="000000"/>
                <w:fitText w:val="313" w:id="-1435342835"/>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835"/>
                <w14:textFill>
                  <w14:solidFill>
                    <w14:srgbClr w14:val="000000">
                      <w14:alpha w14:val="100000"/>
                    </w14:srgbClr>
                  </w14:solidFill>
                </w14:textFill>
              </w:rPr>
              <w:t>|</w:t>
            </w:r>
            <w:r w:rsidR="008F5AEA">
              <w:rPr>
                <w:szCs w:val="20"/>
                <w:vertAlign w:val="superscript"/>
              </w:rPr>
              <w:t>6</w:t>
            </w:r>
          </w:p>
        </w:tc>
        <w:tc>
          <w:tcPr>
            <w:tcW w:w="518" w:type="pct"/>
            <w:vAlign w:val="center"/>
          </w:tcPr>
          <w:p w14:paraId="45D41D54" w14:textId="36194AF3" w:rsidR="000A1519" w:rsidRPr="007F3612" w:rsidRDefault="000A1519" w:rsidP="00014A9C">
            <w:pPr>
              <w:pStyle w:val="TableText"/>
              <w:ind w:left="-65" w:right="-82"/>
              <w:jc w:val="center"/>
              <w:rPr>
                <w:rFonts w:cs="Calibri"/>
                <w:b/>
                <w:bCs w:val="0"/>
                <w:color w:val="000000"/>
                <w:szCs w:val="20"/>
              </w:rPr>
            </w:pPr>
            <w:r w:rsidRPr="00CE56E3">
              <w:rPr>
                <w:rFonts w:cs="Calibri"/>
                <w:b/>
                <w:bCs w:val="0"/>
                <w:color w:val="000000"/>
                <w:szCs w:val="20"/>
              </w:rPr>
              <w:t>$</w:t>
            </w:r>
            <w:r w:rsidR="00F96E54" w:rsidRPr="00F96E54">
              <w:rPr>
                <w:rFonts w:cs="Calibri"/>
                <w:b/>
                <w:bCs w:val="0"/>
                <w:color w:val="000000"/>
                <w:spacing w:val="39"/>
                <w:szCs w:val="20"/>
                <w:shd w:val="solid" w:color="000000" w:fill="000000"/>
                <w:fitText w:val="301" w:id="-1435342834"/>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01" w:id="-1435342834"/>
                <w14:textFill>
                  <w14:solidFill>
                    <w14:srgbClr w14:val="000000">
                      <w14:alpha w14:val="100000"/>
                    </w14:srgbClr>
                  </w14:solidFill>
                </w14:textFill>
              </w:rPr>
              <w:t>|</w:t>
            </w:r>
            <w:r w:rsidR="008F5AEA">
              <w:rPr>
                <w:szCs w:val="20"/>
                <w:vertAlign w:val="superscript"/>
              </w:rPr>
              <w:t>6</w:t>
            </w:r>
          </w:p>
        </w:tc>
      </w:tr>
      <w:tr w:rsidR="00421487" w:rsidRPr="00CE56E3" w14:paraId="1842A3BF" w14:textId="77777777" w:rsidTr="00421487">
        <w:tc>
          <w:tcPr>
            <w:tcW w:w="5000" w:type="pct"/>
            <w:gridSpan w:val="7"/>
          </w:tcPr>
          <w:p w14:paraId="61AF2C48" w14:textId="11F8352C" w:rsidR="00421487" w:rsidRPr="00CE56E3" w:rsidRDefault="00421487" w:rsidP="00014A9C">
            <w:pPr>
              <w:pStyle w:val="TableText"/>
              <w:ind w:left="-65" w:right="-82"/>
              <w:rPr>
                <w:rFonts w:cs="Calibri"/>
                <w:b/>
                <w:bCs w:val="0"/>
                <w:color w:val="000000"/>
                <w:szCs w:val="20"/>
              </w:rPr>
            </w:pPr>
            <w:r>
              <w:rPr>
                <w:rFonts w:cs="Calibri"/>
                <w:b/>
                <w:bCs w:val="0"/>
                <w:color w:val="000000"/>
                <w:szCs w:val="20"/>
              </w:rPr>
              <w:t>Revised estimated provided in the pre-PBAC response</w:t>
            </w:r>
          </w:p>
        </w:tc>
      </w:tr>
      <w:tr w:rsidR="00421487" w:rsidRPr="00CE56E3" w14:paraId="56AC77DF" w14:textId="77777777" w:rsidTr="00A361A7">
        <w:tc>
          <w:tcPr>
            <w:tcW w:w="1961" w:type="pct"/>
          </w:tcPr>
          <w:p w14:paraId="138AF036" w14:textId="31BBBA82" w:rsidR="00421487" w:rsidRDefault="00421487" w:rsidP="00014A9C">
            <w:pPr>
              <w:pStyle w:val="TableText"/>
              <w:tabs>
                <w:tab w:val="right" w:pos="3513"/>
              </w:tabs>
              <w:ind w:left="-57" w:right="-68"/>
              <w:rPr>
                <w:b/>
                <w:bCs w:val="0"/>
                <w:szCs w:val="20"/>
              </w:rPr>
            </w:pPr>
            <w:r>
              <w:rPr>
                <w:b/>
                <w:bCs w:val="0"/>
                <w:szCs w:val="20"/>
              </w:rPr>
              <w:t>Total treated patients</w:t>
            </w:r>
          </w:p>
        </w:tc>
        <w:tc>
          <w:tcPr>
            <w:tcW w:w="549" w:type="pct"/>
            <w:vAlign w:val="center"/>
          </w:tcPr>
          <w:p w14:paraId="542DF240" w14:textId="55CDBB45" w:rsidR="00421487" w:rsidRPr="00CE56E3" w:rsidRDefault="00F96E54" w:rsidP="00014A9C">
            <w:pPr>
              <w:pStyle w:val="TableText"/>
              <w:ind w:left="-65" w:right="-82"/>
              <w:jc w:val="center"/>
              <w:rPr>
                <w:rFonts w:cs="Calibri"/>
                <w:b/>
                <w:bCs w:val="0"/>
                <w:color w:val="000000"/>
                <w:szCs w:val="20"/>
              </w:rPr>
            </w:pPr>
            <w:r w:rsidRPr="00F96E54">
              <w:rPr>
                <w:rFonts w:cs="Calibri"/>
                <w:b/>
                <w:bCs w:val="0"/>
                <w:color w:val="000000"/>
                <w:spacing w:val="37"/>
                <w:szCs w:val="20"/>
                <w:shd w:val="solid" w:color="000000" w:fill="000000"/>
                <w:fitText w:val="213" w:id="-1435342833"/>
                <w14:textFill>
                  <w14:solidFill>
                    <w14:srgbClr w14:val="000000">
                      <w14:alpha w14:val="100000"/>
                    </w14:srgbClr>
                  </w14:solidFill>
                </w14:textFill>
              </w:rPr>
              <w:t>||</w:t>
            </w:r>
            <w:r w:rsidRPr="00F96E54">
              <w:rPr>
                <w:rFonts w:cs="Calibri"/>
                <w:b/>
                <w:bCs w:val="0"/>
                <w:color w:val="000000"/>
                <w:spacing w:val="2"/>
                <w:szCs w:val="20"/>
                <w:shd w:val="solid" w:color="000000" w:fill="000000"/>
                <w:fitText w:val="213" w:id="-1435342833"/>
                <w14:textFill>
                  <w14:solidFill>
                    <w14:srgbClr w14:val="000000">
                      <w14:alpha w14:val="100000"/>
                    </w14:srgbClr>
                  </w14:solidFill>
                </w14:textFill>
              </w:rPr>
              <w:t>|</w:t>
            </w:r>
            <w:r w:rsidR="008F5AEA">
              <w:rPr>
                <w:szCs w:val="20"/>
                <w:vertAlign w:val="superscript"/>
              </w:rPr>
              <w:t>4</w:t>
            </w:r>
          </w:p>
        </w:tc>
        <w:tc>
          <w:tcPr>
            <w:tcW w:w="493" w:type="pct"/>
            <w:vAlign w:val="center"/>
          </w:tcPr>
          <w:p w14:paraId="01B368A8" w14:textId="1EBA3034" w:rsidR="00421487" w:rsidRPr="00CE56E3" w:rsidRDefault="00F96E54" w:rsidP="00014A9C">
            <w:pPr>
              <w:pStyle w:val="TableText"/>
              <w:ind w:left="-65" w:right="-82"/>
              <w:jc w:val="center"/>
              <w:rPr>
                <w:rFonts w:cs="Calibri"/>
                <w:b/>
                <w:bCs w:val="0"/>
                <w:color w:val="000000"/>
                <w:szCs w:val="20"/>
              </w:rPr>
            </w:pPr>
            <w:r w:rsidRPr="00F96E54">
              <w:rPr>
                <w:rFonts w:cs="Calibri"/>
                <w:b/>
                <w:bCs w:val="0"/>
                <w:color w:val="000000"/>
                <w:spacing w:val="183"/>
                <w:szCs w:val="20"/>
                <w:shd w:val="solid" w:color="000000" w:fill="000000"/>
                <w:fitText w:val="275" w:id="-1435342832"/>
                <w14:textFill>
                  <w14:solidFill>
                    <w14:srgbClr w14:val="000000">
                      <w14:alpha w14:val="100000"/>
                    </w14:srgbClr>
                  </w14:solidFill>
                </w14:textFill>
              </w:rPr>
              <w:t>|</w:t>
            </w:r>
            <w:r w:rsidRPr="00F96E54">
              <w:rPr>
                <w:rFonts w:cs="Calibri"/>
                <w:b/>
                <w:bCs w:val="0"/>
                <w:color w:val="000000"/>
                <w:spacing w:val="1"/>
                <w:szCs w:val="20"/>
                <w:shd w:val="solid" w:color="000000" w:fill="000000"/>
                <w:fitText w:val="275" w:id="-1435342832"/>
                <w14:textFill>
                  <w14:solidFill>
                    <w14:srgbClr w14:val="000000">
                      <w14:alpha w14:val="100000"/>
                    </w14:srgbClr>
                  </w14:solidFill>
                </w14:textFill>
              </w:rPr>
              <w:t>|</w:t>
            </w:r>
            <w:r w:rsidR="008F5AEA">
              <w:rPr>
                <w:szCs w:val="20"/>
                <w:vertAlign w:val="superscript"/>
              </w:rPr>
              <w:t>5</w:t>
            </w:r>
          </w:p>
        </w:tc>
        <w:tc>
          <w:tcPr>
            <w:tcW w:w="493" w:type="pct"/>
            <w:vAlign w:val="center"/>
          </w:tcPr>
          <w:p w14:paraId="5AC29B9E" w14:textId="5E03F5B6" w:rsidR="00421487" w:rsidRPr="00CE56E3" w:rsidRDefault="00F96E54" w:rsidP="00014A9C">
            <w:pPr>
              <w:pStyle w:val="TableText"/>
              <w:ind w:left="-65" w:right="-82"/>
              <w:jc w:val="center"/>
              <w:rPr>
                <w:rFonts w:cs="Calibri"/>
                <w:b/>
                <w:bCs w:val="0"/>
                <w:color w:val="000000"/>
                <w:szCs w:val="20"/>
              </w:rPr>
            </w:pPr>
            <w:r w:rsidRPr="00F96E54">
              <w:rPr>
                <w:rFonts w:cs="Calibri"/>
                <w:b/>
                <w:bCs w:val="0"/>
                <w:color w:val="000000"/>
                <w:spacing w:val="183"/>
                <w:szCs w:val="20"/>
                <w:shd w:val="solid" w:color="000000" w:fill="000000"/>
                <w:fitText w:val="275" w:id="-1435342848"/>
                <w14:textFill>
                  <w14:solidFill>
                    <w14:srgbClr w14:val="000000">
                      <w14:alpha w14:val="100000"/>
                    </w14:srgbClr>
                  </w14:solidFill>
                </w14:textFill>
              </w:rPr>
              <w:t>|</w:t>
            </w:r>
            <w:r w:rsidRPr="00F96E54">
              <w:rPr>
                <w:rFonts w:cs="Calibri"/>
                <w:b/>
                <w:bCs w:val="0"/>
                <w:color w:val="000000"/>
                <w:spacing w:val="1"/>
                <w:szCs w:val="20"/>
                <w:shd w:val="solid" w:color="000000" w:fill="000000"/>
                <w:fitText w:val="275" w:id="-1435342848"/>
                <w14:textFill>
                  <w14:solidFill>
                    <w14:srgbClr w14:val="000000">
                      <w14:alpha w14:val="100000"/>
                    </w14:srgbClr>
                  </w14:solidFill>
                </w14:textFill>
              </w:rPr>
              <w:t>|</w:t>
            </w:r>
            <w:r w:rsidR="008F5AEA">
              <w:rPr>
                <w:szCs w:val="20"/>
                <w:vertAlign w:val="superscript"/>
              </w:rPr>
              <w:t>5</w:t>
            </w:r>
          </w:p>
        </w:tc>
        <w:tc>
          <w:tcPr>
            <w:tcW w:w="493" w:type="pct"/>
            <w:vAlign w:val="center"/>
          </w:tcPr>
          <w:p w14:paraId="76D8EB24" w14:textId="218C72FD" w:rsidR="00421487" w:rsidRPr="00CE56E3" w:rsidRDefault="00F96E54" w:rsidP="00014A9C">
            <w:pPr>
              <w:pStyle w:val="TableText"/>
              <w:ind w:left="-65" w:right="-82"/>
              <w:jc w:val="center"/>
              <w:rPr>
                <w:rFonts w:cs="Calibri"/>
                <w:b/>
                <w:bCs w:val="0"/>
                <w:color w:val="000000"/>
                <w:szCs w:val="20"/>
              </w:rPr>
            </w:pPr>
            <w:r w:rsidRPr="00F96E54">
              <w:rPr>
                <w:rFonts w:cs="Calibri"/>
                <w:b/>
                <w:bCs w:val="0"/>
                <w:color w:val="000000"/>
                <w:spacing w:val="184"/>
                <w:szCs w:val="20"/>
                <w:shd w:val="solid" w:color="000000" w:fill="000000"/>
                <w:fitText w:val="276" w:id="-1435342847"/>
                <w14:textFill>
                  <w14:solidFill>
                    <w14:srgbClr w14:val="000000">
                      <w14:alpha w14:val="100000"/>
                    </w14:srgbClr>
                  </w14:solidFill>
                </w14:textFill>
              </w:rPr>
              <w:t>|</w:t>
            </w:r>
            <w:r w:rsidRPr="00F96E54">
              <w:rPr>
                <w:rFonts w:cs="Calibri"/>
                <w:b/>
                <w:bCs w:val="0"/>
                <w:color w:val="000000"/>
                <w:spacing w:val="1"/>
                <w:szCs w:val="20"/>
                <w:shd w:val="solid" w:color="000000" w:fill="000000"/>
                <w:fitText w:val="276" w:id="-1435342847"/>
                <w14:textFill>
                  <w14:solidFill>
                    <w14:srgbClr w14:val="000000">
                      <w14:alpha w14:val="100000"/>
                    </w14:srgbClr>
                  </w14:solidFill>
                </w14:textFill>
              </w:rPr>
              <w:t>|</w:t>
            </w:r>
            <w:r w:rsidR="008F5AEA">
              <w:rPr>
                <w:szCs w:val="20"/>
                <w:vertAlign w:val="superscript"/>
              </w:rPr>
              <w:t>5</w:t>
            </w:r>
          </w:p>
        </w:tc>
        <w:tc>
          <w:tcPr>
            <w:tcW w:w="493" w:type="pct"/>
            <w:vAlign w:val="center"/>
          </w:tcPr>
          <w:p w14:paraId="7AC1C6C0" w14:textId="403B95FA" w:rsidR="00421487" w:rsidRPr="00CE56E3" w:rsidRDefault="00F96E54" w:rsidP="00014A9C">
            <w:pPr>
              <w:pStyle w:val="TableText"/>
              <w:ind w:left="-65" w:right="-82"/>
              <w:jc w:val="center"/>
              <w:rPr>
                <w:rFonts w:cs="Calibri"/>
                <w:b/>
                <w:bCs w:val="0"/>
                <w:color w:val="000000"/>
                <w:szCs w:val="20"/>
              </w:rPr>
            </w:pPr>
            <w:r w:rsidRPr="00F96E54">
              <w:rPr>
                <w:rFonts w:cs="Calibri"/>
                <w:b/>
                <w:bCs w:val="0"/>
                <w:color w:val="000000"/>
                <w:spacing w:val="183"/>
                <w:szCs w:val="20"/>
                <w:shd w:val="solid" w:color="000000" w:fill="000000"/>
                <w:fitText w:val="275" w:id="-1435342846"/>
                <w14:textFill>
                  <w14:solidFill>
                    <w14:srgbClr w14:val="000000">
                      <w14:alpha w14:val="100000"/>
                    </w14:srgbClr>
                  </w14:solidFill>
                </w14:textFill>
              </w:rPr>
              <w:t>|</w:t>
            </w:r>
            <w:r w:rsidRPr="00F96E54">
              <w:rPr>
                <w:rFonts w:cs="Calibri"/>
                <w:b/>
                <w:bCs w:val="0"/>
                <w:color w:val="000000"/>
                <w:spacing w:val="1"/>
                <w:szCs w:val="20"/>
                <w:shd w:val="solid" w:color="000000" w:fill="000000"/>
                <w:fitText w:val="275" w:id="-1435342846"/>
                <w14:textFill>
                  <w14:solidFill>
                    <w14:srgbClr w14:val="000000">
                      <w14:alpha w14:val="100000"/>
                    </w14:srgbClr>
                  </w14:solidFill>
                </w14:textFill>
              </w:rPr>
              <w:t>|</w:t>
            </w:r>
            <w:r w:rsidR="008F5AEA">
              <w:rPr>
                <w:szCs w:val="20"/>
                <w:vertAlign w:val="superscript"/>
              </w:rPr>
              <w:t>5</w:t>
            </w:r>
          </w:p>
        </w:tc>
        <w:tc>
          <w:tcPr>
            <w:tcW w:w="518" w:type="pct"/>
            <w:vAlign w:val="center"/>
          </w:tcPr>
          <w:p w14:paraId="76F2AB8F" w14:textId="513067E0" w:rsidR="00421487" w:rsidRPr="00CE56E3" w:rsidRDefault="00F96E54" w:rsidP="00014A9C">
            <w:pPr>
              <w:pStyle w:val="TableText"/>
              <w:ind w:left="-65" w:right="-82"/>
              <w:jc w:val="center"/>
              <w:rPr>
                <w:rFonts w:cs="Calibri"/>
                <w:b/>
                <w:bCs w:val="0"/>
                <w:color w:val="000000"/>
                <w:szCs w:val="20"/>
              </w:rPr>
            </w:pPr>
            <w:r w:rsidRPr="00F96E54">
              <w:rPr>
                <w:rFonts w:cs="Calibri"/>
                <w:b/>
                <w:bCs w:val="0"/>
                <w:color w:val="000000"/>
                <w:spacing w:val="158"/>
                <w:szCs w:val="20"/>
                <w:shd w:val="solid" w:color="000000" w:fill="000000"/>
                <w:fitText w:val="250" w:id="-1435342845"/>
                <w14:textFill>
                  <w14:solidFill>
                    <w14:srgbClr w14:val="000000">
                      <w14:alpha w14:val="100000"/>
                    </w14:srgbClr>
                  </w14:solidFill>
                </w14:textFill>
              </w:rPr>
              <w:t>|</w:t>
            </w:r>
            <w:r w:rsidRPr="00F96E54">
              <w:rPr>
                <w:rFonts w:cs="Calibri"/>
                <w:b/>
                <w:bCs w:val="0"/>
                <w:color w:val="000000"/>
                <w:spacing w:val="1"/>
                <w:szCs w:val="20"/>
                <w:shd w:val="solid" w:color="000000" w:fill="000000"/>
                <w:fitText w:val="250" w:id="-1435342845"/>
                <w14:textFill>
                  <w14:solidFill>
                    <w14:srgbClr w14:val="000000">
                      <w14:alpha w14:val="100000"/>
                    </w14:srgbClr>
                  </w14:solidFill>
                </w14:textFill>
              </w:rPr>
              <w:t>|</w:t>
            </w:r>
            <w:r w:rsidR="008F5AEA">
              <w:rPr>
                <w:szCs w:val="20"/>
                <w:vertAlign w:val="superscript"/>
              </w:rPr>
              <w:t>5</w:t>
            </w:r>
          </w:p>
        </w:tc>
      </w:tr>
      <w:tr w:rsidR="00421487" w:rsidRPr="00CE56E3" w14:paraId="79954698" w14:textId="77777777" w:rsidTr="00A361A7">
        <w:tc>
          <w:tcPr>
            <w:tcW w:w="1961" w:type="pct"/>
          </w:tcPr>
          <w:p w14:paraId="1738305E" w14:textId="3840B628" w:rsidR="00421487" w:rsidRDefault="00421487" w:rsidP="00014A9C">
            <w:pPr>
              <w:pStyle w:val="TableText"/>
              <w:tabs>
                <w:tab w:val="right" w:pos="3513"/>
              </w:tabs>
              <w:ind w:left="-57" w:right="-68"/>
              <w:rPr>
                <w:b/>
                <w:bCs w:val="0"/>
                <w:szCs w:val="20"/>
              </w:rPr>
            </w:pPr>
            <w:r>
              <w:rPr>
                <w:b/>
                <w:bCs w:val="0"/>
                <w:szCs w:val="20"/>
              </w:rPr>
              <w:t>Total cost of ruxolitinib to the PBS/RPBS (less copayment)</w:t>
            </w:r>
          </w:p>
        </w:tc>
        <w:tc>
          <w:tcPr>
            <w:tcW w:w="549" w:type="pct"/>
            <w:vAlign w:val="center"/>
          </w:tcPr>
          <w:p w14:paraId="61A4575E" w14:textId="0733FB13" w:rsidR="00421487" w:rsidRPr="00421487" w:rsidRDefault="00421487" w:rsidP="00014A9C">
            <w:pPr>
              <w:pStyle w:val="TableText"/>
              <w:ind w:left="-65" w:right="-82"/>
              <w:jc w:val="center"/>
              <w:rPr>
                <w:rFonts w:cs="Calibri"/>
                <w:b/>
                <w:bCs w:val="0"/>
                <w:color w:val="000000"/>
                <w:szCs w:val="20"/>
              </w:rPr>
            </w:pPr>
            <w:r w:rsidRPr="00421487">
              <w:rPr>
                <w:rFonts w:cs="Arial"/>
                <w:b/>
                <w:bCs w:val="0"/>
                <w:color w:val="000000"/>
                <w:szCs w:val="20"/>
              </w:rPr>
              <w:t>$</w:t>
            </w:r>
            <w:r w:rsidR="00F96E54" w:rsidRPr="00F96E54">
              <w:rPr>
                <w:rFonts w:cs="Arial"/>
                <w:b/>
                <w:bCs w:val="0"/>
                <w:color w:val="000000"/>
                <w:spacing w:val="171"/>
                <w:szCs w:val="20"/>
                <w:shd w:val="solid" w:color="000000" w:fill="000000"/>
                <w:fitText w:val="263" w:id="-1435342844"/>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63" w:id="-1435342844"/>
                <w14:textFill>
                  <w14:solidFill>
                    <w14:srgbClr w14:val="000000">
                      <w14:alpha w14:val="100000"/>
                    </w14:srgbClr>
                  </w14:solidFill>
                </w14:textFill>
              </w:rPr>
              <w:t>|</w:t>
            </w:r>
            <w:r w:rsidR="008F5AEA">
              <w:rPr>
                <w:szCs w:val="20"/>
                <w:vertAlign w:val="superscript"/>
              </w:rPr>
              <w:t>7</w:t>
            </w:r>
          </w:p>
        </w:tc>
        <w:tc>
          <w:tcPr>
            <w:tcW w:w="493" w:type="pct"/>
            <w:vAlign w:val="center"/>
          </w:tcPr>
          <w:p w14:paraId="78B8AD74" w14:textId="28A1472E" w:rsidR="00421487" w:rsidRPr="00C950B3" w:rsidRDefault="00421487" w:rsidP="00014A9C">
            <w:pPr>
              <w:pStyle w:val="TableText"/>
              <w:ind w:left="-65" w:right="-82"/>
              <w:jc w:val="center"/>
              <w:rPr>
                <w:rFonts w:cs="Calibri"/>
                <w:b/>
                <w:bCs w:val="0"/>
                <w:color w:val="000000"/>
                <w:szCs w:val="20"/>
                <w:highlight w:val="darkGray"/>
              </w:rPr>
            </w:pPr>
            <w:r w:rsidRPr="00320844">
              <w:rPr>
                <w:rFonts w:cs="Arial"/>
                <w:b/>
                <w:bCs w:val="0"/>
                <w:color w:val="000000"/>
                <w:szCs w:val="20"/>
              </w:rPr>
              <w:t>$</w:t>
            </w:r>
            <w:r w:rsidR="00F96E54" w:rsidRPr="00F96E54">
              <w:rPr>
                <w:rFonts w:cs="Arial"/>
                <w:b/>
                <w:bCs w:val="0"/>
                <w:color w:val="000000"/>
                <w:spacing w:val="43"/>
                <w:szCs w:val="20"/>
                <w:shd w:val="solid" w:color="000000" w:fill="000000"/>
                <w:fitText w:val="313" w:id="-1435342843"/>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843"/>
                <w14:textFill>
                  <w14:solidFill>
                    <w14:srgbClr w14:val="000000">
                      <w14:alpha w14:val="100000"/>
                    </w14:srgbClr>
                  </w14:solidFill>
                </w14:textFill>
              </w:rPr>
              <w:t>|</w:t>
            </w:r>
            <w:r w:rsidR="008F5AEA">
              <w:rPr>
                <w:szCs w:val="20"/>
                <w:vertAlign w:val="superscript"/>
              </w:rPr>
              <w:t>6</w:t>
            </w:r>
          </w:p>
        </w:tc>
        <w:tc>
          <w:tcPr>
            <w:tcW w:w="493" w:type="pct"/>
            <w:vAlign w:val="center"/>
          </w:tcPr>
          <w:p w14:paraId="5FE32217" w14:textId="712B84C6" w:rsidR="00421487" w:rsidRPr="00421487" w:rsidRDefault="00421487" w:rsidP="00014A9C">
            <w:pPr>
              <w:pStyle w:val="TableText"/>
              <w:ind w:left="-65" w:right="-82"/>
              <w:jc w:val="center"/>
              <w:rPr>
                <w:rFonts w:cs="Calibri"/>
                <w:b/>
                <w:bCs w:val="0"/>
                <w:color w:val="000000"/>
                <w:szCs w:val="20"/>
              </w:rPr>
            </w:pPr>
            <w:r w:rsidRPr="00421487">
              <w:rPr>
                <w:rFonts w:cs="Arial"/>
                <w:b/>
                <w:bCs w:val="0"/>
                <w:color w:val="000000"/>
                <w:szCs w:val="20"/>
              </w:rPr>
              <w:t>$</w:t>
            </w:r>
            <w:r w:rsidR="00F96E54" w:rsidRPr="00F96E54">
              <w:rPr>
                <w:rFonts w:cs="Arial"/>
                <w:b/>
                <w:bCs w:val="0"/>
                <w:color w:val="000000"/>
                <w:spacing w:val="43"/>
                <w:szCs w:val="20"/>
                <w:shd w:val="solid" w:color="000000" w:fill="000000"/>
                <w:fitText w:val="313" w:id="-1435342842"/>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842"/>
                <w14:textFill>
                  <w14:solidFill>
                    <w14:srgbClr w14:val="000000">
                      <w14:alpha w14:val="100000"/>
                    </w14:srgbClr>
                  </w14:solidFill>
                </w14:textFill>
              </w:rPr>
              <w:t>|</w:t>
            </w:r>
            <w:r w:rsidR="008F5AEA">
              <w:rPr>
                <w:szCs w:val="20"/>
                <w:vertAlign w:val="superscript"/>
              </w:rPr>
              <w:t>6</w:t>
            </w:r>
          </w:p>
        </w:tc>
        <w:tc>
          <w:tcPr>
            <w:tcW w:w="493" w:type="pct"/>
            <w:vAlign w:val="center"/>
          </w:tcPr>
          <w:p w14:paraId="279FBC60" w14:textId="33489AFC" w:rsidR="00421487" w:rsidRPr="00421487" w:rsidRDefault="00421487" w:rsidP="00014A9C">
            <w:pPr>
              <w:pStyle w:val="TableText"/>
              <w:ind w:left="-65" w:right="-82"/>
              <w:jc w:val="center"/>
              <w:rPr>
                <w:rFonts w:cs="Calibri"/>
                <w:b/>
                <w:bCs w:val="0"/>
                <w:color w:val="000000"/>
                <w:szCs w:val="20"/>
              </w:rPr>
            </w:pPr>
            <w:r w:rsidRPr="00421487">
              <w:rPr>
                <w:rFonts w:cs="Arial"/>
                <w:b/>
                <w:bCs w:val="0"/>
                <w:color w:val="000000"/>
                <w:szCs w:val="20"/>
              </w:rPr>
              <w:t>$</w:t>
            </w:r>
            <w:r w:rsidR="00F96E54" w:rsidRPr="00F96E54">
              <w:rPr>
                <w:rFonts w:cs="Arial"/>
                <w:b/>
                <w:bCs w:val="0"/>
                <w:color w:val="000000"/>
                <w:spacing w:val="43"/>
                <w:szCs w:val="20"/>
                <w:shd w:val="solid" w:color="000000" w:fill="000000"/>
                <w:fitText w:val="313" w:id="-1435342841"/>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841"/>
                <w14:textFill>
                  <w14:solidFill>
                    <w14:srgbClr w14:val="000000">
                      <w14:alpha w14:val="100000"/>
                    </w14:srgbClr>
                  </w14:solidFill>
                </w14:textFill>
              </w:rPr>
              <w:t>|</w:t>
            </w:r>
            <w:r w:rsidR="008F5AEA">
              <w:rPr>
                <w:szCs w:val="20"/>
                <w:vertAlign w:val="superscript"/>
              </w:rPr>
              <w:t>6</w:t>
            </w:r>
          </w:p>
        </w:tc>
        <w:tc>
          <w:tcPr>
            <w:tcW w:w="493" w:type="pct"/>
            <w:vAlign w:val="center"/>
          </w:tcPr>
          <w:p w14:paraId="360A778E" w14:textId="32431BA4" w:rsidR="00421487" w:rsidRPr="00C950B3" w:rsidRDefault="00421487" w:rsidP="00014A9C">
            <w:pPr>
              <w:pStyle w:val="TableText"/>
              <w:ind w:left="-65" w:right="-82"/>
              <w:jc w:val="center"/>
              <w:rPr>
                <w:rFonts w:cs="Calibri"/>
                <w:b/>
                <w:bCs w:val="0"/>
                <w:color w:val="000000"/>
                <w:szCs w:val="20"/>
                <w:highlight w:val="darkGray"/>
              </w:rPr>
            </w:pPr>
            <w:r w:rsidRPr="00320844">
              <w:rPr>
                <w:rFonts w:cs="Arial"/>
                <w:b/>
                <w:bCs w:val="0"/>
                <w:color w:val="000000"/>
                <w:szCs w:val="20"/>
              </w:rPr>
              <w:t>$</w:t>
            </w:r>
            <w:r w:rsidR="00F96E54" w:rsidRPr="00F96E54">
              <w:rPr>
                <w:rFonts w:cs="Arial"/>
                <w:b/>
                <w:bCs w:val="0"/>
                <w:color w:val="000000"/>
                <w:spacing w:val="43"/>
                <w:szCs w:val="20"/>
                <w:shd w:val="solid" w:color="000000" w:fill="000000"/>
                <w:fitText w:val="313" w:id="-1435342840"/>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840"/>
                <w14:textFill>
                  <w14:solidFill>
                    <w14:srgbClr w14:val="000000">
                      <w14:alpha w14:val="100000"/>
                    </w14:srgbClr>
                  </w14:solidFill>
                </w14:textFill>
              </w:rPr>
              <w:t>|</w:t>
            </w:r>
            <w:r w:rsidR="008F5AEA">
              <w:rPr>
                <w:szCs w:val="20"/>
                <w:vertAlign w:val="superscript"/>
              </w:rPr>
              <w:t>6</w:t>
            </w:r>
          </w:p>
        </w:tc>
        <w:tc>
          <w:tcPr>
            <w:tcW w:w="518" w:type="pct"/>
            <w:vAlign w:val="center"/>
          </w:tcPr>
          <w:p w14:paraId="4A9963C5" w14:textId="30424FB9" w:rsidR="00421487" w:rsidRPr="00421487" w:rsidRDefault="00421487" w:rsidP="00014A9C">
            <w:pPr>
              <w:pStyle w:val="TableText"/>
              <w:ind w:left="-65" w:right="-82"/>
              <w:jc w:val="center"/>
              <w:rPr>
                <w:rFonts w:cs="Calibri"/>
                <w:b/>
                <w:bCs w:val="0"/>
                <w:color w:val="000000"/>
                <w:szCs w:val="20"/>
              </w:rPr>
            </w:pPr>
            <w:r w:rsidRPr="00421487">
              <w:rPr>
                <w:rFonts w:cs="Arial"/>
                <w:b/>
                <w:bCs w:val="0"/>
                <w:color w:val="000000"/>
                <w:szCs w:val="20"/>
              </w:rPr>
              <w:t>$</w:t>
            </w:r>
            <w:r w:rsidR="00F96E54" w:rsidRPr="00F96E54">
              <w:rPr>
                <w:rFonts w:cs="Arial"/>
                <w:b/>
                <w:bCs w:val="0"/>
                <w:color w:val="000000"/>
                <w:spacing w:val="39"/>
                <w:szCs w:val="20"/>
                <w:shd w:val="solid" w:color="000000" w:fill="000000"/>
                <w:fitText w:val="301" w:id="-1435342839"/>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01" w:id="-1435342839"/>
                <w14:textFill>
                  <w14:solidFill>
                    <w14:srgbClr w14:val="000000">
                      <w14:alpha w14:val="100000"/>
                    </w14:srgbClr>
                  </w14:solidFill>
                </w14:textFill>
              </w:rPr>
              <w:t>|</w:t>
            </w:r>
            <w:r w:rsidR="008F5AEA">
              <w:rPr>
                <w:szCs w:val="20"/>
                <w:vertAlign w:val="superscript"/>
              </w:rPr>
              <w:t>6</w:t>
            </w:r>
          </w:p>
        </w:tc>
      </w:tr>
      <w:tr w:rsidR="00410066" w:rsidRPr="00CE56E3" w14:paraId="6B25A768" w14:textId="77777777" w:rsidTr="00A361A7">
        <w:tc>
          <w:tcPr>
            <w:tcW w:w="1961" w:type="pct"/>
          </w:tcPr>
          <w:p w14:paraId="36EF8530" w14:textId="63159CA9" w:rsidR="00410066" w:rsidRDefault="00410066" w:rsidP="00410066">
            <w:pPr>
              <w:pStyle w:val="TableText"/>
              <w:keepNext w:val="0"/>
              <w:tabs>
                <w:tab w:val="right" w:pos="3513"/>
              </w:tabs>
              <w:ind w:left="-57" w:right="-68"/>
              <w:rPr>
                <w:b/>
                <w:bCs w:val="0"/>
                <w:szCs w:val="20"/>
              </w:rPr>
            </w:pPr>
            <w:r>
              <w:rPr>
                <w:b/>
                <w:bCs w:val="0"/>
                <w:szCs w:val="20"/>
              </w:rPr>
              <w:t>Net cost to the PBS/RPBS</w:t>
            </w:r>
          </w:p>
        </w:tc>
        <w:tc>
          <w:tcPr>
            <w:tcW w:w="549" w:type="pct"/>
            <w:vAlign w:val="center"/>
          </w:tcPr>
          <w:p w14:paraId="1DD552B0" w14:textId="5F884FA4" w:rsidR="00410066" w:rsidRPr="00410066" w:rsidRDefault="00410066" w:rsidP="00410066">
            <w:pPr>
              <w:pStyle w:val="TableText"/>
              <w:keepNext w:val="0"/>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171"/>
                <w:szCs w:val="20"/>
                <w:shd w:val="solid" w:color="000000" w:fill="000000"/>
                <w:fitText w:val="263" w:id="-1435342838"/>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63" w:id="-1435342838"/>
                <w14:textFill>
                  <w14:solidFill>
                    <w14:srgbClr w14:val="000000">
                      <w14:alpha w14:val="100000"/>
                    </w14:srgbClr>
                  </w14:solidFill>
                </w14:textFill>
              </w:rPr>
              <w:t>|</w:t>
            </w:r>
            <w:r w:rsidR="008F5AEA">
              <w:rPr>
                <w:szCs w:val="20"/>
                <w:vertAlign w:val="superscript"/>
              </w:rPr>
              <w:t>7</w:t>
            </w:r>
          </w:p>
        </w:tc>
        <w:tc>
          <w:tcPr>
            <w:tcW w:w="493" w:type="pct"/>
            <w:vAlign w:val="center"/>
          </w:tcPr>
          <w:p w14:paraId="1BD1F205" w14:textId="33BEEEC4" w:rsidR="00410066" w:rsidRPr="00410066" w:rsidRDefault="00410066" w:rsidP="00410066">
            <w:pPr>
              <w:pStyle w:val="TableText"/>
              <w:keepNext w:val="0"/>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43"/>
                <w:szCs w:val="20"/>
                <w:shd w:val="solid" w:color="000000" w:fill="000000"/>
                <w:fitText w:val="313" w:id="-1435342837"/>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837"/>
                <w14:textFill>
                  <w14:solidFill>
                    <w14:srgbClr w14:val="000000">
                      <w14:alpha w14:val="100000"/>
                    </w14:srgbClr>
                  </w14:solidFill>
                </w14:textFill>
              </w:rPr>
              <w:t>|</w:t>
            </w:r>
            <w:r w:rsidR="008F5AEA">
              <w:rPr>
                <w:szCs w:val="20"/>
                <w:vertAlign w:val="superscript"/>
              </w:rPr>
              <w:t>6</w:t>
            </w:r>
          </w:p>
        </w:tc>
        <w:tc>
          <w:tcPr>
            <w:tcW w:w="493" w:type="pct"/>
            <w:vAlign w:val="center"/>
          </w:tcPr>
          <w:p w14:paraId="603E799D" w14:textId="493D0A90" w:rsidR="00410066" w:rsidRPr="00C950B3" w:rsidRDefault="00410066" w:rsidP="00410066">
            <w:pPr>
              <w:pStyle w:val="TableText"/>
              <w:keepNext w:val="0"/>
              <w:ind w:left="-65" w:right="-82"/>
              <w:jc w:val="center"/>
              <w:rPr>
                <w:rFonts w:cs="Calibri"/>
                <w:b/>
                <w:bCs w:val="0"/>
                <w:color w:val="000000"/>
                <w:szCs w:val="20"/>
                <w:highlight w:val="darkGray"/>
              </w:rPr>
            </w:pPr>
            <w:r w:rsidRPr="00320844">
              <w:rPr>
                <w:rFonts w:cs="Arial"/>
                <w:b/>
                <w:bCs w:val="0"/>
                <w:color w:val="000000"/>
                <w:szCs w:val="20"/>
              </w:rPr>
              <w:t>$</w:t>
            </w:r>
            <w:r w:rsidR="00F96E54" w:rsidRPr="00F96E54">
              <w:rPr>
                <w:rFonts w:cs="Arial"/>
                <w:b/>
                <w:bCs w:val="0"/>
                <w:color w:val="000000"/>
                <w:spacing w:val="43"/>
                <w:szCs w:val="20"/>
                <w:shd w:val="solid" w:color="000000" w:fill="000000"/>
                <w:fitText w:val="313" w:id="-1435342836"/>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836"/>
                <w14:textFill>
                  <w14:solidFill>
                    <w14:srgbClr w14:val="000000">
                      <w14:alpha w14:val="100000"/>
                    </w14:srgbClr>
                  </w14:solidFill>
                </w14:textFill>
              </w:rPr>
              <w:t>|</w:t>
            </w:r>
            <w:r w:rsidR="008F5AEA">
              <w:rPr>
                <w:szCs w:val="20"/>
                <w:vertAlign w:val="superscript"/>
              </w:rPr>
              <w:t>6</w:t>
            </w:r>
          </w:p>
        </w:tc>
        <w:tc>
          <w:tcPr>
            <w:tcW w:w="493" w:type="pct"/>
            <w:vAlign w:val="center"/>
          </w:tcPr>
          <w:p w14:paraId="57CC6708" w14:textId="4952FBAC" w:rsidR="00410066" w:rsidRPr="00410066" w:rsidRDefault="00410066" w:rsidP="00410066">
            <w:pPr>
              <w:pStyle w:val="TableText"/>
              <w:keepNext w:val="0"/>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43"/>
                <w:szCs w:val="20"/>
                <w:shd w:val="solid" w:color="000000" w:fill="000000"/>
                <w:fitText w:val="313" w:id="-1435342835"/>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835"/>
                <w14:textFill>
                  <w14:solidFill>
                    <w14:srgbClr w14:val="000000">
                      <w14:alpha w14:val="100000"/>
                    </w14:srgbClr>
                  </w14:solidFill>
                </w14:textFill>
              </w:rPr>
              <w:t>|</w:t>
            </w:r>
            <w:r w:rsidR="008F5AEA">
              <w:rPr>
                <w:szCs w:val="20"/>
                <w:vertAlign w:val="superscript"/>
              </w:rPr>
              <w:t>6</w:t>
            </w:r>
          </w:p>
        </w:tc>
        <w:tc>
          <w:tcPr>
            <w:tcW w:w="493" w:type="pct"/>
            <w:vAlign w:val="center"/>
          </w:tcPr>
          <w:p w14:paraId="5799866E" w14:textId="0EF13629" w:rsidR="00410066" w:rsidRPr="00410066" w:rsidRDefault="00410066" w:rsidP="00410066">
            <w:pPr>
              <w:pStyle w:val="TableText"/>
              <w:keepNext w:val="0"/>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43"/>
                <w:szCs w:val="20"/>
                <w:shd w:val="solid" w:color="000000" w:fill="000000"/>
                <w:fitText w:val="313" w:id="-1435342834"/>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834"/>
                <w14:textFill>
                  <w14:solidFill>
                    <w14:srgbClr w14:val="000000">
                      <w14:alpha w14:val="100000"/>
                    </w14:srgbClr>
                  </w14:solidFill>
                </w14:textFill>
              </w:rPr>
              <w:t>|</w:t>
            </w:r>
            <w:r w:rsidR="008F5AEA">
              <w:rPr>
                <w:szCs w:val="20"/>
                <w:vertAlign w:val="superscript"/>
              </w:rPr>
              <w:t>6</w:t>
            </w:r>
          </w:p>
        </w:tc>
        <w:tc>
          <w:tcPr>
            <w:tcW w:w="518" w:type="pct"/>
            <w:vAlign w:val="center"/>
          </w:tcPr>
          <w:p w14:paraId="37C712B6" w14:textId="4CBAB9BC" w:rsidR="00410066" w:rsidRPr="00410066" w:rsidRDefault="00410066" w:rsidP="00410066">
            <w:pPr>
              <w:pStyle w:val="TableText"/>
              <w:keepNext w:val="0"/>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39"/>
                <w:szCs w:val="20"/>
                <w:shd w:val="solid" w:color="000000" w:fill="000000"/>
                <w:fitText w:val="301" w:id="-1435342833"/>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01" w:id="-1435342833"/>
                <w14:textFill>
                  <w14:solidFill>
                    <w14:srgbClr w14:val="000000">
                      <w14:alpha w14:val="100000"/>
                    </w14:srgbClr>
                  </w14:solidFill>
                </w14:textFill>
              </w:rPr>
              <w:t>|</w:t>
            </w:r>
            <w:r w:rsidR="008F5AEA">
              <w:rPr>
                <w:szCs w:val="20"/>
                <w:vertAlign w:val="superscript"/>
              </w:rPr>
              <w:t>6</w:t>
            </w:r>
          </w:p>
        </w:tc>
      </w:tr>
      <w:tr w:rsidR="009A4832" w:rsidRPr="00CE56E3" w14:paraId="58EAF2E2" w14:textId="77777777" w:rsidTr="00A361A7">
        <w:tc>
          <w:tcPr>
            <w:tcW w:w="1961" w:type="pct"/>
          </w:tcPr>
          <w:p w14:paraId="54E7A249" w14:textId="0EC025D1" w:rsidR="009A4832" w:rsidRDefault="009A4832" w:rsidP="009A4832">
            <w:pPr>
              <w:pStyle w:val="TableText"/>
              <w:keepNext w:val="0"/>
              <w:tabs>
                <w:tab w:val="right" w:pos="3513"/>
              </w:tabs>
              <w:ind w:left="-57" w:right="-68"/>
              <w:rPr>
                <w:b/>
                <w:bCs w:val="0"/>
                <w:szCs w:val="20"/>
              </w:rPr>
            </w:pPr>
            <w:r w:rsidRPr="009A4832">
              <w:rPr>
                <w:szCs w:val="20"/>
              </w:rPr>
              <w:t xml:space="preserve">Cost to MBS </w:t>
            </w:r>
            <w:r w:rsidRPr="009A4832">
              <w:rPr>
                <w:rFonts w:cstheme="minorHAnsi"/>
                <w:szCs w:val="20"/>
              </w:rPr>
              <w:t>(</w:t>
            </w:r>
            <w:r w:rsidRPr="003814C9">
              <w:rPr>
                <w:rFonts w:cstheme="minorHAnsi"/>
                <w:szCs w:val="20"/>
              </w:rPr>
              <w:t>80% benefit, $1,526,68)</w:t>
            </w:r>
          </w:p>
        </w:tc>
        <w:tc>
          <w:tcPr>
            <w:tcW w:w="549" w:type="pct"/>
            <w:vAlign w:val="center"/>
          </w:tcPr>
          <w:p w14:paraId="5549B2BE" w14:textId="4A64A877" w:rsidR="009A4832" w:rsidRPr="00217453" w:rsidRDefault="009A4832" w:rsidP="009A4832">
            <w:pPr>
              <w:pStyle w:val="TableText"/>
              <w:keepNext w:val="0"/>
              <w:ind w:left="-65" w:right="-82"/>
              <w:jc w:val="center"/>
              <w:rPr>
                <w:rFonts w:cs="Arial"/>
                <w:b/>
                <w:bCs w:val="0"/>
                <w:szCs w:val="20"/>
              </w:rPr>
            </w:pPr>
            <w:r w:rsidRPr="00217453">
              <w:rPr>
                <w:rFonts w:cs="Arial"/>
                <w:szCs w:val="20"/>
              </w:rPr>
              <w:t>-$</w:t>
            </w:r>
            <w:r w:rsidR="00F96E54" w:rsidRPr="00F96E54">
              <w:rPr>
                <w:rFonts w:cs="Arial"/>
                <w:color w:val="000000"/>
                <w:spacing w:val="164"/>
                <w:szCs w:val="20"/>
                <w:shd w:val="solid" w:color="000000" w:fill="000000"/>
                <w:fitText w:val="250" w:id="-1435342832"/>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32"/>
                <w14:textFill>
                  <w14:solidFill>
                    <w14:srgbClr w14:val="000000">
                      <w14:alpha w14:val="100000"/>
                    </w14:srgbClr>
                  </w14:solidFill>
                </w14:textFill>
              </w:rPr>
              <w:t>|</w:t>
            </w:r>
            <w:r w:rsidR="008F5AEA">
              <w:rPr>
                <w:szCs w:val="20"/>
                <w:vertAlign w:val="superscript"/>
              </w:rPr>
              <w:t>6</w:t>
            </w:r>
          </w:p>
        </w:tc>
        <w:tc>
          <w:tcPr>
            <w:tcW w:w="493" w:type="pct"/>
            <w:vAlign w:val="center"/>
          </w:tcPr>
          <w:p w14:paraId="075B1644" w14:textId="3C444B81" w:rsidR="009A4832" w:rsidRPr="00217453" w:rsidRDefault="009A4832" w:rsidP="009A4832">
            <w:pPr>
              <w:pStyle w:val="TableText"/>
              <w:keepNext w:val="0"/>
              <w:ind w:left="-65" w:right="-82"/>
              <w:jc w:val="center"/>
              <w:rPr>
                <w:rFonts w:cs="Arial"/>
                <w:b/>
                <w:bCs w:val="0"/>
                <w:szCs w:val="20"/>
              </w:rPr>
            </w:pPr>
            <w:r w:rsidRPr="00217453">
              <w:rPr>
                <w:rFonts w:cs="Arial"/>
                <w:szCs w:val="20"/>
              </w:rPr>
              <w:t>-$</w:t>
            </w:r>
            <w:r w:rsidR="00F96E54" w:rsidRPr="00F96E54">
              <w:rPr>
                <w:rFonts w:cs="Arial"/>
                <w:color w:val="000000"/>
                <w:spacing w:val="47"/>
                <w:szCs w:val="20"/>
                <w:shd w:val="solid" w:color="000000" w:fill="000000"/>
                <w:fitText w:val="313" w:id="-1435342848"/>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48"/>
                <w14:textFill>
                  <w14:solidFill>
                    <w14:srgbClr w14:val="000000">
                      <w14:alpha w14:val="100000"/>
                    </w14:srgbClr>
                  </w14:solidFill>
                </w14:textFill>
              </w:rPr>
              <w:t>|</w:t>
            </w:r>
            <w:r w:rsidR="008F5AEA">
              <w:rPr>
                <w:szCs w:val="20"/>
                <w:vertAlign w:val="superscript"/>
              </w:rPr>
              <w:t>6</w:t>
            </w:r>
          </w:p>
        </w:tc>
        <w:tc>
          <w:tcPr>
            <w:tcW w:w="493" w:type="pct"/>
            <w:vAlign w:val="center"/>
          </w:tcPr>
          <w:p w14:paraId="4C71F01D" w14:textId="51C608DF" w:rsidR="009A4832" w:rsidRPr="00217453" w:rsidRDefault="009A4832" w:rsidP="009A4832">
            <w:pPr>
              <w:pStyle w:val="TableText"/>
              <w:keepNext w:val="0"/>
              <w:ind w:left="-65" w:right="-82"/>
              <w:jc w:val="center"/>
              <w:rPr>
                <w:rFonts w:cs="Arial"/>
                <w:b/>
                <w:bCs w:val="0"/>
                <w:szCs w:val="20"/>
              </w:rPr>
            </w:pPr>
            <w:r w:rsidRPr="00217453">
              <w:rPr>
                <w:rFonts w:cs="Arial"/>
                <w:szCs w:val="20"/>
              </w:rPr>
              <w:t>-$</w:t>
            </w:r>
            <w:r w:rsidR="00F96E54" w:rsidRPr="00F96E54">
              <w:rPr>
                <w:rFonts w:cs="Arial"/>
                <w:color w:val="000000"/>
                <w:spacing w:val="47"/>
                <w:szCs w:val="20"/>
                <w:shd w:val="solid" w:color="000000" w:fill="000000"/>
                <w:fitText w:val="313" w:id="-1435342592"/>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592"/>
                <w14:textFill>
                  <w14:solidFill>
                    <w14:srgbClr w14:val="000000">
                      <w14:alpha w14:val="100000"/>
                    </w14:srgbClr>
                  </w14:solidFill>
                </w14:textFill>
              </w:rPr>
              <w:t>|</w:t>
            </w:r>
            <w:r w:rsidR="008F5AEA">
              <w:rPr>
                <w:szCs w:val="20"/>
                <w:vertAlign w:val="superscript"/>
              </w:rPr>
              <w:t>6</w:t>
            </w:r>
          </w:p>
        </w:tc>
        <w:tc>
          <w:tcPr>
            <w:tcW w:w="493" w:type="pct"/>
            <w:vAlign w:val="center"/>
          </w:tcPr>
          <w:p w14:paraId="4A157854" w14:textId="44979D6B" w:rsidR="009A4832" w:rsidRPr="00217453" w:rsidRDefault="009A4832" w:rsidP="009A4832">
            <w:pPr>
              <w:pStyle w:val="TableText"/>
              <w:keepNext w:val="0"/>
              <w:ind w:left="-65" w:right="-82"/>
              <w:jc w:val="center"/>
              <w:rPr>
                <w:rFonts w:cs="Arial"/>
                <w:b/>
                <w:bCs w:val="0"/>
                <w:szCs w:val="20"/>
              </w:rPr>
            </w:pPr>
            <w:r w:rsidRPr="00217453">
              <w:rPr>
                <w:rFonts w:cs="Arial"/>
                <w:szCs w:val="20"/>
              </w:rPr>
              <w:t>-$</w:t>
            </w:r>
            <w:r w:rsidR="00F96E54" w:rsidRPr="00F96E54">
              <w:rPr>
                <w:rFonts w:cs="Arial"/>
                <w:color w:val="000000"/>
                <w:spacing w:val="47"/>
                <w:szCs w:val="20"/>
                <w:shd w:val="solid" w:color="000000" w:fill="000000"/>
                <w:fitText w:val="313" w:id="-1435342591"/>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591"/>
                <w14:textFill>
                  <w14:solidFill>
                    <w14:srgbClr w14:val="000000">
                      <w14:alpha w14:val="100000"/>
                    </w14:srgbClr>
                  </w14:solidFill>
                </w14:textFill>
              </w:rPr>
              <w:t>|</w:t>
            </w:r>
            <w:r w:rsidR="008F5AEA">
              <w:rPr>
                <w:szCs w:val="20"/>
                <w:vertAlign w:val="superscript"/>
              </w:rPr>
              <w:t>6</w:t>
            </w:r>
          </w:p>
        </w:tc>
        <w:tc>
          <w:tcPr>
            <w:tcW w:w="493" w:type="pct"/>
            <w:vAlign w:val="center"/>
          </w:tcPr>
          <w:p w14:paraId="34B608A8" w14:textId="1EAF6051" w:rsidR="009A4832" w:rsidRPr="00217453" w:rsidRDefault="009A4832" w:rsidP="009A4832">
            <w:pPr>
              <w:pStyle w:val="TableText"/>
              <w:keepNext w:val="0"/>
              <w:ind w:left="-65" w:right="-82"/>
              <w:jc w:val="center"/>
              <w:rPr>
                <w:rFonts w:cs="Arial"/>
                <w:b/>
                <w:bCs w:val="0"/>
                <w:szCs w:val="20"/>
              </w:rPr>
            </w:pPr>
            <w:r w:rsidRPr="00217453">
              <w:rPr>
                <w:rFonts w:cs="Arial"/>
                <w:szCs w:val="20"/>
              </w:rPr>
              <w:t>-$</w:t>
            </w:r>
            <w:r w:rsidR="00F96E54" w:rsidRPr="00F96E54">
              <w:rPr>
                <w:rFonts w:cs="Arial"/>
                <w:color w:val="000000"/>
                <w:spacing w:val="47"/>
                <w:szCs w:val="20"/>
                <w:shd w:val="solid" w:color="000000" w:fill="000000"/>
                <w:fitText w:val="313" w:id="-1435342590"/>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590"/>
                <w14:textFill>
                  <w14:solidFill>
                    <w14:srgbClr w14:val="000000">
                      <w14:alpha w14:val="100000"/>
                    </w14:srgbClr>
                  </w14:solidFill>
                </w14:textFill>
              </w:rPr>
              <w:t>|</w:t>
            </w:r>
            <w:r w:rsidR="008F5AEA">
              <w:rPr>
                <w:szCs w:val="20"/>
                <w:vertAlign w:val="superscript"/>
              </w:rPr>
              <w:t>6</w:t>
            </w:r>
          </w:p>
        </w:tc>
        <w:tc>
          <w:tcPr>
            <w:tcW w:w="518" w:type="pct"/>
            <w:vAlign w:val="center"/>
          </w:tcPr>
          <w:p w14:paraId="4676DC37" w14:textId="729AF1FD" w:rsidR="009A4832" w:rsidRPr="00217453" w:rsidRDefault="009A4832" w:rsidP="009A4832">
            <w:pPr>
              <w:pStyle w:val="TableText"/>
              <w:keepNext w:val="0"/>
              <w:ind w:left="-65" w:right="-82"/>
              <w:jc w:val="center"/>
              <w:rPr>
                <w:rFonts w:cs="Arial"/>
                <w:b/>
                <w:bCs w:val="0"/>
                <w:szCs w:val="20"/>
              </w:rPr>
            </w:pPr>
            <w:r w:rsidRPr="00217453">
              <w:rPr>
                <w:rFonts w:cs="Arial"/>
                <w:szCs w:val="20"/>
              </w:rPr>
              <w:t>-$</w:t>
            </w:r>
            <w:r w:rsidR="00F96E54" w:rsidRPr="00F96E54">
              <w:rPr>
                <w:rFonts w:cs="Arial"/>
                <w:color w:val="000000"/>
                <w:spacing w:val="189"/>
                <w:szCs w:val="20"/>
                <w:shd w:val="solid" w:color="000000" w:fill="000000"/>
                <w:fitText w:val="275" w:id="-1435342589"/>
                <w14:textFill>
                  <w14:solidFill>
                    <w14:srgbClr w14:val="000000">
                      <w14:alpha w14:val="100000"/>
                    </w14:srgbClr>
                  </w14:solidFill>
                </w14:textFill>
              </w:rPr>
              <w:t>|</w:t>
            </w:r>
            <w:r w:rsidR="00F96E54" w:rsidRPr="00F96E54">
              <w:rPr>
                <w:rFonts w:cs="Arial"/>
                <w:color w:val="000000"/>
                <w:spacing w:val="1"/>
                <w:szCs w:val="20"/>
                <w:shd w:val="solid" w:color="000000" w:fill="000000"/>
                <w:fitText w:val="275" w:id="-1435342589"/>
                <w14:textFill>
                  <w14:solidFill>
                    <w14:srgbClr w14:val="000000">
                      <w14:alpha w14:val="100000"/>
                    </w14:srgbClr>
                  </w14:solidFill>
                </w14:textFill>
              </w:rPr>
              <w:t>|</w:t>
            </w:r>
            <w:r w:rsidR="008F5AEA">
              <w:rPr>
                <w:szCs w:val="20"/>
                <w:vertAlign w:val="superscript"/>
              </w:rPr>
              <w:t>6</w:t>
            </w:r>
          </w:p>
        </w:tc>
      </w:tr>
      <w:tr w:rsidR="009A4832" w:rsidRPr="00CE56E3" w14:paraId="7FB2C0D9" w14:textId="77777777" w:rsidTr="00A361A7">
        <w:tc>
          <w:tcPr>
            <w:tcW w:w="1961" w:type="pct"/>
          </w:tcPr>
          <w:p w14:paraId="65107D55" w14:textId="05007EE8" w:rsidR="009A4832" w:rsidRDefault="009A4832" w:rsidP="009A4832">
            <w:pPr>
              <w:pStyle w:val="TableText"/>
              <w:keepNext w:val="0"/>
              <w:tabs>
                <w:tab w:val="right" w:pos="3513"/>
              </w:tabs>
              <w:ind w:left="-57" w:right="-68"/>
              <w:rPr>
                <w:b/>
                <w:bCs w:val="0"/>
                <w:szCs w:val="20"/>
              </w:rPr>
            </w:pPr>
            <w:r>
              <w:rPr>
                <w:b/>
                <w:bCs w:val="0"/>
                <w:szCs w:val="20"/>
              </w:rPr>
              <w:t>Net implication to health budget (effective price)</w:t>
            </w:r>
          </w:p>
        </w:tc>
        <w:tc>
          <w:tcPr>
            <w:tcW w:w="549" w:type="pct"/>
            <w:vAlign w:val="center"/>
          </w:tcPr>
          <w:p w14:paraId="44A51E97" w14:textId="4DB021D8" w:rsidR="009A4832" w:rsidRPr="009A4832" w:rsidRDefault="009A4832" w:rsidP="009A4832">
            <w:pPr>
              <w:pStyle w:val="TableText"/>
              <w:keepNext w:val="0"/>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171"/>
                <w:szCs w:val="20"/>
                <w:shd w:val="solid" w:color="000000" w:fill="000000"/>
                <w:fitText w:val="263" w:id="-1435342588"/>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63" w:id="-1435342588"/>
                <w14:textFill>
                  <w14:solidFill>
                    <w14:srgbClr w14:val="000000">
                      <w14:alpha w14:val="100000"/>
                    </w14:srgbClr>
                  </w14:solidFill>
                </w14:textFill>
              </w:rPr>
              <w:t>|</w:t>
            </w:r>
            <w:r w:rsidR="008F5AEA">
              <w:rPr>
                <w:szCs w:val="20"/>
                <w:vertAlign w:val="superscript"/>
              </w:rPr>
              <w:t>6</w:t>
            </w:r>
          </w:p>
        </w:tc>
        <w:tc>
          <w:tcPr>
            <w:tcW w:w="493" w:type="pct"/>
            <w:vAlign w:val="center"/>
          </w:tcPr>
          <w:p w14:paraId="0D93523D" w14:textId="18ADE495" w:rsidR="009A4832" w:rsidRPr="009A4832" w:rsidRDefault="009A4832" w:rsidP="009A4832">
            <w:pPr>
              <w:pStyle w:val="TableText"/>
              <w:keepNext w:val="0"/>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43"/>
                <w:szCs w:val="20"/>
                <w:shd w:val="solid" w:color="000000" w:fill="000000"/>
                <w:fitText w:val="313" w:id="-1435342587"/>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587"/>
                <w14:textFill>
                  <w14:solidFill>
                    <w14:srgbClr w14:val="000000">
                      <w14:alpha w14:val="100000"/>
                    </w14:srgbClr>
                  </w14:solidFill>
                </w14:textFill>
              </w:rPr>
              <w:t>|</w:t>
            </w:r>
            <w:r w:rsidR="008F5AEA">
              <w:rPr>
                <w:szCs w:val="20"/>
                <w:vertAlign w:val="superscript"/>
              </w:rPr>
              <w:t>6</w:t>
            </w:r>
          </w:p>
        </w:tc>
        <w:tc>
          <w:tcPr>
            <w:tcW w:w="493" w:type="pct"/>
            <w:vAlign w:val="center"/>
          </w:tcPr>
          <w:p w14:paraId="67C6974B" w14:textId="646CDCAC" w:rsidR="009A4832" w:rsidRPr="009A4832" w:rsidRDefault="009A4832" w:rsidP="009A4832">
            <w:pPr>
              <w:pStyle w:val="TableText"/>
              <w:keepNext w:val="0"/>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43"/>
                <w:szCs w:val="20"/>
                <w:shd w:val="solid" w:color="000000" w:fill="000000"/>
                <w:fitText w:val="313" w:id="-1435342586"/>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586"/>
                <w14:textFill>
                  <w14:solidFill>
                    <w14:srgbClr w14:val="000000">
                      <w14:alpha w14:val="100000"/>
                    </w14:srgbClr>
                  </w14:solidFill>
                </w14:textFill>
              </w:rPr>
              <w:t>|</w:t>
            </w:r>
            <w:r w:rsidR="008F5AEA">
              <w:rPr>
                <w:szCs w:val="20"/>
                <w:vertAlign w:val="superscript"/>
              </w:rPr>
              <w:t>6</w:t>
            </w:r>
          </w:p>
        </w:tc>
        <w:tc>
          <w:tcPr>
            <w:tcW w:w="493" w:type="pct"/>
            <w:vAlign w:val="center"/>
          </w:tcPr>
          <w:p w14:paraId="48A70DBC" w14:textId="2B6C68FB" w:rsidR="009A4832" w:rsidRPr="009A4832" w:rsidRDefault="009A4832" w:rsidP="009A4832">
            <w:pPr>
              <w:pStyle w:val="TableText"/>
              <w:keepNext w:val="0"/>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43"/>
                <w:szCs w:val="20"/>
                <w:shd w:val="solid" w:color="000000" w:fill="000000"/>
                <w:fitText w:val="313" w:id="-1435342585"/>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585"/>
                <w14:textFill>
                  <w14:solidFill>
                    <w14:srgbClr w14:val="000000">
                      <w14:alpha w14:val="100000"/>
                    </w14:srgbClr>
                  </w14:solidFill>
                </w14:textFill>
              </w:rPr>
              <w:t>|</w:t>
            </w:r>
            <w:r w:rsidR="008F5AEA">
              <w:rPr>
                <w:szCs w:val="20"/>
                <w:vertAlign w:val="superscript"/>
              </w:rPr>
              <w:t>6</w:t>
            </w:r>
          </w:p>
        </w:tc>
        <w:tc>
          <w:tcPr>
            <w:tcW w:w="493" w:type="pct"/>
            <w:vAlign w:val="center"/>
          </w:tcPr>
          <w:p w14:paraId="4BC6B7F1" w14:textId="37F35896" w:rsidR="009A4832" w:rsidRPr="009A4832" w:rsidRDefault="009A4832" w:rsidP="009A4832">
            <w:pPr>
              <w:pStyle w:val="TableText"/>
              <w:keepNext w:val="0"/>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43"/>
                <w:szCs w:val="20"/>
                <w:shd w:val="solid" w:color="000000" w:fill="000000"/>
                <w:fitText w:val="313" w:id="-1435342584"/>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584"/>
                <w14:textFill>
                  <w14:solidFill>
                    <w14:srgbClr w14:val="000000">
                      <w14:alpha w14:val="100000"/>
                    </w14:srgbClr>
                  </w14:solidFill>
                </w14:textFill>
              </w:rPr>
              <w:t>|</w:t>
            </w:r>
            <w:r w:rsidR="008F5AEA">
              <w:rPr>
                <w:szCs w:val="20"/>
                <w:vertAlign w:val="superscript"/>
              </w:rPr>
              <w:t>6</w:t>
            </w:r>
          </w:p>
        </w:tc>
        <w:tc>
          <w:tcPr>
            <w:tcW w:w="518" w:type="pct"/>
            <w:vAlign w:val="center"/>
          </w:tcPr>
          <w:p w14:paraId="218B7FCE" w14:textId="418029E7" w:rsidR="009A4832" w:rsidRPr="009A4832" w:rsidRDefault="009A4832" w:rsidP="009A4832">
            <w:pPr>
              <w:pStyle w:val="TableText"/>
              <w:keepNext w:val="0"/>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39"/>
                <w:szCs w:val="20"/>
                <w:shd w:val="solid" w:color="000000" w:fill="000000"/>
                <w:fitText w:val="301" w:id="-1435342583"/>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01" w:id="-1435342583"/>
                <w14:textFill>
                  <w14:solidFill>
                    <w14:srgbClr w14:val="000000">
                      <w14:alpha w14:val="100000"/>
                    </w14:srgbClr>
                  </w14:solidFill>
                </w14:textFill>
              </w:rPr>
              <w:t>|</w:t>
            </w:r>
            <w:r w:rsidR="008F5AEA">
              <w:rPr>
                <w:szCs w:val="20"/>
                <w:vertAlign w:val="superscript"/>
              </w:rPr>
              <w:t>6</w:t>
            </w:r>
          </w:p>
        </w:tc>
      </w:tr>
    </w:tbl>
    <w:p w14:paraId="4AA6C153" w14:textId="77777777" w:rsidR="000A1519" w:rsidRDefault="000A1519" w:rsidP="000A1519">
      <w:pPr>
        <w:pStyle w:val="TableFigureFooter"/>
      </w:pPr>
      <w:r w:rsidRPr="000A6039">
        <w:t xml:space="preserve">Source: </w:t>
      </w:r>
      <w:r>
        <w:t xml:space="preserve">Tables 4.2-1, p.375, 4.2-2, p376, 4.2-3, p377, 4.2-5, p379, 4.2-6, p380, 4.2-8, p382 of the submission; Excel workbooks </w:t>
      </w:r>
      <w:r w:rsidRPr="00C33B9C">
        <w:t xml:space="preserve">Ruxolitinib SR-aGVHD </w:t>
      </w:r>
      <w:r>
        <w:t>–</w:t>
      </w:r>
      <w:r w:rsidRPr="00C33B9C">
        <w:t xml:space="preserve"> UCM</w:t>
      </w:r>
      <w:r>
        <w:t xml:space="preserve">.xlsx and </w:t>
      </w:r>
      <w:r w:rsidRPr="00C33B9C">
        <w:t xml:space="preserve">Ruxolitinib SR-cGVHD </w:t>
      </w:r>
      <w:r>
        <w:t>–</w:t>
      </w:r>
      <w:r w:rsidRPr="00C33B9C">
        <w:t xml:space="preserve"> UCM</w:t>
      </w:r>
      <w:r>
        <w:t>.xlsx, attached to the submission.</w:t>
      </w:r>
    </w:p>
    <w:p w14:paraId="7A53674A" w14:textId="77777777" w:rsidR="000A1519" w:rsidRDefault="000A1519" w:rsidP="000A1519">
      <w:pPr>
        <w:pStyle w:val="TableFigureFooter"/>
      </w:pPr>
      <w:r>
        <w:t xml:space="preserve">Abbreviations: </w:t>
      </w:r>
      <w:r w:rsidRPr="00D563DB">
        <w:t>aGVHD</w:t>
      </w:r>
      <w:r>
        <w:t>,</w:t>
      </w:r>
      <w:r w:rsidRPr="00D563DB">
        <w:t xml:space="preserve"> acute graft versus host disease; alloSCT</w:t>
      </w:r>
      <w:r>
        <w:t>,</w:t>
      </w:r>
      <w:r w:rsidRPr="00D563DB">
        <w:t xml:space="preserve"> allogenic stem cell transplantation; cGVHD</w:t>
      </w:r>
      <w:r>
        <w:t>,</w:t>
      </w:r>
      <w:r w:rsidRPr="00D563DB">
        <w:t xml:space="preserve"> chronic graft versus host disease</w:t>
      </w:r>
      <w:r>
        <w:t>.</w:t>
      </w:r>
    </w:p>
    <w:p w14:paraId="6CAE6F6D" w14:textId="77777777" w:rsidR="000A1519" w:rsidRDefault="000A1519" w:rsidP="000A1519">
      <w:pPr>
        <w:pStyle w:val="TableFigureFooter"/>
      </w:pPr>
      <w:r>
        <w:rPr>
          <w:vertAlign w:val="superscript"/>
        </w:rPr>
        <w:t>1</w:t>
      </w:r>
      <w:r>
        <w:t xml:space="preserve"> Year 1 estimate comprised of prevalent </w:t>
      </w:r>
      <w:r w:rsidRPr="00BB7D5E">
        <w:t xml:space="preserve">alloSCT </w:t>
      </w:r>
      <w:r>
        <w:t>patients</w:t>
      </w:r>
      <w:r w:rsidRPr="00BB7D5E">
        <w:t xml:space="preserve"> aged ≥12 years</w:t>
      </w:r>
      <w:r>
        <w:t xml:space="preserve"> (6,800 incident patients from 2010 to 2022) </w:t>
      </w:r>
      <w:r w:rsidRPr="00BE20A6">
        <w:t xml:space="preserve">expected to be alive in 2022 </w:t>
      </w:r>
      <w:r>
        <w:t xml:space="preserve">(45% of alloSCT). Year 2-6 estimates comprised of expected incident </w:t>
      </w:r>
      <w:r w:rsidRPr="00BB7D5E">
        <w:t xml:space="preserve">alloSCT </w:t>
      </w:r>
      <w:r>
        <w:t>patients</w:t>
      </w:r>
      <w:r w:rsidRPr="00BB7D5E">
        <w:t xml:space="preserve"> aged ≥12 years</w:t>
      </w:r>
      <w:r w:rsidRPr="00BE20A6">
        <w:t xml:space="preserve"> </w:t>
      </w:r>
      <w:r>
        <w:t>(based on extrapolated ABSTRR 2021 analysis).</w:t>
      </w:r>
      <w:r w:rsidRPr="00531012">
        <w:t xml:space="preserve"> </w:t>
      </w:r>
    </w:p>
    <w:p w14:paraId="7AF59803" w14:textId="77777777" w:rsidR="000A1519" w:rsidRDefault="000A1519" w:rsidP="000A1519">
      <w:pPr>
        <w:pStyle w:val="TableFigureFooter"/>
      </w:pPr>
      <w:r>
        <w:rPr>
          <w:vertAlign w:val="superscript"/>
        </w:rPr>
        <w:t>2</w:t>
      </w:r>
      <w:r>
        <w:t xml:space="preserve"> Year 1 estimate comprised of prevalent patients in 2022 </w:t>
      </w:r>
      <w:r w:rsidRPr="00531012">
        <w:t>with</w:t>
      </w:r>
      <w:r>
        <w:t xml:space="preserve"> </w:t>
      </w:r>
      <w:r w:rsidRPr="00BE20A6">
        <w:t xml:space="preserve">cGVHD </w:t>
      </w:r>
      <w:r>
        <w:t>(</w:t>
      </w:r>
      <w:r w:rsidRPr="00BE20A6">
        <w:t>69</w:t>
      </w:r>
      <w:r>
        <w:t>.35</w:t>
      </w:r>
      <w:r w:rsidRPr="00BE20A6">
        <w:t>%</w:t>
      </w:r>
      <w:r>
        <w:t xml:space="preserve">). Years 2-6 comprised of incident patients with </w:t>
      </w:r>
      <w:r w:rsidRPr="00BE20A6">
        <w:t xml:space="preserve">cGVHD </w:t>
      </w:r>
      <w:r>
        <w:t>(38.8</w:t>
      </w:r>
      <w:r w:rsidRPr="00BE20A6">
        <w:t>%</w:t>
      </w:r>
      <w:r>
        <w:t>).</w:t>
      </w:r>
    </w:p>
    <w:p w14:paraId="3AD5AF30" w14:textId="05453DD1" w:rsidR="000A1519" w:rsidRDefault="00496DE3" w:rsidP="00EA3B23">
      <w:pPr>
        <w:pStyle w:val="TableFigureFooter"/>
        <w:spacing w:after="0"/>
      </w:pPr>
      <w:r w:rsidRPr="00320844">
        <w:rPr>
          <w:vertAlign w:val="superscript"/>
        </w:rPr>
        <w:t>3</w:t>
      </w:r>
      <w:r>
        <w:rPr>
          <w:vertAlign w:val="superscript"/>
        </w:rPr>
        <w:t xml:space="preserve"> </w:t>
      </w:r>
      <w:r w:rsidR="000A1519" w:rsidRPr="00487454">
        <w:t>Based on 5.05 initiating scripts and 2.09 continuing scripts for patients in their first year of treatment; 13.04 scripts/year for patients continuing in subsequent years.</w:t>
      </w:r>
    </w:p>
    <w:p w14:paraId="45E9DACE" w14:textId="77777777" w:rsidR="00496DE3" w:rsidRPr="001D0E42" w:rsidRDefault="00496DE3" w:rsidP="00496DE3">
      <w:pPr>
        <w:rPr>
          <w:rFonts w:ascii="Arial Narrow" w:hAnsi="Arial Narrow"/>
          <w:i/>
          <w:sz w:val="18"/>
          <w:szCs w:val="18"/>
        </w:rPr>
      </w:pPr>
      <w:bookmarkStart w:id="72" w:name="_Hlk114128232"/>
      <w:r w:rsidRPr="001D0E42">
        <w:rPr>
          <w:rFonts w:ascii="Arial Narrow" w:hAnsi="Arial Narrow"/>
          <w:i/>
          <w:sz w:val="18"/>
          <w:szCs w:val="18"/>
        </w:rPr>
        <w:t xml:space="preserve">The redacted values correspond to the following ranges: </w:t>
      </w:r>
    </w:p>
    <w:bookmarkEnd w:id="72"/>
    <w:p w14:paraId="14BA5E3C" w14:textId="62A4F32C" w:rsidR="00496DE3" w:rsidRDefault="00496DE3" w:rsidP="00496DE3">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EF7634" w:rsidRPr="00EF7634">
        <w:rPr>
          <w:rFonts w:ascii="Arial Narrow" w:hAnsi="Arial Narrow"/>
          <w:i/>
          <w:sz w:val="18"/>
          <w:szCs w:val="18"/>
        </w:rPr>
        <w:t>500 to &lt; 5,000</w:t>
      </w:r>
    </w:p>
    <w:p w14:paraId="4CBDEA61" w14:textId="68CAE09A" w:rsidR="00496DE3" w:rsidRDefault="00496DE3" w:rsidP="00496DE3">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bookmarkStart w:id="73" w:name="_Hlk114133757"/>
      <w:r w:rsidR="00EF7634" w:rsidRPr="00EF7634">
        <w:rPr>
          <w:rFonts w:ascii="Arial Narrow" w:hAnsi="Arial Narrow"/>
          <w:i/>
          <w:sz w:val="18"/>
          <w:szCs w:val="18"/>
        </w:rPr>
        <w:t>&lt; 500</w:t>
      </w:r>
      <w:bookmarkEnd w:id="73"/>
    </w:p>
    <w:p w14:paraId="2CD56920" w14:textId="2E42E813" w:rsidR="00496DE3" w:rsidRDefault="00496DE3" w:rsidP="00496DE3">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EF7634" w:rsidRPr="00EF7634">
        <w:rPr>
          <w:rFonts w:ascii="Arial Narrow" w:hAnsi="Arial Narrow"/>
          <w:i/>
          <w:sz w:val="18"/>
          <w:szCs w:val="18"/>
        </w:rPr>
        <w:t>$0 to &lt; $10 million</w:t>
      </w:r>
    </w:p>
    <w:p w14:paraId="442C0AE0" w14:textId="6CED49F9" w:rsidR="00496DE3" w:rsidRDefault="00496DE3" w:rsidP="00496DE3">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EF7634" w:rsidRPr="00EF7634">
        <w:rPr>
          <w:rFonts w:ascii="Arial Narrow" w:hAnsi="Arial Narrow"/>
          <w:i/>
          <w:sz w:val="18"/>
          <w:szCs w:val="18"/>
        </w:rPr>
        <w:t>$</w:t>
      </w:r>
      <w:r w:rsidR="00EF7634">
        <w:rPr>
          <w:rFonts w:ascii="Arial Narrow" w:hAnsi="Arial Narrow"/>
          <w:i/>
          <w:sz w:val="18"/>
          <w:szCs w:val="18"/>
        </w:rPr>
        <w:t>1</w:t>
      </w:r>
      <w:r w:rsidR="00EF7634" w:rsidRPr="00EF7634">
        <w:rPr>
          <w:rFonts w:ascii="Arial Narrow" w:hAnsi="Arial Narrow"/>
          <w:i/>
          <w:sz w:val="18"/>
          <w:szCs w:val="18"/>
        </w:rPr>
        <w:t>0 to &lt; $</w:t>
      </w:r>
      <w:r w:rsidR="00EF7634">
        <w:rPr>
          <w:rFonts w:ascii="Arial Narrow" w:hAnsi="Arial Narrow"/>
          <w:i/>
          <w:sz w:val="18"/>
          <w:szCs w:val="18"/>
        </w:rPr>
        <w:t>2</w:t>
      </w:r>
      <w:r w:rsidR="00EF7634" w:rsidRPr="00EF7634">
        <w:rPr>
          <w:rFonts w:ascii="Arial Narrow" w:hAnsi="Arial Narrow"/>
          <w:i/>
          <w:sz w:val="18"/>
          <w:szCs w:val="18"/>
        </w:rPr>
        <w:t>0 million</w:t>
      </w:r>
    </w:p>
    <w:p w14:paraId="0E76B047" w14:textId="77777777" w:rsidR="00496DE3" w:rsidRPr="009E671A" w:rsidRDefault="00496DE3" w:rsidP="00320844">
      <w:pPr>
        <w:pStyle w:val="TableFigureFooter"/>
      </w:pPr>
    </w:p>
    <w:p w14:paraId="32AEA745" w14:textId="1A605018" w:rsidR="000A1519" w:rsidRDefault="000A1519" w:rsidP="000A1519">
      <w:pPr>
        <w:pStyle w:val="ExecSumBodyText"/>
        <w:numPr>
          <w:ilvl w:val="1"/>
          <w:numId w:val="1"/>
        </w:numPr>
      </w:pPr>
      <w:r w:rsidRPr="00D12CDC">
        <w:t xml:space="preserve">The </w:t>
      </w:r>
      <w:r w:rsidR="00974DDF">
        <w:t xml:space="preserve">submission </w:t>
      </w:r>
      <w:r w:rsidRPr="00D12CDC">
        <w:t xml:space="preserve">estimated </w:t>
      </w:r>
      <w:r w:rsidR="00974DDF">
        <w:t xml:space="preserve">a </w:t>
      </w:r>
      <w:r>
        <w:t>net c</w:t>
      </w:r>
      <w:r w:rsidRPr="00D12CDC">
        <w:t xml:space="preserve">ost </w:t>
      </w:r>
      <w:r>
        <w:t xml:space="preserve">of ruxolitinib </w:t>
      </w:r>
      <w:r w:rsidRPr="00D12CDC">
        <w:t xml:space="preserve">to the PBS/RPBS </w:t>
      </w:r>
      <w:r>
        <w:t xml:space="preserve">for </w:t>
      </w:r>
      <w:r w:rsidR="00AB5197">
        <w:t xml:space="preserve">the treatment of </w:t>
      </w:r>
      <w:r>
        <w:t xml:space="preserve">cGVHD </w:t>
      </w:r>
      <w:r w:rsidR="00974DDF">
        <w:t>of</w:t>
      </w:r>
      <w:r w:rsidR="00974DDF" w:rsidRPr="00D12CDC">
        <w:t xml:space="preserve"> </w:t>
      </w:r>
      <w:bookmarkStart w:id="74" w:name="_Hlk114133371"/>
      <w:r w:rsidR="00842F59" w:rsidRPr="00842F59">
        <w:t>$0</w:t>
      </w:r>
      <w:r w:rsidR="00842F59">
        <w:t xml:space="preserve"> </w:t>
      </w:r>
      <w:r w:rsidR="00842F59" w:rsidRPr="00842F59">
        <w:t>to</w:t>
      </w:r>
      <w:r w:rsidR="00842F59">
        <w:t xml:space="preserve"> </w:t>
      </w:r>
      <w:r w:rsidR="00842F59" w:rsidRPr="00842F59">
        <w:t>&lt; $10 million</w:t>
      </w:r>
      <w:bookmarkEnd w:id="74"/>
      <w:r w:rsidR="00842F59" w:rsidRPr="00842F59" w:rsidDel="00842F59">
        <w:t xml:space="preserve"> </w:t>
      </w:r>
      <w:r w:rsidRPr="00D12CDC">
        <w:t xml:space="preserve">in Year 1, </w:t>
      </w:r>
      <w:r w:rsidR="00842F59" w:rsidRPr="00842F59">
        <w:t>$0</w:t>
      </w:r>
      <w:r w:rsidR="00842F59">
        <w:t xml:space="preserve"> </w:t>
      </w:r>
      <w:r w:rsidR="00842F59" w:rsidRPr="00842F59">
        <w:t>to</w:t>
      </w:r>
      <w:r w:rsidR="00842F59">
        <w:t xml:space="preserve"> </w:t>
      </w:r>
      <w:r w:rsidR="00842F59" w:rsidRPr="00842F59">
        <w:t>&lt; $10 million</w:t>
      </w:r>
      <w:r w:rsidR="00842F59" w:rsidRPr="00842F59" w:rsidDel="00842F59">
        <w:t xml:space="preserve"> </w:t>
      </w:r>
      <w:r w:rsidRPr="00D12CDC">
        <w:t>in Year 6 a</w:t>
      </w:r>
      <w:r w:rsidR="00196ACC">
        <w:t>nd</w:t>
      </w:r>
      <w:r w:rsidRPr="00D12CDC">
        <w:t xml:space="preserve"> </w:t>
      </w:r>
      <w:r w:rsidR="00842F59" w:rsidRPr="00842F59">
        <w:t>$10 million</w:t>
      </w:r>
      <w:r w:rsidR="00842F59">
        <w:t xml:space="preserve"> </w:t>
      </w:r>
      <w:r w:rsidR="00842F59" w:rsidRPr="00842F59">
        <w:t>to</w:t>
      </w:r>
      <w:r w:rsidR="00842F59">
        <w:t xml:space="preserve"> </w:t>
      </w:r>
      <w:r w:rsidR="00842F59" w:rsidRPr="00842F59">
        <w:t>&lt; $20 millio</w:t>
      </w:r>
      <w:r w:rsidR="00842F59">
        <w:t>n</w:t>
      </w:r>
      <w:r w:rsidR="00842F59" w:rsidRPr="00842F59" w:rsidDel="00842F59">
        <w:t xml:space="preserve"> </w:t>
      </w:r>
      <w:r w:rsidRPr="00D12CDC">
        <w:t xml:space="preserve">over </w:t>
      </w:r>
      <w:r w:rsidR="00196ACC">
        <w:t xml:space="preserve">the first </w:t>
      </w:r>
      <w:r w:rsidRPr="00D12CDC">
        <w:t>6 years</w:t>
      </w:r>
      <w:r w:rsidR="00196ACC">
        <w:t xml:space="preserve"> of listing</w:t>
      </w:r>
      <w:r w:rsidRPr="00D12CDC">
        <w:t>.</w:t>
      </w:r>
    </w:p>
    <w:p w14:paraId="36C3E080" w14:textId="7BED59A5" w:rsidR="000A1519" w:rsidRPr="00F86A1D" w:rsidRDefault="000A1519" w:rsidP="000A1519">
      <w:pPr>
        <w:pStyle w:val="ExecSumBodyText"/>
        <w:numPr>
          <w:ilvl w:val="1"/>
          <w:numId w:val="1"/>
        </w:numPr>
      </w:pPr>
      <w:r>
        <w:t>The table below</w:t>
      </w:r>
      <w:r w:rsidRPr="00986553">
        <w:t xml:space="preserve"> summarises the estimated </w:t>
      </w:r>
      <w:r>
        <w:t>utilisation and</w:t>
      </w:r>
      <w:r w:rsidRPr="00986553">
        <w:t xml:space="preserve"> cost of ruxolitinib to the PBS/RPBS </w:t>
      </w:r>
      <w:r>
        <w:t xml:space="preserve">for the treatment </w:t>
      </w:r>
      <w:r w:rsidR="00AB5197">
        <w:t>of</w:t>
      </w:r>
      <w:r>
        <w:t xml:space="preserve"> aGVHD.</w:t>
      </w:r>
      <w:r w:rsidRPr="006937EE">
        <w:t xml:space="preserve"> </w:t>
      </w:r>
      <w:r>
        <w:t xml:space="preserve">The submission assumed no prevalent pool of aGVHD patients given </w:t>
      </w:r>
      <w:r w:rsidRPr="00BE20A6">
        <w:t xml:space="preserve">the </w:t>
      </w:r>
      <w:r>
        <w:t xml:space="preserve">poor </w:t>
      </w:r>
      <w:r w:rsidRPr="00BE20A6">
        <w:t xml:space="preserve">prognosis </w:t>
      </w:r>
      <w:r>
        <w:t>and short duration of acute disease</w:t>
      </w:r>
      <w:r w:rsidRPr="00BE20A6">
        <w:t>.</w:t>
      </w:r>
      <w:r>
        <w:t xml:space="preserve"> The submission noted that </w:t>
      </w:r>
      <w:r w:rsidR="00842F59" w:rsidRPr="00EA3B23">
        <w:rPr>
          <w:iCs/>
        </w:rPr>
        <w:t>&lt; 500</w:t>
      </w:r>
      <w:r w:rsidRPr="00BE20A6">
        <w:t xml:space="preserve"> patients with </w:t>
      </w:r>
      <w:r>
        <w:t xml:space="preserve">steroid refractory </w:t>
      </w:r>
      <w:r w:rsidRPr="00BE20A6">
        <w:t xml:space="preserve">aGVHD </w:t>
      </w:r>
      <w:r>
        <w:t xml:space="preserve">receiving ruxolitinib via the sponsor’s </w:t>
      </w:r>
      <w:r w:rsidRPr="00BE20A6">
        <w:t xml:space="preserve">managed access program </w:t>
      </w:r>
      <w:r>
        <w:t>are expected to be</w:t>
      </w:r>
      <w:r w:rsidRPr="00BE20A6">
        <w:t xml:space="preserve"> grandfather</w:t>
      </w:r>
      <w:r>
        <w:t>ed</w:t>
      </w:r>
      <w:r w:rsidRPr="00BE20A6">
        <w:t xml:space="preserve"> </w:t>
      </w:r>
      <w:r>
        <w:t>to</w:t>
      </w:r>
      <w:r w:rsidRPr="00BE20A6">
        <w:t xml:space="preserve"> the </w:t>
      </w:r>
      <w:r>
        <w:t xml:space="preserve">ruxolitinib </w:t>
      </w:r>
      <w:r w:rsidRPr="00BE20A6">
        <w:t>PBS</w:t>
      </w:r>
      <w:r>
        <w:t xml:space="preserve"> listing and have been added to the incident aGVHD popu</w:t>
      </w:r>
      <w:r w:rsidRPr="00F86A1D">
        <w:t>lation.</w:t>
      </w:r>
    </w:p>
    <w:p w14:paraId="13886366" w14:textId="3DEE259E" w:rsidR="000A1519" w:rsidRPr="00455974" w:rsidRDefault="00C249EA" w:rsidP="00E67D76">
      <w:pPr>
        <w:pStyle w:val="TableFigureCaption"/>
        <w:keepLines/>
      </w:pPr>
      <w:r w:rsidRPr="0042047F">
        <w:t xml:space="preserve">Table </w:t>
      </w:r>
      <w:fldSimple w:instr=" SEQ Table \* ARABIC " w:fldLock="1">
        <w:r w:rsidR="005A7A1C">
          <w:rPr>
            <w:noProof/>
          </w:rPr>
          <w:t>23</w:t>
        </w:r>
      </w:fldSimple>
      <w:r w:rsidR="000A1519" w:rsidRPr="00606FBA">
        <w:t>: Estimated use and financial implications</w:t>
      </w:r>
      <w:r w:rsidR="000A1519">
        <w:t xml:space="preserve"> </w:t>
      </w:r>
      <w:r w:rsidR="001A7127">
        <w:t xml:space="preserve">for </w:t>
      </w:r>
      <w:r w:rsidR="000A1519">
        <w:t>aGVHD</w:t>
      </w:r>
    </w:p>
    <w:tbl>
      <w:tblPr>
        <w:tblStyle w:val="TableGrid"/>
        <w:tblW w:w="5012" w:type="pct"/>
        <w:tblLayout w:type="fixed"/>
        <w:tblLook w:val="04A0" w:firstRow="1" w:lastRow="0" w:firstColumn="1" w:lastColumn="0" w:noHBand="0" w:noVBand="1"/>
      </w:tblPr>
      <w:tblGrid>
        <w:gridCol w:w="3687"/>
        <w:gridCol w:w="891"/>
        <w:gridCol w:w="891"/>
        <w:gridCol w:w="891"/>
        <w:gridCol w:w="891"/>
        <w:gridCol w:w="891"/>
        <w:gridCol w:w="897"/>
      </w:tblGrid>
      <w:tr w:rsidR="000A1519" w:rsidRPr="006440B8" w14:paraId="2530A6C3" w14:textId="77777777" w:rsidTr="00A361A7">
        <w:trPr>
          <w:trHeight w:val="139"/>
          <w:tblHeader/>
        </w:trPr>
        <w:tc>
          <w:tcPr>
            <w:tcW w:w="2039" w:type="pct"/>
            <w:vAlign w:val="center"/>
          </w:tcPr>
          <w:p w14:paraId="7259EBCF" w14:textId="77777777" w:rsidR="000A1519" w:rsidRPr="006440B8" w:rsidRDefault="000A1519" w:rsidP="00E67D76">
            <w:pPr>
              <w:pStyle w:val="TableText"/>
              <w:keepLines/>
            </w:pPr>
          </w:p>
        </w:tc>
        <w:tc>
          <w:tcPr>
            <w:tcW w:w="493" w:type="pct"/>
            <w:vAlign w:val="center"/>
          </w:tcPr>
          <w:p w14:paraId="7EB86765" w14:textId="77777777" w:rsidR="000A1519" w:rsidRPr="006440B8" w:rsidRDefault="000A1519" w:rsidP="00E67D76">
            <w:pPr>
              <w:pStyle w:val="TableFigureCaption"/>
              <w:keepLines/>
              <w:jc w:val="center"/>
              <w:rPr>
                <w:szCs w:val="20"/>
              </w:rPr>
            </w:pPr>
            <w:r w:rsidRPr="006440B8">
              <w:rPr>
                <w:szCs w:val="20"/>
              </w:rPr>
              <w:t>Year 1</w:t>
            </w:r>
          </w:p>
        </w:tc>
        <w:tc>
          <w:tcPr>
            <w:tcW w:w="493" w:type="pct"/>
            <w:shd w:val="clear" w:color="auto" w:fill="auto"/>
            <w:vAlign w:val="center"/>
          </w:tcPr>
          <w:p w14:paraId="03638FFF" w14:textId="77777777" w:rsidR="000A1519" w:rsidRPr="006440B8" w:rsidRDefault="000A1519" w:rsidP="00E67D76">
            <w:pPr>
              <w:pStyle w:val="TableFigureCaption"/>
              <w:keepLines/>
              <w:jc w:val="center"/>
              <w:rPr>
                <w:szCs w:val="20"/>
              </w:rPr>
            </w:pPr>
            <w:r w:rsidRPr="006440B8">
              <w:rPr>
                <w:szCs w:val="20"/>
              </w:rPr>
              <w:t>Year 2</w:t>
            </w:r>
          </w:p>
        </w:tc>
        <w:tc>
          <w:tcPr>
            <w:tcW w:w="493" w:type="pct"/>
            <w:shd w:val="clear" w:color="auto" w:fill="auto"/>
            <w:vAlign w:val="center"/>
          </w:tcPr>
          <w:p w14:paraId="1D97D852" w14:textId="77777777" w:rsidR="000A1519" w:rsidRPr="006440B8" w:rsidRDefault="000A1519" w:rsidP="00E67D76">
            <w:pPr>
              <w:pStyle w:val="TableFigureCaption"/>
              <w:keepLines/>
              <w:jc w:val="center"/>
              <w:rPr>
                <w:szCs w:val="20"/>
              </w:rPr>
            </w:pPr>
            <w:r w:rsidRPr="006440B8">
              <w:rPr>
                <w:szCs w:val="20"/>
              </w:rPr>
              <w:t>Year 3</w:t>
            </w:r>
          </w:p>
        </w:tc>
        <w:tc>
          <w:tcPr>
            <w:tcW w:w="493" w:type="pct"/>
            <w:shd w:val="clear" w:color="auto" w:fill="auto"/>
            <w:vAlign w:val="center"/>
          </w:tcPr>
          <w:p w14:paraId="65527B7B" w14:textId="77777777" w:rsidR="000A1519" w:rsidRPr="006440B8" w:rsidRDefault="000A1519" w:rsidP="00E67D76">
            <w:pPr>
              <w:pStyle w:val="TableFigureCaption"/>
              <w:keepLines/>
              <w:jc w:val="center"/>
              <w:rPr>
                <w:szCs w:val="20"/>
              </w:rPr>
            </w:pPr>
            <w:r w:rsidRPr="006440B8">
              <w:rPr>
                <w:szCs w:val="20"/>
              </w:rPr>
              <w:t>Year 4</w:t>
            </w:r>
          </w:p>
        </w:tc>
        <w:tc>
          <w:tcPr>
            <w:tcW w:w="493" w:type="pct"/>
            <w:shd w:val="clear" w:color="auto" w:fill="auto"/>
            <w:vAlign w:val="center"/>
          </w:tcPr>
          <w:p w14:paraId="285818A5" w14:textId="77777777" w:rsidR="000A1519" w:rsidRPr="006440B8" w:rsidRDefault="000A1519" w:rsidP="00E67D76">
            <w:pPr>
              <w:pStyle w:val="TableFigureCaption"/>
              <w:keepLines/>
              <w:jc w:val="center"/>
              <w:rPr>
                <w:szCs w:val="20"/>
              </w:rPr>
            </w:pPr>
            <w:r w:rsidRPr="006440B8">
              <w:rPr>
                <w:szCs w:val="20"/>
              </w:rPr>
              <w:t>Year 5</w:t>
            </w:r>
          </w:p>
        </w:tc>
        <w:tc>
          <w:tcPr>
            <w:tcW w:w="496" w:type="pct"/>
            <w:shd w:val="clear" w:color="auto" w:fill="auto"/>
            <w:vAlign w:val="center"/>
          </w:tcPr>
          <w:p w14:paraId="56B62830" w14:textId="77777777" w:rsidR="000A1519" w:rsidRPr="006440B8" w:rsidRDefault="000A1519" w:rsidP="00E67D76">
            <w:pPr>
              <w:pStyle w:val="TableFigureCaption"/>
              <w:keepLines/>
              <w:jc w:val="center"/>
              <w:rPr>
                <w:szCs w:val="20"/>
              </w:rPr>
            </w:pPr>
            <w:r w:rsidRPr="006440B8">
              <w:rPr>
                <w:szCs w:val="20"/>
              </w:rPr>
              <w:t>Year 6</w:t>
            </w:r>
          </w:p>
        </w:tc>
      </w:tr>
      <w:tr w:rsidR="00B90243" w:rsidRPr="00515063" w14:paraId="5A06F03C" w14:textId="77777777" w:rsidTr="00B90243">
        <w:tc>
          <w:tcPr>
            <w:tcW w:w="5000" w:type="pct"/>
            <w:gridSpan w:val="7"/>
          </w:tcPr>
          <w:p w14:paraId="6C537D9D" w14:textId="51321F84" w:rsidR="00B90243" w:rsidRPr="00B90243" w:rsidRDefault="00B90243" w:rsidP="00E67D76">
            <w:pPr>
              <w:pStyle w:val="TableText"/>
              <w:keepLines/>
              <w:ind w:left="-57"/>
              <w:rPr>
                <w:b/>
                <w:bCs w:val="0"/>
              </w:rPr>
            </w:pPr>
            <w:r>
              <w:rPr>
                <w:b/>
                <w:bCs w:val="0"/>
              </w:rPr>
              <w:t>Steroid refractory Grade II to IV aG</w:t>
            </w:r>
            <w:r w:rsidR="00CD2292">
              <w:rPr>
                <w:b/>
                <w:bCs w:val="0"/>
              </w:rPr>
              <w:t>VHD</w:t>
            </w:r>
          </w:p>
        </w:tc>
      </w:tr>
      <w:tr w:rsidR="000A1519" w:rsidRPr="00515063" w14:paraId="3570834B" w14:textId="77777777" w:rsidTr="00A361A7">
        <w:tc>
          <w:tcPr>
            <w:tcW w:w="2039" w:type="pct"/>
          </w:tcPr>
          <w:p w14:paraId="567A3AD7" w14:textId="77777777" w:rsidR="000A1519" w:rsidRPr="00515063" w:rsidRDefault="000A1519" w:rsidP="00E67D76">
            <w:pPr>
              <w:pStyle w:val="TableText"/>
              <w:keepLines/>
              <w:tabs>
                <w:tab w:val="right" w:pos="3513"/>
              </w:tabs>
              <w:ind w:left="-57" w:right="-68"/>
            </w:pPr>
            <w:r>
              <w:t xml:space="preserve">Estimated </w:t>
            </w:r>
            <w:r w:rsidRPr="00BB7D5E">
              <w:t xml:space="preserve">alloSCT </w:t>
            </w:r>
            <w:r>
              <w:t>patients</w:t>
            </w:r>
            <w:r w:rsidRPr="00BB7D5E">
              <w:t xml:space="preserve"> aged ≥12 years</w:t>
            </w:r>
          </w:p>
        </w:tc>
        <w:tc>
          <w:tcPr>
            <w:tcW w:w="493" w:type="pct"/>
          </w:tcPr>
          <w:p w14:paraId="2A302632" w14:textId="1F23FACB" w:rsidR="000A1519" w:rsidRPr="00EA3B23" w:rsidRDefault="00F96E54" w:rsidP="00E67D76">
            <w:pPr>
              <w:pStyle w:val="TableText"/>
              <w:keepLines/>
              <w:ind w:left="-57"/>
              <w:jc w:val="center"/>
              <w:rPr>
                <w:vertAlign w:val="superscript"/>
              </w:rPr>
            </w:pPr>
            <w:r w:rsidRPr="00F96E54">
              <w:rPr>
                <w:color w:val="000000"/>
                <w:spacing w:val="177"/>
                <w:shd w:val="solid" w:color="000000" w:fill="000000"/>
                <w:fitText w:val="263" w:id="-1435342582"/>
                <w14:textFill>
                  <w14:solidFill>
                    <w14:srgbClr w14:val="000000">
                      <w14:alpha w14:val="100000"/>
                    </w14:srgbClr>
                  </w14:solidFill>
                </w14:textFill>
              </w:rPr>
              <w:t>|</w:t>
            </w:r>
            <w:r w:rsidRPr="00F96E54">
              <w:rPr>
                <w:color w:val="000000"/>
                <w:spacing w:val="1"/>
                <w:shd w:val="solid" w:color="000000" w:fill="000000"/>
                <w:fitText w:val="263" w:id="-1435342582"/>
                <w14:textFill>
                  <w14:solidFill>
                    <w14:srgbClr w14:val="000000">
                      <w14:alpha w14:val="100000"/>
                    </w14:srgbClr>
                  </w14:solidFill>
                </w14:textFill>
              </w:rPr>
              <w:t>|</w:t>
            </w:r>
            <w:r w:rsidR="00842F59">
              <w:rPr>
                <w:vertAlign w:val="superscript"/>
              </w:rPr>
              <w:t>2</w:t>
            </w:r>
          </w:p>
        </w:tc>
        <w:tc>
          <w:tcPr>
            <w:tcW w:w="493" w:type="pct"/>
          </w:tcPr>
          <w:p w14:paraId="143608B6" w14:textId="4F72B70E" w:rsidR="000A1519" w:rsidRPr="00515063" w:rsidRDefault="00F96E54" w:rsidP="00E67D76">
            <w:pPr>
              <w:pStyle w:val="TableText"/>
              <w:keepLines/>
              <w:ind w:left="-57"/>
              <w:jc w:val="center"/>
            </w:pPr>
            <w:r w:rsidRPr="00F96E54">
              <w:rPr>
                <w:color w:val="000000"/>
                <w:spacing w:val="177"/>
                <w:shd w:val="solid" w:color="000000" w:fill="000000"/>
                <w:fitText w:val="263" w:id="-1435342581"/>
                <w14:textFill>
                  <w14:solidFill>
                    <w14:srgbClr w14:val="000000">
                      <w14:alpha w14:val="100000"/>
                    </w14:srgbClr>
                  </w14:solidFill>
                </w14:textFill>
              </w:rPr>
              <w:t>|</w:t>
            </w:r>
            <w:r w:rsidRPr="00F96E54">
              <w:rPr>
                <w:color w:val="000000"/>
                <w:spacing w:val="1"/>
                <w:shd w:val="solid" w:color="000000" w:fill="000000"/>
                <w:fitText w:val="263" w:id="-1435342581"/>
                <w14:textFill>
                  <w14:solidFill>
                    <w14:srgbClr w14:val="000000">
                      <w14:alpha w14:val="100000"/>
                    </w14:srgbClr>
                  </w14:solidFill>
                </w14:textFill>
              </w:rPr>
              <w:t>|</w:t>
            </w:r>
            <w:r w:rsidR="00842F59">
              <w:rPr>
                <w:vertAlign w:val="superscript"/>
              </w:rPr>
              <w:t>2</w:t>
            </w:r>
          </w:p>
        </w:tc>
        <w:tc>
          <w:tcPr>
            <w:tcW w:w="493" w:type="pct"/>
          </w:tcPr>
          <w:p w14:paraId="77F8D899" w14:textId="097B39F1" w:rsidR="000A1519" w:rsidRPr="00515063" w:rsidRDefault="00F96E54" w:rsidP="00E67D76">
            <w:pPr>
              <w:pStyle w:val="TableText"/>
              <w:keepLines/>
              <w:ind w:left="-57"/>
              <w:jc w:val="center"/>
            </w:pPr>
            <w:r w:rsidRPr="00F96E54">
              <w:rPr>
                <w:color w:val="000000"/>
                <w:spacing w:val="177"/>
                <w:shd w:val="solid" w:color="000000" w:fill="000000"/>
                <w:fitText w:val="263" w:id="-1435342580"/>
                <w14:textFill>
                  <w14:solidFill>
                    <w14:srgbClr w14:val="000000">
                      <w14:alpha w14:val="100000"/>
                    </w14:srgbClr>
                  </w14:solidFill>
                </w14:textFill>
              </w:rPr>
              <w:t>|</w:t>
            </w:r>
            <w:r w:rsidRPr="00F96E54">
              <w:rPr>
                <w:color w:val="000000"/>
                <w:spacing w:val="1"/>
                <w:shd w:val="solid" w:color="000000" w:fill="000000"/>
                <w:fitText w:val="263" w:id="-1435342580"/>
                <w14:textFill>
                  <w14:solidFill>
                    <w14:srgbClr w14:val="000000">
                      <w14:alpha w14:val="100000"/>
                    </w14:srgbClr>
                  </w14:solidFill>
                </w14:textFill>
              </w:rPr>
              <w:t>|</w:t>
            </w:r>
            <w:r w:rsidR="00842F59">
              <w:rPr>
                <w:vertAlign w:val="superscript"/>
              </w:rPr>
              <w:t>2</w:t>
            </w:r>
          </w:p>
        </w:tc>
        <w:tc>
          <w:tcPr>
            <w:tcW w:w="493" w:type="pct"/>
          </w:tcPr>
          <w:p w14:paraId="209A6569" w14:textId="29172753" w:rsidR="000A1519" w:rsidRPr="00515063" w:rsidRDefault="00F96E54" w:rsidP="00E67D76">
            <w:pPr>
              <w:pStyle w:val="TableText"/>
              <w:keepLines/>
              <w:ind w:left="-57"/>
              <w:jc w:val="center"/>
            </w:pPr>
            <w:r w:rsidRPr="00F96E54">
              <w:rPr>
                <w:color w:val="000000"/>
                <w:spacing w:val="177"/>
                <w:shd w:val="solid" w:color="000000" w:fill="000000"/>
                <w:fitText w:val="263" w:id="-1435342579"/>
                <w14:textFill>
                  <w14:solidFill>
                    <w14:srgbClr w14:val="000000">
                      <w14:alpha w14:val="100000"/>
                    </w14:srgbClr>
                  </w14:solidFill>
                </w14:textFill>
              </w:rPr>
              <w:t>|</w:t>
            </w:r>
            <w:r w:rsidRPr="00F96E54">
              <w:rPr>
                <w:color w:val="000000"/>
                <w:spacing w:val="1"/>
                <w:shd w:val="solid" w:color="000000" w:fill="000000"/>
                <w:fitText w:val="263" w:id="-1435342579"/>
                <w14:textFill>
                  <w14:solidFill>
                    <w14:srgbClr w14:val="000000">
                      <w14:alpha w14:val="100000"/>
                    </w14:srgbClr>
                  </w14:solidFill>
                </w14:textFill>
              </w:rPr>
              <w:t>|</w:t>
            </w:r>
            <w:r w:rsidR="00842F59">
              <w:rPr>
                <w:vertAlign w:val="superscript"/>
              </w:rPr>
              <w:t>2</w:t>
            </w:r>
          </w:p>
        </w:tc>
        <w:tc>
          <w:tcPr>
            <w:tcW w:w="493" w:type="pct"/>
          </w:tcPr>
          <w:p w14:paraId="5E31427D" w14:textId="0B6CB304" w:rsidR="000A1519" w:rsidRPr="00515063" w:rsidRDefault="00F96E54" w:rsidP="00E67D76">
            <w:pPr>
              <w:pStyle w:val="TableText"/>
              <w:keepLines/>
              <w:ind w:left="-57"/>
              <w:jc w:val="center"/>
            </w:pPr>
            <w:r w:rsidRPr="00F96E54">
              <w:rPr>
                <w:color w:val="000000"/>
                <w:spacing w:val="177"/>
                <w:shd w:val="solid" w:color="000000" w:fill="000000"/>
                <w:fitText w:val="263" w:id="-1435342578"/>
                <w14:textFill>
                  <w14:solidFill>
                    <w14:srgbClr w14:val="000000">
                      <w14:alpha w14:val="100000"/>
                    </w14:srgbClr>
                  </w14:solidFill>
                </w14:textFill>
              </w:rPr>
              <w:t>|</w:t>
            </w:r>
            <w:r w:rsidRPr="00F96E54">
              <w:rPr>
                <w:color w:val="000000"/>
                <w:spacing w:val="1"/>
                <w:shd w:val="solid" w:color="000000" w:fill="000000"/>
                <w:fitText w:val="263" w:id="-1435342578"/>
                <w14:textFill>
                  <w14:solidFill>
                    <w14:srgbClr w14:val="000000">
                      <w14:alpha w14:val="100000"/>
                    </w14:srgbClr>
                  </w14:solidFill>
                </w14:textFill>
              </w:rPr>
              <w:t>|</w:t>
            </w:r>
            <w:r w:rsidR="00842F59">
              <w:rPr>
                <w:vertAlign w:val="superscript"/>
              </w:rPr>
              <w:t>2</w:t>
            </w:r>
          </w:p>
        </w:tc>
        <w:tc>
          <w:tcPr>
            <w:tcW w:w="496" w:type="pct"/>
          </w:tcPr>
          <w:p w14:paraId="22D08AFB" w14:textId="0C8212DF" w:rsidR="000A1519" w:rsidRPr="00515063" w:rsidRDefault="00F96E54" w:rsidP="00E67D76">
            <w:pPr>
              <w:pStyle w:val="TableText"/>
              <w:keepLines/>
              <w:ind w:left="-57"/>
              <w:jc w:val="center"/>
            </w:pPr>
            <w:r w:rsidRPr="00F96E54">
              <w:rPr>
                <w:color w:val="000000"/>
                <w:spacing w:val="177"/>
                <w:shd w:val="solid" w:color="000000" w:fill="000000"/>
                <w:fitText w:val="263" w:id="-1435342577"/>
                <w14:textFill>
                  <w14:solidFill>
                    <w14:srgbClr w14:val="000000">
                      <w14:alpha w14:val="100000"/>
                    </w14:srgbClr>
                  </w14:solidFill>
                </w14:textFill>
              </w:rPr>
              <w:t>|</w:t>
            </w:r>
            <w:r w:rsidRPr="00F96E54">
              <w:rPr>
                <w:color w:val="000000"/>
                <w:spacing w:val="1"/>
                <w:shd w:val="solid" w:color="000000" w:fill="000000"/>
                <w:fitText w:val="263" w:id="-1435342577"/>
                <w14:textFill>
                  <w14:solidFill>
                    <w14:srgbClr w14:val="000000">
                      <w14:alpha w14:val="100000"/>
                    </w14:srgbClr>
                  </w14:solidFill>
                </w14:textFill>
              </w:rPr>
              <w:t>|</w:t>
            </w:r>
            <w:r w:rsidR="00842F59">
              <w:rPr>
                <w:vertAlign w:val="superscript"/>
              </w:rPr>
              <w:t>2</w:t>
            </w:r>
          </w:p>
        </w:tc>
      </w:tr>
      <w:tr w:rsidR="000A1519" w:rsidRPr="006440B8" w14:paraId="5ED1BFD3" w14:textId="77777777" w:rsidTr="00A361A7">
        <w:tc>
          <w:tcPr>
            <w:tcW w:w="2039" w:type="pct"/>
            <w:tcBorders>
              <w:bottom w:val="single" w:sz="4" w:space="0" w:color="auto"/>
            </w:tcBorders>
          </w:tcPr>
          <w:p w14:paraId="3869B25B" w14:textId="0AEFFC8C" w:rsidR="000A1519" w:rsidRPr="006440B8" w:rsidRDefault="000A1519" w:rsidP="00E67D76">
            <w:pPr>
              <w:pStyle w:val="TableText"/>
              <w:keepLines/>
              <w:ind w:left="-57" w:right="-104"/>
              <w:rPr>
                <w:szCs w:val="20"/>
                <w:vertAlign w:val="superscript"/>
              </w:rPr>
            </w:pPr>
            <w:r w:rsidRPr="006440B8">
              <w:rPr>
                <w:szCs w:val="20"/>
              </w:rPr>
              <w:t>All initiating steroid refractory G</w:t>
            </w:r>
            <w:r w:rsidRPr="006440B8">
              <w:rPr>
                <w:rFonts w:cstheme="minorHAnsi"/>
                <w:szCs w:val="20"/>
              </w:rPr>
              <w:t>rade IIIV aGVHD</w:t>
            </w:r>
          </w:p>
        </w:tc>
        <w:tc>
          <w:tcPr>
            <w:tcW w:w="493" w:type="pct"/>
            <w:tcBorders>
              <w:bottom w:val="single" w:sz="4" w:space="0" w:color="auto"/>
            </w:tcBorders>
            <w:vAlign w:val="center"/>
          </w:tcPr>
          <w:p w14:paraId="49EC2C4B" w14:textId="38B23C2E" w:rsidR="000A1519" w:rsidRPr="006440B8" w:rsidRDefault="00F96E54" w:rsidP="00E67D76">
            <w:pPr>
              <w:pStyle w:val="TableText"/>
              <w:keepLines/>
              <w:ind w:left="-57"/>
              <w:jc w:val="center"/>
              <w:rPr>
                <w:szCs w:val="20"/>
              </w:rPr>
            </w:pPr>
            <w:r w:rsidRPr="00F96E54">
              <w:rPr>
                <w:color w:val="000000"/>
                <w:spacing w:val="177"/>
                <w:szCs w:val="20"/>
                <w:shd w:val="solid" w:color="000000" w:fill="000000"/>
                <w:fitText w:val="263" w:id="-1435342576"/>
                <w14:textFill>
                  <w14:solidFill>
                    <w14:srgbClr w14:val="000000">
                      <w14:alpha w14:val="100000"/>
                    </w14:srgbClr>
                  </w14:solidFill>
                </w14:textFill>
              </w:rPr>
              <w:t>|</w:t>
            </w:r>
            <w:r w:rsidRPr="00F96E54">
              <w:rPr>
                <w:color w:val="000000"/>
                <w:spacing w:val="1"/>
                <w:szCs w:val="20"/>
                <w:shd w:val="solid" w:color="000000" w:fill="000000"/>
                <w:fitText w:val="263" w:id="-1435342576"/>
                <w14:textFill>
                  <w14:solidFill>
                    <w14:srgbClr w14:val="000000">
                      <w14:alpha w14:val="100000"/>
                    </w14:srgbClr>
                  </w14:solidFill>
                </w14:textFill>
              </w:rPr>
              <w:t>|</w:t>
            </w:r>
            <w:r w:rsidR="00842F59">
              <w:rPr>
                <w:vertAlign w:val="superscript"/>
              </w:rPr>
              <w:t>3</w:t>
            </w:r>
          </w:p>
        </w:tc>
        <w:tc>
          <w:tcPr>
            <w:tcW w:w="493" w:type="pct"/>
            <w:tcBorders>
              <w:bottom w:val="single" w:sz="4" w:space="0" w:color="auto"/>
            </w:tcBorders>
            <w:vAlign w:val="center"/>
          </w:tcPr>
          <w:p w14:paraId="046C0DEB" w14:textId="2E8C6F2A" w:rsidR="000A1519" w:rsidRPr="006440B8" w:rsidRDefault="00F96E54" w:rsidP="00E67D76">
            <w:pPr>
              <w:pStyle w:val="TableText"/>
              <w:keepLines/>
              <w:ind w:left="-57"/>
              <w:jc w:val="center"/>
              <w:rPr>
                <w:szCs w:val="20"/>
              </w:rPr>
            </w:pPr>
            <w:r w:rsidRPr="00F96E54">
              <w:rPr>
                <w:color w:val="000000"/>
                <w:spacing w:val="177"/>
                <w:szCs w:val="20"/>
                <w:shd w:val="solid" w:color="000000" w:fill="000000"/>
                <w:fitText w:val="263" w:id="-1435342592"/>
                <w14:textFill>
                  <w14:solidFill>
                    <w14:srgbClr w14:val="000000">
                      <w14:alpha w14:val="100000"/>
                    </w14:srgbClr>
                  </w14:solidFill>
                </w14:textFill>
              </w:rPr>
              <w:t>|</w:t>
            </w:r>
            <w:r w:rsidRPr="00F96E54">
              <w:rPr>
                <w:color w:val="000000"/>
                <w:spacing w:val="1"/>
                <w:szCs w:val="20"/>
                <w:shd w:val="solid" w:color="000000" w:fill="000000"/>
                <w:fitText w:val="263" w:id="-1435342592"/>
                <w14:textFill>
                  <w14:solidFill>
                    <w14:srgbClr w14:val="000000">
                      <w14:alpha w14:val="100000"/>
                    </w14:srgbClr>
                  </w14:solidFill>
                </w14:textFill>
              </w:rPr>
              <w:t>|</w:t>
            </w:r>
            <w:r w:rsidR="00842F59">
              <w:rPr>
                <w:vertAlign w:val="superscript"/>
              </w:rPr>
              <w:t>3</w:t>
            </w:r>
          </w:p>
        </w:tc>
        <w:tc>
          <w:tcPr>
            <w:tcW w:w="493" w:type="pct"/>
            <w:tcBorders>
              <w:bottom w:val="single" w:sz="4" w:space="0" w:color="auto"/>
            </w:tcBorders>
            <w:vAlign w:val="center"/>
          </w:tcPr>
          <w:p w14:paraId="405EAD96" w14:textId="7CB5A37D" w:rsidR="000A1519" w:rsidRPr="006440B8" w:rsidRDefault="00F96E54" w:rsidP="00E67D76">
            <w:pPr>
              <w:pStyle w:val="TableText"/>
              <w:keepLines/>
              <w:ind w:left="-57"/>
              <w:jc w:val="center"/>
              <w:rPr>
                <w:szCs w:val="20"/>
              </w:rPr>
            </w:pPr>
            <w:r w:rsidRPr="00F96E54">
              <w:rPr>
                <w:color w:val="000000"/>
                <w:spacing w:val="177"/>
                <w:szCs w:val="20"/>
                <w:shd w:val="solid" w:color="000000" w:fill="000000"/>
                <w:fitText w:val="263" w:id="-1435342591"/>
                <w14:textFill>
                  <w14:solidFill>
                    <w14:srgbClr w14:val="000000">
                      <w14:alpha w14:val="100000"/>
                    </w14:srgbClr>
                  </w14:solidFill>
                </w14:textFill>
              </w:rPr>
              <w:t>|</w:t>
            </w:r>
            <w:r w:rsidRPr="00F96E54">
              <w:rPr>
                <w:color w:val="000000"/>
                <w:spacing w:val="1"/>
                <w:szCs w:val="20"/>
                <w:shd w:val="solid" w:color="000000" w:fill="000000"/>
                <w:fitText w:val="263" w:id="-1435342591"/>
                <w14:textFill>
                  <w14:solidFill>
                    <w14:srgbClr w14:val="000000">
                      <w14:alpha w14:val="100000"/>
                    </w14:srgbClr>
                  </w14:solidFill>
                </w14:textFill>
              </w:rPr>
              <w:t>|</w:t>
            </w:r>
            <w:r w:rsidR="00842F59">
              <w:rPr>
                <w:vertAlign w:val="superscript"/>
              </w:rPr>
              <w:t>3</w:t>
            </w:r>
          </w:p>
        </w:tc>
        <w:tc>
          <w:tcPr>
            <w:tcW w:w="493" w:type="pct"/>
            <w:tcBorders>
              <w:bottom w:val="single" w:sz="4" w:space="0" w:color="auto"/>
            </w:tcBorders>
            <w:vAlign w:val="center"/>
          </w:tcPr>
          <w:p w14:paraId="0B363CB2" w14:textId="14FB394E" w:rsidR="000A1519" w:rsidRPr="006440B8" w:rsidRDefault="00F96E54" w:rsidP="00E67D76">
            <w:pPr>
              <w:pStyle w:val="TableText"/>
              <w:keepLines/>
              <w:ind w:left="-57"/>
              <w:jc w:val="center"/>
              <w:rPr>
                <w:szCs w:val="20"/>
              </w:rPr>
            </w:pPr>
            <w:r w:rsidRPr="00F96E54">
              <w:rPr>
                <w:color w:val="000000"/>
                <w:spacing w:val="177"/>
                <w:szCs w:val="20"/>
                <w:shd w:val="solid" w:color="000000" w:fill="000000"/>
                <w:fitText w:val="263" w:id="-1435342590"/>
                <w14:textFill>
                  <w14:solidFill>
                    <w14:srgbClr w14:val="000000">
                      <w14:alpha w14:val="100000"/>
                    </w14:srgbClr>
                  </w14:solidFill>
                </w14:textFill>
              </w:rPr>
              <w:t>|</w:t>
            </w:r>
            <w:r w:rsidRPr="00F96E54">
              <w:rPr>
                <w:color w:val="000000"/>
                <w:spacing w:val="1"/>
                <w:szCs w:val="20"/>
                <w:shd w:val="solid" w:color="000000" w:fill="000000"/>
                <w:fitText w:val="263" w:id="-1435342590"/>
                <w14:textFill>
                  <w14:solidFill>
                    <w14:srgbClr w14:val="000000">
                      <w14:alpha w14:val="100000"/>
                    </w14:srgbClr>
                  </w14:solidFill>
                </w14:textFill>
              </w:rPr>
              <w:t>|</w:t>
            </w:r>
            <w:r w:rsidR="00842F59">
              <w:rPr>
                <w:vertAlign w:val="superscript"/>
              </w:rPr>
              <w:t>3</w:t>
            </w:r>
          </w:p>
        </w:tc>
        <w:tc>
          <w:tcPr>
            <w:tcW w:w="493" w:type="pct"/>
            <w:tcBorders>
              <w:bottom w:val="single" w:sz="4" w:space="0" w:color="auto"/>
            </w:tcBorders>
            <w:vAlign w:val="center"/>
          </w:tcPr>
          <w:p w14:paraId="3AC32D0A" w14:textId="0E7B66F5" w:rsidR="000A1519" w:rsidRPr="006440B8" w:rsidRDefault="00F96E54" w:rsidP="00E67D76">
            <w:pPr>
              <w:pStyle w:val="TableText"/>
              <w:keepLines/>
              <w:ind w:left="-57"/>
              <w:jc w:val="center"/>
              <w:rPr>
                <w:szCs w:val="20"/>
              </w:rPr>
            </w:pPr>
            <w:r w:rsidRPr="00F96E54">
              <w:rPr>
                <w:color w:val="000000"/>
                <w:spacing w:val="177"/>
                <w:szCs w:val="20"/>
                <w:shd w:val="solid" w:color="000000" w:fill="000000"/>
                <w:fitText w:val="263" w:id="-1435342589"/>
                <w14:textFill>
                  <w14:solidFill>
                    <w14:srgbClr w14:val="000000">
                      <w14:alpha w14:val="100000"/>
                    </w14:srgbClr>
                  </w14:solidFill>
                </w14:textFill>
              </w:rPr>
              <w:t>|</w:t>
            </w:r>
            <w:r w:rsidRPr="00F96E54">
              <w:rPr>
                <w:color w:val="000000"/>
                <w:spacing w:val="1"/>
                <w:szCs w:val="20"/>
                <w:shd w:val="solid" w:color="000000" w:fill="000000"/>
                <w:fitText w:val="263" w:id="-1435342589"/>
                <w14:textFill>
                  <w14:solidFill>
                    <w14:srgbClr w14:val="000000">
                      <w14:alpha w14:val="100000"/>
                    </w14:srgbClr>
                  </w14:solidFill>
                </w14:textFill>
              </w:rPr>
              <w:t>|</w:t>
            </w:r>
            <w:r w:rsidR="00842F59">
              <w:rPr>
                <w:vertAlign w:val="superscript"/>
              </w:rPr>
              <w:t>3</w:t>
            </w:r>
          </w:p>
        </w:tc>
        <w:tc>
          <w:tcPr>
            <w:tcW w:w="496" w:type="pct"/>
            <w:tcBorders>
              <w:bottom w:val="single" w:sz="4" w:space="0" w:color="auto"/>
            </w:tcBorders>
            <w:vAlign w:val="center"/>
          </w:tcPr>
          <w:p w14:paraId="6CA3B132" w14:textId="3FB9C9A2" w:rsidR="000A1519" w:rsidRPr="006440B8" w:rsidRDefault="00F96E54" w:rsidP="00E67D76">
            <w:pPr>
              <w:pStyle w:val="TableText"/>
              <w:keepLines/>
              <w:ind w:left="-57"/>
              <w:jc w:val="center"/>
              <w:rPr>
                <w:szCs w:val="20"/>
              </w:rPr>
            </w:pPr>
            <w:r w:rsidRPr="00F96E54">
              <w:rPr>
                <w:color w:val="000000"/>
                <w:spacing w:val="177"/>
                <w:szCs w:val="20"/>
                <w:shd w:val="solid" w:color="000000" w:fill="000000"/>
                <w:fitText w:val="263" w:id="-1435342588"/>
                <w14:textFill>
                  <w14:solidFill>
                    <w14:srgbClr w14:val="000000">
                      <w14:alpha w14:val="100000"/>
                    </w14:srgbClr>
                  </w14:solidFill>
                </w14:textFill>
              </w:rPr>
              <w:t>|</w:t>
            </w:r>
            <w:r w:rsidRPr="00F96E54">
              <w:rPr>
                <w:color w:val="000000"/>
                <w:spacing w:val="1"/>
                <w:szCs w:val="20"/>
                <w:shd w:val="solid" w:color="000000" w:fill="000000"/>
                <w:fitText w:val="263" w:id="-1435342588"/>
                <w14:textFill>
                  <w14:solidFill>
                    <w14:srgbClr w14:val="000000">
                      <w14:alpha w14:val="100000"/>
                    </w14:srgbClr>
                  </w14:solidFill>
                </w14:textFill>
              </w:rPr>
              <w:t>|</w:t>
            </w:r>
            <w:r w:rsidR="00842F59">
              <w:rPr>
                <w:vertAlign w:val="superscript"/>
              </w:rPr>
              <w:t>3</w:t>
            </w:r>
          </w:p>
        </w:tc>
      </w:tr>
      <w:tr w:rsidR="000A1519" w:rsidRPr="006440B8" w14:paraId="4C6E6A99" w14:textId="77777777" w:rsidTr="00A361A7">
        <w:tc>
          <w:tcPr>
            <w:tcW w:w="2039" w:type="pct"/>
            <w:tcBorders>
              <w:top w:val="single" w:sz="4" w:space="0" w:color="auto"/>
              <w:bottom w:val="single" w:sz="4" w:space="0" w:color="auto"/>
            </w:tcBorders>
          </w:tcPr>
          <w:p w14:paraId="2FB8FAD0" w14:textId="77777777" w:rsidR="000A1519" w:rsidRPr="006440B8" w:rsidRDefault="000A1519" w:rsidP="00E67D76">
            <w:pPr>
              <w:pStyle w:val="TableText"/>
              <w:keepLines/>
              <w:ind w:left="-57" w:right="-104"/>
              <w:rPr>
                <w:szCs w:val="20"/>
              </w:rPr>
            </w:pPr>
            <w:r w:rsidRPr="006440B8">
              <w:rPr>
                <w:szCs w:val="20"/>
              </w:rPr>
              <w:t>Uptake of ruxolitinib</w:t>
            </w:r>
          </w:p>
        </w:tc>
        <w:tc>
          <w:tcPr>
            <w:tcW w:w="493" w:type="pct"/>
            <w:tcBorders>
              <w:top w:val="single" w:sz="4" w:space="0" w:color="auto"/>
              <w:bottom w:val="single" w:sz="4" w:space="0" w:color="auto"/>
            </w:tcBorders>
            <w:vAlign w:val="center"/>
          </w:tcPr>
          <w:p w14:paraId="667ACC63" w14:textId="77777777" w:rsidR="000A1519" w:rsidRPr="006440B8" w:rsidRDefault="000A1519" w:rsidP="00E67D76">
            <w:pPr>
              <w:pStyle w:val="TableText"/>
              <w:keepLines/>
              <w:ind w:left="-57"/>
              <w:jc w:val="center"/>
              <w:rPr>
                <w:szCs w:val="20"/>
              </w:rPr>
            </w:pPr>
            <w:r w:rsidRPr="006440B8">
              <w:rPr>
                <w:szCs w:val="20"/>
              </w:rPr>
              <w:t>90%</w:t>
            </w:r>
          </w:p>
        </w:tc>
        <w:tc>
          <w:tcPr>
            <w:tcW w:w="493" w:type="pct"/>
            <w:tcBorders>
              <w:top w:val="single" w:sz="4" w:space="0" w:color="auto"/>
              <w:bottom w:val="single" w:sz="4" w:space="0" w:color="auto"/>
            </w:tcBorders>
            <w:vAlign w:val="center"/>
          </w:tcPr>
          <w:p w14:paraId="0FFFCF1B" w14:textId="77777777" w:rsidR="000A1519" w:rsidRPr="006440B8" w:rsidRDefault="000A1519" w:rsidP="00E67D76">
            <w:pPr>
              <w:pStyle w:val="TableText"/>
              <w:keepLines/>
              <w:ind w:left="-57"/>
              <w:jc w:val="center"/>
              <w:rPr>
                <w:szCs w:val="20"/>
              </w:rPr>
            </w:pPr>
            <w:r w:rsidRPr="006440B8">
              <w:rPr>
                <w:szCs w:val="20"/>
              </w:rPr>
              <w:t>90%</w:t>
            </w:r>
          </w:p>
        </w:tc>
        <w:tc>
          <w:tcPr>
            <w:tcW w:w="493" w:type="pct"/>
            <w:tcBorders>
              <w:top w:val="single" w:sz="4" w:space="0" w:color="auto"/>
              <w:bottom w:val="single" w:sz="4" w:space="0" w:color="auto"/>
            </w:tcBorders>
            <w:vAlign w:val="center"/>
          </w:tcPr>
          <w:p w14:paraId="63B8E9D1" w14:textId="77777777" w:rsidR="000A1519" w:rsidRPr="006440B8" w:rsidRDefault="000A1519" w:rsidP="00E67D76">
            <w:pPr>
              <w:pStyle w:val="TableText"/>
              <w:keepLines/>
              <w:ind w:left="-57"/>
              <w:jc w:val="center"/>
              <w:rPr>
                <w:szCs w:val="20"/>
              </w:rPr>
            </w:pPr>
            <w:r w:rsidRPr="006440B8">
              <w:rPr>
                <w:szCs w:val="20"/>
              </w:rPr>
              <w:t>90%</w:t>
            </w:r>
          </w:p>
        </w:tc>
        <w:tc>
          <w:tcPr>
            <w:tcW w:w="493" w:type="pct"/>
            <w:tcBorders>
              <w:top w:val="single" w:sz="4" w:space="0" w:color="auto"/>
              <w:bottom w:val="single" w:sz="4" w:space="0" w:color="auto"/>
            </w:tcBorders>
            <w:vAlign w:val="center"/>
          </w:tcPr>
          <w:p w14:paraId="47EEDACE" w14:textId="77777777" w:rsidR="000A1519" w:rsidRPr="006440B8" w:rsidRDefault="000A1519" w:rsidP="00E67D76">
            <w:pPr>
              <w:pStyle w:val="TableText"/>
              <w:keepLines/>
              <w:ind w:left="-57"/>
              <w:jc w:val="center"/>
              <w:rPr>
                <w:szCs w:val="20"/>
              </w:rPr>
            </w:pPr>
            <w:r w:rsidRPr="006440B8">
              <w:rPr>
                <w:szCs w:val="20"/>
              </w:rPr>
              <w:t>90%</w:t>
            </w:r>
          </w:p>
        </w:tc>
        <w:tc>
          <w:tcPr>
            <w:tcW w:w="493" w:type="pct"/>
            <w:tcBorders>
              <w:top w:val="single" w:sz="4" w:space="0" w:color="auto"/>
              <w:bottom w:val="single" w:sz="4" w:space="0" w:color="auto"/>
            </w:tcBorders>
            <w:vAlign w:val="center"/>
          </w:tcPr>
          <w:p w14:paraId="314CEF8C" w14:textId="77777777" w:rsidR="000A1519" w:rsidRPr="006440B8" w:rsidRDefault="000A1519" w:rsidP="00E67D76">
            <w:pPr>
              <w:pStyle w:val="TableText"/>
              <w:keepLines/>
              <w:ind w:left="-57"/>
              <w:jc w:val="center"/>
              <w:rPr>
                <w:szCs w:val="20"/>
              </w:rPr>
            </w:pPr>
            <w:r w:rsidRPr="006440B8">
              <w:rPr>
                <w:szCs w:val="20"/>
              </w:rPr>
              <w:t>90%</w:t>
            </w:r>
          </w:p>
        </w:tc>
        <w:tc>
          <w:tcPr>
            <w:tcW w:w="496" w:type="pct"/>
            <w:tcBorders>
              <w:top w:val="single" w:sz="4" w:space="0" w:color="auto"/>
              <w:bottom w:val="single" w:sz="4" w:space="0" w:color="auto"/>
            </w:tcBorders>
            <w:vAlign w:val="center"/>
          </w:tcPr>
          <w:p w14:paraId="6F8E981C" w14:textId="77777777" w:rsidR="000A1519" w:rsidRPr="006440B8" w:rsidRDefault="000A1519" w:rsidP="00E67D76">
            <w:pPr>
              <w:pStyle w:val="TableText"/>
              <w:keepLines/>
              <w:ind w:left="-57"/>
              <w:jc w:val="center"/>
              <w:rPr>
                <w:szCs w:val="20"/>
              </w:rPr>
            </w:pPr>
            <w:r w:rsidRPr="006440B8">
              <w:rPr>
                <w:szCs w:val="20"/>
              </w:rPr>
              <w:t>90%</w:t>
            </w:r>
          </w:p>
        </w:tc>
      </w:tr>
      <w:tr w:rsidR="000A1519" w:rsidRPr="006440B8" w14:paraId="23D2B60B" w14:textId="77777777" w:rsidTr="00A361A7">
        <w:tc>
          <w:tcPr>
            <w:tcW w:w="2039" w:type="pct"/>
            <w:tcBorders>
              <w:bottom w:val="single" w:sz="4" w:space="0" w:color="auto"/>
            </w:tcBorders>
          </w:tcPr>
          <w:p w14:paraId="42FC564F" w14:textId="77777777" w:rsidR="000A1519" w:rsidRPr="006440B8" w:rsidRDefault="000A1519" w:rsidP="00E67D76">
            <w:pPr>
              <w:pStyle w:val="TableText"/>
              <w:keepLines/>
              <w:ind w:left="-57" w:right="-104"/>
              <w:rPr>
                <w:b/>
                <w:bCs w:val="0"/>
                <w:szCs w:val="20"/>
              </w:rPr>
            </w:pPr>
            <w:r w:rsidRPr="006440B8">
              <w:rPr>
                <w:b/>
                <w:bCs w:val="0"/>
                <w:szCs w:val="20"/>
              </w:rPr>
              <w:t>Total incident patients</w:t>
            </w:r>
          </w:p>
        </w:tc>
        <w:tc>
          <w:tcPr>
            <w:tcW w:w="493" w:type="pct"/>
            <w:tcBorders>
              <w:bottom w:val="single" w:sz="4" w:space="0" w:color="auto"/>
            </w:tcBorders>
            <w:vAlign w:val="center"/>
          </w:tcPr>
          <w:p w14:paraId="6587EFA9" w14:textId="51313EDE" w:rsidR="000A1519" w:rsidRPr="006440B8"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87"/>
                <w14:textFill>
                  <w14:solidFill>
                    <w14:srgbClr w14:val="000000">
                      <w14:alpha w14:val="100000"/>
                    </w14:srgbClr>
                  </w14:solidFill>
                </w14:textFill>
              </w:rPr>
              <w:t>|||</w:t>
            </w:r>
            <w:r w:rsidRPr="00F96E54">
              <w:rPr>
                <w:b/>
                <w:bCs w:val="0"/>
                <w:color w:val="000000"/>
                <w:spacing w:val="1"/>
                <w:szCs w:val="20"/>
                <w:shd w:val="solid" w:color="000000" w:fill="000000"/>
                <w:fitText w:val="313" w:id="-1435342587"/>
                <w14:textFill>
                  <w14:solidFill>
                    <w14:srgbClr w14:val="000000">
                      <w14:alpha w14:val="100000"/>
                    </w14:srgbClr>
                  </w14:solidFill>
                </w14:textFill>
              </w:rPr>
              <w:t>|</w:t>
            </w:r>
            <w:r w:rsidR="00842F59">
              <w:rPr>
                <w:vertAlign w:val="superscript"/>
              </w:rPr>
              <w:t>3</w:t>
            </w:r>
          </w:p>
        </w:tc>
        <w:tc>
          <w:tcPr>
            <w:tcW w:w="493" w:type="pct"/>
            <w:tcBorders>
              <w:bottom w:val="single" w:sz="4" w:space="0" w:color="auto"/>
            </w:tcBorders>
            <w:vAlign w:val="center"/>
          </w:tcPr>
          <w:p w14:paraId="2B0213DE" w14:textId="04DF4EF4" w:rsidR="000A1519" w:rsidRPr="006440B8"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86"/>
                <w14:textFill>
                  <w14:solidFill>
                    <w14:srgbClr w14:val="000000">
                      <w14:alpha w14:val="100000"/>
                    </w14:srgbClr>
                  </w14:solidFill>
                </w14:textFill>
              </w:rPr>
              <w:t>|||</w:t>
            </w:r>
            <w:r w:rsidRPr="00F96E54">
              <w:rPr>
                <w:b/>
                <w:bCs w:val="0"/>
                <w:color w:val="000000"/>
                <w:spacing w:val="1"/>
                <w:szCs w:val="20"/>
                <w:shd w:val="solid" w:color="000000" w:fill="000000"/>
                <w:fitText w:val="313" w:id="-1435342586"/>
                <w14:textFill>
                  <w14:solidFill>
                    <w14:srgbClr w14:val="000000">
                      <w14:alpha w14:val="100000"/>
                    </w14:srgbClr>
                  </w14:solidFill>
                </w14:textFill>
              </w:rPr>
              <w:t>|</w:t>
            </w:r>
            <w:r w:rsidR="00842F59">
              <w:rPr>
                <w:vertAlign w:val="superscript"/>
              </w:rPr>
              <w:t>3</w:t>
            </w:r>
          </w:p>
        </w:tc>
        <w:tc>
          <w:tcPr>
            <w:tcW w:w="493" w:type="pct"/>
            <w:tcBorders>
              <w:bottom w:val="single" w:sz="4" w:space="0" w:color="auto"/>
            </w:tcBorders>
            <w:vAlign w:val="center"/>
          </w:tcPr>
          <w:p w14:paraId="09C0ED97" w14:textId="10D4C832" w:rsidR="000A1519" w:rsidRPr="006440B8"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4" w:id="-1435342585"/>
                <w14:textFill>
                  <w14:solidFill>
                    <w14:srgbClr w14:val="000000">
                      <w14:alpha w14:val="100000"/>
                    </w14:srgbClr>
                  </w14:solidFill>
                </w14:textFill>
              </w:rPr>
              <w:t>|||</w:t>
            </w:r>
            <w:r w:rsidRPr="00F96E54">
              <w:rPr>
                <w:b/>
                <w:bCs w:val="0"/>
                <w:color w:val="000000"/>
                <w:spacing w:val="2"/>
                <w:szCs w:val="20"/>
                <w:shd w:val="solid" w:color="000000" w:fill="000000"/>
                <w:fitText w:val="314" w:id="-1435342585"/>
                <w14:textFill>
                  <w14:solidFill>
                    <w14:srgbClr w14:val="000000">
                      <w14:alpha w14:val="100000"/>
                    </w14:srgbClr>
                  </w14:solidFill>
                </w14:textFill>
              </w:rPr>
              <w:t>|</w:t>
            </w:r>
            <w:r w:rsidR="00842F59">
              <w:rPr>
                <w:vertAlign w:val="superscript"/>
              </w:rPr>
              <w:t>3</w:t>
            </w:r>
          </w:p>
        </w:tc>
        <w:tc>
          <w:tcPr>
            <w:tcW w:w="493" w:type="pct"/>
            <w:tcBorders>
              <w:bottom w:val="single" w:sz="4" w:space="0" w:color="auto"/>
            </w:tcBorders>
            <w:vAlign w:val="center"/>
          </w:tcPr>
          <w:p w14:paraId="49676756" w14:textId="50DE9CDF" w:rsidR="000A1519" w:rsidRPr="006440B8"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84"/>
                <w14:textFill>
                  <w14:solidFill>
                    <w14:srgbClr w14:val="000000">
                      <w14:alpha w14:val="100000"/>
                    </w14:srgbClr>
                  </w14:solidFill>
                </w14:textFill>
              </w:rPr>
              <w:t>|||</w:t>
            </w:r>
            <w:r w:rsidRPr="00F96E54">
              <w:rPr>
                <w:b/>
                <w:bCs w:val="0"/>
                <w:color w:val="000000"/>
                <w:spacing w:val="1"/>
                <w:szCs w:val="20"/>
                <w:shd w:val="solid" w:color="000000" w:fill="000000"/>
                <w:fitText w:val="313" w:id="-1435342584"/>
                <w14:textFill>
                  <w14:solidFill>
                    <w14:srgbClr w14:val="000000">
                      <w14:alpha w14:val="100000"/>
                    </w14:srgbClr>
                  </w14:solidFill>
                </w14:textFill>
              </w:rPr>
              <w:t>|</w:t>
            </w:r>
            <w:r w:rsidR="00842F59">
              <w:rPr>
                <w:vertAlign w:val="superscript"/>
              </w:rPr>
              <w:t>3</w:t>
            </w:r>
          </w:p>
        </w:tc>
        <w:tc>
          <w:tcPr>
            <w:tcW w:w="493" w:type="pct"/>
            <w:tcBorders>
              <w:bottom w:val="single" w:sz="4" w:space="0" w:color="auto"/>
            </w:tcBorders>
            <w:vAlign w:val="center"/>
          </w:tcPr>
          <w:p w14:paraId="1EF431E6" w14:textId="5341F2A7" w:rsidR="000A1519" w:rsidRPr="006440B8"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83"/>
                <w14:textFill>
                  <w14:solidFill>
                    <w14:srgbClr w14:val="000000">
                      <w14:alpha w14:val="100000"/>
                    </w14:srgbClr>
                  </w14:solidFill>
                </w14:textFill>
              </w:rPr>
              <w:t>|||</w:t>
            </w:r>
            <w:r w:rsidRPr="00F96E54">
              <w:rPr>
                <w:b/>
                <w:bCs w:val="0"/>
                <w:color w:val="000000"/>
                <w:spacing w:val="1"/>
                <w:szCs w:val="20"/>
                <w:shd w:val="solid" w:color="000000" w:fill="000000"/>
                <w:fitText w:val="313" w:id="-1435342583"/>
                <w14:textFill>
                  <w14:solidFill>
                    <w14:srgbClr w14:val="000000">
                      <w14:alpha w14:val="100000"/>
                    </w14:srgbClr>
                  </w14:solidFill>
                </w14:textFill>
              </w:rPr>
              <w:t>|</w:t>
            </w:r>
            <w:r w:rsidR="00842F59">
              <w:rPr>
                <w:vertAlign w:val="superscript"/>
              </w:rPr>
              <w:t>3</w:t>
            </w:r>
          </w:p>
        </w:tc>
        <w:tc>
          <w:tcPr>
            <w:tcW w:w="496" w:type="pct"/>
            <w:tcBorders>
              <w:bottom w:val="single" w:sz="4" w:space="0" w:color="auto"/>
            </w:tcBorders>
            <w:vAlign w:val="center"/>
          </w:tcPr>
          <w:p w14:paraId="192B0E5D" w14:textId="0159C0B4" w:rsidR="000A1519" w:rsidRPr="006440B8" w:rsidRDefault="00F96E54" w:rsidP="00E67D76">
            <w:pPr>
              <w:pStyle w:val="TableText"/>
              <w:keepLines/>
              <w:ind w:left="-57"/>
              <w:jc w:val="center"/>
              <w:rPr>
                <w:b/>
                <w:bCs w:val="0"/>
                <w:szCs w:val="20"/>
              </w:rPr>
            </w:pPr>
            <w:r w:rsidRPr="00F96E54">
              <w:rPr>
                <w:b/>
                <w:bCs w:val="0"/>
                <w:color w:val="000000"/>
                <w:spacing w:val="208"/>
                <w:szCs w:val="20"/>
                <w:shd w:val="solid" w:color="000000" w:fill="000000"/>
                <w:fitText w:val="300" w:id="-1435342582"/>
                <w14:textFill>
                  <w14:solidFill>
                    <w14:srgbClr w14:val="000000">
                      <w14:alpha w14:val="100000"/>
                    </w14:srgbClr>
                  </w14:solidFill>
                </w14:textFill>
              </w:rPr>
              <w:t>|</w:t>
            </w:r>
            <w:r w:rsidRPr="00F96E54">
              <w:rPr>
                <w:b/>
                <w:bCs w:val="0"/>
                <w:color w:val="000000"/>
                <w:spacing w:val="1"/>
                <w:szCs w:val="20"/>
                <w:shd w:val="solid" w:color="000000" w:fill="000000"/>
                <w:fitText w:val="300" w:id="-1435342582"/>
                <w14:textFill>
                  <w14:solidFill>
                    <w14:srgbClr w14:val="000000">
                      <w14:alpha w14:val="100000"/>
                    </w14:srgbClr>
                  </w14:solidFill>
                </w14:textFill>
              </w:rPr>
              <w:t>|</w:t>
            </w:r>
            <w:r w:rsidR="00842F59">
              <w:rPr>
                <w:vertAlign w:val="superscript"/>
              </w:rPr>
              <w:t>3</w:t>
            </w:r>
          </w:p>
        </w:tc>
      </w:tr>
      <w:tr w:rsidR="000A1519" w:rsidRPr="006440B8" w14:paraId="2F923641" w14:textId="77777777" w:rsidTr="00A361A7">
        <w:tc>
          <w:tcPr>
            <w:tcW w:w="2039" w:type="pct"/>
            <w:tcBorders>
              <w:bottom w:val="single" w:sz="4" w:space="0" w:color="auto"/>
            </w:tcBorders>
          </w:tcPr>
          <w:p w14:paraId="659E7692" w14:textId="77777777" w:rsidR="000A1519" w:rsidRPr="006440B8" w:rsidRDefault="000A1519" w:rsidP="00E67D76">
            <w:pPr>
              <w:pStyle w:val="TableText"/>
              <w:keepLines/>
              <w:ind w:left="-57" w:right="-104"/>
              <w:rPr>
                <w:szCs w:val="20"/>
              </w:rPr>
            </w:pPr>
            <w:r w:rsidRPr="006440B8">
              <w:rPr>
                <w:szCs w:val="20"/>
              </w:rPr>
              <w:t>Grandfathered (100% uptake)</w:t>
            </w:r>
          </w:p>
        </w:tc>
        <w:tc>
          <w:tcPr>
            <w:tcW w:w="493" w:type="pct"/>
            <w:tcBorders>
              <w:bottom w:val="single" w:sz="4" w:space="0" w:color="auto"/>
            </w:tcBorders>
            <w:vAlign w:val="center"/>
          </w:tcPr>
          <w:p w14:paraId="0B37B02F" w14:textId="4F118908" w:rsidR="000A1519" w:rsidRPr="006440B8" w:rsidRDefault="00F96E54" w:rsidP="00E67D76">
            <w:pPr>
              <w:pStyle w:val="TableText"/>
              <w:keepLines/>
              <w:ind w:left="-57"/>
              <w:jc w:val="center"/>
              <w:rPr>
                <w:szCs w:val="20"/>
              </w:rPr>
            </w:pPr>
            <w:r w:rsidRPr="00F96E54">
              <w:rPr>
                <w:color w:val="000000"/>
                <w:spacing w:val="177"/>
                <w:szCs w:val="20"/>
                <w:shd w:val="solid" w:color="000000" w:fill="000000"/>
                <w:fitText w:val="263" w:id="-1435342581"/>
                <w14:textFill>
                  <w14:solidFill>
                    <w14:srgbClr w14:val="000000">
                      <w14:alpha w14:val="100000"/>
                    </w14:srgbClr>
                  </w14:solidFill>
                </w14:textFill>
              </w:rPr>
              <w:t>|</w:t>
            </w:r>
            <w:r w:rsidRPr="00F96E54">
              <w:rPr>
                <w:color w:val="000000"/>
                <w:spacing w:val="1"/>
                <w:szCs w:val="20"/>
                <w:shd w:val="solid" w:color="000000" w:fill="000000"/>
                <w:fitText w:val="263" w:id="-1435342581"/>
                <w14:textFill>
                  <w14:solidFill>
                    <w14:srgbClr w14:val="000000">
                      <w14:alpha w14:val="100000"/>
                    </w14:srgbClr>
                  </w14:solidFill>
                </w14:textFill>
              </w:rPr>
              <w:t>|</w:t>
            </w:r>
            <w:r w:rsidR="00842F59">
              <w:rPr>
                <w:vertAlign w:val="superscript"/>
              </w:rPr>
              <w:t>3</w:t>
            </w:r>
          </w:p>
        </w:tc>
        <w:tc>
          <w:tcPr>
            <w:tcW w:w="493" w:type="pct"/>
            <w:tcBorders>
              <w:bottom w:val="single" w:sz="4" w:space="0" w:color="auto"/>
            </w:tcBorders>
            <w:vAlign w:val="center"/>
          </w:tcPr>
          <w:p w14:paraId="726EB930" w14:textId="77777777" w:rsidR="000A1519" w:rsidRPr="006440B8" w:rsidRDefault="000A1519" w:rsidP="00E67D76">
            <w:pPr>
              <w:pStyle w:val="TableText"/>
              <w:keepLines/>
              <w:ind w:left="-57"/>
              <w:jc w:val="center"/>
              <w:rPr>
                <w:szCs w:val="20"/>
              </w:rPr>
            </w:pPr>
            <w:r w:rsidRPr="006440B8">
              <w:rPr>
                <w:szCs w:val="20"/>
              </w:rPr>
              <w:t>-</w:t>
            </w:r>
          </w:p>
        </w:tc>
        <w:tc>
          <w:tcPr>
            <w:tcW w:w="493" w:type="pct"/>
            <w:tcBorders>
              <w:bottom w:val="single" w:sz="4" w:space="0" w:color="auto"/>
            </w:tcBorders>
            <w:vAlign w:val="center"/>
          </w:tcPr>
          <w:p w14:paraId="1CC35688" w14:textId="77777777" w:rsidR="000A1519" w:rsidRPr="006440B8" w:rsidRDefault="000A1519" w:rsidP="00E67D76">
            <w:pPr>
              <w:pStyle w:val="TableText"/>
              <w:keepLines/>
              <w:ind w:left="-57"/>
              <w:jc w:val="center"/>
              <w:rPr>
                <w:szCs w:val="20"/>
              </w:rPr>
            </w:pPr>
            <w:r w:rsidRPr="006440B8">
              <w:rPr>
                <w:szCs w:val="20"/>
              </w:rPr>
              <w:t>-</w:t>
            </w:r>
          </w:p>
        </w:tc>
        <w:tc>
          <w:tcPr>
            <w:tcW w:w="493" w:type="pct"/>
            <w:tcBorders>
              <w:bottom w:val="single" w:sz="4" w:space="0" w:color="auto"/>
            </w:tcBorders>
            <w:vAlign w:val="center"/>
          </w:tcPr>
          <w:p w14:paraId="0CDB6F0F" w14:textId="77777777" w:rsidR="000A1519" w:rsidRPr="006440B8" w:rsidRDefault="000A1519" w:rsidP="00E67D76">
            <w:pPr>
              <w:pStyle w:val="TableText"/>
              <w:keepLines/>
              <w:ind w:left="-57"/>
              <w:jc w:val="center"/>
              <w:rPr>
                <w:szCs w:val="20"/>
              </w:rPr>
            </w:pPr>
            <w:r w:rsidRPr="006440B8">
              <w:rPr>
                <w:szCs w:val="20"/>
              </w:rPr>
              <w:t>-</w:t>
            </w:r>
          </w:p>
        </w:tc>
        <w:tc>
          <w:tcPr>
            <w:tcW w:w="493" w:type="pct"/>
            <w:tcBorders>
              <w:bottom w:val="single" w:sz="4" w:space="0" w:color="auto"/>
            </w:tcBorders>
            <w:vAlign w:val="center"/>
          </w:tcPr>
          <w:p w14:paraId="59404925" w14:textId="77777777" w:rsidR="000A1519" w:rsidRPr="006440B8" w:rsidRDefault="000A1519" w:rsidP="00E67D76">
            <w:pPr>
              <w:pStyle w:val="TableText"/>
              <w:keepLines/>
              <w:ind w:left="-57"/>
              <w:jc w:val="center"/>
              <w:rPr>
                <w:szCs w:val="20"/>
              </w:rPr>
            </w:pPr>
            <w:r w:rsidRPr="006440B8">
              <w:rPr>
                <w:szCs w:val="20"/>
              </w:rPr>
              <w:t>-</w:t>
            </w:r>
          </w:p>
        </w:tc>
        <w:tc>
          <w:tcPr>
            <w:tcW w:w="496" w:type="pct"/>
            <w:tcBorders>
              <w:bottom w:val="single" w:sz="4" w:space="0" w:color="auto"/>
            </w:tcBorders>
            <w:vAlign w:val="center"/>
          </w:tcPr>
          <w:p w14:paraId="12430136" w14:textId="77777777" w:rsidR="000A1519" w:rsidRPr="006440B8" w:rsidRDefault="000A1519" w:rsidP="00E67D76">
            <w:pPr>
              <w:pStyle w:val="TableText"/>
              <w:keepLines/>
              <w:ind w:left="-57"/>
              <w:jc w:val="center"/>
              <w:rPr>
                <w:szCs w:val="20"/>
              </w:rPr>
            </w:pPr>
            <w:r w:rsidRPr="006440B8">
              <w:rPr>
                <w:szCs w:val="20"/>
              </w:rPr>
              <w:t>-</w:t>
            </w:r>
          </w:p>
        </w:tc>
      </w:tr>
      <w:tr w:rsidR="000A1519" w:rsidRPr="006440B8" w14:paraId="6DFE4D32" w14:textId="77777777" w:rsidTr="00A361A7">
        <w:tc>
          <w:tcPr>
            <w:tcW w:w="2039" w:type="pct"/>
            <w:tcBorders>
              <w:bottom w:val="double" w:sz="4" w:space="0" w:color="auto"/>
            </w:tcBorders>
          </w:tcPr>
          <w:p w14:paraId="173839F3" w14:textId="77777777" w:rsidR="000A1519" w:rsidRPr="006440B8" w:rsidRDefault="000A1519" w:rsidP="00E67D76">
            <w:pPr>
              <w:pStyle w:val="TableText"/>
              <w:keepLines/>
              <w:ind w:left="-57" w:right="-104"/>
              <w:rPr>
                <w:b/>
                <w:bCs w:val="0"/>
                <w:szCs w:val="20"/>
              </w:rPr>
            </w:pPr>
            <w:r w:rsidRPr="006440B8">
              <w:rPr>
                <w:b/>
                <w:bCs w:val="0"/>
                <w:szCs w:val="20"/>
              </w:rPr>
              <w:t>Total treated patients</w:t>
            </w:r>
          </w:p>
        </w:tc>
        <w:tc>
          <w:tcPr>
            <w:tcW w:w="493" w:type="pct"/>
            <w:tcBorders>
              <w:bottom w:val="double" w:sz="4" w:space="0" w:color="auto"/>
            </w:tcBorders>
            <w:vAlign w:val="center"/>
          </w:tcPr>
          <w:p w14:paraId="6313ED0D" w14:textId="7DBA04D9" w:rsidR="000A1519" w:rsidRPr="006440B8"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80"/>
                <w14:textFill>
                  <w14:solidFill>
                    <w14:srgbClr w14:val="000000">
                      <w14:alpha w14:val="100000"/>
                    </w14:srgbClr>
                  </w14:solidFill>
                </w14:textFill>
              </w:rPr>
              <w:t>|||</w:t>
            </w:r>
            <w:r w:rsidRPr="00F96E54">
              <w:rPr>
                <w:b/>
                <w:bCs w:val="0"/>
                <w:color w:val="000000"/>
                <w:spacing w:val="1"/>
                <w:szCs w:val="20"/>
                <w:shd w:val="solid" w:color="000000" w:fill="000000"/>
                <w:fitText w:val="313" w:id="-1435342580"/>
                <w14:textFill>
                  <w14:solidFill>
                    <w14:srgbClr w14:val="000000">
                      <w14:alpha w14:val="100000"/>
                    </w14:srgbClr>
                  </w14:solidFill>
                </w14:textFill>
              </w:rPr>
              <w:t>|</w:t>
            </w:r>
            <w:r w:rsidR="00842F59">
              <w:rPr>
                <w:vertAlign w:val="superscript"/>
              </w:rPr>
              <w:t>3</w:t>
            </w:r>
          </w:p>
        </w:tc>
        <w:tc>
          <w:tcPr>
            <w:tcW w:w="493" w:type="pct"/>
            <w:tcBorders>
              <w:bottom w:val="double" w:sz="4" w:space="0" w:color="auto"/>
            </w:tcBorders>
            <w:vAlign w:val="center"/>
          </w:tcPr>
          <w:p w14:paraId="0E79FA65" w14:textId="12EFA131" w:rsidR="000A1519" w:rsidRPr="006440B8"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79"/>
                <w14:textFill>
                  <w14:solidFill>
                    <w14:srgbClr w14:val="000000">
                      <w14:alpha w14:val="100000"/>
                    </w14:srgbClr>
                  </w14:solidFill>
                </w14:textFill>
              </w:rPr>
              <w:t>|||</w:t>
            </w:r>
            <w:r w:rsidRPr="00F96E54">
              <w:rPr>
                <w:b/>
                <w:bCs w:val="0"/>
                <w:color w:val="000000"/>
                <w:spacing w:val="1"/>
                <w:szCs w:val="20"/>
                <w:shd w:val="solid" w:color="000000" w:fill="000000"/>
                <w:fitText w:val="313" w:id="-1435342579"/>
                <w14:textFill>
                  <w14:solidFill>
                    <w14:srgbClr w14:val="000000">
                      <w14:alpha w14:val="100000"/>
                    </w14:srgbClr>
                  </w14:solidFill>
                </w14:textFill>
              </w:rPr>
              <w:t>|</w:t>
            </w:r>
            <w:r w:rsidR="00842F59">
              <w:rPr>
                <w:vertAlign w:val="superscript"/>
              </w:rPr>
              <w:t>3</w:t>
            </w:r>
          </w:p>
        </w:tc>
        <w:tc>
          <w:tcPr>
            <w:tcW w:w="493" w:type="pct"/>
            <w:tcBorders>
              <w:bottom w:val="double" w:sz="4" w:space="0" w:color="auto"/>
            </w:tcBorders>
            <w:vAlign w:val="center"/>
          </w:tcPr>
          <w:p w14:paraId="7887B307" w14:textId="0E238BF5" w:rsidR="000A1519" w:rsidRPr="006440B8"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4" w:id="-1435342578"/>
                <w14:textFill>
                  <w14:solidFill>
                    <w14:srgbClr w14:val="000000">
                      <w14:alpha w14:val="100000"/>
                    </w14:srgbClr>
                  </w14:solidFill>
                </w14:textFill>
              </w:rPr>
              <w:t>|||</w:t>
            </w:r>
            <w:r w:rsidRPr="00F96E54">
              <w:rPr>
                <w:b/>
                <w:bCs w:val="0"/>
                <w:color w:val="000000"/>
                <w:spacing w:val="2"/>
                <w:szCs w:val="20"/>
                <w:shd w:val="solid" w:color="000000" w:fill="000000"/>
                <w:fitText w:val="314" w:id="-1435342578"/>
                <w14:textFill>
                  <w14:solidFill>
                    <w14:srgbClr w14:val="000000">
                      <w14:alpha w14:val="100000"/>
                    </w14:srgbClr>
                  </w14:solidFill>
                </w14:textFill>
              </w:rPr>
              <w:t>|</w:t>
            </w:r>
            <w:r w:rsidR="00842F59">
              <w:rPr>
                <w:vertAlign w:val="superscript"/>
              </w:rPr>
              <w:t>3</w:t>
            </w:r>
          </w:p>
        </w:tc>
        <w:tc>
          <w:tcPr>
            <w:tcW w:w="493" w:type="pct"/>
            <w:tcBorders>
              <w:bottom w:val="double" w:sz="4" w:space="0" w:color="auto"/>
            </w:tcBorders>
            <w:vAlign w:val="center"/>
          </w:tcPr>
          <w:p w14:paraId="08EC188B" w14:textId="530BA0FE" w:rsidR="000A1519" w:rsidRPr="006440B8"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77"/>
                <w14:textFill>
                  <w14:solidFill>
                    <w14:srgbClr w14:val="000000">
                      <w14:alpha w14:val="100000"/>
                    </w14:srgbClr>
                  </w14:solidFill>
                </w14:textFill>
              </w:rPr>
              <w:t>|||</w:t>
            </w:r>
            <w:r w:rsidRPr="00F96E54">
              <w:rPr>
                <w:b/>
                <w:bCs w:val="0"/>
                <w:color w:val="000000"/>
                <w:spacing w:val="1"/>
                <w:szCs w:val="20"/>
                <w:shd w:val="solid" w:color="000000" w:fill="000000"/>
                <w:fitText w:val="313" w:id="-1435342577"/>
                <w14:textFill>
                  <w14:solidFill>
                    <w14:srgbClr w14:val="000000">
                      <w14:alpha w14:val="100000"/>
                    </w14:srgbClr>
                  </w14:solidFill>
                </w14:textFill>
              </w:rPr>
              <w:t>|</w:t>
            </w:r>
            <w:r w:rsidR="00842F59">
              <w:rPr>
                <w:vertAlign w:val="superscript"/>
              </w:rPr>
              <w:t>3</w:t>
            </w:r>
          </w:p>
        </w:tc>
        <w:tc>
          <w:tcPr>
            <w:tcW w:w="493" w:type="pct"/>
            <w:tcBorders>
              <w:bottom w:val="double" w:sz="4" w:space="0" w:color="auto"/>
            </w:tcBorders>
            <w:vAlign w:val="center"/>
          </w:tcPr>
          <w:p w14:paraId="64764FDB" w14:textId="05C86561" w:rsidR="000A1519" w:rsidRPr="006440B8"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76"/>
                <w14:textFill>
                  <w14:solidFill>
                    <w14:srgbClr w14:val="000000">
                      <w14:alpha w14:val="100000"/>
                    </w14:srgbClr>
                  </w14:solidFill>
                </w14:textFill>
              </w:rPr>
              <w:t>|||</w:t>
            </w:r>
            <w:r w:rsidRPr="00F96E54">
              <w:rPr>
                <w:b/>
                <w:bCs w:val="0"/>
                <w:color w:val="000000"/>
                <w:spacing w:val="1"/>
                <w:szCs w:val="20"/>
                <w:shd w:val="solid" w:color="000000" w:fill="000000"/>
                <w:fitText w:val="313" w:id="-1435342576"/>
                <w14:textFill>
                  <w14:solidFill>
                    <w14:srgbClr w14:val="000000">
                      <w14:alpha w14:val="100000"/>
                    </w14:srgbClr>
                  </w14:solidFill>
                </w14:textFill>
              </w:rPr>
              <w:t>|</w:t>
            </w:r>
            <w:r w:rsidR="00842F59">
              <w:rPr>
                <w:vertAlign w:val="superscript"/>
              </w:rPr>
              <w:t>3</w:t>
            </w:r>
          </w:p>
        </w:tc>
        <w:tc>
          <w:tcPr>
            <w:tcW w:w="496" w:type="pct"/>
            <w:tcBorders>
              <w:bottom w:val="double" w:sz="4" w:space="0" w:color="auto"/>
            </w:tcBorders>
            <w:vAlign w:val="center"/>
          </w:tcPr>
          <w:p w14:paraId="29E269B7" w14:textId="25BE8A82" w:rsidR="000A1519" w:rsidRPr="00320844" w:rsidRDefault="00F96E54" w:rsidP="00E67D76">
            <w:pPr>
              <w:pStyle w:val="TableText"/>
              <w:keepLines/>
              <w:ind w:left="-57"/>
              <w:jc w:val="center"/>
              <w:rPr>
                <w:b/>
                <w:bCs w:val="0"/>
                <w:szCs w:val="20"/>
              </w:rPr>
            </w:pPr>
            <w:r w:rsidRPr="00F96E54">
              <w:rPr>
                <w:b/>
                <w:bCs w:val="0"/>
                <w:color w:val="000000"/>
                <w:spacing w:val="208"/>
                <w:szCs w:val="20"/>
                <w:shd w:val="solid" w:color="000000" w:fill="000000"/>
                <w:fitText w:val="300" w:id="-1435342592"/>
                <w14:textFill>
                  <w14:solidFill>
                    <w14:srgbClr w14:val="000000">
                      <w14:alpha w14:val="100000"/>
                    </w14:srgbClr>
                  </w14:solidFill>
                </w14:textFill>
              </w:rPr>
              <w:t>|</w:t>
            </w:r>
            <w:r w:rsidRPr="00F96E54">
              <w:rPr>
                <w:b/>
                <w:bCs w:val="0"/>
                <w:color w:val="000000"/>
                <w:spacing w:val="1"/>
                <w:szCs w:val="20"/>
                <w:shd w:val="solid" w:color="000000" w:fill="000000"/>
                <w:fitText w:val="300" w:id="-1435342592"/>
                <w14:textFill>
                  <w14:solidFill>
                    <w14:srgbClr w14:val="000000">
                      <w14:alpha w14:val="100000"/>
                    </w14:srgbClr>
                  </w14:solidFill>
                </w14:textFill>
              </w:rPr>
              <w:t>|</w:t>
            </w:r>
            <w:r w:rsidR="00842F59">
              <w:rPr>
                <w:vertAlign w:val="superscript"/>
              </w:rPr>
              <w:t>3</w:t>
            </w:r>
          </w:p>
        </w:tc>
      </w:tr>
      <w:tr w:rsidR="000A1519" w:rsidRPr="006440B8" w14:paraId="413A986B" w14:textId="77777777" w:rsidTr="00A361A7">
        <w:tc>
          <w:tcPr>
            <w:tcW w:w="2039" w:type="pct"/>
            <w:tcBorders>
              <w:top w:val="double" w:sz="4" w:space="0" w:color="auto"/>
              <w:bottom w:val="single" w:sz="4" w:space="0" w:color="auto"/>
            </w:tcBorders>
            <w:shd w:val="clear" w:color="auto" w:fill="auto"/>
            <w:vAlign w:val="center"/>
          </w:tcPr>
          <w:p w14:paraId="4FE46E73" w14:textId="77777777" w:rsidR="000A1519" w:rsidRPr="00BF6B65" w:rsidRDefault="000A1519" w:rsidP="00E67D76">
            <w:pPr>
              <w:pStyle w:val="TableText"/>
              <w:keepLines/>
              <w:ind w:left="-57" w:right="-104"/>
              <w:rPr>
                <w:szCs w:val="20"/>
              </w:rPr>
            </w:pPr>
            <w:r w:rsidRPr="00BF6B65">
              <w:rPr>
                <w:szCs w:val="20"/>
              </w:rPr>
              <w:t>Total ruxolitinib 5 mg scripts (43%)</w:t>
            </w:r>
            <w:r w:rsidRPr="00BF6B65">
              <w:rPr>
                <w:szCs w:val="20"/>
                <w:vertAlign w:val="superscript"/>
              </w:rPr>
              <w:t>1</w:t>
            </w:r>
          </w:p>
        </w:tc>
        <w:tc>
          <w:tcPr>
            <w:tcW w:w="493" w:type="pct"/>
            <w:tcBorders>
              <w:top w:val="double" w:sz="4" w:space="0" w:color="auto"/>
              <w:bottom w:val="single" w:sz="4" w:space="0" w:color="auto"/>
            </w:tcBorders>
            <w:shd w:val="clear" w:color="auto" w:fill="auto"/>
            <w:vAlign w:val="center"/>
          </w:tcPr>
          <w:p w14:paraId="096E1237" w14:textId="36AE08FC"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91"/>
                <w14:textFill>
                  <w14:solidFill>
                    <w14:srgbClr w14:val="000000">
                      <w14:alpha w14:val="100000"/>
                    </w14:srgbClr>
                  </w14:solidFill>
                </w14:textFill>
              </w:rPr>
              <w:t>|</w:t>
            </w:r>
            <w:r w:rsidRPr="00F96E54">
              <w:rPr>
                <w:color w:val="000000"/>
                <w:spacing w:val="1"/>
                <w:szCs w:val="20"/>
                <w:shd w:val="solid" w:color="000000" w:fill="000000"/>
                <w:fitText w:val="263" w:id="-1435342591"/>
                <w14:textFill>
                  <w14:solidFill>
                    <w14:srgbClr w14:val="000000">
                      <w14:alpha w14:val="100000"/>
                    </w14:srgbClr>
                  </w14:solidFill>
                </w14:textFill>
              </w:rPr>
              <w:t>|</w:t>
            </w:r>
            <w:r w:rsidR="00842F59">
              <w:rPr>
                <w:vertAlign w:val="superscript"/>
              </w:rPr>
              <w:t>3</w:t>
            </w:r>
          </w:p>
        </w:tc>
        <w:tc>
          <w:tcPr>
            <w:tcW w:w="493" w:type="pct"/>
            <w:tcBorders>
              <w:top w:val="double" w:sz="4" w:space="0" w:color="auto"/>
              <w:bottom w:val="single" w:sz="4" w:space="0" w:color="auto"/>
            </w:tcBorders>
            <w:shd w:val="clear" w:color="auto" w:fill="auto"/>
            <w:vAlign w:val="center"/>
          </w:tcPr>
          <w:p w14:paraId="5EBD72B0" w14:textId="77EF720A"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90"/>
                <w14:textFill>
                  <w14:solidFill>
                    <w14:srgbClr w14:val="000000">
                      <w14:alpha w14:val="100000"/>
                    </w14:srgbClr>
                  </w14:solidFill>
                </w14:textFill>
              </w:rPr>
              <w:t>|</w:t>
            </w:r>
            <w:r w:rsidRPr="00F96E54">
              <w:rPr>
                <w:color w:val="000000"/>
                <w:spacing w:val="1"/>
                <w:szCs w:val="20"/>
                <w:shd w:val="solid" w:color="000000" w:fill="000000"/>
                <w:fitText w:val="263" w:id="-1435342590"/>
                <w14:textFill>
                  <w14:solidFill>
                    <w14:srgbClr w14:val="000000">
                      <w14:alpha w14:val="100000"/>
                    </w14:srgbClr>
                  </w14:solidFill>
                </w14:textFill>
              </w:rPr>
              <w:t>|</w:t>
            </w:r>
            <w:r w:rsidR="00842F59">
              <w:rPr>
                <w:vertAlign w:val="superscript"/>
              </w:rPr>
              <w:t>3</w:t>
            </w:r>
          </w:p>
        </w:tc>
        <w:tc>
          <w:tcPr>
            <w:tcW w:w="493" w:type="pct"/>
            <w:tcBorders>
              <w:top w:val="double" w:sz="4" w:space="0" w:color="auto"/>
              <w:bottom w:val="single" w:sz="4" w:space="0" w:color="auto"/>
            </w:tcBorders>
            <w:shd w:val="clear" w:color="auto" w:fill="auto"/>
            <w:vAlign w:val="center"/>
          </w:tcPr>
          <w:p w14:paraId="24E5B84F" w14:textId="74ECE76D"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89"/>
                <w14:textFill>
                  <w14:solidFill>
                    <w14:srgbClr w14:val="000000">
                      <w14:alpha w14:val="100000"/>
                    </w14:srgbClr>
                  </w14:solidFill>
                </w14:textFill>
              </w:rPr>
              <w:t>|</w:t>
            </w:r>
            <w:r w:rsidRPr="00F96E54">
              <w:rPr>
                <w:color w:val="000000"/>
                <w:spacing w:val="1"/>
                <w:szCs w:val="20"/>
                <w:shd w:val="solid" w:color="000000" w:fill="000000"/>
                <w:fitText w:val="263" w:id="-1435342589"/>
                <w14:textFill>
                  <w14:solidFill>
                    <w14:srgbClr w14:val="000000">
                      <w14:alpha w14:val="100000"/>
                    </w14:srgbClr>
                  </w14:solidFill>
                </w14:textFill>
              </w:rPr>
              <w:t>|</w:t>
            </w:r>
            <w:r w:rsidR="00842F59">
              <w:rPr>
                <w:vertAlign w:val="superscript"/>
              </w:rPr>
              <w:t>3</w:t>
            </w:r>
          </w:p>
        </w:tc>
        <w:tc>
          <w:tcPr>
            <w:tcW w:w="493" w:type="pct"/>
            <w:tcBorders>
              <w:top w:val="double" w:sz="4" w:space="0" w:color="auto"/>
              <w:bottom w:val="single" w:sz="4" w:space="0" w:color="auto"/>
            </w:tcBorders>
            <w:shd w:val="clear" w:color="auto" w:fill="auto"/>
            <w:vAlign w:val="center"/>
          </w:tcPr>
          <w:p w14:paraId="1BDC7788" w14:textId="7AF49357"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88"/>
                <w14:textFill>
                  <w14:solidFill>
                    <w14:srgbClr w14:val="000000">
                      <w14:alpha w14:val="100000"/>
                    </w14:srgbClr>
                  </w14:solidFill>
                </w14:textFill>
              </w:rPr>
              <w:t>|</w:t>
            </w:r>
            <w:r w:rsidRPr="00F96E54">
              <w:rPr>
                <w:color w:val="000000"/>
                <w:spacing w:val="1"/>
                <w:szCs w:val="20"/>
                <w:shd w:val="solid" w:color="000000" w:fill="000000"/>
                <w:fitText w:val="263" w:id="-1435342588"/>
                <w14:textFill>
                  <w14:solidFill>
                    <w14:srgbClr w14:val="000000">
                      <w14:alpha w14:val="100000"/>
                    </w14:srgbClr>
                  </w14:solidFill>
                </w14:textFill>
              </w:rPr>
              <w:t>|</w:t>
            </w:r>
            <w:r w:rsidR="00842F59">
              <w:rPr>
                <w:vertAlign w:val="superscript"/>
              </w:rPr>
              <w:t>3</w:t>
            </w:r>
          </w:p>
        </w:tc>
        <w:tc>
          <w:tcPr>
            <w:tcW w:w="493" w:type="pct"/>
            <w:tcBorders>
              <w:top w:val="double" w:sz="4" w:space="0" w:color="auto"/>
              <w:bottom w:val="single" w:sz="4" w:space="0" w:color="auto"/>
            </w:tcBorders>
            <w:shd w:val="clear" w:color="auto" w:fill="auto"/>
            <w:vAlign w:val="center"/>
          </w:tcPr>
          <w:p w14:paraId="73E26529" w14:textId="6AE3944B"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87"/>
                <w14:textFill>
                  <w14:solidFill>
                    <w14:srgbClr w14:val="000000">
                      <w14:alpha w14:val="100000"/>
                    </w14:srgbClr>
                  </w14:solidFill>
                </w14:textFill>
              </w:rPr>
              <w:t>|</w:t>
            </w:r>
            <w:r w:rsidRPr="00F96E54">
              <w:rPr>
                <w:color w:val="000000"/>
                <w:spacing w:val="1"/>
                <w:szCs w:val="20"/>
                <w:shd w:val="solid" w:color="000000" w:fill="000000"/>
                <w:fitText w:val="263" w:id="-1435342587"/>
                <w14:textFill>
                  <w14:solidFill>
                    <w14:srgbClr w14:val="000000">
                      <w14:alpha w14:val="100000"/>
                    </w14:srgbClr>
                  </w14:solidFill>
                </w14:textFill>
              </w:rPr>
              <w:t>|</w:t>
            </w:r>
            <w:r w:rsidR="00842F59">
              <w:rPr>
                <w:vertAlign w:val="superscript"/>
              </w:rPr>
              <w:t>3</w:t>
            </w:r>
          </w:p>
        </w:tc>
        <w:tc>
          <w:tcPr>
            <w:tcW w:w="496" w:type="pct"/>
            <w:tcBorders>
              <w:top w:val="double" w:sz="4" w:space="0" w:color="auto"/>
              <w:bottom w:val="single" w:sz="4" w:space="0" w:color="auto"/>
            </w:tcBorders>
            <w:shd w:val="clear" w:color="auto" w:fill="auto"/>
            <w:vAlign w:val="center"/>
          </w:tcPr>
          <w:p w14:paraId="4F4FBE0B" w14:textId="5A3CBAD3"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86"/>
                <w14:textFill>
                  <w14:solidFill>
                    <w14:srgbClr w14:val="000000">
                      <w14:alpha w14:val="100000"/>
                    </w14:srgbClr>
                  </w14:solidFill>
                </w14:textFill>
              </w:rPr>
              <w:t>|</w:t>
            </w:r>
            <w:r w:rsidRPr="00F96E54">
              <w:rPr>
                <w:color w:val="000000"/>
                <w:spacing w:val="1"/>
                <w:szCs w:val="20"/>
                <w:shd w:val="solid" w:color="000000" w:fill="000000"/>
                <w:fitText w:val="263" w:id="-1435342586"/>
                <w14:textFill>
                  <w14:solidFill>
                    <w14:srgbClr w14:val="000000">
                      <w14:alpha w14:val="100000"/>
                    </w14:srgbClr>
                  </w14:solidFill>
                </w14:textFill>
              </w:rPr>
              <w:t>|</w:t>
            </w:r>
            <w:r w:rsidR="00842F59">
              <w:rPr>
                <w:vertAlign w:val="superscript"/>
              </w:rPr>
              <w:t>3</w:t>
            </w:r>
          </w:p>
        </w:tc>
      </w:tr>
      <w:tr w:rsidR="000A1519" w:rsidRPr="006440B8" w14:paraId="289060C8" w14:textId="77777777" w:rsidTr="00A361A7">
        <w:tc>
          <w:tcPr>
            <w:tcW w:w="2039" w:type="pct"/>
            <w:tcBorders>
              <w:top w:val="single" w:sz="4" w:space="0" w:color="auto"/>
              <w:bottom w:val="single" w:sz="4" w:space="0" w:color="auto"/>
            </w:tcBorders>
            <w:shd w:val="clear" w:color="auto" w:fill="auto"/>
            <w:vAlign w:val="center"/>
          </w:tcPr>
          <w:p w14:paraId="7FF61456" w14:textId="77777777" w:rsidR="000A1519" w:rsidRPr="00BF6B65" w:rsidRDefault="000A1519" w:rsidP="00E67D76">
            <w:pPr>
              <w:pStyle w:val="TableText"/>
              <w:keepLines/>
              <w:ind w:left="-57" w:right="-104"/>
              <w:rPr>
                <w:szCs w:val="20"/>
              </w:rPr>
            </w:pPr>
            <w:r w:rsidRPr="00BF6B65">
              <w:rPr>
                <w:szCs w:val="20"/>
              </w:rPr>
              <w:t>Total ruxolitinib 10 mg scripts (57%)</w:t>
            </w:r>
            <w:r w:rsidRPr="00BF6B65">
              <w:rPr>
                <w:szCs w:val="20"/>
                <w:vertAlign w:val="superscript"/>
              </w:rPr>
              <w:t>1</w:t>
            </w:r>
          </w:p>
        </w:tc>
        <w:tc>
          <w:tcPr>
            <w:tcW w:w="493" w:type="pct"/>
            <w:tcBorders>
              <w:top w:val="single" w:sz="4" w:space="0" w:color="auto"/>
              <w:bottom w:val="single" w:sz="4" w:space="0" w:color="auto"/>
            </w:tcBorders>
            <w:shd w:val="clear" w:color="auto" w:fill="auto"/>
            <w:vAlign w:val="center"/>
          </w:tcPr>
          <w:p w14:paraId="1E7734C9" w14:textId="2BE0C1D7"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85"/>
                <w14:textFill>
                  <w14:solidFill>
                    <w14:srgbClr w14:val="000000">
                      <w14:alpha w14:val="100000"/>
                    </w14:srgbClr>
                  </w14:solidFill>
                </w14:textFill>
              </w:rPr>
              <w:t>|</w:t>
            </w:r>
            <w:r w:rsidRPr="00F96E54">
              <w:rPr>
                <w:color w:val="000000"/>
                <w:spacing w:val="1"/>
                <w:szCs w:val="20"/>
                <w:shd w:val="solid" w:color="000000" w:fill="000000"/>
                <w:fitText w:val="263" w:id="-1435342585"/>
                <w14:textFill>
                  <w14:solidFill>
                    <w14:srgbClr w14:val="000000">
                      <w14:alpha w14:val="100000"/>
                    </w14:srgbClr>
                  </w14:solidFill>
                </w14:textFill>
              </w:rPr>
              <w:t>|</w:t>
            </w:r>
            <w:r w:rsidR="00842F59">
              <w:rPr>
                <w:vertAlign w:val="superscript"/>
              </w:rPr>
              <w:t>3</w:t>
            </w:r>
          </w:p>
        </w:tc>
        <w:tc>
          <w:tcPr>
            <w:tcW w:w="493" w:type="pct"/>
            <w:tcBorders>
              <w:top w:val="single" w:sz="4" w:space="0" w:color="auto"/>
              <w:bottom w:val="single" w:sz="4" w:space="0" w:color="auto"/>
            </w:tcBorders>
            <w:shd w:val="clear" w:color="auto" w:fill="auto"/>
            <w:vAlign w:val="center"/>
          </w:tcPr>
          <w:p w14:paraId="5E30BB24" w14:textId="46D00A67"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84"/>
                <w14:textFill>
                  <w14:solidFill>
                    <w14:srgbClr w14:val="000000">
                      <w14:alpha w14:val="100000"/>
                    </w14:srgbClr>
                  </w14:solidFill>
                </w14:textFill>
              </w:rPr>
              <w:t>|</w:t>
            </w:r>
            <w:r w:rsidRPr="00F96E54">
              <w:rPr>
                <w:color w:val="000000"/>
                <w:spacing w:val="1"/>
                <w:szCs w:val="20"/>
                <w:shd w:val="solid" w:color="000000" w:fill="000000"/>
                <w:fitText w:val="263" w:id="-1435342584"/>
                <w14:textFill>
                  <w14:solidFill>
                    <w14:srgbClr w14:val="000000">
                      <w14:alpha w14:val="100000"/>
                    </w14:srgbClr>
                  </w14:solidFill>
                </w14:textFill>
              </w:rPr>
              <w:t>|</w:t>
            </w:r>
            <w:r w:rsidR="00842F59">
              <w:rPr>
                <w:vertAlign w:val="superscript"/>
              </w:rPr>
              <w:t>3</w:t>
            </w:r>
          </w:p>
        </w:tc>
        <w:tc>
          <w:tcPr>
            <w:tcW w:w="493" w:type="pct"/>
            <w:tcBorders>
              <w:top w:val="single" w:sz="4" w:space="0" w:color="auto"/>
              <w:bottom w:val="single" w:sz="4" w:space="0" w:color="auto"/>
            </w:tcBorders>
            <w:shd w:val="clear" w:color="auto" w:fill="auto"/>
            <w:vAlign w:val="center"/>
          </w:tcPr>
          <w:p w14:paraId="0E882FCB" w14:textId="73212728"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83"/>
                <w14:textFill>
                  <w14:solidFill>
                    <w14:srgbClr w14:val="000000">
                      <w14:alpha w14:val="100000"/>
                    </w14:srgbClr>
                  </w14:solidFill>
                </w14:textFill>
              </w:rPr>
              <w:t>|</w:t>
            </w:r>
            <w:r w:rsidRPr="00F96E54">
              <w:rPr>
                <w:color w:val="000000"/>
                <w:spacing w:val="1"/>
                <w:szCs w:val="20"/>
                <w:shd w:val="solid" w:color="000000" w:fill="000000"/>
                <w:fitText w:val="263" w:id="-1435342583"/>
                <w14:textFill>
                  <w14:solidFill>
                    <w14:srgbClr w14:val="000000">
                      <w14:alpha w14:val="100000"/>
                    </w14:srgbClr>
                  </w14:solidFill>
                </w14:textFill>
              </w:rPr>
              <w:t>|</w:t>
            </w:r>
            <w:r w:rsidR="00842F59">
              <w:rPr>
                <w:vertAlign w:val="superscript"/>
              </w:rPr>
              <w:t>3</w:t>
            </w:r>
          </w:p>
        </w:tc>
        <w:tc>
          <w:tcPr>
            <w:tcW w:w="493" w:type="pct"/>
            <w:tcBorders>
              <w:top w:val="single" w:sz="4" w:space="0" w:color="auto"/>
              <w:bottom w:val="single" w:sz="4" w:space="0" w:color="auto"/>
            </w:tcBorders>
            <w:shd w:val="clear" w:color="auto" w:fill="auto"/>
            <w:vAlign w:val="center"/>
          </w:tcPr>
          <w:p w14:paraId="199E3ED0" w14:textId="53C5D3F0"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82"/>
                <w14:textFill>
                  <w14:solidFill>
                    <w14:srgbClr w14:val="000000">
                      <w14:alpha w14:val="100000"/>
                    </w14:srgbClr>
                  </w14:solidFill>
                </w14:textFill>
              </w:rPr>
              <w:t>|</w:t>
            </w:r>
            <w:r w:rsidRPr="00F96E54">
              <w:rPr>
                <w:color w:val="000000"/>
                <w:spacing w:val="1"/>
                <w:szCs w:val="20"/>
                <w:shd w:val="solid" w:color="000000" w:fill="000000"/>
                <w:fitText w:val="263" w:id="-1435342582"/>
                <w14:textFill>
                  <w14:solidFill>
                    <w14:srgbClr w14:val="000000">
                      <w14:alpha w14:val="100000"/>
                    </w14:srgbClr>
                  </w14:solidFill>
                </w14:textFill>
              </w:rPr>
              <w:t>|</w:t>
            </w:r>
            <w:r w:rsidR="00842F59">
              <w:rPr>
                <w:vertAlign w:val="superscript"/>
              </w:rPr>
              <w:t>3</w:t>
            </w:r>
          </w:p>
        </w:tc>
        <w:tc>
          <w:tcPr>
            <w:tcW w:w="493" w:type="pct"/>
            <w:tcBorders>
              <w:top w:val="single" w:sz="4" w:space="0" w:color="auto"/>
              <w:bottom w:val="single" w:sz="4" w:space="0" w:color="auto"/>
            </w:tcBorders>
            <w:shd w:val="clear" w:color="auto" w:fill="auto"/>
            <w:vAlign w:val="center"/>
          </w:tcPr>
          <w:p w14:paraId="66DC70A6" w14:textId="2D052262"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81"/>
                <w14:textFill>
                  <w14:solidFill>
                    <w14:srgbClr w14:val="000000">
                      <w14:alpha w14:val="100000"/>
                    </w14:srgbClr>
                  </w14:solidFill>
                </w14:textFill>
              </w:rPr>
              <w:t>|</w:t>
            </w:r>
            <w:r w:rsidRPr="00F96E54">
              <w:rPr>
                <w:color w:val="000000"/>
                <w:spacing w:val="1"/>
                <w:szCs w:val="20"/>
                <w:shd w:val="solid" w:color="000000" w:fill="000000"/>
                <w:fitText w:val="263" w:id="-1435342581"/>
                <w14:textFill>
                  <w14:solidFill>
                    <w14:srgbClr w14:val="000000">
                      <w14:alpha w14:val="100000"/>
                    </w14:srgbClr>
                  </w14:solidFill>
                </w14:textFill>
              </w:rPr>
              <w:t>|</w:t>
            </w:r>
            <w:r w:rsidR="00842F59">
              <w:rPr>
                <w:vertAlign w:val="superscript"/>
              </w:rPr>
              <w:t>3</w:t>
            </w:r>
          </w:p>
        </w:tc>
        <w:tc>
          <w:tcPr>
            <w:tcW w:w="496" w:type="pct"/>
            <w:tcBorders>
              <w:top w:val="single" w:sz="4" w:space="0" w:color="auto"/>
              <w:bottom w:val="single" w:sz="4" w:space="0" w:color="auto"/>
            </w:tcBorders>
            <w:shd w:val="clear" w:color="auto" w:fill="auto"/>
            <w:vAlign w:val="center"/>
          </w:tcPr>
          <w:p w14:paraId="31DA8E43" w14:textId="062E80C1"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80"/>
                <w14:textFill>
                  <w14:solidFill>
                    <w14:srgbClr w14:val="000000">
                      <w14:alpha w14:val="100000"/>
                    </w14:srgbClr>
                  </w14:solidFill>
                </w14:textFill>
              </w:rPr>
              <w:t>|</w:t>
            </w:r>
            <w:r w:rsidRPr="00F96E54">
              <w:rPr>
                <w:color w:val="000000"/>
                <w:spacing w:val="1"/>
                <w:szCs w:val="20"/>
                <w:shd w:val="solid" w:color="000000" w:fill="000000"/>
                <w:fitText w:val="263" w:id="-1435342580"/>
                <w14:textFill>
                  <w14:solidFill>
                    <w14:srgbClr w14:val="000000">
                      <w14:alpha w14:val="100000"/>
                    </w14:srgbClr>
                  </w14:solidFill>
                </w14:textFill>
              </w:rPr>
              <w:t>|</w:t>
            </w:r>
            <w:r w:rsidR="00842F59">
              <w:rPr>
                <w:vertAlign w:val="superscript"/>
              </w:rPr>
              <w:t>3</w:t>
            </w:r>
          </w:p>
        </w:tc>
      </w:tr>
      <w:tr w:rsidR="000A1519" w:rsidRPr="006440B8" w14:paraId="20F81DE4" w14:textId="77777777" w:rsidTr="00A361A7">
        <w:tc>
          <w:tcPr>
            <w:tcW w:w="2039" w:type="pct"/>
            <w:tcBorders>
              <w:top w:val="single" w:sz="4" w:space="0" w:color="auto"/>
              <w:bottom w:val="double" w:sz="4" w:space="0" w:color="auto"/>
            </w:tcBorders>
            <w:shd w:val="clear" w:color="auto" w:fill="auto"/>
            <w:vAlign w:val="center"/>
          </w:tcPr>
          <w:p w14:paraId="45DD9439" w14:textId="77777777" w:rsidR="000A1519" w:rsidRPr="00BF6B65" w:rsidRDefault="000A1519" w:rsidP="00E67D76">
            <w:pPr>
              <w:pStyle w:val="TableText"/>
              <w:keepLines/>
              <w:ind w:left="-57" w:right="-104"/>
              <w:rPr>
                <w:b/>
                <w:bCs w:val="0"/>
                <w:szCs w:val="20"/>
              </w:rPr>
            </w:pPr>
            <w:r w:rsidRPr="00BF6B65">
              <w:rPr>
                <w:b/>
                <w:bCs w:val="0"/>
                <w:szCs w:val="20"/>
              </w:rPr>
              <w:t>Total scripts</w:t>
            </w:r>
          </w:p>
        </w:tc>
        <w:tc>
          <w:tcPr>
            <w:tcW w:w="493" w:type="pct"/>
            <w:tcBorders>
              <w:top w:val="single" w:sz="4" w:space="0" w:color="auto"/>
              <w:bottom w:val="double" w:sz="4" w:space="0" w:color="auto"/>
            </w:tcBorders>
            <w:shd w:val="clear" w:color="auto" w:fill="auto"/>
            <w:vAlign w:val="center"/>
          </w:tcPr>
          <w:p w14:paraId="608C380E" w14:textId="57CC8032" w:rsidR="000A1519" w:rsidRPr="00BF6B65"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79"/>
                <w14:textFill>
                  <w14:solidFill>
                    <w14:srgbClr w14:val="000000">
                      <w14:alpha w14:val="100000"/>
                    </w14:srgbClr>
                  </w14:solidFill>
                </w14:textFill>
              </w:rPr>
              <w:t>|||</w:t>
            </w:r>
            <w:r w:rsidRPr="00F96E54">
              <w:rPr>
                <w:b/>
                <w:bCs w:val="0"/>
                <w:color w:val="000000"/>
                <w:spacing w:val="1"/>
                <w:szCs w:val="20"/>
                <w:shd w:val="solid" w:color="000000" w:fill="000000"/>
                <w:fitText w:val="313" w:id="-1435342579"/>
                <w14:textFill>
                  <w14:solidFill>
                    <w14:srgbClr w14:val="000000">
                      <w14:alpha w14:val="100000"/>
                    </w14:srgbClr>
                  </w14:solidFill>
                </w14:textFill>
              </w:rPr>
              <w:t>|</w:t>
            </w:r>
            <w:r w:rsidR="00842F59">
              <w:rPr>
                <w:vertAlign w:val="superscript"/>
              </w:rPr>
              <w:t>3</w:t>
            </w:r>
            <w:r w:rsidR="000A1519" w:rsidRPr="00BF6B65">
              <w:rPr>
                <w:b/>
                <w:bCs w:val="0"/>
                <w:szCs w:val="20"/>
              </w:rPr>
              <w:t xml:space="preserve"> </w:t>
            </w:r>
          </w:p>
        </w:tc>
        <w:tc>
          <w:tcPr>
            <w:tcW w:w="493" w:type="pct"/>
            <w:tcBorders>
              <w:top w:val="single" w:sz="4" w:space="0" w:color="auto"/>
              <w:bottom w:val="double" w:sz="4" w:space="0" w:color="auto"/>
            </w:tcBorders>
            <w:shd w:val="clear" w:color="auto" w:fill="auto"/>
            <w:vAlign w:val="center"/>
          </w:tcPr>
          <w:p w14:paraId="7E4F59C2" w14:textId="2D348C85" w:rsidR="000A1519" w:rsidRPr="00BF6B65"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78"/>
                <w14:textFill>
                  <w14:solidFill>
                    <w14:srgbClr w14:val="000000">
                      <w14:alpha w14:val="100000"/>
                    </w14:srgbClr>
                  </w14:solidFill>
                </w14:textFill>
              </w:rPr>
              <w:t>|||</w:t>
            </w:r>
            <w:r w:rsidRPr="00F96E54">
              <w:rPr>
                <w:b/>
                <w:bCs w:val="0"/>
                <w:color w:val="000000"/>
                <w:spacing w:val="1"/>
                <w:szCs w:val="20"/>
                <w:shd w:val="solid" w:color="000000" w:fill="000000"/>
                <w:fitText w:val="313" w:id="-1435342578"/>
                <w14:textFill>
                  <w14:solidFill>
                    <w14:srgbClr w14:val="000000">
                      <w14:alpha w14:val="100000"/>
                    </w14:srgbClr>
                  </w14:solidFill>
                </w14:textFill>
              </w:rPr>
              <w:t>|</w:t>
            </w:r>
            <w:r w:rsidR="00842F59">
              <w:rPr>
                <w:vertAlign w:val="superscript"/>
              </w:rPr>
              <w:t>3</w:t>
            </w:r>
            <w:r w:rsidR="000A1519" w:rsidRPr="00BF6B65">
              <w:rPr>
                <w:b/>
                <w:bCs w:val="0"/>
                <w:szCs w:val="20"/>
              </w:rPr>
              <w:t xml:space="preserve"> </w:t>
            </w:r>
          </w:p>
        </w:tc>
        <w:tc>
          <w:tcPr>
            <w:tcW w:w="493" w:type="pct"/>
            <w:tcBorders>
              <w:top w:val="single" w:sz="4" w:space="0" w:color="auto"/>
              <w:bottom w:val="double" w:sz="4" w:space="0" w:color="auto"/>
            </w:tcBorders>
            <w:shd w:val="clear" w:color="auto" w:fill="auto"/>
            <w:vAlign w:val="center"/>
          </w:tcPr>
          <w:p w14:paraId="45335E2A" w14:textId="29014F34" w:rsidR="000A1519" w:rsidRPr="00BF6B65"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4" w:id="-1435342577"/>
                <w14:textFill>
                  <w14:solidFill>
                    <w14:srgbClr w14:val="000000">
                      <w14:alpha w14:val="100000"/>
                    </w14:srgbClr>
                  </w14:solidFill>
                </w14:textFill>
              </w:rPr>
              <w:t>|||</w:t>
            </w:r>
            <w:r w:rsidRPr="00F96E54">
              <w:rPr>
                <w:b/>
                <w:bCs w:val="0"/>
                <w:color w:val="000000"/>
                <w:spacing w:val="2"/>
                <w:szCs w:val="20"/>
                <w:shd w:val="solid" w:color="000000" w:fill="000000"/>
                <w:fitText w:val="314" w:id="-1435342577"/>
                <w14:textFill>
                  <w14:solidFill>
                    <w14:srgbClr w14:val="000000">
                      <w14:alpha w14:val="100000"/>
                    </w14:srgbClr>
                  </w14:solidFill>
                </w14:textFill>
              </w:rPr>
              <w:t>|</w:t>
            </w:r>
            <w:r w:rsidR="00842F59">
              <w:rPr>
                <w:vertAlign w:val="superscript"/>
              </w:rPr>
              <w:t>3</w:t>
            </w:r>
            <w:r w:rsidR="000A1519" w:rsidRPr="00BF6B65">
              <w:rPr>
                <w:b/>
                <w:bCs w:val="0"/>
                <w:szCs w:val="20"/>
              </w:rPr>
              <w:t xml:space="preserve"> </w:t>
            </w:r>
          </w:p>
        </w:tc>
        <w:tc>
          <w:tcPr>
            <w:tcW w:w="493" w:type="pct"/>
            <w:tcBorders>
              <w:top w:val="single" w:sz="4" w:space="0" w:color="auto"/>
              <w:bottom w:val="double" w:sz="4" w:space="0" w:color="auto"/>
            </w:tcBorders>
            <w:shd w:val="clear" w:color="auto" w:fill="auto"/>
            <w:vAlign w:val="center"/>
          </w:tcPr>
          <w:p w14:paraId="5EB0404E" w14:textId="195E015A" w:rsidR="000A1519" w:rsidRPr="00BF6B65"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76"/>
                <w14:textFill>
                  <w14:solidFill>
                    <w14:srgbClr w14:val="000000">
                      <w14:alpha w14:val="100000"/>
                    </w14:srgbClr>
                  </w14:solidFill>
                </w14:textFill>
              </w:rPr>
              <w:t>|||</w:t>
            </w:r>
            <w:r w:rsidRPr="00F96E54">
              <w:rPr>
                <w:b/>
                <w:bCs w:val="0"/>
                <w:color w:val="000000"/>
                <w:spacing w:val="1"/>
                <w:szCs w:val="20"/>
                <w:shd w:val="solid" w:color="000000" w:fill="000000"/>
                <w:fitText w:val="313" w:id="-1435342576"/>
                <w14:textFill>
                  <w14:solidFill>
                    <w14:srgbClr w14:val="000000">
                      <w14:alpha w14:val="100000"/>
                    </w14:srgbClr>
                  </w14:solidFill>
                </w14:textFill>
              </w:rPr>
              <w:t>|</w:t>
            </w:r>
            <w:r w:rsidR="00842F59">
              <w:rPr>
                <w:vertAlign w:val="superscript"/>
              </w:rPr>
              <w:t>3</w:t>
            </w:r>
            <w:r w:rsidR="000A1519" w:rsidRPr="00BF6B65">
              <w:rPr>
                <w:b/>
                <w:bCs w:val="0"/>
                <w:szCs w:val="20"/>
              </w:rPr>
              <w:t xml:space="preserve"> </w:t>
            </w:r>
          </w:p>
        </w:tc>
        <w:tc>
          <w:tcPr>
            <w:tcW w:w="493" w:type="pct"/>
            <w:tcBorders>
              <w:top w:val="single" w:sz="4" w:space="0" w:color="auto"/>
              <w:bottom w:val="double" w:sz="4" w:space="0" w:color="auto"/>
            </w:tcBorders>
            <w:shd w:val="clear" w:color="auto" w:fill="auto"/>
            <w:vAlign w:val="center"/>
          </w:tcPr>
          <w:p w14:paraId="2A9FE261" w14:textId="52E76185" w:rsidR="000A1519" w:rsidRPr="00BF6B65"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92"/>
                <w14:textFill>
                  <w14:solidFill>
                    <w14:srgbClr w14:val="000000">
                      <w14:alpha w14:val="100000"/>
                    </w14:srgbClr>
                  </w14:solidFill>
                </w14:textFill>
              </w:rPr>
              <w:t>|||</w:t>
            </w:r>
            <w:r w:rsidRPr="00F96E54">
              <w:rPr>
                <w:b/>
                <w:bCs w:val="0"/>
                <w:color w:val="000000"/>
                <w:spacing w:val="1"/>
                <w:szCs w:val="20"/>
                <w:shd w:val="solid" w:color="000000" w:fill="000000"/>
                <w:fitText w:val="313" w:id="-1435342592"/>
                <w14:textFill>
                  <w14:solidFill>
                    <w14:srgbClr w14:val="000000">
                      <w14:alpha w14:val="100000"/>
                    </w14:srgbClr>
                  </w14:solidFill>
                </w14:textFill>
              </w:rPr>
              <w:t>|</w:t>
            </w:r>
            <w:r w:rsidR="00842F59">
              <w:rPr>
                <w:vertAlign w:val="superscript"/>
              </w:rPr>
              <w:t>3</w:t>
            </w:r>
            <w:r w:rsidR="000A1519" w:rsidRPr="00BF6B65">
              <w:rPr>
                <w:b/>
                <w:bCs w:val="0"/>
                <w:szCs w:val="20"/>
              </w:rPr>
              <w:t xml:space="preserve"> </w:t>
            </w:r>
          </w:p>
        </w:tc>
        <w:tc>
          <w:tcPr>
            <w:tcW w:w="496" w:type="pct"/>
            <w:tcBorders>
              <w:top w:val="single" w:sz="4" w:space="0" w:color="auto"/>
              <w:bottom w:val="double" w:sz="4" w:space="0" w:color="auto"/>
            </w:tcBorders>
            <w:shd w:val="clear" w:color="auto" w:fill="auto"/>
            <w:vAlign w:val="center"/>
          </w:tcPr>
          <w:p w14:paraId="52BC683F" w14:textId="3C1B1830" w:rsidR="000A1519" w:rsidRPr="00BF6B65" w:rsidRDefault="00F96E54" w:rsidP="00E67D76">
            <w:pPr>
              <w:pStyle w:val="TableText"/>
              <w:keepLines/>
              <w:ind w:left="-57"/>
              <w:jc w:val="center"/>
              <w:rPr>
                <w:b/>
                <w:bCs w:val="0"/>
                <w:szCs w:val="20"/>
              </w:rPr>
            </w:pPr>
            <w:r w:rsidRPr="00F96E54">
              <w:rPr>
                <w:b/>
                <w:bCs w:val="0"/>
                <w:color w:val="000000"/>
                <w:spacing w:val="208"/>
                <w:szCs w:val="20"/>
                <w:shd w:val="solid" w:color="000000" w:fill="000000"/>
                <w:fitText w:val="300" w:id="-1435342591"/>
                <w14:textFill>
                  <w14:solidFill>
                    <w14:srgbClr w14:val="000000">
                      <w14:alpha w14:val="100000"/>
                    </w14:srgbClr>
                  </w14:solidFill>
                </w14:textFill>
              </w:rPr>
              <w:t>|</w:t>
            </w:r>
            <w:r w:rsidRPr="00F96E54">
              <w:rPr>
                <w:b/>
                <w:bCs w:val="0"/>
                <w:color w:val="000000"/>
                <w:spacing w:val="1"/>
                <w:szCs w:val="20"/>
                <w:shd w:val="solid" w:color="000000" w:fill="000000"/>
                <w:fitText w:val="300" w:id="-1435342591"/>
                <w14:textFill>
                  <w14:solidFill>
                    <w14:srgbClr w14:val="000000">
                      <w14:alpha w14:val="100000"/>
                    </w14:srgbClr>
                  </w14:solidFill>
                </w14:textFill>
              </w:rPr>
              <w:t>|</w:t>
            </w:r>
            <w:r w:rsidR="00842F59">
              <w:rPr>
                <w:vertAlign w:val="superscript"/>
              </w:rPr>
              <w:t>3</w:t>
            </w:r>
            <w:r w:rsidR="000A1519" w:rsidRPr="00BF6B65">
              <w:rPr>
                <w:b/>
                <w:bCs w:val="0"/>
                <w:szCs w:val="20"/>
              </w:rPr>
              <w:t xml:space="preserve"> </w:t>
            </w:r>
          </w:p>
        </w:tc>
      </w:tr>
      <w:tr w:rsidR="000A1519" w:rsidRPr="006440B8" w14:paraId="283034A0" w14:textId="77777777" w:rsidTr="00A361A7">
        <w:tc>
          <w:tcPr>
            <w:tcW w:w="5000" w:type="pct"/>
            <w:gridSpan w:val="7"/>
            <w:tcBorders>
              <w:top w:val="double" w:sz="4" w:space="0" w:color="auto"/>
            </w:tcBorders>
          </w:tcPr>
          <w:p w14:paraId="699F87F8" w14:textId="77777777" w:rsidR="000A1519" w:rsidRPr="006440B8" w:rsidRDefault="000A1519" w:rsidP="00E67D76">
            <w:pPr>
              <w:pStyle w:val="TableText"/>
              <w:keepLines/>
              <w:ind w:left="-65" w:right="-104"/>
              <w:rPr>
                <w:szCs w:val="20"/>
              </w:rPr>
            </w:pPr>
            <w:r w:rsidRPr="006440B8">
              <w:rPr>
                <w:rFonts w:cs="Calibri"/>
                <w:b/>
                <w:bCs w:val="0"/>
                <w:color w:val="000000"/>
                <w:szCs w:val="20"/>
              </w:rPr>
              <w:t>Cost of ruxolitinib to the PBS/RPBS (effective price)</w:t>
            </w:r>
          </w:p>
        </w:tc>
      </w:tr>
      <w:tr w:rsidR="000A1519" w:rsidRPr="006440B8" w14:paraId="417C550A" w14:textId="77777777" w:rsidTr="00A361A7">
        <w:tc>
          <w:tcPr>
            <w:tcW w:w="2039" w:type="pct"/>
            <w:vAlign w:val="center"/>
          </w:tcPr>
          <w:p w14:paraId="5C5F9772" w14:textId="77777777" w:rsidR="000A1519" w:rsidRPr="006440B8" w:rsidRDefault="000A1519" w:rsidP="00E67D76">
            <w:pPr>
              <w:pStyle w:val="TableText"/>
              <w:keepLines/>
              <w:ind w:left="-57" w:right="-104"/>
              <w:rPr>
                <w:szCs w:val="20"/>
              </w:rPr>
            </w:pPr>
            <w:r w:rsidRPr="006440B8">
              <w:rPr>
                <w:szCs w:val="20"/>
              </w:rPr>
              <w:t xml:space="preserve">Cost of ruxolitinib 5 mg </w:t>
            </w:r>
          </w:p>
        </w:tc>
        <w:tc>
          <w:tcPr>
            <w:tcW w:w="493" w:type="pct"/>
            <w:vAlign w:val="center"/>
          </w:tcPr>
          <w:p w14:paraId="5A41C887" w14:textId="7A484C09"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189"/>
                <w:szCs w:val="20"/>
                <w:shd w:val="solid" w:color="000000" w:fill="000000"/>
                <w:fitText w:val="275" w:id="-1435342590"/>
                <w14:textFill>
                  <w14:solidFill>
                    <w14:srgbClr w14:val="000000">
                      <w14:alpha w14:val="100000"/>
                    </w14:srgbClr>
                  </w14:solidFill>
                </w14:textFill>
              </w:rPr>
              <w:t>|</w:t>
            </w:r>
            <w:r w:rsidR="00F96E54" w:rsidRPr="00F96E54">
              <w:rPr>
                <w:color w:val="000000"/>
                <w:spacing w:val="1"/>
                <w:szCs w:val="20"/>
                <w:shd w:val="solid" w:color="000000" w:fill="000000"/>
                <w:fitText w:val="275" w:id="-1435342590"/>
                <w14:textFill>
                  <w14:solidFill>
                    <w14:srgbClr w14:val="000000">
                      <w14:alpha w14:val="100000"/>
                    </w14:srgbClr>
                  </w14:solidFill>
                </w14:textFill>
              </w:rPr>
              <w:t>|</w:t>
            </w:r>
            <w:r w:rsidR="00842F59">
              <w:rPr>
                <w:vertAlign w:val="superscript"/>
              </w:rPr>
              <w:t>4</w:t>
            </w:r>
          </w:p>
        </w:tc>
        <w:tc>
          <w:tcPr>
            <w:tcW w:w="493" w:type="pct"/>
            <w:vAlign w:val="center"/>
          </w:tcPr>
          <w:p w14:paraId="28B6D443" w14:textId="0D571E4C"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190"/>
                <w:szCs w:val="20"/>
                <w:shd w:val="solid" w:color="000000" w:fill="000000"/>
                <w:fitText w:val="276" w:id="-1435342589"/>
                <w14:textFill>
                  <w14:solidFill>
                    <w14:srgbClr w14:val="000000">
                      <w14:alpha w14:val="100000"/>
                    </w14:srgbClr>
                  </w14:solidFill>
                </w14:textFill>
              </w:rPr>
              <w:t>|</w:t>
            </w:r>
            <w:r w:rsidR="00F96E54" w:rsidRPr="00F96E54">
              <w:rPr>
                <w:color w:val="000000"/>
                <w:spacing w:val="1"/>
                <w:szCs w:val="20"/>
                <w:shd w:val="solid" w:color="000000" w:fill="000000"/>
                <w:fitText w:val="276" w:id="-1435342589"/>
                <w14:textFill>
                  <w14:solidFill>
                    <w14:srgbClr w14:val="000000">
                      <w14:alpha w14:val="100000"/>
                    </w14:srgbClr>
                  </w14:solidFill>
                </w14:textFill>
              </w:rPr>
              <w:t>|</w:t>
            </w:r>
            <w:r w:rsidR="00842F59">
              <w:rPr>
                <w:vertAlign w:val="superscript"/>
              </w:rPr>
              <w:t>4</w:t>
            </w:r>
          </w:p>
        </w:tc>
        <w:tc>
          <w:tcPr>
            <w:tcW w:w="493" w:type="pct"/>
            <w:vAlign w:val="center"/>
          </w:tcPr>
          <w:p w14:paraId="08F9D36D" w14:textId="7A82AAA9"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190"/>
                <w:szCs w:val="20"/>
                <w:shd w:val="solid" w:color="000000" w:fill="000000"/>
                <w:fitText w:val="276" w:id="-1435342588"/>
                <w14:textFill>
                  <w14:solidFill>
                    <w14:srgbClr w14:val="000000">
                      <w14:alpha w14:val="100000"/>
                    </w14:srgbClr>
                  </w14:solidFill>
                </w14:textFill>
              </w:rPr>
              <w:t>|</w:t>
            </w:r>
            <w:r w:rsidR="00F96E54" w:rsidRPr="00F96E54">
              <w:rPr>
                <w:color w:val="000000"/>
                <w:spacing w:val="1"/>
                <w:szCs w:val="20"/>
                <w:shd w:val="solid" w:color="000000" w:fill="000000"/>
                <w:fitText w:val="276" w:id="-1435342588"/>
                <w14:textFill>
                  <w14:solidFill>
                    <w14:srgbClr w14:val="000000">
                      <w14:alpha w14:val="100000"/>
                    </w14:srgbClr>
                  </w14:solidFill>
                </w14:textFill>
              </w:rPr>
              <w:t>|</w:t>
            </w:r>
            <w:r w:rsidR="00842F59">
              <w:rPr>
                <w:vertAlign w:val="superscript"/>
              </w:rPr>
              <w:t>4</w:t>
            </w:r>
          </w:p>
        </w:tc>
        <w:tc>
          <w:tcPr>
            <w:tcW w:w="493" w:type="pct"/>
            <w:vAlign w:val="center"/>
          </w:tcPr>
          <w:p w14:paraId="7330C234" w14:textId="61D50C82"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190"/>
                <w:szCs w:val="20"/>
                <w:shd w:val="solid" w:color="000000" w:fill="000000"/>
                <w:fitText w:val="276" w:id="-1435342587"/>
                <w14:textFill>
                  <w14:solidFill>
                    <w14:srgbClr w14:val="000000">
                      <w14:alpha w14:val="100000"/>
                    </w14:srgbClr>
                  </w14:solidFill>
                </w14:textFill>
              </w:rPr>
              <w:t>|</w:t>
            </w:r>
            <w:r w:rsidR="00F96E54" w:rsidRPr="00F96E54">
              <w:rPr>
                <w:color w:val="000000"/>
                <w:spacing w:val="1"/>
                <w:szCs w:val="20"/>
                <w:shd w:val="solid" w:color="000000" w:fill="000000"/>
                <w:fitText w:val="276" w:id="-1435342587"/>
                <w14:textFill>
                  <w14:solidFill>
                    <w14:srgbClr w14:val="000000">
                      <w14:alpha w14:val="100000"/>
                    </w14:srgbClr>
                  </w14:solidFill>
                </w14:textFill>
              </w:rPr>
              <w:t>|</w:t>
            </w:r>
            <w:r w:rsidR="00842F59">
              <w:rPr>
                <w:vertAlign w:val="superscript"/>
              </w:rPr>
              <w:t>4</w:t>
            </w:r>
          </w:p>
        </w:tc>
        <w:tc>
          <w:tcPr>
            <w:tcW w:w="493" w:type="pct"/>
            <w:vAlign w:val="center"/>
          </w:tcPr>
          <w:p w14:paraId="30973B47" w14:textId="533BEC19"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190"/>
                <w:szCs w:val="20"/>
                <w:shd w:val="solid" w:color="000000" w:fill="000000"/>
                <w:fitText w:val="276" w:id="-1435342586"/>
                <w14:textFill>
                  <w14:solidFill>
                    <w14:srgbClr w14:val="000000">
                      <w14:alpha w14:val="100000"/>
                    </w14:srgbClr>
                  </w14:solidFill>
                </w14:textFill>
              </w:rPr>
              <w:t>|</w:t>
            </w:r>
            <w:r w:rsidR="00F96E54" w:rsidRPr="00F96E54">
              <w:rPr>
                <w:color w:val="000000"/>
                <w:spacing w:val="1"/>
                <w:szCs w:val="20"/>
                <w:shd w:val="solid" w:color="000000" w:fill="000000"/>
                <w:fitText w:val="276" w:id="-1435342586"/>
                <w14:textFill>
                  <w14:solidFill>
                    <w14:srgbClr w14:val="000000">
                      <w14:alpha w14:val="100000"/>
                    </w14:srgbClr>
                  </w14:solidFill>
                </w14:textFill>
              </w:rPr>
              <w:t>|</w:t>
            </w:r>
            <w:r w:rsidR="00842F59">
              <w:rPr>
                <w:vertAlign w:val="superscript"/>
              </w:rPr>
              <w:t>4</w:t>
            </w:r>
          </w:p>
        </w:tc>
        <w:tc>
          <w:tcPr>
            <w:tcW w:w="496" w:type="pct"/>
            <w:vAlign w:val="center"/>
          </w:tcPr>
          <w:p w14:paraId="34C9EC55" w14:textId="1210CB35"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202"/>
                <w:szCs w:val="20"/>
                <w:shd w:val="solid" w:color="000000" w:fill="000000"/>
                <w:fitText w:val="288" w:id="-1435342585"/>
                <w14:textFill>
                  <w14:solidFill>
                    <w14:srgbClr w14:val="000000">
                      <w14:alpha w14:val="100000"/>
                    </w14:srgbClr>
                  </w14:solidFill>
                </w14:textFill>
              </w:rPr>
              <w:t>|</w:t>
            </w:r>
            <w:r w:rsidR="00F96E54" w:rsidRPr="00F96E54">
              <w:rPr>
                <w:color w:val="000000"/>
                <w:spacing w:val="1"/>
                <w:szCs w:val="20"/>
                <w:shd w:val="solid" w:color="000000" w:fill="000000"/>
                <w:fitText w:val="288" w:id="-1435342585"/>
                <w14:textFill>
                  <w14:solidFill>
                    <w14:srgbClr w14:val="000000">
                      <w14:alpha w14:val="100000"/>
                    </w14:srgbClr>
                  </w14:solidFill>
                </w14:textFill>
              </w:rPr>
              <w:t>|</w:t>
            </w:r>
            <w:r w:rsidR="005055DD">
              <w:rPr>
                <w:vertAlign w:val="superscript"/>
              </w:rPr>
              <w:t>4</w:t>
            </w:r>
          </w:p>
        </w:tc>
      </w:tr>
      <w:tr w:rsidR="000A1519" w:rsidRPr="006440B8" w14:paraId="06DC3E07" w14:textId="77777777" w:rsidTr="00A361A7">
        <w:tc>
          <w:tcPr>
            <w:tcW w:w="2039" w:type="pct"/>
            <w:vAlign w:val="center"/>
          </w:tcPr>
          <w:p w14:paraId="59D74A81" w14:textId="77777777" w:rsidR="000A1519" w:rsidRPr="006440B8" w:rsidRDefault="000A1519" w:rsidP="00E67D76">
            <w:pPr>
              <w:pStyle w:val="TableText"/>
              <w:keepLines/>
              <w:ind w:left="-57" w:right="-104"/>
              <w:rPr>
                <w:szCs w:val="20"/>
              </w:rPr>
            </w:pPr>
            <w:r w:rsidRPr="006440B8">
              <w:rPr>
                <w:szCs w:val="20"/>
              </w:rPr>
              <w:t xml:space="preserve">Cost of ruxolitinib 10 mg </w:t>
            </w:r>
          </w:p>
        </w:tc>
        <w:tc>
          <w:tcPr>
            <w:tcW w:w="493" w:type="pct"/>
            <w:vAlign w:val="center"/>
          </w:tcPr>
          <w:p w14:paraId="335229F4" w14:textId="0ED49109"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189"/>
                <w:szCs w:val="20"/>
                <w:shd w:val="solid" w:color="000000" w:fill="000000"/>
                <w:fitText w:val="275" w:id="-1435342584"/>
                <w14:textFill>
                  <w14:solidFill>
                    <w14:srgbClr w14:val="000000">
                      <w14:alpha w14:val="100000"/>
                    </w14:srgbClr>
                  </w14:solidFill>
                </w14:textFill>
              </w:rPr>
              <w:t>|</w:t>
            </w:r>
            <w:r w:rsidR="00F96E54" w:rsidRPr="00F96E54">
              <w:rPr>
                <w:color w:val="000000"/>
                <w:spacing w:val="1"/>
                <w:szCs w:val="20"/>
                <w:shd w:val="solid" w:color="000000" w:fill="000000"/>
                <w:fitText w:val="275" w:id="-1435342584"/>
                <w14:textFill>
                  <w14:solidFill>
                    <w14:srgbClr w14:val="000000">
                      <w14:alpha w14:val="100000"/>
                    </w14:srgbClr>
                  </w14:solidFill>
                </w14:textFill>
              </w:rPr>
              <w:t>|</w:t>
            </w:r>
            <w:r w:rsidR="00842F59">
              <w:rPr>
                <w:vertAlign w:val="superscript"/>
              </w:rPr>
              <w:t>4</w:t>
            </w:r>
          </w:p>
        </w:tc>
        <w:tc>
          <w:tcPr>
            <w:tcW w:w="493" w:type="pct"/>
            <w:vAlign w:val="center"/>
          </w:tcPr>
          <w:p w14:paraId="72204F7A" w14:textId="282DD0B1"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190"/>
                <w:szCs w:val="20"/>
                <w:shd w:val="solid" w:color="000000" w:fill="000000"/>
                <w:fitText w:val="276" w:id="-1435342583"/>
                <w14:textFill>
                  <w14:solidFill>
                    <w14:srgbClr w14:val="000000">
                      <w14:alpha w14:val="100000"/>
                    </w14:srgbClr>
                  </w14:solidFill>
                </w14:textFill>
              </w:rPr>
              <w:t>|</w:t>
            </w:r>
            <w:r w:rsidR="00F96E54" w:rsidRPr="00F96E54">
              <w:rPr>
                <w:color w:val="000000"/>
                <w:spacing w:val="1"/>
                <w:szCs w:val="20"/>
                <w:shd w:val="solid" w:color="000000" w:fill="000000"/>
                <w:fitText w:val="276" w:id="-1435342583"/>
                <w14:textFill>
                  <w14:solidFill>
                    <w14:srgbClr w14:val="000000">
                      <w14:alpha w14:val="100000"/>
                    </w14:srgbClr>
                  </w14:solidFill>
                </w14:textFill>
              </w:rPr>
              <w:t>|</w:t>
            </w:r>
            <w:r w:rsidR="00842F59">
              <w:rPr>
                <w:vertAlign w:val="superscript"/>
              </w:rPr>
              <w:t>4</w:t>
            </w:r>
          </w:p>
        </w:tc>
        <w:tc>
          <w:tcPr>
            <w:tcW w:w="493" w:type="pct"/>
            <w:vAlign w:val="center"/>
          </w:tcPr>
          <w:p w14:paraId="5C95F35B" w14:textId="732CB49E"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190"/>
                <w:szCs w:val="20"/>
                <w:shd w:val="solid" w:color="000000" w:fill="000000"/>
                <w:fitText w:val="276" w:id="-1435342582"/>
                <w14:textFill>
                  <w14:solidFill>
                    <w14:srgbClr w14:val="000000">
                      <w14:alpha w14:val="100000"/>
                    </w14:srgbClr>
                  </w14:solidFill>
                </w14:textFill>
              </w:rPr>
              <w:t>|</w:t>
            </w:r>
            <w:r w:rsidR="00F96E54" w:rsidRPr="00F96E54">
              <w:rPr>
                <w:color w:val="000000"/>
                <w:spacing w:val="1"/>
                <w:szCs w:val="20"/>
                <w:shd w:val="solid" w:color="000000" w:fill="000000"/>
                <w:fitText w:val="276" w:id="-1435342582"/>
                <w14:textFill>
                  <w14:solidFill>
                    <w14:srgbClr w14:val="000000">
                      <w14:alpha w14:val="100000"/>
                    </w14:srgbClr>
                  </w14:solidFill>
                </w14:textFill>
              </w:rPr>
              <w:t>|</w:t>
            </w:r>
            <w:r w:rsidR="00842F59">
              <w:rPr>
                <w:vertAlign w:val="superscript"/>
              </w:rPr>
              <w:t>4</w:t>
            </w:r>
          </w:p>
        </w:tc>
        <w:tc>
          <w:tcPr>
            <w:tcW w:w="493" w:type="pct"/>
            <w:vAlign w:val="center"/>
          </w:tcPr>
          <w:p w14:paraId="7FA5C398" w14:textId="0ECFC1DA"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190"/>
                <w:szCs w:val="20"/>
                <w:shd w:val="solid" w:color="000000" w:fill="000000"/>
                <w:fitText w:val="276" w:id="-1435342581"/>
                <w14:textFill>
                  <w14:solidFill>
                    <w14:srgbClr w14:val="000000">
                      <w14:alpha w14:val="100000"/>
                    </w14:srgbClr>
                  </w14:solidFill>
                </w14:textFill>
              </w:rPr>
              <w:t>|</w:t>
            </w:r>
            <w:r w:rsidR="00F96E54" w:rsidRPr="00F96E54">
              <w:rPr>
                <w:color w:val="000000"/>
                <w:spacing w:val="1"/>
                <w:szCs w:val="20"/>
                <w:shd w:val="solid" w:color="000000" w:fill="000000"/>
                <w:fitText w:val="276" w:id="-1435342581"/>
                <w14:textFill>
                  <w14:solidFill>
                    <w14:srgbClr w14:val="000000">
                      <w14:alpha w14:val="100000"/>
                    </w14:srgbClr>
                  </w14:solidFill>
                </w14:textFill>
              </w:rPr>
              <w:t>|</w:t>
            </w:r>
            <w:r w:rsidR="00842F59">
              <w:rPr>
                <w:vertAlign w:val="superscript"/>
              </w:rPr>
              <w:t>4</w:t>
            </w:r>
          </w:p>
        </w:tc>
        <w:tc>
          <w:tcPr>
            <w:tcW w:w="493" w:type="pct"/>
            <w:vAlign w:val="center"/>
          </w:tcPr>
          <w:p w14:paraId="154DA0BF" w14:textId="6F9905AD"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190"/>
                <w:szCs w:val="20"/>
                <w:shd w:val="solid" w:color="000000" w:fill="000000"/>
                <w:fitText w:val="276" w:id="-1435342580"/>
                <w14:textFill>
                  <w14:solidFill>
                    <w14:srgbClr w14:val="000000">
                      <w14:alpha w14:val="100000"/>
                    </w14:srgbClr>
                  </w14:solidFill>
                </w14:textFill>
              </w:rPr>
              <w:t>|</w:t>
            </w:r>
            <w:r w:rsidR="00F96E54" w:rsidRPr="00F96E54">
              <w:rPr>
                <w:color w:val="000000"/>
                <w:spacing w:val="1"/>
                <w:szCs w:val="20"/>
                <w:shd w:val="solid" w:color="000000" w:fill="000000"/>
                <w:fitText w:val="276" w:id="-1435342580"/>
                <w14:textFill>
                  <w14:solidFill>
                    <w14:srgbClr w14:val="000000">
                      <w14:alpha w14:val="100000"/>
                    </w14:srgbClr>
                  </w14:solidFill>
                </w14:textFill>
              </w:rPr>
              <w:t>|</w:t>
            </w:r>
            <w:r w:rsidR="00842F59">
              <w:rPr>
                <w:vertAlign w:val="superscript"/>
              </w:rPr>
              <w:t>4</w:t>
            </w:r>
          </w:p>
        </w:tc>
        <w:tc>
          <w:tcPr>
            <w:tcW w:w="496" w:type="pct"/>
            <w:vAlign w:val="center"/>
          </w:tcPr>
          <w:p w14:paraId="5E1C830C" w14:textId="3706DF1B"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202"/>
                <w:szCs w:val="20"/>
                <w:shd w:val="solid" w:color="000000" w:fill="000000"/>
                <w:fitText w:val="288" w:id="-1435342579"/>
                <w14:textFill>
                  <w14:solidFill>
                    <w14:srgbClr w14:val="000000">
                      <w14:alpha w14:val="100000"/>
                    </w14:srgbClr>
                  </w14:solidFill>
                </w14:textFill>
              </w:rPr>
              <w:t>|</w:t>
            </w:r>
            <w:r w:rsidR="00F96E54" w:rsidRPr="00F96E54">
              <w:rPr>
                <w:color w:val="000000"/>
                <w:spacing w:val="1"/>
                <w:szCs w:val="20"/>
                <w:shd w:val="solid" w:color="000000" w:fill="000000"/>
                <w:fitText w:val="288" w:id="-1435342579"/>
                <w14:textFill>
                  <w14:solidFill>
                    <w14:srgbClr w14:val="000000">
                      <w14:alpha w14:val="100000"/>
                    </w14:srgbClr>
                  </w14:solidFill>
                </w14:textFill>
              </w:rPr>
              <w:t>|</w:t>
            </w:r>
            <w:r w:rsidR="005055DD">
              <w:rPr>
                <w:vertAlign w:val="superscript"/>
              </w:rPr>
              <w:t>4</w:t>
            </w:r>
          </w:p>
        </w:tc>
      </w:tr>
      <w:tr w:rsidR="000A1519" w:rsidRPr="006440B8" w14:paraId="3121A77F" w14:textId="77777777" w:rsidTr="00A361A7">
        <w:tc>
          <w:tcPr>
            <w:tcW w:w="2039" w:type="pct"/>
            <w:vAlign w:val="center"/>
          </w:tcPr>
          <w:p w14:paraId="4A443DC7" w14:textId="77777777" w:rsidR="000A1519" w:rsidRPr="006440B8" w:rsidRDefault="000A1519" w:rsidP="00E67D76">
            <w:pPr>
              <w:pStyle w:val="TableText"/>
              <w:keepLines/>
              <w:ind w:left="-57" w:right="-104"/>
              <w:rPr>
                <w:b/>
                <w:bCs w:val="0"/>
                <w:szCs w:val="20"/>
              </w:rPr>
            </w:pPr>
            <w:r w:rsidRPr="006440B8">
              <w:rPr>
                <w:b/>
                <w:bCs w:val="0"/>
                <w:szCs w:val="20"/>
              </w:rPr>
              <w:t xml:space="preserve">Cost of ruxolitinib </w:t>
            </w:r>
          </w:p>
        </w:tc>
        <w:tc>
          <w:tcPr>
            <w:tcW w:w="493" w:type="pct"/>
            <w:vAlign w:val="center"/>
          </w:tcPr>
          <w:p w14:paraId="3702CDB7" w14:textId="29009F02"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7"/>
                <w:szCs w:val="20"/>
                <w:shd w:val="solid" w:color="000000" w:fill="000000"/>
                <w:fitText w:val="326" w:id="-1435342578"/>
                <w14:textFill>
                  <w14:solidFill>
                    <w14:srgbClr w14:val="000000">
                      <w14:alpha w14:val="100000"/>
                    </w14:srgbClr>
                  </w14:solidFill>
                </w14:textFill>
              </w:rPr>
              <w:t>|||</w:t>
            </w:r>
            <w:r w:rsidR="00F96E54" w:rsidRPr="00F96E54">
              <w:rPr>
                <w:rFonts w:cs="Calibri"/>
                <w:b/>
                <w:bCs w:val="0"/>
                <w:color w:val="000000"/>
                <w:spacing w:val="2"/>
                <w:szCs w:val="20"/>
                <w:shd w:val="solid" w:color="000000" w:fill="000000"/>
                <w:fitText w:val="326" w:id="-1435342578"/>
                <w14:textFill>
                  <w14:solidFill>
                    <w14:srgbClr w14:val="000000">
                      <w14:alpha w14:val="100000"/>
                    </w14:srgbClr>
                  </w14:solidFill>
                </w14:textFill>
              </w:rPr>
              <w:t>|</w:t>
            </w:r>
            <w:r w:rsidR="00842F59">
              <w:rPr>
                <w:vertAlign w:val="superscript"/>
              </w:rPr>
              <w:t>4</w:t>
            </w:r>
          </w:p>
        </w:tc>
        <w:tc>
          <w:tcPr>
            <w:tcW w:w="493" w:type="pct"/>
            <w:vAlign w:val="center"/>
          </w:tcPr>
          <w:p w14:paraId="019AB7D5" w14:textId="4975B5F4"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7"/>
                <w:szCs w:val="20"/>
                <w:shd w:val="solid" w:color="000000" w:fill="000000"/>
                <w:fitText w:val="325" w:id="-1435342577"/>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577"/>
                <w14:textFill>
                  <w14:solidFill>
                    <w14:srgbClr w14:val="000000">
                      <w14:alpha w14:val="100000"/>
                    </w14:srgbClr>
                  </w14:solidFill>
                </w14:textFill>
              </w:rPr>
              <w:t>|</w:t>
            </w:r>
            <w:r w:rsidR="00842F59">
              <w:rPr>
                <w:vertAlign w:val="superscript"/>
              </w:rPr>
              <w:t>4</w:t>
            </w:r>
          </w:p>
        </w:tc>
        <w:tc>
          <w:tcPr>
            <w:tcW w:w="493" w:type="pct"/>
            <w:vAlign w:val="center"/>
          </w:tcPr>
          <w:p w14:paraId="278B0B65" w14:textId="2D71AF9A"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7"/>
                <w:szCs w:val="20"/>
                <w:shd w:val="solid" w:color="000000" w:fill="000000"/>
                <w:fitText w:val="325" w:id="-1435342576"/>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576"/>
                <w14:textFill>
                  <w14:solidFill>
                    <w14:srgbClr w14:val="000000">
                      <w14:alpha w14:val="100000"/>
                    </w14:srgbClr>
                  </w14:solidFill>
                </w14:textFill>
              </w:rPr>
              <w:t>|</w:t>
            </w:r>
            <w:r w:rsidR="00842F59">
              <w:rPr>
                <w:vertAlign w:val="superscript"/>
              </w:rPr>
              <w:t>4</w:t>
            </w:r>
          </w:p>
        </w:tc>
        <w:tc>
          <w:tcPr>
            <w:tcW w:w="493" w:type="pct"/>
            <w:vAlign w:val="center"/>
          </w:tcPr>
          <w:p w14:paraId="1C40F132" w14:textId="24C12554"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7"/>
                <w:szCs w:val="20"/>
                <w:shd w:val="solid" w:color="000000" w:fill="000000"/>
                <w:fitText w:val="325" w:id="-1435342592"/>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592"/>
                <w14:textFill>
                  <w14:solidFill>
                    <w14:srgbClr w14:val="000000">
                      <w14:alpha w14:val="100000"/>
                    </w14:srgbClr>
                  </w14:solidFill>
                </w14:textFill>
              </w:rPr>
              <w:t>|</w:t>
            </w:r>
            <w:r w:rsidR="00842F59">
              <w:rPr>
                <w:vertAlign w:val="superscript"/>
              </w:rPr>
              <w:t>4</w:t>
            </w:r>
          </w:p>
        </w:tc>
        <w:tc>
          <w:tcPr>
            <w:tcW w:w="493" w:type="pct"/>
            <w:vAlign w:val="center"/>
          </w:tcPr>
          <w:p w14:paraId="0271BF6E" w14:textId="49C2453A"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7"/>
                <w:szCs w:val="20"/>
                <w:shd w:val="solid" w:color="000000" w:fill="000000"/>
                <w:fitText w:val="325" w:id="-1435342591"/>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591"/>
                <w14:textFill>
                  <w14:solidFill>
                    <w14:srgbClr w14:val="000000">
                      <w14:alpha w14:val="100000"/>
                    </w14:srgbClr>
                  </w14:solidFill>
                </w14:textFill>
              </w:rPr>
              <w:t>|</w:t>
            </w:r>
            <w:r w:rsidR="00842F59">
              <w:rPr>
                <w:vertAlign w:val="superscript"/>
              </w:rPr>
              <w:t>4</w:t>
            </w:r>
          </w:p>
        </w:tc>
        <w:tc>
          <w:tcPr>
            <w:tcW w:w="496" w:type="pct"/>
            <w:vAlign w:val="center"/>
          </w:tcPr>
          <w:p w14:paraId="60C999E4" w14:textId="5ECA6CD0"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3"/>
                <w:szCs w:val="20"/>
                <w:shd w:val="solid" w:color="000000" w:fill="000000"/>
                <w:fitText w:val="313" w:id="-1435342590"/>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590"/>
                <w14:textFill>
                  <w14:solidFill>
                    <w14:srgbClr w14:val="000000">
                      <w14:alpha w14:val="100000"/>
                    </w14:srgbClr>
                  </w14:solidFill>
                </w14:textFill>
              </w:rPr>
              <w:t>|</w:t>
            </w:r>
            <w:r w:rsidR="005055DD">
              <w:rPr>
                <w:vertAlign w:val="superscript"/>
              </w:rPr>
              <w:t>4</w:t>
            </w:r>
          </w:p>
        </w:tc>
      </w:tr>
      <w:tr w:rsidR="000A1519" w:rsidRPr="006440B8" w14:paraId="0D4C5D6A" w14:textId="77777777" w:rsidTr="00A361A7">
        <w:tc>
          <w:tcPr>
            <w:tcW w:w="2039" w:type="pct"/>
            <w:vAlign w:val="center"/>
          </w:tcPr>
          <w:p w14:paraId="732375E5" w14:textId="77777777" w:rsidR="000A1519" w:rsidRPr="006440B8" w:rsidRDefault="000A1519" w:rsidP="00E67D76">
            <w:pPr>
              <w:pStyle w:val="TableText"/>
              <w:keepLines/>
              <w:ind w:left="-57" w:right="-104"/>
              <w:rPr>
                <w:szCs w:val="20"/>
              </w:rPr>
            </w:pPr>
            <w:r w:rsidRPr="006440B8">
              <w:rPr>
                <w:szCs w:val="20"/>
              </w:rPr>
              <w:t>Patient copayment</w:t>
            </w:r>
          </w:p>
        </w:tc>
        <w:tc>
          <w:tcPr>
            <w:tcW w:w="493" w:type="pct"/>
            <w:vAlign w:val="center"/>
          </w:tcPr>
          <w:p w14:paraId="326ECC53" w14:textId="71C8A4E9" w:rsidR="000A1519" w:rsidRPr="006440B8" w:rsidRDefault="000A1519" w:rsidP="00E67D76">
            <w:pPr>
              <w:pStyle w:val="TableText"/>
              <w:keepLines/>
              <w:ind w:left="-65" w:right="-82"/>
              <w:jc w:val="center"/>
              <w:rPr>
                <w:szCs w:val="20"/>
              </w:rPr>
            </w:pPr>
            <w:r w:rsidRPr="006440B8">
              <w:rPr>
                <w:rFonts w:cs="Calibri"/>
                <w:color w:val="000000"/>
                <w:szCs w:val="20"/>
              </w:rPr>
              <w:t>$</w:t>
            </w:r>
            <w:r w:rsidR="00F96E54" w:rsidRPr="00F96E54">
              <w:rPr>
                <w:rFonts w:cs="Calibri"/>
                <w:color w:val="000000"/>
                <w:spacing w:val="189"/>
                <w:szCs w:val="20"/>
                <w:shd w:val="solid" w:color="000000" w:fill="000000"/>
                <w:fitText w:val="275" w:id="-1435342589"/>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75" w:id="-1435342589"/>
                <w14:textFill>
                  <w14:solidFill>
                    <w14:srgbClr w14:val="000000">
                      <w14:alpha w14:val="100000"/>
                    </w14:srgbClr>
                  </w14:solidFill>
                </w14:textFill>
              </w:rPr>
              <w:t>|</w:t>
            </w:r>
            <w:r w:rsidR="00842F59">
              <w:rPr>
                <w:vertAlign w:val="superscript"/>
              </w:rPr>
              <w:t>4</w:t>
            </w:r>
          </w:p>
        </w:tc>
        <w:tc>
          <w:tcPr>
            <w:tcW w:w="493" w:type="pct"/>
            <w:vAlign w:val="center"/>
          </w:tcPr>
          <w:p w14:paraId="5FA168FD" w14:textId="34CD54A7" w:rsidR="000A1519" w:rsidRPr="006440B8" w:rsidRDefault="000A1519" w:rsidP="00E67D76">
            <w:pPr>
              <w:pStyle w:val="TableText"/>
              <w:keepLines/>
              <w:ind w:left="-65" w:right="-82"/>
              <w:jc w:val="center"/>
              <w:rPr>
                <w:szCs w:val="20"/>
              </w:rPr>
            </w:pPr>
            <w:r w:rsidRPr="006440B8">
              <w:rPr>
                <w:rFonts w:cs="Calibri"/>
                <w:color w:val="000000"/>
                <w:szCs w:val="20"/>
              </w:rPr>
              <w:t>$</w:t>
            </w:r>
            <w:r w:rsidR="00F96E54" w:rsidRPr="00F96E54">
              <w:rPr>
                <w:rFonts w:cs="Calibri"/>
                <w:color w:val="000000"/>
                <w:spacing w:val="190"/>
                <w:szCs w:val="20"/>
                <w:shd w:val="solid" w:color="000000" w:fill="000000"/>
                <w:fitText w:val="276" w:id="-1435342588"/>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76" w:id="-1435342588"/>
                <w14:textFill>
                  <w14:solidFill>
                    <w14:srgbClr w14:val="000000">
                      <w14:alpha w14:val="100000"/>
                    </w14:srgbClr>
                  </w14:solidFill>
                </w14:textFill>
              </w:rPr>
              <w:t>|</w:t>
            </w:r>
            <w:r w:rsidR="00842F59">
              <w:rPr>
                <w:vertAlign w:val="superscript"/>
              </w:rPr>
              <w:t>4</w:t>
            </w:r>
          </w:p>
        </w:tc>
        <w:tc>
          <w:tcPr>
            <w:tcW w:w="493" w:type="pct"/>
            <w:vAlign w:val="center"/>
          </w:tcPr>
          <w:p w14:paraId="4E458DC6" w14:textId="64284213" w:rsidR="000A1519" w:rsidRPr="006440B8" w:rsidRDefault="000A1519" w:rsidP="00E67D76">
            <w:pPr>
              <w:pStyle w:val="TableText"/>
              <w:keepLines/>
              <w:ind w:left="-65" w:right="-82"/>
              <w:jc w:val="center"/>
              <w:rPr>
                <w:szCs w:val="20"/>
              </w:rPr>
            </w:pPr>
            <w:r w:rsidRPr="006440B8">
              <w:rPr>
                <w:rFonts w:cs="Calibri"/>
                <w:color w:val="000000"/>
                <w:szCs w:val="20"/>
              </w:rPr>
              <w:t>$</w:t>
            </w:r>
            <w:r w:rsidR="00F96E54" w:rsidRPr="00F96E54">
              <w:rPr>
                <w:rFonts w:cs="Calibri"/>
                <w:color w:val="000000"/>
                <w:spacing w:val="190"/>
                <w:szCs w:val="20"/>
                <w:shd w:val="solid" w:color="000000" w:fill="000000"/>
                <w:fitText w:val="276" w:id="-1435342587"/>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76" w:id="-1435342587"/>
                <w14:textFill>
                  <w14:solidFill>
                    <w14:srgbClr w14:val="000000">
                      <w14:alpha w14:val="100000"/>
                    </w14:srgbClr>
                  </w14:solidFill>
                </w14:textFill>
              </w:rPr>
              <w:t>|</w:t>
            </w:r>
            <w:r w:rsidR="00842F59">
              <w:rPr>
                <w:vertAlign w:val="superscript"/>
              </w:rPr>
              <w:t>4</w:t>
            </w:r>
          </w:p>
        </w:tc>
        <w:tc>
          <w:tcPr>
            <w:tcW w:w="493" w:type="pct"/>
            <w:vAlign w:val="center"/>
          </w:tcPr>
          <w:p w14:paraId="5D5CB2EE" w14:textId="43A8E44B" w:rsidR="000A1519" w:rsidRPr="006440B8" w:rsidRDefault="000A1519" w:rsidP="00E67D76">
            <w:pPr>
              <w:pStyle w:val="TableText"/>
              <w:keepLines/>
              <w:ind w:left="-65" w:right="-82"/>
              <w:jc w:val="center"/>
              <w:rPr>
                <w:szCs w:val="20"/>
              </w:rPr>
            </w:pPr>
            <w:r w:rsidRPr="006440B8">
              <w:rPr>
                <w:rFonts w:cs="Calibri"/>
                <w:color w:val="000000"/>
                <w:szCs w:val="20"/>
              </w:rPr>
              <w:t>$</w:t>
            </w:r>
            <w:r w:rsidR="00F96E54" w:rsidRPr="00F96E54">
              <w:rPr>
                <w:rFonts w:cs="Calibri"/>
                <w:color w:val="000000"/>
                <w:spacing w:val="190"/>
                <w:szCs w:val="20"/>
                <w:shd w:val="solid" w:color="000000" w:fill="000000"/>
                <w:fitText w:val="276" w:id="-1435342586"/>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76" w:id="-1435342586"/>
                <w14:textFill>
                  <w14:solidFill>
                    <w14:srgbClr w14:val="000000">
                      <w14:alpha w14:val="100000"/>
                    </w14:srgbClr>
                  </w14:solidFill>
                </w14:textFill>
              </w:rPr>
              <w:t>|</w:t>
            </w:r>
            <w:r w:rsidR="00842F59">
              <w:rPr>
                <w:vertAlign w:val="superscript"/>
              </w:rPr>
              <w:t>4</w:t>
            </w:r>
          </w:p>
        </w:tc>
        <w:tc>
          <w:tcPr>
            <w:tcW w:w="493" w:type="pct"/>
            <w:vAlign w:val="center"/>
          </w:tcPr>
          <w:p w14:paraId="484931AC" w14:textId="67E429CB" w:rsidR="000A1519" w:rsidRPr="006440B8" w:rsidRDefault="000A1519" w:rsidP="00E67D76">
            <w:pPr>
              <w:pStyle w:val="TableText"/>
              <w:keepLines/>
              <w:ind w:left="-65" w:right="-82"/>
              <w:jc w:val="center"/>
              <w:rPr>
                <w:szCs w:val="20"/>
              </w:rPr>
            </w:pPr>
            <w:r w:rsidRPr="006440B8">
              <w:rPr>
                <w:rFonts w:cs="Calibri"/>
                <w:color w:val="000000"/>
                <w:szCs w:val="20"/>
              </w:rPr>
              <w:t>$</w:t>
            </w:r>
            <w:r w:rsidR="00F96E54" w:rsidRPr="00F96E54">
              <w:rPr>
                <w:rFonts w:cs="Calibri"/>
                <w:color w:val="000000"/>
                <w:spacing w:val="190"/>
                <w:szCs w:val="20"/>
                <w:shd w:val="solid" w:color="000000" w:fill="000000"/>
                <w:fitText w:val="276" w:id="-1435342585"/>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76" w:id="-1435342585"/>
                <w14:textFill>
                  <w14:solidFill>
                    <w14:srgbClr w14:val="000000">
                      <w14:alpha w14:val="100000"/>
                    </w14:srgbClr>
                  </w14:solidFill>
                </w14:textFill>
              </w:rPr>
              <w:t>|</w:t>
            </w:r>
            <w:r w:rsidR="00842F59">
              <w:rPr>
                <w:vertAlign w:val="superscript"/>
              </w:rPr>
              <w:t>4</w:t>
            </w:r>
          </w:p>
        </w:tc>
        <w:tc>
          <w:tcPr>
            <w:tcW w:w="496" w:type="pct"/>
            <w:vAlign w:val="center"/>
          </w:tcPr>
          <w:p w14:paraId="3B036BD3" w14:textId="7A0CDD50" w:rsidR="000A1519" w:rsidRPr="006440B8" w:rsidRDefault="000A1519" w:rsidP="00E67D76">
            <w:pPr>
              <w:pStyle w:val="TableText"/>
              <w:keepLines/>
              <w:ind w:left="-65" w:right="-82"/>
              <w:jc w:val="center"/>
              <w:rPr>
                <w:szCs w:val="20"/>
              </w:rPr>
            </w:pPr>
            <w:r w:rsidRPr="006440B8">
              <w:rPr>
                <w:rFonts w:cs="Calibri"/>
                <w:color w:val="000000"/>
                <w:szCs w:val="20"/>
              </w:rPr>
              <w:t>$</w:t>
            </w:r>
            <w:r w:rsidR="00F96E54" w:rsidRPr="00F96E54">
              <w:rPr>
                <w:rFonts w:cs="Calibri"/>
                <w:color w:val="000000"/>
                <w:spacing w:val="202"/>
                <w:szCs w:val="20"/>
                <w:shd w:val="solid" w:color="000000" w:fill="000000"/>
                <w:fitText w:val="288" w:id="-1435342584"/>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88" w:id="-1435342584"/>
                <w14:textFill>
                  <w14:solidFill>
                    <w14:srgbClr w14:val="000000">
                      <w14:alpha w14:val="100000"/>
                    </w14:srgbClr>
                  </w14:solidFill>
                </w14:textFill>
              </w:rPr>
              <w:t>|</w:t>
            </w:r>
            <w:r w:rsidR="005055DD">
              <w:rPr>
                <w:vertAlign w:val="superscript"/>
              </w:rPr>
              <w:t>4</w:t>
            </w:r>
          </w:p>
        </w:tc>
      </w:tr>
      <w:tr w:rsidR="000A1519" w:rsidRPr="006440B8" w14:paraId="665904B1" w14:textId="77777777" w:rsidTr="00A361A7">
        <w:tc>
          <w:tcPr>
            <w:tcW w:w="2039" w:type="pct"/>
            <w:vAlign w:val="center"/>
          </w:tcPr>
          <w:p w14:paraId="45A8643A" w14:textId="77777777" w:rsidR="000A1519" w:rsidRPr="006440B8" w:rsidRDefault="000A1519" w:rsidP="00E67D76">
            <w:pPr>
              <w:pStyle w:val="TableText"/>
              <w:keepLines/>
              <w:ind w:left="-57" w:right="-104"/>
              <w:rPr>
                <w:b/>
                <w:bCs w:val="0"/>
                <w:szCs w:val="20"/>
              </w:rPr>
            </w:pPr>
            <w:r w:rsidRPr="006440B8">
              <w:rPr>
                <w:b/>
                <w:bCs w:val="0"/>
                <w:szCs w:val="20"/>
              </w:rPr>
              <w:t>Total cost to the PBS/RPBS (less copayment)</w:t>
            </w:r>
          </w:p>
        </w:tc>
        <w:tc>
          <w:tcPr>
            <w:tcW w:w="493" w:type="pct"/>
            <w:vAlign w:val="center"/>
          </w:tcPr>
          <w:p w14:paraId="6819F22A" w14:textId="78BA8ECE"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7"/>
                <w:szCs w:val="20"/>
                <w:shd w:val="solid" w:color="000000" w:fill="000000"/>
                <w:fitText w:val="326" w:id="-1435342583"/>
                <w14:textFill>
                  <w14:solidFill>
                    <w14:srgbClr w14:val="000000">
                      <w14:alpha w14:val="100000"/>
                    </w14:srgbClr>
                  </w14:solidFill>
                </w14:textFill>
              </w:rPr>
              <w:t>|||</w:t>
            </w:r>
            <w:r w:rsidR="00F96E54" w:rsidRPr="00F96E54">
              <w:rPr>
                <w:rFonts w:cs="Calibri"/>
                <w:b/>
                <w:bCs w:val="0"/>
                <w:color w:val="000000"/>
                <w:spacing w:val="2"/>
                <w:szCs w:val="20"/>
                <w:shd w:val="solid" w:color="000000" w:fill="000000"/>
                <w:fitText w:val="326" w:id="-1435342583"/>
                <w14:textFill>
                  <w14:solidFill>
                    <w14:srgbClr w14:val="000000">
                      <w14:alpha w14:val="100000"/>
                    </w14:srgbClr>
                  </w14:solidFill>
                </w14:textFill>
              </w:rPr>
              <w:t>|</w:t>
            </w:r>
            <w:r w:rsidR="00842F59">
              <w:rPr>
                <w:vertAlign w:val="superscript"/>
              </w:rPr>
              <w:t>4</w:t>
            </w:r>
          </w:p>
        </w:tc>
        <w:tc>
          <w:tcPr>
            <w:tcW w:w="493" w:type="pct"/>
            <w:vAlign w:val="center"/>
          </w:tcPr>
          <w:p w14:paraId="466C2114" w14:textId="780B18BF"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7"/>
                <w:szCs w:val="20"/>
                <w:shd w:val="solid" w:color="000000" w:fill="000000"/>
                <w:fitText w:val="325" w:id="-1435342582"/>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582"/>
                <w14:textFill>
                  <w14:solidFill>
                    <w14:srgbClr w14:val="000000">
                      <w14:alpha w14:val="100000"/>
                    </w14:srgbClr>
                  </w14:solidFill>
                </w14:textFill>
              </w:rPr>
              <w:t>|</w:t>
            </w:r>
            <w:r w:rsidR="00842F59">
              <w:rPr>
                <w:vertAlign w:val="superscript"/>
              </w:rPr>
              <w:t>4</w:t>
            </w:r>
          </w:p>
        </w:tc>
        <w:tc>
          <w:tcPr>
            <w:tcW w:w="493" w:type="pct"/>
            <w:vAlign w:val="center"/>
          </w:tcPr>
          <w:p w14:paraId="3D3DE4B7" w14:textId="75998A6C"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7"/>
                <w:szCs w:val="20"/>
                <w:shd w:val="solid" w:color="000000" w:fill="000000"/>
                <w:fitText w:val="325" w:id="-1435342581"/>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581"/>
                <w14:textFill>
                  <w14:solidFill>
                    <w14:srgbClr w14:val="000000">
                      <w14:alpha w14:val="100000"/>
                    </w14:srgbClr>
                  </w14:solidFill>
                </w14:textFill>
              </w:rPr>
              <w:t>|</w:t>
            </w:r>
            <w:r w:rsidR="00842F59">
              <w:rPr>
                <w:vertAlign w:val="superscript"/>
              </w:rPr>
              <w:t>4</w:t>
            </w:r>
          </w:p>
        </w:tc>
        <w:tc>
          <w:tcPr>
            <w:tcW w:w="493" w:type="pct"/>
            <w:vAlign w:val="center"/>
          </w:tcPr>
          <w:p w14:paraId="0A7C2244" w14:textId="4266161B"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7"/>
                <w:szCs w:val="20"/>
                <w:shd w:val="solid" w:color="000000" w:fill="000000"/>
                <w:fitText w:val="325" w:id="-1435342580"/>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580"/>
                <w14:textFill>
                  <w14:solidFill>
                    <w14:srgbClr w14:val="000000">
                      <w14:alpha w14:val="100000"/>
                    </w14:srgbClr>
                  </w14:solidFill>
                </w14:textFill>
              </w:rPr>
              <w:t>|</w:t>
            </w:r>
            <w:r w:rsidR="00842F59">
              <w:rPr>
                <w:vertAlign w:val="superscript"/>
              </w:rPr>
              <w:t>4</w:t>
            </w:r>
          </w:p>
        </w:tc>
        <w:tc>
          <w:tcPr>
            <w:tcW w:w="493" w:type="pct"/>
            <w:vAlign w:val="center"/>
          </w:tcPr>
          <w:p w14:paraId="573B3FC0" w14:textId="02DF2EE5"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7"/>
                <w:szCs w:val="20"/>
                <w:shd w:val="solid" w:color="000000" w:fill="000000"/>
                <w:fitText w:val="325" w:id="-1435342579"/>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579"/>
                <w14:textFill>
                  <w14:solidFill>
                    <w14:srgbClr w14:val="000000">
                      <w14:alpha w14:val="100000"/>
                    </w14:srgbClr>
                  </w14:solidFill>
                </w14:textFill>
              </w:rPr>
              <w:t>|</w:t>
            </w:r>
            <w:r w:rsidR="00842F59">
              <w:rPr>
                <w:vertAlign w:val="superscript"/>
              </w:rPr>
              <w:t>4</w:t>
            </w:r>
          </w:p>
        </w:tc>
        <w:tc>
          <w:tcPr>
            <w:tcW w:w="496" w:type="pct"/>
            <w:vAlign w:val="center"/>
          </w:tcPr>
          <w:p w14:paraId="170999AB" w14:textId="4FE4366A"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3"/>
                <w:szCs w:val="20"/>
                <w:shd w:val="solid" w:color="000000" w:fill="000000"/>
                <w:fitText w:val="313" w:id="-1435342578"/>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578"/>
                <w14:textFill>
                  <w14:solidFill>
                    <w14:srgbClr w14:val="000000">
                      <w14:alpha w14:val="100000"/>
                    </w14:srgbClr>
                  </w14:solidFill>
                </w14:textFill>
              </w:rPr>
              <w:t>|</w:t>
            </w:r>
            <w:r w:rsidR="005055DD">
              <w:rPr>
                <w:vertAlign w:val="superscript"/>
              </w:rPr>
              <w:t>4</w:t>
            </w:r>
          </w:p>
        </w:tc>
      </w:tr>
      <w:tr w:rsidR="000A1519" w:rsidRPr="00A737C2" w14:paraId="65A83F00" w14:textId="77777777" w:rsidTr="00A361A7">
        <w:tc>
          <w:tcPr>
            <w:tcW w:w="5000" w:type="pct"/>
            <w:gridSpan w:val="7"/>
            <w:vAlign w:val="center"/>
          </w:tcPr>
          <w:p w14:paraId="0015F6C3" w14:textId="590DCEF3" w:rsidR="000A1519" w:rsidRPr="00A737C2" w:rsidRDefault="000A1519" w:rsidP="00E67D76">
            <w:pPr>
              <w:pStyle w:val="TableText"/>
              <w:keepLines/>
              <w:ind w:left="-65" w:right="-82"/>
              <w:rPr>
                <w:rFonts w:cs="Arial"/>
                <w:b/>
                <w:bCs w:val="0"/>
                <w:szCs w:val="20"/>
              </w:rPr>
            </w:pPr>
            <w:r>
              <w:rPr>
                <w:rFonts w:cstheme="minorHAnsi"/>
                <w:b/>
                <w:bCs w:val="0"/>
                <w:szCs w:val="20"/>
              </w:rPr>
              <w:t xml:space="preserve">Changes in </w:t>
            </w:r>
            <w:r w:rsidRPr="00A737C2">
              <w:rPr>
                <w:rFonts w:cstheme="minorHAnsi"/>
                <w:b/>
                <w:bCs w:val="0"/>
                <w:szCs w:val="20"/>
              </w:rPr>
              <w:t xml:space="preserve">BAT therapy scripts for steroid refractory </w:t>
            </w:r>
            <w:r>
              <w:rPr>
                <w:rFonts w:cstheme="minorHAnsi"/>
                <w:b/>
                <w:bCs w:val="0"/>
                <w:szCs w:val="20"/>
              </w:rPr>
              <w:t>Grade II</w:t>
            </w:r>
            <w:r w:rsidR="00CD2292">
              <w:rPr>
                <w:rFonts w:cstheme="minorHAnsi"/>
                <w:b/>
                <w:bCs w:val="0"/>
                <w:szCs w:val="20"/>
              </w:rPr>
              <w:t xml:space="preserve"> to </w:t>
            </w:r>
            <w:r>
              <w:rPr>
                <w:rFonts w:cstheme="minorHAnsi"/>
                <w:b/>
                <w:bCs w:val="0"/>
                <w:szCs w:val="20"/>
              </w:rPr>
              <w:t>IV</w:t>
            </w:r>
            <w:r w:rsidRPr="00A737C2">
              <w:rPr>
                <w:rFonts w:cstheme="minorHAnsi"/>
                <w:b/>
                <w:bCs w:val="0"/>
                <w:szCs w:val="20"/>
              </w:rPr>
              <w:t xml:space="preserve"> </w:t>
            </w:r>
            <w:r>
              <w:rPr>
                <w:rFonts w:cstheme="minorHAnsi"/>
                <w:b/>
                <w:bCs w:val="0"/>
                <w:szCs w:val="20"/>
              </w:rPr>
              <w:t>a</w:t>
            </w:r>
            <w:r w:rsidRPr="00A737C2">
              <w:rPr>
                <w:rFonts w:cstheme="minorHAnsi"/>
                <w:b/>
                <w:bCs w:val="0"/>
                <w:szCs w:val="20"/>
              </w:rPr>
              <w:t>GVHD substituted by ruxolitinib</w:t>
            </w:r>
          </w:p>
        </w:tc>
      </w:tr>
      <w:tr w:rsidR="000A1519" w:rsidRPr="006440B8" w14:paraId="1596304A" w14:textId="77777777" w:rsidTr="00A361A7">
        <w:tc>
          <w:tcPr>
            <w:tcW w:w="2039" w:type="pct"/>
          </w:tcPr>
          <w:p w14:paraId="0285CAA2" w14:textId="77777777" w:rsidR="000A1519" w:rsidRPr="006440B8" w:rsidRDefault="000A1519" w:rsidP="00E67D76">
            <w:pPr>
              <w:pStyle w:val="TableText"/>
              <w:keepLines/>
              <w:tabs>
                <w:tab w:val="right" w:pos="3513"/>
              </w:tabs>
              <w:ind w:left="-57" w:right="-68"/>
              <w:rPr>
                <w:b/>
                <w:bCs w:val="0"/>
                <w:szCs w:val="20"/>
              </w:rPr>
            </w:pPr>
            <w:r w:rsidRPr="00A737C2">
              <w:rPr>
                <w:rFonts w:cstheme="minorHAnsi"/>
                <w:szCs w:val="20"/>
              </w:rPr>
              <w:t>Mycophenolate 500 mg tab</w:t>
            </w:r>
          </w:p>
        </w:tc>
        <w:tc>
          <w:tcPr>
            <w:tcW w:w="493" w:type="pct"/>
            <w:vAlign w:val="center"/>
          </w:tcPr>
          <w:p w14:paraId="61BB4B9E" w14:textId="4B25353A"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77"/>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77"/>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6950D107" w14:textId="6E00D216"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76"/>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76"/>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5C6FE836" w14:textId="2275AA97"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92"/>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92"/>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4C2C4452" w14:textId="188ABEEF"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91"/>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91"/>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5945DC6C" w14:textId="320729F8"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90"/>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90"/>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6" w:type="pct"/>
            <w:vAlign w:val="center"/>
          </w:tcPr>
          <w:p w14:paraId="682604E2" w14:textId="6CC866DE"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9"/>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9"/>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r>
      <w:tr w:rsidR="000A1519" w:rsidRPr="006440B8" w14:paraId="3164CF44" w14:textId="77777777" w:rsidTr="00A361A7">
        <w:tc>
          <w:tcPr>
            <w:tcW w:w="2039" w:type="pct"/>
          </w:tcPr>
          <w:p w14:paraId="3DC746B9" w14:textId="77777777" w:rsidR="000A1519" w:rsidRPr="006440B8" w:rsidRDefault="000A1519" w:rsidP="00E67D76">
            <w:pPr>
              <w:pStyle w:val="TableText"/>
              <w:keepLines/>
              <w:tabs>
                <w:tab w:val="right" w:pos="3513"/>
              </w:tabs>
              <w:ind w:left="-57" w:right="-68"/>
              <w:rPr>
                <w:b/>
                <w:bCs w:val="0"/>
                <w:szCs w:val="20"/>
              </w:rPr>
            </w:pPr>
            <w:r w:rsidRPr="00A737C2">
              <w:rPr>
                <w:rFonts w:cstheme="minorHAnsi"/>
                <w:szCs w:val="20"/>
              </w:rPr>
              <w:t>Methotrexate 10 mg tab</w:t>
            </w:r>
          </w:p>
        </w:tc>
        <w:tc>
          <w:tcPr>
            <w:tcW w:w="493" w:type="pct"/>
            <w:vAlign w:val="center"/>
          </w:tcPr>
          <w:p w14:paraId="20F0F7C2" w14:textId="64BF1314"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8"/>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8"/>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575D8B11" w14:textId="3D88B579"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7"/>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7"/>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3AACF0DB" w14:textId="7720342B"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6"/>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6"/>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17A0C7B2" w14:textId="1A116801"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5"/>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5"/>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0E19ABBE" w14:textId="6CCA6471"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4"/>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4"/>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6" w:type="pct"/>
            <w:vAlign w:val="center"/>
          </w:tcPr>
          <w:p w14:paraId="09DE54B8" w14:textId="0674BD41"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3"/>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3"/>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r>
      <w:tr w:rsidR="000A1519" w:rsidRPr="006440B8" w14:paraId="0A1C9EE7" w14:textId="77777777" w:rsidTr="00A361A7">
        <w:tc>
          <w:tcPr>
            <w:tcW w:w="2039" w:type="pct"/>
          </w:tcPr>
          <w:p w14:paraId="037034EE" w14:textId="77777777" w:rsidR="000A1519" w:rsidRPr="006440B8" w:rsidRDefault="000A1519" w:rsidP="00E67D76">
            <w:pPr>
              <w:pStyle w:val="TableText"/>
              <w:keepLines/>
              <w:tabs>
                <w:tab w:val="right" w:pos="3513"/>
              </w:tabs>
              <w:ind w:left="-57" w:right="-68"/>
              <w:rPr>
                <w:b/>
                <w:bCs w:val="0"/>
                <w:szCs w:val="20"/>
              </w:rPr>
            </w:pPr>
            <w:r w:rsidRPr="00A737C2">
              <w:rPr>
                <w:szCs w:val="20"/>
              </w:rPr>
              <w:t>Sirolimus 1 mg tab</w:t>
            </w:r>
          </w:p>
        </w:tc>
        <w:tc>
          <w:tcPr>
            <w:tcW w:w="493" w:type="pct"/>
            <w:vAlign w:val="center"/>
          </w:tcPr>
          <w:p w14:paraId="02AB3E0B" w14:textId="077DA5AD"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2"/>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2"/>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7E77EC95" w14:textId="524863C0"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1"/>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1"/>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59BBFFFF" w14:textId="247AB382"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0"/>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0"/>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1C58D1C0" w14:textId="4029DE7A"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79"/>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79"/>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16736CBF" w14:textId="6EDFD0C8"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78"/>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78"/>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6" w:type="pct"/>
            <w:vAlign w:val="center"/>
          </w:tcPr>
          <w:p w14:paraId="651FA57D" w14:textId="373944F2"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77"/>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77"/>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r>
      <w:tr w:rsidR="000A1519" w:rsidRPr="006440B8" w14:paraId="1D855D88" w14:textId="77777777" w:rsidTr="00A361A7">
        <w:tc>
          <w:tcPr>
            <w:tcW w:w="2039" w:type="pct"/>
          </w:tcPr>
          <w:p w14:paraId="0708CC61" w14:textId="77777777" w:rsidR="000A1519" w:rsidRPr="006440B8" w:rsidRDefault="000A1519" w:rsidP="00E67D76">
            <w:pPr>
              <w:pStyle w:val="TableText"/>
              <w:keepLines/>
              <w:tabs>
                <w:tab w:val="right" w:pos="3513"/>
              </w:tabs>
              <w:ind w:left="-57" w:right="-68"/>
              <w:rPr>
                <w:b/>
                <w:bCs w:val="0"/>
                <w:szCs w:val="20"/>
              </w:rPr>
            </w:pPr>
            <w:r w:rsidRPr="00A737C2">
              <w:rPr>
                <w:szCs w:val="20"/>
              </w:rPr>
              <w:t>Everolimus 1 mg tab</w:t>
            </w:r>
          </w:p>
        </w:tc>
        <w:tc>
          <w:tcPr>
            <w:tcW w:w="493" w:type="pct"/>
            <w:vAlign w:val="center"/>
          </w:tcPr>
          <w:p w14:paraId="77954B26" w14:textId="79C320F8"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76"/>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76"/>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3570ED90" w14:textId="3867A17F"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92"/>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92"/>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4856716C" w14:textId="3695EAC2"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91"/>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91"/>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374A1A58" w14:textId="039BC9A1"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90"/>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90"/>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30E18134" w14:textId="12099661"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9"/>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9"/>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6" w:type="pct"/>
            <w:vAlign w:val="center"/>
          </w:tcPr>
          <w:p w14:paraId="56267C8F" w14:textId="2A45D0EC"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8"/>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8"/>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r>
      <w:tr w:rsidR="000A1519" w:rsidRPr="00A737C2" w14:paraId="67D73E42" w14:textId="77777777" w:rsidTr="00A361A7">
        <w:tc>
          <w:tcPr>
            <w:tcW w:w="5000" w:type="pct"/>
            <w:gridSpan w:val="7"/>
            <w:vAlign w:val="center"/>
          </w:tcPr>
          <w:p w14:paraId="2061ED3F" w14:textId="3F6DB295" w:rsidR="000A1519" w:rsidRPr="00A737C2" w:rsidRDefault="000A1519" w:rsidP="00E67D76">
            <w:pPr>
              <w:pStyle w:val="TableText"/>
              <w:keepLines/>
              <w:ind w:left="-65" w:right="-82"/>
              <w:rPr>
                <w:rFonts w:cs="Arial"/>
                <w:b/>
                <w:bCs w:val="0"/>
                <w:szCs w:val="20"/>
              </w:rPr>
            </w:pPr>
            <w:r w:rsidRPr="00EE14F0">
              <w:rPr>
                <w:rFonts w:cstheme="minorHAnsi"/>
                <w:b/>
                <w:bCs w:val="0"/>
                <w:szCs w:val="20"/>
              </w:rPr>
              <w:t xml:space="preserve">Cost offsets from substitution of BAT therapies for steroid refractory </w:t>
            </w:r>
            <w:r>
              <w:rPr>
                <w:rFonts w:cstheme="minorHAnsi"/>
                <w:b/>
                <w:bCs w:val="0"/>
                <w:szCs w:val="20"/>
              </w:rPr>
              <w:t>Grade II</w:t>
            </w:r>
            <w:r w:rsidR="00CD2292">
              <w:rPr>
                <w:rFonts w:cstheme="minorHAnsi"/>
                <w:b/>
                <w:bCs w:val="0"/>
                <w:szCs w:val="20"/>
              </w:rPr>
              <w:t xml:space="preserve"> to </w:t>
            </w:r>
            <w:r>
              <w:rPr>
                <w:rFonts w:cstheme="minorHAnsi"/>
                <w:b/>
                <w:bCs w:val="0"/>
                <w:szCs w:val="20"/>
              </w:rPr>
              <w:t>IV</w:t>
            </w:r>
            <w:r w:rsidRPr="00A737C2">
              <w:rPr>
                <w:rFonts w:cstheme="minorHAnsi"/>
                <w:b/>
                <w:bCs w:val="0"/>
                <w:szCs w:val="20"/>
              </w:rPr>
              <w:t xml:space="preserve"> </w:t>
            </w:r>
            <w:r>
              <w:rPr>
                <w:rFonts w:cstheme="minorHAnsi"/>
                <w:b/>
                <w:bCs w:val="0"/>
                <w:szCs w:val="20"/>
              </w:rPr>
              <w:t>a</w:t>
            </w:r>
            <w:r w:rsidRPr="00A737C2">
              <w:rPr>
                <w:rFonts w:cstheme="minorHAnsi"/>
                <w:b/>
                <w:bCs w:val="0"/>
                <w:szCs w:val="20"/>
              </w:rPr>
              <w:t>GVHD</w:t>
            </w:r>
          </w:p>
        </w:tc>
      </w:tr>
      <w:tr w:rsidR="000A1519" w:rsidRPr="003B7C85" w14:paraId="14DE997D" w14:textId="77777777" w:rsidTr="00A361A7">
        <w:tc>
          <w:tcPr>
            <w:tcW w:w="2039" w:type="pct"/>
          </w:tcPr>
          <w:p w14:paraId="477C68E8" w14:textId="77777777" w:rsidR="000A1519" w:rsidRPr="003B7C85" w:rsidRDefault="000A1519" w:rsidP="00E67D76">
            <w:pPr>
              <w:pStyle w:val="TableText"/>
              <w:keepLines/>
              <w:tabs>
                <w:tab w:val="right" w:pos="3513"/>
              </w:tabs>
              <w:ind w:left="-57" w:right="-68"/>
              <w:rPr>
                <w:szCs w:val="20"/>
              </w:rPr>
            </w:pPr>
            <w:r w:rsidRPr="003B7C85">
              <w:rPr>
                <w:rFonts w:cstheme="minorHAnsi"/>
                <w:szCs w:val="20"/>
              </w:rPr>
              <w:t>Mycophenolate cost to PBS (less copayment)</w:t>
            </w:r>
          </w:p>
        </w:tc>
        <w:tc>
          <w:tcPr>
            <w:tcW w:w="493" w:type="pct"/>
            <w:vAlign w:val="center"/>
          </w:tcPr>
          <w:p w14:paraId="0AD15A96" w14:textId="170BF83F" w:rsidR="000A1519" w:rsidRPr="00EA3B23" w:rsidRDefault="000A1519" w:rsidP="00E67D76">
            <w:pPr>
              <w:pStyle w:val="TableText"/>
              <w:keepLines/>
              <w:ind w:left="-65" w:right="-82"/>
              <w:jc w:val="center"/>
              <w:rPr>
                <w:rFonts w:cs="Calibri"/>
                <w:color w:val="000000"/>
                <w:szCs w:val="20"/>
                <w:highlight w:val="darkGray"/>
              </w:rPr>
            </w:pPr>
            <w:r w:rsidRPr="00320844">
              <w:rPr>
                <w:rFonts w:cs="Arial"/>
                <w:szCs w:val="20"/>
              </w:rPr>
              <w:t>-$</w:t>
            </w:r>
            <w:r w:rsidR="00F96E54" w:rsidRPr="00F96E54">
              <w:rPr>
                <w:rFonts w:cs="Arial"/>
                <w:color w:val="000000"/>
                <w:spacing w:val="47"/>
                <w:szCs w:val="20"/>
                <w:shd w:val="solid" w:color="000000" w:fill="000000"/>
                <w:fitText w:val="313" w:id="-1435342587"/>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587"/>
                <w14:textFill>
                  <w14:solidFill>
                    <w14:srgbClr w14:val="000000">
                      <w14:alpha w14:val="100000"/>
                    </w14:srgbClr>
                  </w14:solidFill>
                </w14:textFill>
              </w:rPr>
              <w:t>|</w:t>
            </w:r>
            <w:r w:rsidR="00842F59">
              <w:rPr>
                <w:vertAlign w:val="superscript"/>
              </w:rPr>
              <w:t>4</w:t>
            </w:r>
          </w:p>
        </w:tc>
        <w:tc>
          <w:tcPr>
            <w:tcW w:w="493" w:type="pct"/>
            <w:vAlign w:val="center"/>
          </w:tcPr>
          <w:p w14:paraId="1C8CD8DA" w14:textId="4AD8450C"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586"/>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586"/>
                <w14:textFill>
                  <w14:solidFill>
                    <w14:srgbClr w14:val="000000">
                      <w14:alpha w14:val="100000"/>
                    </w14:srgbClr>
                  </w14:solidFill>
                </w14:textFill>
              </w:rPr>
              <w:t>|</w:t>
            </w:r>
            <w:r w:rsidR="005055DD">
              <w:rPr>
                <w:vertAlign w:val="superscript"/>
              </w:rPr>
              <w:t>4</w:t>
            </w:r>
          </w:p>
        </w:tc>
        <w:tc>
          <w:tcPr>
            <w:tcW w:w="493" w:type="pct"/>
            <w:vAlign w:val="center"/>
          </w:tcPr>
          <w:p w14:paraId="6267EB0D" w14:textId="3D084347"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585"/>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585"/>
                <w14:textFill>
                  <w14:solidFill>
                    <w14:srgbClr w14:val="000000">
                      <w14:alpha w14:val="100000"/>
                    </w14:srgbClr>
                  </w14:solidFill>
                </w14:textFill>
              </w:rPr>
              <w:t>|</w:t>
            </w:r>
            <w:r w:rsidR="005055DD">
              <w:rPr>
                <w:vertAlign w:val="superscript"/>
              </w:rPr>
              <w:t>4</w:t>
            </w:r>
          </w:p>
        </w:tc>
        <w:tc>
          <w:tcPr>
            <w:tcW w:w="493" w:type="pct"/>
            <w:vAlign w:val="center"/>
          </w:tcPr>
          <w:p w14:paraId="47B132FB" w14:textId="4EB986CB"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584"/>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584"/>
                <w14:textFill>
                  <w14:solidFill>
                    <w14:srgbClr w14:val="000000">
                      <w14:alpha w14:val="100000"/>
                    </w14:srgbClr>
                  </w14:solidFill>
                </w14:textFill>
              </w:rPr>
              <w:t>|</w:t>
            </w:r>
            <w:r w:rsidR="005055DD">
              <w:rPr>
                <w:vertAlign w:val="superscript"/>
              </w:rPr>
              <w:t>4</w:t>
            </w:r>
          </w:p>
        </w:tc>
        <w:tc>
          <w:tcPr>
            <w:tcW w:w="493" w:type="pct"/>
            <w:vAlign w:val="center"/>
          </w:tcPr>
          <w:p w14:paraId="73FD982E" w14:textId="0125A41B"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583"/>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583"/>
                <w14:textFill>
                  <w14:solidFill>
                    <w14:srgbClr w14:val="000000">
                      <w14:alpha w14:val="100000"/>
                    </w14:srgbClr>
                  </w14:solidFill>
                </w14:textFill>
              </w:rPr>
              <w:t>|</w:t>
            </w:r>
            <w:r w:rsidR="005055DD">
              <w:rPr>
                <w:vertAlign w:val="superscript"/>
              </w:rPr>
              <w:t>4</w:t>
            </w:r>
          </w:p>
        </w:tc>
        <w:tc>
          <w:tcPr>
            <w:tcW w:w="496" w:type="pct"/>
            <w:vAlign w:val="center"/>
          </w:tcPr>
          <w:p w14:paraId="62C4041C" w14:textId="6F58846C"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214"/>
                <w:szCs w:val="20"/>
                <w:shd w:val="solid" w:color="000000" w:fill="000000"/>
                <w:fitText w:val="300" w:id="-1435342582"/>
                <w14:textFill>
                  <w14:solidFill>
                    <w14:srgbClr w14:val="000000">
                      <w14:alpha w14:val="100000"/>
                    </w14:srgbClr>
                  </w14:solidFill>
                </w14:textFill>
              </w:rPr>
              <w:t>|</w:t>
            </w:r>
            <w:r w:rsidR="00F96E54" w:rsidRPr="00F96E54">
              <w:rPr>
                <w:rFonts w:cs="Arial"/>
                <w:color w:val="000000"/>
                <w:spacing w:val="1"/>
                <w:szCs w:val="20"/>
                <w:shd w:val="solid" w:color="000000" w:fill="000000"/>
                <w:fitText w:val="300" w:id="-1435342582"/>
                <w14:textFill>
                  <w14:solidFill>
                    <w14:srgbClr w14:val="000000">
                      <w14:alpha w14:val="100000"/>
                    </w14:srgbClr>
                  </w14:solidFill>
                </w14:textFill>
              </w:rPr>
              <w:t>|</w:t>
            </w:r>
            <w:r w:rsidR="005055DD">
              <w:rPr>
                <w:vertAlign w:val="superscript"/>
              </w:rPr>
              <w:t>4</w:t>
            </w:r>
          </w:p>
        </w:tc>
      </w:tr>
      <w:tr w:rsidR="000A1519" w:rsidRPr="003B7C85" w14:paraId="03681894" w14:textId="77777777" w:rsidTr="00A361A7">
        <w:tc>
          <w:tcPr>
            <w:tcW w:w="2039" w:type="pct"/>
          </w:tcPr>
          <w:p w14:paraId="3AB318CB" w14:textId="77777777" w:rsidR="000A1519" w:rsidRPr="003B7C85" w:rsidRDefault="000A1519" w:rsidP="00E67D76">
            <w:pPr>
              <w:pStyle w:val="TableText"/>
              <w:keepLines/>
              <w:tabs>
                <w:tab w:val="right" w:pos="3513"/>
              </w:tabs>
              <w:ind w:left="-57" w:right="-68"/>
              <w:rPr>
                <w:szCs w:val="20"/>
              </w:rPr>
            </w:pPr>
            <w:r w:rsidRPr="003B7C85">
              <w:rPr>
                <w:rFonts w:cstheme="minorHAnsi"/>
                <w:szCs w:val="20"/>
              </w:rPr>
              <w:t>Methotrexate cost to PBS (less copayment)</w:t>
            </w:r>
          </w:p>
        </w:tc>
        <w:tc>
          <w:tcPr>
            <w:tcW w:w="493" w:type="pct"/>
            <w:vAlign w:val="center"/>
          </w:tcPr>
          <w:p w14:paraId="03CAE90F" w14:textId="5B8C15A8"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581"/>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581"/>
                <w14:textFill>
                  <w14:solidFill>
                    <w14:srgbClr w14:val="000000">
                      <w14:alpha w14:val="100000"/>
                    </w14:srgbClr>
                  </w14:solidFill>
                </w14:textFill>
              </w:rPr>
              <w:t>|</w:t>
            </w:r>
            <w:r w:rsidR="00842F59">
              <w:rPr>
                <w:vertAlign w:val="superscript"/>
              </w:rPr>
              <w:t>4</w:t>
            </w:r>
          </w:p>
        </w:tc>
        <w:tc>
          <w:tcPr>
            <w:tcW w:w="493" w:type="pct"/>
            <w:vAlign w:val="center"/>
          </w:tcPr>
          <w:p w14:paraId="1A5B989A" w14:textId="685050F4"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36"/>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36"/>
                <w14:textFill>
                  <w14:solidFill>
                    <w14:srgbClr w14:val="000000">
                      <w14:alpha w14:val="100000"/>
                    </w14:srgbClr>
                  </w14:solidFill>
                </w14:textFill>
              </w:rPr>
              <w:t>|</w:t>
            </w:r>
            <w:r w:rsidR="005055DD">
              <w:rPr>
                <w:vertAlign w:val="superscript"/>
              </w:rPr>
              <w:t>4</w:t>
            </w:r>
          </w:p>
        </w:tc>
        <w:tc>
          <w:tcPr>
            <w:tcW w:w="493" w:type="pct"/>
            <w:vAlign w:val="center"/>
          </w:tcPr>
          <w:p w14:paraId="46FA0F9B" w14:textId="2514C8A9"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35"/>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35"/>
                <w14:textFill>
                  <w14:solidFill>
                    <w14:srgbClr w14:val="000000">
                      <w14:alpha w14:val="100000"/>
                    </w14:srgbClr>
                  </w14:solidFill>
                </w14:textFill>
              </w:rPr>
              <w:t>|</w:t>
            </w:r>
            <w:r w:rsidR="005055DD">
              <w:rPr>
                <w:vertAlign w:val="superscript"/>
              </w:rPr>
              <w:t>4</w:t>
            </w:r>
          </w:p>
        </w:tc>
        <w:tc>
          <w:tcPr>
            <w:tcW w:w="493" w:type="pct"/>
            <w:vAlign w:val="center"/>
          </w:tcPr>
          <w:p w14:paraId="023587FA" w14:textId="31E8A924"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34"/>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34"/>
                <w14:textFill>
                  <w14:solidFill>
                    <w14:srgbClr w14:val="000000">
                      <w14:alpha w14:val="100000"/>
                    </w14:srgbClr>
                  </w14:solidFill>
                </w14:textFill>
              </w:rPr>
              <w:t>|</w:t>
            </w:r>
            <w:r w:rsidR="005055DD">
              <w:rPr>
                <w:vertAlign w:val="superscript"/>
              </w:rPr>
              <w:t>4</w:t>
            </w:r>
          </w:p>
        </w:tc>
        <w:tc>
          <w:tcPr>
            <w:tcW w:w="493" w:type="pct"/>
            <w:vAlign w:val="center"/>
          </w:tcPr>
          <w:p w14:paraId="5AAE2D0D" w14:textId="2D7100F6"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33"/>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33"/>
                <w14:textFill>
                  <w14:solidFill>
                    <w14:srgbClr w14:val="000000">
                      <w14:alpha w14:val="100000"/>
                    </w14:srgbClr>
                  </w14:solidFill>
                </w14:textFill>
              </w:rPr>
              <w:t>|</w:t>
            </w:r>
            <w:r w:rsidR="005055DD">
              <w:rPr>
                <w:vertAlign w:val="superscript"/>
              </w:rPr>
              <w:t>4</w:t>
            </w:r>
          </w:p>
        </w:tc>
        <w:tc>
          <w:tcPr>
            <w:tcW w:w="496" w:type="pct"/>
            <w:vAlign w:val="center"/>
          </w:tcPr>
          <w:p w14:paraId="67034482" w14:textId="29379768"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214"/>
                <w:szCs w:val="20"/>
                <w:shd w:val="solid" w:color="000000" w:fill="000000"/>
                <w:fitText w:val="300" w:id="-1435342332"/>
                <w14:textFill>
                  <w14:solidFill>
                    <w14:srgbClr w14:val="000000">
                      <w14:alpha w14:val="100000"/>
                    </w14:srgbClr>
                  </w14:solidFill>
                </w14:textFill>
              </w:rPr>
              <w:t>|</w:t>
            </w:r>
            <w:r w:rsidR="00F96E54" w:rsidRPr="00F96E54">
              <w:rPr>
                <w:rFonts w:cs="Arial"/>
                <w:color w:val="000000"/>
                <w:spacing w:val="1"/>
                <w:szCs w:val="20"/>
                <w:shd w:val="solid" w:color="000000" w:fill="000000"/>
                <w:fitText w:val="300" w:id="-1435342332"/>
                <w14:textFill>
                  <w14:solidFill>
                    <w14:srgbClr w14:val="000000">
                      <w14:alpha w14:val="100000"/>
                    </w14:srgbClr>
                  </w14:solidFill>
                </w14:textFill>
              </w:rPr>
              <w:t>|</w:t>
            </w:r>
            <w:r w:rsidR="005055DD">
              <w:rPr>
                <w:vertAlign w:val="superscript"/>
              </w:rPr>
              <w:t>4</w:t>
            </w:r>
          </w:p>
        </w:tc>
      </w:tr>
      <w:tr w:rsidR="000A1519" w:rsidRPr="003B7C85" w14:paraId="4325A044" w14:textId="77777777" w:rsidTr="00A361A7">
        <w:tc>
          <w:tcPr>
            <w:tcW w:w="2039" w:type="pct"/>
          </w:tcPr>
          <w:p w14:paraId="4B83A814" w14:textId="77777777" w:rsidR="000A1519" w:rsidRPr="003B7C85" w:rsidRDefault="000A1519" w:rsidP="00E67D76">
            <w:pPr>
              <w:pStyle w:val="TableText"/>
              <w:keepLines/>
              <w:tabs>
                <w:tab w:val="right" w:pos="3513"/>
              </w:tabs>
              <w:ind w:left="-57" w:right="-68"/>
              <w:rPr>
                <w:szCs w:val="20"/>
              </w:rPr>
            </w:pPr>
            <w:r w:rsidRPr="003B7C85">
              <w:rPr>
                <w:szCs w:val="20"/>
              </w:rPr>
              <w:t>Sirolimus</w:t>
            </w:r>
            <w:r w:rsidRPr="003B7C85">
              <w:rPr>
                <w:rFonts w:cstheme="minorHAnsi"/>
                <w:szCs w:val="20"/>
              </w:rPr>
              <w:t xml:space="preserve"> cost to PBS (less copayment)</w:t>
            </w:r>
          </w:p>
        </w:tc>
        <w:tc>
          <w:tcPr>
            <w:tcW w:w="493" w:type="pct"/>
            <w:vAlign w:val="center"/>
          </w:tcPr>
          <w:p w14:paraId="14D3D797" w14:textId="673871DF"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31"/>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31"/>
                <w14:textFill>
                  <w14:solidFill>
                    <w14:srgbClr w14:val="000000">
                      <w14:alpha w14:val="100000"/>
                    </w14:srgbClr>
                  </w14:solidFill>
                </w14:textFill>
              </w:rPr>
              <w:t>|</w:t>
            </w:r>
            <w:r w:rsidR="00842F59">
              <w:rPr>
                <w:vertAlign w:val="superscript"/>
              </w:rPr>
              <w:t>4</w:t>
            </w:r>
          </w:p>
        </w:tc>
        <w:tc>
          <w:tcPr>
            <w:tcW w:w="493" w:type="pct"/>
            <w:vAlign w:val="center"/>
          </w:tcPr>
          <w:p w14:paraId="1E028AE8" w14:textId="0F46F237"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30"/>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30"/>
                <w14:textFill>
                  <w14:solidFill>
                    <w14:srgbClr w14:val="000000">
                      <w14:alpha w14:val="100000"/>
                    </w14:srgbClr>
                  </w14:solidFill>
                </w14:textFill>
              </w:rPr>
              <w:t>|</w:t>
            </w:r>
            <w:r w:rsidR="005055DD">
              <w:rPr>
                <w:vertAlign w:val="superscript"/>
              </w:rPr>
              <w:t>4</w:t>
            </w:r>
          </w:p>
        </w:tc>
        <w:tc>
          <w:tcPr>
            <w:tcW w:w="493" w:type="pct"/>
            <w:vAlign w:val="center"/>
          </w:tcPr>
          <w:p w14:paraId="6297B1F5" w14:textId="41B11090"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29"/>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29"/>
                <w14:textFill>
                  <w14:solidFill>
                    <w14:srgbClr w14:val="000000">
                      <w14:alpha w14:val="100000"/>
                    </w14:srgbClr>
                  </w14:solidFill>
                </w14:textFill>
              </w:rPr>
              <w:t>|</w:t>
            </w:r>
            <w:r w:rsidR="005055DD">
              <w:rPr>
                <w:vertAlign w:val="superscript"/>
              </w:rPr>
              <w:t>4</w:t>
            </w:r>
          </w:p>
        </w:tc>
        <w:tc>
          <w:tcPr>
            <w:tcW w:w="493" w:type="pct"/>
            <w:vAlign w:val="center"/>
          </w:tcPr>
          <w:p w14:paraId="7092EF60" w14:textId="33A1E973"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28"/>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28"/>
                <w14:textFill>
                  <w14:solidFill>
                    <w14:srgbClr w14:val="000000">
                      <w14:alpha w14:val="100000"/>
                    </w14:srgbClr>
                  </w14:solidFill>
                </w14:textFill>
              </w:rPr>
              <w:t>|</w:t>
            </w:r>
            <w:r w:rsidR="005055DD">
              <w:rPr>
                <w:vertAlign w:val="superscript"/>
              </w:rPr>
              <w:t>4</w:t>
            </w:r>
          </w:p>
        </w:tc>
        <w:tc>
          <w:tcPr>
            <w:tcW w:w="493" w:type="pct"/>
            <w:vAlign w:val="center"/>
          </w:tcPr>
          <w:p w14:paraId="4FF61AE1" w14:textId="058201E2"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27"/>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27"/>
                <w14:textFill>
                  <w14:solidFill>
                    <w14:srgbClr w14:val="000000">
                      <w14:alpha w14:val="100000"/>
                    </w14:srgbClr>
                  </w14:solidFill>
                </w14:textFill>
              </w:rPr>
              <w:t>|</w:t>
            </w:r>
            <w:r w:rsidR="005055DD">
              <w:rPr>
                <w:vertAlign w:val="superscript"/>
              </w:rPr>
              <w:t>4</w:t>
            </w:r>
          </w:p>
        </w:tc>
        <w:tc>
          <w:tcPr>
            <w:tcW w:w="496" w:type="pct"/>
            <w:vAlign w:val="center"/>
          </w:tcPr>
          <w:p w14:paraId="2F71FDE2" w14:textId="771DD54D"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214"/>
                <w:szCs w:val="20"/>
                <w:shd w:val="solid" w:color="000000" w:fill="000000"/>
                <w:fitText w:val="300" w:id="-1435342326"/>
                <w14:textFill>
                  <w14:solidFill>
                    <w14:srgbClr w14:val="000000">
                      <w14:alpha w14:val="100000"/>
                    </w14:srgbClr>
                  </w14:solidFill>
                </w14:textFill>
              </w:rPr>
              <w:t>|</w:t>
            </w:r>
            <w:r w:rsidR="00F96E54" w:rsidRPr="00F96E54">
              <w:rPr>
                <w:rFonts w:cs="Arial"/>
                <w:color w:val="000000"/>
                <w:spacing w:val="1"/>
                <w:szCs w:val="20"/>
                <w:shd w:val="solid" w:color="000000" w:fill="000000"/>
                <w:fitText w:val="300" w:id="-1435342326"/>
                <w14:textFill>
                  <w14:solidFill>
                    <w14:srgbClr w14:val="000000">
                      <w14:alpha w14:val="100000"/>
                    </w14:srgbClr>
                  </w14:solidFill>
                </w14:textFill>
              </w:rPr>
              <w:t>|</w:t>
            </w:r>
            <w:r w:rsidR="005055DD">
              <w:rPr>
                <w:vertAlign w:val="superscript"/>
              </w:rPr>
              <w:t>4</w:t>
            </w:r>
          </w:p>
        </w:tc>
      </w:tr>
      <w:tr w:rsidR="000A1519" w:rsidRPr="003B7C85" w14:paraId="30053FD0" w14:textId="77777777" w:rsidTr="00A361A7">
        <w:tc>
          <w:tcPr>
            <w:tcW w:w="2039" w:type="pct"/>
          </w:tcPr>
          <w:p w14:paraId="15823064" w14:textId="77777777" w:rsidR="000A1519" w:rsidRPr="003B7C85" w:rsidRDefault="000A1519" w:rsidP="00E67D76">
            <w:pPr>
              <w:pStyle w:val="TableText"/>
              <w:keepLines/>
              <w:tabs>
                <w:tab w:val="right" w:pos="3513"/>
              </w:tabs>
              <w:ind w:left="-57" w:right="-68"/>
              <w:rPr>
                <w:szCs w:val="20"/>
              </w:rPr>
            </w:pPr>
            <w:r w:rsidRPr="003B7C85">
              <w:rPr>
                <w:szCs w:val="20"/>
              </w:rPr>
              <w:t>Everolimus</w:t>
            </w:r>
            <w:r w:rsidRPr="003B7C85">
              <w:rPr>
                <w:rFonts w:cstheme="minorHAnsi"/>
                <w:szCs w:val="20"/>
              </w:rPr>
              <w:t xml:space="preserve"> cost to PBS (less copayment)</w:t>
            </w:r>
          </w:p>
        </w:tc>
        <w:tc>
          <w:tcPr>
            <w:tcW w:w="493" w:type="pct"/>
            <w:vAlign w:val="center"/>
          </w:tcPr>
          <w:p w14:paraId="3E871E15" w14:textId="7569DA29"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25"/>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25"/>
                <w14:textFill>
                  <w14:solidFill>
                    <w14:srgbClr w14:val="000000">
                      <w14:alpha w14:val="100000"/>
                    </w14:srgbClr>
                  </w14:solidFill>
                </w14:textFill>
              </w:rPr>
              <w:t>|</w:t>
            </w:r>
            <w:r w:rsidR="00842F59">
              <w:rPr>
                <w:vertAlign w:val="superscript"/>
              </w:rPr>
              <w:t>4</w:t>
            </w:r>
          </w:p>
        </w:tc>
        <w:tc>
          <w:tcPr>
            <w:tcW w:w="493" w:type="pct"/>
            <w:vAlign w:val="center"/>
          </w:tcPr>
          <w:p w14:paraId="6099D67B" w14:textId="79DEB2C9"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24"/>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24"/>
                <w14:textFill>
                  <w14:solidFill>
                    <w14:srgbClr w14:val="000000">
                      <w14:alpha w14:val="100000"/>
                    </w14:srgbClr>
                  </w14:solidFill>
                </w14:textFill>
              </w:rPr>
              <w:t>|</w:t>
            </w:r>
            <w:r w:rsidR="005055DD">
              <w:rPr>
                <w:vertAlign w:val="superscript"/>
              </w:rPr>
              <w:t>4</w:t>
            </w:r>
          </w:p>
        </w:tc>
        <w:tc>
          <w:tcPr>
            <w:tcW w:w="493" w:type="pct"/>
            <w:vAlign w:val="center"/>
          </w:tcPr>
          <w:p w14:paraId="08C61822" w14:textId="2913B6D7"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23"/>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23"/>
                <w14:textFill>
                  <w14:solidFill>
                    <w14:srgbClr w14:val="000000">
                      <w14:alpha w14:val="100000"/>
                    </w14:srgbClr>
                  </w14:solidFill>
                </w14:textFill>
              </w:rPr>
              <w:t>|</w:t>
            </w:r>
            <w:r w:rsidR="005055DD">
              <w:rPr>
                <w:vertAlign w:val="superscript"/>
              </w:rPr>
              <w:t>4</w:t>
            </w:r>
          </w:p>
        </w:tc>
        <w:tc>
          <w:tcPr>
            <w:tcW w:w="493" w:type="pct"/>
            <w:vAlign w:val="center"/>
          </w:tcPr>
          <w:p w14:paraId="329895F6" w14:textId="1DC31A40"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22"/>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22"/>
                <w14:textFill>
                  <w14:solidFill>
                    <w14:srgbClr w14:val="000000">
                      <w14:alpha w14:val="100000"/>
                    </w14:srgbClr>
                  </w14:solidFill>
                </w14:textFill>
              </w:rPr>
              <w:t>|</w:t>
            </w:r>
            <w:r w:rsidR="005055DD">
              <w:rPr>
                <w:vertAlign w:val="superscript"/>
              </w:rPr>
              <w:t>4</w:t>
            </w:r>
          </w:p>
        </w:tc>
        <w:tc>
          <w:tcPr>
            <w:tcW w:w="493" w:type="pct"/>
            <w:vAlign w:val="center"/>
          </w:tcPr>
          <w:p w14:paraId="22BDCE65" w14:textId="5B65DC2D"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21"/>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21"/>
                <w14:textFill>
                  <w14:solidFill>
                    <w14:srgbClr w14:val="000000">
                      <w14:alpha w14:val="100000"/>
                    </w14:srgbClr>
                  </w14:solidFill>
                </w14:textFill>
              </w:rPr>
              <w:t>|</w:t>
            </w:r>
            <w:r w:rsidR="005055DD">
              <w:rPr>
                <w:vertAlign w:val="superscript"/>
              </w:rPr>
              <w:t>4</w:t>
            </w:r>
          </w:p>
        </w:tc>
        <w:tc>
          <w:tcPr>
            <w:tcW w:w="496" w:type="pct"/>
            <w:vAlign w:val="center"/>
          </w:tcPr>
          <w:p w14:paraId="66A3ABDE" w14:textId="4CFFCE02"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214"/>
                <w:szCs w:val="20"/>
                <w:shd w:val="solid" w:color="000000" w:fill="000000"/>
                <w:fitText w:val="300" w:id="-1435342320"/>
                <w14:textFill>
                  <w14:solidFill>
                    <w14:srgbClr w14:val="000000">
                      <w14:alpha w14:val="100000"/>
                    </w14:srgbClr>
                  </w14:solidFill>
                </w14:textFill>
              </w:rPr>
              <w:t>|</w:t>
            </w:r>
            <w:r w:rsidR="00F96E54" w:rsidRPr="00F96E54">
              <w:rPr>
                <w:rFonts w:cs="Arial"/>
                <w:color w:val="000000"/>
                <w:spacing w:val="1"/>
                <w:szCs w:val="20"/>
                <w:shd w:val="solid" w:color="000000" w:fill="000000"/>
                <w:fitText w:val="300" w:id="-1435342320"/>
                <w14:textFill>
                  <w14:solidFill>
                    <w14:srgbClr w14:val="000000">
                      <w14:alpha w14:val="100000"/>
                    </w14:srgbClr>
                  </w14:solidFill>
                </w14:textFill>
              </w:rPr>
              <w:t>|</w:t>
            </w:r>
            <w:r w:rsidR="005055DD">
              <w:rPr>
                <w:vertAlign w:val="superscript"/>
              </w:rPr>
              <w:t>4</w:t>
            </w:r>
          </w:p>
        </w:tc>
      </w:tr>
      <w:tr w:rsidR="000A1519" w:rsidRPr="006440B8" w14:paraId="03ECBBC6" w14:textId="77777777" w:rsidTr="00A361A7">
        <w:tc>
          <w:tcPr>
            <w:tcW w:w="2039" w:type="pct"/>
          </w:tcPr>
          <w:p w14:paraId="546DD212" w14:textId="77777777" w:rsidR="000A1519" w:rsidRPr="00A6746E" w:rsidRDefault="000A1519" w:rsidP="00E67D76">
            <w:pPr>
              <w:pStyle w:val="TableText"/>
              <w:keepLines/>
              <w:tabs>
                <w:tab w:val="right" w:pos="3513"/>
              </w:tabs>
              <w:ind w:left="-57" w:right="-68"/>
              <w:rPr>
                <w:szCs w:val="20"/>
              </w:rPr>
            </w:pPr>
            <w:r w:rsidRPr="00A6746E">
              <w:rPr>
                <w:szCs w:val="20"/>
              </w:rPr>
              <w:t>Total cost offset (less copayment)</w:t>
            </w:r>
          </w:p>
        </w:tc>
        <w:tc>
          <w:tcPr>
            <w:tcW w:w="493" w:type="pct"/>
            <w:vAlign w:val="center"/>
          </w:tcPr>
          <w:p w14:paraId="1420EFA2" w14:textId="34BE0609" w:rsidR="000A1519" w:rsidRPr="00A6746E" w:rsidRDefault="000A1519" w:rsidP="00E67D76">
            <w:pPr>
              <w:pStyle w:val="TableText"/>
              <w:keepLines/>
              <w:ind w:left="-65" w:right="-82"/>
              <w:jc w:val="center"/>
              <w:rPr>
                <w:rFonts w:cs="Calibri"/>
                <w:color w:val="000000"/>
                <w:szCs w:val="20"/>
              </w:rPr>
            </w:pPr>
            <w:r w:rsidRPr="00A6746E">
              <w:rPr>
                <w:rFonts w:cs="Calibri"/>
                <w:color w:val="000000"/>
                <w:szCs w:val="20"/>
              </w:rPr>
              <w:t>-$</w:t>
            </w:r>
            <w:r w:rsidR="00F96E54" w:rsidRPr="00F96E54">
              <w:rPr>
                <w:rFonts w:cs="Calibri"/>
                <w:color w:val="000000"/>
                <w:spacing w:val="47"/>
                <w:szCs w:val="20"/>
                <w:shd w:val="solid" w:color="000000" w:fill="000000"/>
                <w:fitText w:val="313" w:id="-1435342336"/>
                <w14:textFill>
                  <w14:solidFill>
                    <w14:srgbClr w14:val="000000">
                      <w14:alpha w14:val="100000"/>
                    </w14:srgbClr>
                  </w14:solidFill>
                </w14:textFill>
              </w:rPr>
              <w:t>|||</w:t>
            </w:r>
            <w:r w:rsidR="00F96E54" w:rsidRPr="00F96E54">
              <w:rPr>
                <w:rFonts w:cs="Calibri"/>
                <w:color w:val="000000"/>
                <w:spacing w:val="2"/>
                <w:szCs w:val="20"/>
                <w:shd w:val="solid" w:color="000000" w:fill="000000"/>
                <w:fitText w:val="313" w:id="-1435342336"/>
                <w14:textFill>
                  <w14:solidFill>
                    <w14:srgbClr w14:val="000000">
                      <w14:alpha w14:val="100000"/>
                    </w14:srgbClr>
                  </w14:solidFill>
                </w14:textFill>
              </w:rPr>
              <w:t>|</w:t>
            </w:r>
            <w:r w:rsidR="00842F59">
              <w:rPr>
                <w:vertAlign w:val="superscript"/>
              </w:rPr>
              <w:t>4</w:t>
            </w:r>
          </w:p>
        </w:tc>
        <w:tc>
          <w:tcPr>
            <w:tcW w:w="493" w:type="pct"/>
            <w:vAlign w:val="center"/>
          </w:tcPr>
          <w:p w14:paraId="4E95CD54" w14:textId="362BE2CA" w:rsidR="000A1519" w:rsidRPr="00A6746E" w:rsidRDefault="000A1519" w:rsidP="00E67D76">
            <w:pPr>
              <w:pStyle w:val="TableText"/>
              <w:keepLines/>
              <w:ind w:left="-65" w:right="-82"/>
              <w:jc w:val="center"/>
              <w:rPr>
                <w:rFonts w:cs="Calibri"/>
                <w:color w:val="000000"/>
                <w:szCs w:val="20"/>
              </w:rPr>
            </w:pPr>
            <w:r w:rsidRPr="00A6746E">
              <w:rPr>
                <w:rFonts w:cs="Calibri"/>
                <w:color w:val="000000"/>
                <w:szCs w:val="20"/>
              </w:rPr>
              <w:t>-$</w:t>
            </w:r>
            <w:r w:rsidR="00F96E54" w:rsidRPr="00F96E54">
              <w:rPr>
                <w:rFonts w:cs="Calibri"/>
                <w:color w:val="000000"/>
                <w:spacing w:val="47"/>
                <w:szCs w:val="20"/>
                <w:shd w:val="solid" w:color="000000" w:fill="000000"/>
                <w:fitText w:val="313" w:id="-1435342335"/>
                <w14:textFill>
                  <w14:solidFill>
                    <w14:srgbClr w14:val="000000">
                      <w14:alpha w14:val="100000"/>
                    </w14:srgbClr>
                  </w14:solidFill>
                </w14:textFill>
              </w:rPr>
              <w:t>|||</w:t>
            </w:r>
            <w:r w:rsidR="00F96E54" w:rsidRPr="00F96E54">
              <w:rPr>
                <w:rFonts w:cs="Calibri"/>
                <w:color w:val="000000"/>
                <w:spacing w:val="2"/>
                <w:szCs w:val="20"/>
                <w:shd w:val="solid" w:color="000000" w:fill="000000"/>
                <w:fitText w:val="313" w:id="-1435342335"/>
                <w14:textFill>
                  <w14:solidFill>
                    <w14:srgbClr w14:val="000000">
                      <w14:alpha w14:val="100000"/>
                    </w14:srgbClr>
                  </w14:solidFill>
                </w14:textFill>
              </w:rPr>
              <w:t>|</w:t>
            </w:r>
            <w:r w:rsidR="005055DD">
              <w:rPr>
                <w:vertAlign w:val="superscript"/>
              </w:rPr>
              <w:t>4</w:t>
            </w:r>
          </w:p>
        </w:tc>
        <w:tc>
          <w:tcPr>
            <w:tcW w:w="493" w:type="pct"/>
            <w:vAlign w:val="center"/>
          </w:tcPr>
          <w:p w14:paraId="63F2E130" w14:textId="3DC50B4D" w:rsidR="000A1519" w:rsidRPr="00A6746E" w:rsidRDefault="000A1519" w:rsidP="00E67D76">
            <w:pPr>
              <w:pStyle w:val="TableText"/>
              <w:keepLines/>
              <w:ind w:left="-65" w:right="-82"/>
              <w:jc w:val="center"/>
              <w:rPr>
                <w:rFonts w:cs="Calibri"/>
                <w:color w:val="000000"/>
                <w:szCs w:val="20"/>
              </w:rPr>
            </w:pPr>
            <w:r w:rsidRPr="00A6746E">
              <w:rPr>
                <w:rFonts w:cs="Calibri"/>
                <w:color w:val="000000"/>
                <w:szCs w:val="20"/>
              </w:rPr>
              <w:t>-$</w:t>
            </w:r>
            <w:r w:rsidR="00F96E54" w:rsidRPr="00F96E54">
              <w:rPr>
                <w:rFonts w:cs="Calibri"/>
                <w:color w:val="000000"/>
                <w:spacing w:val="47"/>
                <w:szCs w:val="20"/>
                <w:shd w:val="solid" w:color="000000" w:fill="000000"/>
                <w:fitText w:val="313" w:id="-1435342334"/>
                <w14:textFill>
                  <w14:solidFill>
                    <w14:srgbClr w14:val="000000">
                      <w14:alpha w14:val="100000"/>
                    </w14:srgbClr>
                  </w14:solidFill>
                </w14:textFill>
              </w:rPr>
              <w:t>|||</w:t>
            </w:r>
            <w:r w:rsidR="00F96E54" w:rsidRPr="00F96E54">
              <w:rPr>
                <w:rFonts w:cs="Calibri"/>
                <w:color w:val="000000"/>
                <w:spacing w:val="2"/>
                <w:szCs w:val="20"/>
                <w:shd w:val="solid" w:color="000000" w:fill="000000"/>
                <w:fitText w:val="313" w:id="-1435342334"/>
                <w14:textFill>
                  <w14:solidFill>
                    <w14:srgbClr w14:val="000000">
                      <w14:alpha w14:val="100000"/>
                    </w14:srgbClr>
                  </w14:solidFill>
                </w14:textFill>
              </w:rPr>
              <w:t>|</w:t>
            </w:r>
            <w:r w:rsidR="005055DD">
              <w:rPr>
                <w:vertAlign w:val="superscript"/>
              </w:rPr>
              <w:t>4</w:t>
            </w:r>
          </w:p>
        </w:tc>
        <w:tc>
          <w:tcPr>
            <w:tcW w:w="493" w:type="pct"/>
            <w:vAlign w:val="center"/>
          </w:tcPr>
          <w:p w14:paraId="77B5C7D3" w14:textId="38BA5EC5" w:rsidR="000A1519" w:rsidRPr="00A6746E" w:rsidRDefault="000A1519" w:rsidP="00E67D76">
            <w:pPr>
              <w:pStyle w:val="TableText"/>
              <w:keepLines/>
              <w:ind w:left="-65" w:right="-82"/>
              <w:jc w:val="center"/>
              <w:rPr>
                <w:rFonts w:cs="Calibri"/>
                <w:color w:val="000000"/>
                <w:szCs w:val="20"/>
              </w:rPr>
            </w:pPr>
            <w:r w:rsidRPr="00A6746E">
              <w:rPr>
                <w:rFonts w:cs="Calibri"/>
                <w:color w:val="000000"/>
                <w:szCs w:val="20"/>
              </w:rPr>
              <w:t>-$</w:t>
            </w:r>
            <w:r w:rsidR="00F96E54" w:rsidRPr="00F96E54">
              <w:rPr>
                <w:rFonts w:cs="Calibri"/>
                <w:color w:val="000000"/>
                <w:spacing w:val="47"/>
                <w:szCs w:val="20"/>
                <w:shd w:val="solid" w:color="000000" w:fill="000000"/>
                <w:fitText w:val="313" w:id="-1435342333"/>
                <w14:textFill>
                  <w14:solidFill>
                    <w14:srgbClr w14:val="000000">
                      <w14:alpha w14:val="100000"/>
                    </w14:srgbClr>
                  </w14:solidFill>
                </w14:textFill>
              </w:rPr>
              <w:t>|||</w:t>
            </w:r>
            <w:r w:rsidR="00F96E54" w:rsidRPr="00F96E54">
              <w:rPr>
                <w:rFonts w:cs="Calibri"/>
                <w:color w:val="000000"/>
                <w:spacing w:val="2"/>
                <w:szCs w:val="20"/>
                <w:shd w:val="solid" w:color="000000" w:fill="000000"/>
                <w:fitText w:val="313" w:id="-1435342333"/>
                <w14:textFill>
                  <w14:solidFill>
                    <w14:srgbClr w14:val="000000">
                      <w14:alpha w14:val="100000"/>
                    </w14:srgbClr>
                  </w14:solidFill>
                </w14:textFill>
              </w:rPr>
              <w:t>|</w:t>
            </w:r>
            <w:r w:rsidR="005055DD">
              <w:rPr>
                <w:vertAlign w:val="superscript"/>
              </w:rPr>
              <w:t>4</w:t>
            </w:r>
          </w:p>
        </w:tc>
        <w:tc>
          <w:tcPr>
            <w:tcW w:w="493" w:type="pct"/>
            <w:vAlign w:val="center"/>
          </w:tcPr>
          <w:p w14:paraId="13BFDE3E" w14:textId="6E17C4BA" w:rsidR="000A1519" w:rsidRPr="00A6746E" w:rsidRDefault="000A1519" w:rsidP="00E67D76">
            <w:pPr>
              <w:pStyle w:val="TableText"/>
              <w:keepLines/>
              <w:ind w:left="-65" w:right="-82"/>
              <w:jc w:val="center"/>
              <w:rPr>
                <w:rFonts w:cs="Calibri"/>
                <w:color w:val="000000"/>
                <w:szCs w:val="20"/>
              </w:rPr>
            </w:pPr>
            <w:r w:rsidRPr="00A6746E">
              <w:rPr>
                <w:rFonts w:cs="Calibri"/>
                <w:color w:val="000000"/>
                <w:szCs w:val="20"/>
              </w:rPr>
              <w:t>-$</w:t>
            </w:r>
            <w:r w:rsidR="00F96E54" w:rsidRPr="00F96E54">
              <w:rPr>
                <w:rFonts w:cs="Calibri"/>
                <w:color w:val="000000"/>
                <w:spacing w:val="47"/>
                <w:szCs w:val="20"/>
                <w:shd w:val="solid" w:color="000000" w:fill="000000"/>
                <w:fitText w:val="313" w:id="-1435342332"/>
                <w14:textFill>
                  <w14:solidFill>
                    <w14:srgbClr w14:val="000000">
                      <w14:alpha w14:val="100000"/>
                    </w14:srgbClr>
                  </w14:solidFill>
                </w14:textFill>
              </w:rPr>
              <w:t>|||</w:t>
            </w:r>
            <w:r w:rsidR="00F96E54" w:rsidRPr="00F96E54">
              <w:rPr>
                <w:rFonts w:cs="Calibri"/>
                <w:color w:val="000000"/>
                <w:spacing w:val="2"/>
                <w:szCs w:val="20"/>
                <w:shd w:val="solid" w:color="000000" w:fill="000000"/>
                <w:fitText w:val="313" w:id="-1435342332"/>
                <w14:textFill>
                  <w14:solidFill>
                    <w14:srgbClr w14:val="000000">
                      <w14:alpha w14:val="100000"/>
                    </w14:srgbClr>
                  </w14:solidFill>
                </w14:textFill>
              </w:rPr>
              <w:t>|</w:t>
            </w:r>
            <w:r w:rsidR="005055DD">
              <w:rPr>
                <w:vertAlign w:val="superscript"/>
              </w:rPr>
              <w:t>4</w:t>
            </w:r>
          </w:p>
        </w:tc>
        <w:tc>
          <w:tcPr>
            <w:tcW w:w="496" w:type="pct"/>
            <w:vAlign w:val="center"/>
          </w:tcPr>
          <w:p w14:paraId="42BDBC47" w14:textId="774CBCCE" w:rsidR="000A1519" w:rsidRPr="00A6746E" w:rsidRDefault="000A1519" w:rsidP="00E67D76">
            <w:pPr>
              <w:pStyle w:val="TableText"/>
              <w:keepLines/>
              <w:ind w:left="-65" w:right="-82"/>
              <w:jc w:val="center"/>
              <w:rPr>
                <w:rFonts w:cs="Calibri"/>
                <w:color w:val="000000"/>
                <w:szCs w:val="20"/>
              </w:rPr>
            </w:pPr>
            <w:r w:rsidRPr="00A6746E">
              <w:rPr>
                <w:rFonts w:cs="Calibri"/>
                <w:color w:val="000000"/>
                <w:szCs w:val="20"/>
              </w:rPr>
              <w:t>-$</w:t>
            </w:r>
            <w:r w:rsidR="00F96E54" w:rsidRPr="00F96E54">
              <w:rPr>
                <w:rFonts w:cs="Calibri"/>
                <w:color w:val="000000"/>
                <w:spacing w:val="214"/>
                <w:szCs w:val="20"/>
                <w:shd w:val="solid" w:color="000000" w:fill="000000"/>
                <w:fitText w:val="300" w:id="-1435342331"/>
                <w14:textFill>
                  <w14:solidFill>
                    <w14:srgbClr w14:val="000000">
                      <w14:alpha w14:val="100000"/>
                    </w14:srgbClr>
                  </w14:solidFill>
                </w14:textFill>
              </w:rPr>
              <w:t>|</w:t>
            </w:r>
            <w:r w:rsidR="00F96E54" w:rsidRPr="00F96E54">
              <w:rPr>
                <w:rFonts w:cs="Calibri"/>
                <w:color w:val="000000"/>
                <w:spacing w:val="1"/>
                <w:szCs w:val="20"/>
                <w:shd w:val="solid" w:color="000000" w:fill="000000"/>
                <w:fitText w:val="300" w:id="-1435342331"/>
                <w14:textFill>
                  <w14:solidFill>
                    <w14:srgbClr w14:val="000000">
                      <w14:alpha w14:val="100000"/>
                    </w14:srgbClr>
                  </w14:solidFill>
                </w14:textFill>
              </w:rPr>
              <w:t>|</w:t>
            </w:r>
            <w:r w:rsidR="005055DD">
              <w:rPr>
                <w:vertAlign w:val="superscript"/>
              </w:rPr>
              <w:t>4</w:t>
            </w:r>
          </w:p>
        </w:tc>
      </w:tr>
      <w:tr w:rsidR="000A1519" w:rsidRPr="00A737C2" w14:paraId="2496F14C" w14:textId="77777777" w:rsidTr="00A361A7">
        <w:tc>
          <w:tcPr>
            <w:tcW w:w="5000" w:type="pct"/>
            <w:gridSpan w:val="7"/>
            <w:vAlign w:val="center"/>
          </w:tcPr>
          <w:p w14:paraId="2BEC5573" w14:textId="45748AD0" w:rsidR="000A1519" w:rsidRPr="00A737C2" w:rsidRDefault="000A1519" w:rsidP="00E67D76">
            <w:pPr>
              <w:pStyle w:val="TableText"/>
              <w:keepLines/>
              <w:ind w:left="-65" w:right="-82"/>
              <w:rPr>
                <w:rFonts w:cs="Arial"/>
                <w:b/>
                <w:bCs w:val="0"/>
                <w:szCs w:val="20"/>
              </w:rPr>
            </w:pPr>
            <w:r w:rsidRPr="00BF3F00">
              <w:rPr>
                <w:b/>
                <w:bCs w:val="0"/>
              </w:rPr>
              <w:t xml:space="preserve">Net changes to financial implications </w:t>
            </w:r>
            <w:r>
              <w:rPr>
                <w:b/>
                <w:bCs w:val="0"/>
              </w:rPr>
              <w:t>to the PBS/RPBS</w:t>
            </w:r>
            <w:r w:rsidRPr="00BF3F00">
              <w:rPr>
                <w:b/>
                <w:bCs w:val="0"/>
              </w:rPr>
              <w:t xml:space="preserve"> </w:t>
            </w:r>
            <w:r>
              <w:rPr>
                <w:b/>
                <w:bCs w:val="0"/>
              </w:rPr>
              <w:t xml:space="preserve">for </w:t>
            </w:r>
            <w:r w:rsidR="00CD2292">
              <w:rPr>
                <w:b/>
                <w:bCs w:val="0"/>
              </w:rPr>
              <w:t>a</w:t>
            </w:r>
            <w:r w:rsidRPr="00EE14F0">
              <w:rPr>
                <w:rFonts w:cstheme="minorHAnsi"/>
                <w:b/>
                <w:bCs w:val="0"/>
                <w:szCs w:val="20"/>
              </w:rPr>
              <w:t>GVHD</w:t>
            </w:r>
            <w:r w:rsidRPr="00BF3F00">
              <w:rPr>
                <w:b/>
                <w:bCs w:val="0"/>
              </w:rPr>
              <w:t xml:space="preserve"> (effective price)</w:t>
            </w:r>
          </w:p>
        </w:tc>
      </w:tr>
      <w:tr w:rsidR="000A1519" w:rsidRPr="00CE56E3" w14:paraId="6E3B7225" w14:textId="77777777" w:rsidTr="00A361A7">
        <w:tc>
          <w:tcPr>
            <w:tcW w:w="2039" w:type="pct"/>
          </w:tcPr>
          <w:p w14:paraId="4DB3C640" w14:textId="77777777" w:rsidR="000A1519" w:rsidRPr="007F3612" w:rsidRDefault="000A1519" w:rsidP="00E67D76">
            <w:pPr>
              <w:pStyle w:val="TableText"/>
              <w:keepLines/>
              <w:tabs>
                <w:tab w:val="right" w:pos="3513"/>
              </w:tabs>
              <w:ind w:left="-57" w:right="-68"/>
              <w:rPr>
                <w:b/>
                <w:bCs w:val="0"/>
                <w:szCs w:val="20"/>
              </w:rPr>
            </w:pPr>
            <w:r>
              <w:rPr>
                <w:b/>
                <w:bCs w:val="0"/>
                <w:szCs w:val="20"/>
              </w:rPr>
              <w:t>Total net change (less copayment)</w:t>
            </w:r>
          </w:p>
        </w:tc>
        <w:tc>
          <w:tcPr>
            <w:tcW w:w="493" w:type="pct"/>
            <w:vAlign w:val="center"/>
          </w:tcPr>
          <w:p w14:paraId="04C976B2" w14:textId="02F86310" w:rsidR="000A1519" w:rsidRPr="007F3612" w:rsidRDefault="000A1519" w:rsidP="00E67D76">
            <w:pPr>
              <w:pStyle w:val="TableText"/>
              <w:keepLines/>
              <w:ind w:left="-65" w:right="-82"/>
              <w:jc w:val="center"/>
              <w:rPr>
                <w:rFonts w:cs="Calibri"/>
                <w:b/>
                <w:bCs w:val="0"/>
                <w:color w:val="000000"/>
                <w:szCs w:val="20"/>
              </w:rPr>
            </w:pPr>
            <w:r w:rsidRPr="002A1AA5">
              <w:rPr>
                <w:rFonts w:cs="Calibri"/>
                <w:b/>
                <w:bCs w:val="0"/>
                <w:color w:val="000000"/>
                <w:szCs w:val="20"/>
              </w:rPr>
              <w:t>$</w:t>
            </w:r>
            <w:r w:rsidR="00F96E54" w:rsidRPr="00F96E54">
              <w:rPr>
                <w:rFonts w:cs="Calibri"/>
                <w:b/>
                <w:bCs w:val="0"/>
                <w:color w:val="000000"/>
                <w:spacing w:val="47"/>
                <w:szCs w:val="20"/>
                <w:shd w:val="solid" w:color="000000" w:fill="000000"/>
                <w:fitText w:val="326" w:id="-1435342330"/>
                <w14:textFill>
                  <w14:solidFill>
                    <w14:srgbClr w14:val="000000">
                      <w14:alpha w14:val="100000"/>
                    </w14:srgbClr>
                  </w14:solidFill>
                </w14:textFill>
              </w:rPr>
              <w:t>|||</w:t>
            </w:r>
            <w:r w:rsidR="00F96E54" w:rsidRPr="00F96E54">
              <w:rPr>
                <w:rFonts w:cs="Calibri"/>
                <w:b/>
                <w:bCs w:val="0"/>
                <w:color w:val="000000"/>
                <w:spacing w:val="2"/>
                <w:szCs w:val="20"/>
                <w:shd w:val="solid" w:color="000000" w:fill="000000"/>
                <w:fitText w:val="326" w:id="-1435342330"/>
                <w14:textFill>
                  <w14:solidFill>
                    <w14:srgbClr w14:val="000000">
                      <w14:alpha w14:val="100000"/>
                    </w14:srgbClr>
                  </w14:solidFill>
                </w14:textFill>
              </w:rPr>
              <w:t>|</w:t>
            </w:r>
            <w:r w:rsidR="00842F59">
              <w:rPr>
                <w:vertAlign w:val="superscript"/>
              </w:rPr>
              <w:t>4</w:t>
            </w:r>
          </w:p>
        </w:tc>
        <w:tc>
          <w:tcPr>
            <w:tcW w:w="493" w:type="pct"/>
            <w:vAlign w:val="center"/>
          </w:tcPr>
          <w:p w14:paraId="3FDB3E4A" w14:textId="711A7BD2" w:rsidR="000A1519" w:rsidRPr="007F3612" w:rsidRDefault="000A1519" w:rsidP="00E67D76">
            <w:pPr>
              <w:pStyle w:val="TableText"/>
              <w:keepLines/>
              <w:ind w:left="-65" w:right="-82"/>
              <w:jc w:val="center"/>
              <w:rPr>
                <w:rFonts w:cs="Calibri"/>
                <w:b/>
                <w:bCs w:val="0"/>
                <w:color w:val="000000"/>
                <w:szCs w:val="20"/>
              </w:rPr>
            </w:pPr>
            <w:r w:rsidRPr="002A1AA5">
              <w:rPr>
                <w:rFonts w:cs="Calibri"/>
                <w:b/>
                <w:bCs w:val="0"/>
                <w:color w:val="000000"/>
                <w:szCs w:val="20"/>
              </w:rPr>
              <w:t>$</w:t>
            </w:r>
            <w:r w:rsidR="00F96E54" w:rsidRPr="00F96E54">
              <w:rPr>
                <w:rFonts w:cs="Calibri"/>
                <w:b/>
                <w:bCs w:val="0"/>
                <w:color w:val="000000"/>
                <w:spacing w:val="47"/>
                <w:szCs w:val="20"/>
                <w:shd w:val="solid" w:color="000000" w:fill="000000"/>
                <w:fitText w:val="325" w:id="-1435342329"/>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329"/>
                <w14:textFill>
                  <w14:solidFill>
                    <w14:srgbClr w14:val="000000">
                      <w14:alpha w14:val="100000"/>
                    </w14:srgbClr>
                  </w14:solidFill>
                </w14:textFill>
              </w:rPr>
              <w:t>|</w:t>
            </w:r>
            <w:r w:rsidR="005055DD">
              <w:rPr>
                <w:vertAlign w:val="superscript"/>
              </w:rPr>
              <w:t>4</w:t>
            </w:r>
          </w:p>
        </w:tc>
        <w:tc>
          <w:tcPr>
            <w:tcW w:w="493" w:type="pct"/>
            <w:vAlign w:val="center"/>
          </w:tcPr>
          <w:p w14:paraId="58F17C7D" w14:textId="6B91B549" w:rsidR="000A1519" w:rsidRPr="007F3612" w:rsidRDefault="000A1519" w:rsidP="00E67D76">
            <w:pPr>
              <w:pStyle w:val="TableText"/>
              <w:keepLines/>
              <w:ind w:left="-65" w:right="-82"/>
              <w:jc w:val="center"/>
              <w:rPr>
                <w:rFonts w:cs="Calibri"/>
                <w:b/>
                <w:bCs w:val="0"/>
                <w:color w:val="000000"/>
                <w:szCs w:val="20"/>
              </w:rPr>
            </w:pPr>
            <w:r w:rsidRPr="002A1AA5">
              <w:rPr>
                <w:rFonts w:cs="Calibri"/>
                <w:b/>
                <w:bCs w:val="0"/>
                <w:color w:val="000000"/>
                <w:szCs w:val="20"/>
              </w:rPr>
              <w:t>$</w:t>
            </w:r>
            <w:r w:rsidR="00F96E54" w:rsidRPr="00F96E54">
              <w:rPr>
                <w:rFonts w:cs="Calibri"/>
                <w:b/>
                <w:bCs w:val="0"/>
                <w:color w:val="000000"/>
                <w:spacing w:val="47"/>
                <w:szCs w:val="20"/>
                <w:shd w:val="solid" w:color="000000" w:fill="000000"/>
                <w:fitText w:val="325" w:id="-1435342328"/>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328"/>
                <w14:textFill>
                  <w14:solidFill>
                    <w14:srgbClr w14:val="000000">
                      <w14:alpha w14:val="100000"/>
                    </w14:srgbClr>
                  </w14:solidFill>
                </w14:textFill>
              </w:rPr>
              <w:t>|</w:t>
            </w:r>
            <w:r w:rsidR="005055DD">
              <w:rPr>
                <w:vertAlign w:val="superscript"/>
              </w:rPr>
              <w:t>4</w:t>
            </w:r>
          </w:p>
        </w:tc>
        <w:tc>
          <w:tcPr>
            <w:tcW w:w="493" w:type="pct"/>
            <w:vAlign w:val="center"/>
          </w:tcPr>
          <w:p w14:paraId="4341BEEC" w14:textId="06FF54B1" w:rsidR="000A1519" w:rsidRPr="007F3612" w:rsidRDefault="000A1519" w:rsidP="00E67D76">
            <w:pPr>
              <w:pStyle w:val="TableText"/>
              <w:keepLines/>
              <w:ind w:left="-65" w:right="-82"/>
              <w:jc w:val="center"/>
              <w:rPr>
                <w:rFonts w:cs="Calibri"/>
                <w:b/>
                <w:bCs w:val="0"/>
                <w:color w:val="000000"/>
                <w:szCs w:val="20"/>
              </w:rPr>
            </w:pPr>
            <w:r w:rsidRPr="002A1AA5">
              <w:rPr>
                <w:rFonts w:cs="Calibri"/>
                <w:b/>
                <w:bCs w:val="0"/>
                <w:color w:val="000000"/>
                <w:szCs w:val="20"/>
              </w:rPr>
              <w:t>$</w:t>
            </w:r>
            <w:r w:rsidR="00F96E54" w:rsidRPr="00F96E54">
              <w:rPr>
                <w:rFonts w:cs="Calibri"/>
                <w:b/>
                <w:bCs w:val="0"/>
                <w:color w:val="000000"/>
                <w:spacing w:val="47"/>
                <w:szCs w:val="20"/>
                <w:shd w:val="solid" w:color="000000" w:fill="000000"/>
                <w:fitText w:val="325" w:id="-1435342327"/>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327"/>
                <w14:textFill>
                  <w14:solidFill>
                    <w14:srgbClr w14:val="000000">
                      <w14:alpha w14:val="100000"/>
                    </w14:srgbClr>
                  </w14:solidFill>
                </w14:textFill>
              </w:rPr>
              <w:t>|</w:t>
            </w:r>
            <w:r w:rsidR="005055DD">
              <w:rPr>
                <w:vertAlign w:val="superscript"/>
              </w:rPr>
              <w:t>4</w:t>
            </w:r>
          </w:p>
        </w:tc>
        <w:tc>
          <w:tcPr>
            <w:tcW w:w="493" w:type="pct"/>
            <w:vAlign w:val="center"/>
          </w:tcPr>
          <w:p w14:paraId="4C4632B5" w14:textId="6704134D" w:rsidR="000A1519" w:rsidRPr="007F3612" w:rsidRDefault="000A1519" w:rsidP="00E67D76">
            <w:pPr>
              <w:pStyle w:val="TableText"/>
              <w:keepLines/>
              <w:ind w:left="-65" w:right="-82"/>
              <w:jc w:val="center"/>
              <w:rPr>
                <w:rFonts w:cs="Calibri"/>
                <w:b/>
                <w:bCs w:val="0"/>
                <w:color w:val="000000"/>
                <w:szCs w:val="20"/>
              </w:rPr>
            </w:pPr>
            <w:r w:rsidRPr="002A1AA5">
              <w:rPr>
                <w:rFonts w:cs="Calibri"/>
                <w:b/>
                <w:bCs w:val="0"/>
                <w:color w:val="000000"/>
                <w:szCs w:val="20"/>
              </w:rPr>
              <w:t>$</w:t>
            </w:r>
            <w:r w:rsidR="00F96E54" w:rsidRPr="00F96E54">
              <w:rPr>
                <w:rFonts w:cs="Calibri"/>
                <w:b/>
                <w:bCs w:val="0"/>
                <w:color w:val="000000"/>
                <w:spacing w:val="47"/>
                <w:szCs w:val="20"/>
                <w:shd w:val="solid" w:color="000000" w:fill="000000"/>
                <w:fitText w:val="325" w:id="-1435342326"/>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326"/>
                <w14:textFill>
                  <w14:solidFill>
                    <w14:srgbClr w14:val="000000">
                      <w14:alpha w14:val="100000"/>
                    </w14:srgbClr>
                  </w14:solidFill>
                </w14:textFill>
              </w:rPr>
              <w:t>|</w:t>
            </w:r>
            <w:r w:rsidR="005055DD">
              <w:rPr>
                <w:vertAlign w:val="superscript"/>
              </w:rPr>
              <w:t>4</w:t>
            </w:r>
          </w:p>
        </w:tc>
        <w:tc>
          <w:tcPr>
            <w:tcW w:w="496" w:type="pct"/>
            <w:vAlign w:val="center"/>
          </w:tcPr>
          <w:p w14:paraId="3C1434D4" w14:textId="5E675C2F" w:rsidR="000A1519" w:rsidRPr="007F3612" w:rsidRDefault="000A1519" w:rsidP="00E67D76">
            <w:pPr>
              <w:pStyle w:val="TableText"/>
              <w:keepLines/>
              <w:ind w:left="-65" w:right="-82"/>
              <w:jc w:val="center"/>
              <w:rPr>
                <w:rFonts w:cs="Calibri"/>
                <w:b/>
                <w:bCs w:val="0"/>
                <w:color w:val="000000"/>
                <w:szCs w:val="20"/>
              </w:rPr>
            </w:pPr>
            <w:r w:rsidRPr="002A1AA5">
              <w:rPr>
                <w:rFonts w:cs="Calibri"/>
                <w:b/>
                <w:bCs w:val="0"/>
                <w:color w:val="000000"/>
                <w:szCs w:val="20"/>
              </w:rPr>
              <w:t>$</w:t>
            </w:r>
            <w:r w:rsidR="00F96E54" w:rsidRPr="00F96E54">
              <w:rPr>
                <w:rFonts w:cs="Calibri"/>
                <w:b/>
                <w:bCs w:val="0"/>
                <w:color w:val="000000"/>
                <w:spacing w:val="43"/>
                <w:szCs w:val="20"/>
                <w:shd w:val="solid" w:color="000000" w:fill="000000"/>
                <w:fitText w:val="313" w:id="-1435342325"/>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325"/>
                <w14:textFill>
                  <w14:solidFill>
                    <w14:srgbClr w14:val="000000">
                      <w14:alpha w14:val="100000"/>
                    </w14:srgbClr>
                  </w14:solidFill>
                </w14:textFill>
              </w:rPr>
              <w:t>|</w:t>
            </w:r>
            <w:r w:rsidR="005055DD">
              <w:rPr>
                <w:vertAlign w:val="superscript"/>
              </w:rPr>
              <w:t>4</w:t>
            </w:r>
          </w:p>
        </w:tc>
      </w:tr>
    </w:tbl>
    <w:p w14:paraId="7996DA11" w14:textId="77777777" w:rsidR="000A1519" w:rsidRDefault="000A1519" w:rsidP="00E67D76">
      <w:pPr>
        <w:pStyle w:val="TableFigureFooter"/>
        <w:keepNext/>
        <w:keepLines/>
      </w:pPr>
      <w:r w:rsidRPr="000A6039">
        <w:t xml:space="preserve">Source: </w:t>
      </w:r>
      <w:r>
        <w:t xml:space="preserve">Tables 4.2-1, p.375, 4.2-2, p376 and 4.2-3, p377 of the submission; Excel workbooks </w:t>
      </w:r>
      <w:r w:rsidRPr="00C33B9C">
        <w:t xml:space="preserve">Ruxolitinib SR-aGVHD </w:t>
      </w:r>
      <w:r>
        <w:t>–</w:t>
      </w:r>
      <w:r w:rsidRPr="00C33B9C">
        <w:t xml:space="preserve"> UCM</w:t>
      </w:r>
      <w:r>
        <w:t>.xlsx attached to the submission.</w:t>
      </w:r>
    </w:p>
    <w:p w14:paraId="2B38BC48" w14:textId="77777777" w:rsidR="000A1519" w:rsidRDefault="000A1519" w:rsidP="00E67D76">
      <w:pPr>
        <w:pStyle w:val="TableFigureFooter"/>
        <w:keepNext/>
        <w:keepLines/>
      </w:pPr>
      <w:r>
        <w:t xml:space="preserve">Abbreviations: </w:t>
      </w:r>
      <w:r w:rsidRPr="00D563DB">
        <w:t>aGVHD</w:t>
      </w:r>
      <w:r>
        <w:t>,</w:t>
      </w:r>
      <w:r w:rsidRPr="00D563DB">
        <w:t xml:space="preserve"> acute graft versus host disease; alloSCT</w:t>
      </w:r>
      <w:r>
        <w:t>,</w:t>
      </w:r>
      <w:r w:rsidRPr="00D563DB">
        <w:t xml:space="preserve"> allogenic stem cell transplantation; </w:t>
      </w:r>
      <w:r>
        <w:t xml:space="preserve">BAT, best available therapy; Grandf., grandfathered; PBS, </w:t>
      </w:r>
      <w:r w:rsidRPr="00BE20A6">
        <w:t>Pharmaceutical Benefits Scheme</w:t>
      </w:r>
      <w:r>
        <w:t xml:space="preserve">; RPBS, </w:t>
      </w:r>
      <w:r w:rsidRPr="00BE20A6">
        <w:t>Repatriation Pharmaceutical Benefits Scheme</w:t>
      </w:r>
      <w:r>
        <w:t>.</w:t>
      </w:r>
    </w:p>
    <w:p w14:paraId="3A9BE49B" w14:textId="1BC53EBE" w:rsidR="000A1519" w:rsidRDefault="000A1519" w:rsidP="00EA3B23">
      <w:pPr>
        <w:pStyle w:val="TableFigureFooter"/>
        <w:keepNext/>
        <w:keepLines/>
        <w:spacing w:after="0"/>
      </w:pPr>
      <w:r w:rsidRPr="002011F0">
        <w:rPr>
          <w:vertAlign w:val="superscript"/>
        </w:rPr>
        <w:t>1</w:t>
      </w:r>
      <w:r w:rsidRPr="00482C9B">
        <w:t>Based on 1 initiating script and 2.04 continuing scripts for patients in their first year of treatment; 13.04 scripts in year 2 for 0.31% of patients continuing in their second year of treatment. No patients continue to a third or subsequent year of treatment.</w:t>
      </w:r>
    </w:p>
    <w:p w14:paraId="4790A405" w14:textId="77777777" w:rsidR="00842F59" w:rsidRPr="001D0E42" w:rsidRDefault="00842F59" w:rsidP="00842F59">
      <w:pPr>
        <w:rPr>
          <w:rFonts w:ascii="Arial Narrow" w:hAnsi="Arial Narrow"/>
          <w:i/>
          <w:sz w:val="18"/>
          <w:szCs w:val="18"/>
        </w:rPr>
      </w:pPr>
      <w:r w:rsidRPr="001D0E42">
        <w:rPr>
          <w:rFonts w:ascii="Arial Narrow" w:hAnsi="Arial Narrow"/>
          <w:i/>
          <w:sz w:val="18"/>
          <w:szCs w:val="18"/>
        </w:rPr>
        <w:t xml:space="preserve">The redacted values correspond to the following ranges: </w:t>
      </w:r>
    </w:p>
    <w:p w14:paraId="603AE6BB" w14:textId="5751096B" w:rsidR="00842F59" w:rsidRPr="00EA3B23" w:rsidRDefault="00842F59" w:rsidP="00842F59">
      <w:pPr>
        <w:rPr>
          <w:rFonts w:ascii="Arial Narrow" w:hAnsi="Arial Narrow"/>
          <w:i/>
          <w:sz w:val="18"/>
          <w:szCs w:val="18"/>
        </w:rPr>
      </w:pPr>
      <w:r>
        <w:rPr>
          <w:rFonts w:ascii="Arial Narrow" w:hAnsi="Arial Narrow"/>
          <w:i/>
          <w:sz w:val="18"/>
          <w:szCs w:val="18"/>
          <w:vertAlign w:val="superscript"/>
        </w:rPr>
        <w:t xml:space="preserve">2 </w:t>
      </w:r>
      <w:r w:rsidR="005055DD" w:rsidRPr="00EF7634">
        <w:rPr>
          <w:rFonts w:ascii="Arial Narrow" w:hAnsi="Arial Narrow"/>
          <w:i/>
          <w:sz w:val="18"/>
          <w:szCs w:val="18"/>
        </w:rPr>
        <w:t>500 to &lt; 5,000</w:t>
      </w:r>
    </w:p>
    <w:p w14:paraId="12F13933" w14:textId="41FB0DE6" w:rsidR="00842F59" w:rsidRDefault="00842F59" w:rsidP="00842F59">
      <w:pPr>
        <w:rPr>
          <w:rFonts w:ascii="Arial Narrow" w:hAnsi="Arial Narrow"/>
          <w:i/>
          <w:sz w:val="18"/>
          <w:szCs w:val="18"/>
        </w:rPr>
      </w:pPr>
      <w:r>
        <w:rPr>
          <w:rFonts w:ascii="Arial Narrow" w:hAnsi="Arial Narrow"/>
          <w:i/>
          <w:sz w:val="18"/>
          <w:szCs w:val="18"/>
          <w:vertAlign w:val="superscript"/>
        </w:rPr>
        <w:t>3</w:t>
      </w:r>
      <w:r>
        <w:rPr>
          <w:rFonts w:ascii="Arial Narrow" w:hAnsi="Arial Narrow"/>
          <w:i/>
          <w:sz w:val="18"/>
          <w:szCs w:val="18"/>
        </w:rPr>
        <w:t xml:space="preserve"> </w:t>
      </w:r>
      <w:r w:rsidR="005055DD" w:rsidRPr="00EF7634">
        <w:rPr>
          <w:rFonts w:ascii="Arial Narrow" w:hAnsi="Arial Narrow"/>
          <w:i/>
          <w:sz w:val="18"/>
          <w:szCs w:val="18"/>
        </w:rPr>
        <w:t>&lt; 500</w:t>
      </w:r>
      <w:r w:rsidR="005055DD">
        <w:rPr>
          <w:rFonts w:ascii="Arial Narrow" w:hAnsi="Arial Narrow"/>
          <w:i/>
          <w:sz w:val="18"/>
          <w:szCs w:val="18"/>
        </w:rPr>
        <w:t xml:space="preserve"> </w:t>
      </w:r>
    </w:p>
    <w:p w14:paraId="7904C89A" w14:textId="7D4044EF" w:rsidR="00842F59" w:rsidRPr="00EA3B23" w:rsidRDefault="005055DD" w:rsidP="00EA3B23">
      <w:pPr>
        <w:spacing w:after="240"/>
        <w:rPr>
          <w:i/>
          <w:szCs w:val="18"/>
        </w:rPr>
      </w:pPr>
      <w:r>
        <w:rPr>
          <w:rFonts w:ascii="Arial Narrow" w:hAnsi="Arial Narrow"/>
          <w:i/>
          <w:sz w:val="18"/>
          <w:szCs w:val="18"/>
          <w:vertAlign w:val="superscript"/>
        </w:rPr>
        <w:t>4</w:t>
      </w:r>
      <w:r w:rsidR="00842F59">
        <w:rPr>
          <w:rFonts w:ascii="Arial Narrow" w:hAnsi="Arial Narrow"/>
          <w:i/>
          <w:sz w:val="18"/>
          <w:szCs w:val="18"/>
        </w:rPr>
        <w:t xml:space="preserve"> </w:t>
      </w:r>
      <w:r w:rsidRPr="005055DD">
        <w:rPr>
          <w:rFonts w:ascii="Arial Narrow" w:hAnsi="Arial Narrow"/>
          <w:i/>
          <w:sz w:val="18"/>
          <w:szCs w:val="18"/>
        </w:rPr>
        <w:t>$0 to &lt; $10 million</w:t>
      </w:r>
    </w:p>
    <w:p w14:paraId="099DEEF8" w14:textId="416DD229" w:rsidR="000A1519" w:rsidRPr="00F86A1D" w:rsidRDefault="000A1519" w:rsidP="000A1519">
      <w:pPr>
        <w:pStyle w:val="ExecSumBodyText"/>
        <w:numPr>
          <w:ilvl w:val="1"/>
          <w:numId w:val="1"/>
        </w:numPr>
      </w:pPr>
      <w:r w:rsidRPr="00D12CDC">
        <w:t xml:space="preserve">The </w:t>
      </w:r>
      <w:r w:rsidRPr="00EE14F0">
        <w:t xml:space="preserve">estimated overall financial impact to the PBS/RPBS of listing ruxolitinib </w:t>
      </w:r>
      <w:r w:rsidR="001A7127">
        <w:t xml:space="preserve">for the treatment of </w:t>
      </w:r>
      <w:r w:rsidRPr="00EE14F0">
        <w:t xml:space="preserve">aGVHD based on the effective price was </w:t>
      </w:r>
      <w:r w:rsidR="0073171F" w:rsidRPr="0073171F">
        <w:t>$0 to &lt; $10 million</w:t>
      </w:r>
      <w:r w:rsidR="0073171F" w:rsidRPr="0073171F" w:rsidDel="0073171F">
        <w:t xml:space="preserve"> </w:t>
      </w:r>
      <w:r w:rsidRPr="00EE14F0">
        <w:t xml:space="preserve">in Year 1, decreasing to </w:t>
      </w:r>
      <w:r w:rsidR="0073171F" w:rsidRPr="0073171F">
        <w:t>$0 to &lt; $10 million</w:t>
      </w:r>
      <w:r w:rsidR="0073171F" w:rsidRPr="0073171F" w:rsidDel="0073171F">
        <w:t xml:space="preserve"> </w:t>
      </w:r>
      <w:r w:rsidRPr="00F86A1D">
        <w:t xml:space="preserve">in Year 2 before increasing to </w:t>
      </w:r>
      <w:r w:rsidR="0073171F" w:rsidRPr="0073171F">
        <w:t>$0 to &lt; $10 million</w:t>
      </w:r>
      <w:r w:rsidR="0073171F" w:rsidRPr="0073171F" w:rsidDel="0073171F">
        <w:t xml:space="preserve"> </w:t>
      </w:r>
      <w:r w:rsidRPr="00F86A1D">
        <w:t>in Year 6</w:t>
      </w:r>
      <w:r w:rsidR="00196ACC" w:rsidRPr="00F86A1D">
        <w:t xml:space="preserve">. The total over the first 6 years of listing was </w:t>
      </w:r>
      <w:r w:rsidR="0073171F" w:rsidRPr="0073171F">
        <w:t>$0 to &lt; $10 million</w:t>
      </w:r>
      <w:r w:rsidRPr="00F86A1D">
        <w:t>.</w:t>
      </w:r>
    </w:p>
    <w:p w14:paraId="0AE55FB6" w14:textId="25519628" w:rsidR="000A1519" w:rsidRPr="00F86A1D" w:rsidRDefault="000A1519" w:rsidP="000A1519">
      <w:pPr>
        <w:pStyle w:val="ExecSumBodyText"/>
        <w:numPr>
          <w:ilvl w:val="1"/>
          <w:numId w:val="1"/>
        </w:numPr>
      </w:pPr>
      <w:r w:rsidRPr="00F86A1D">
        <w:t>The table below summarises the estimated financial implications for the PBS/RPBS of listing ruxolitinib for the treatment of steroid refractory Grade II-IV aGVHD and moderate-severe cGVHD.</w:t>
      </w:r>
    </w:p>
    <w:p w14:paraId="1C9584C3" w14:textId="02E810A1" w:rsidR="000A1519" w:rsidRPr="00EE14F0" w:rsidRDefault="00C249EA" w:rsidP="00E67D76">
      <w:pPr>
        <w:pStyle w:val="TableFigureCaption"/>
        <w:keepLines/>
        <w:rPr>
          <w:szCs w:val="20"/>
        </w:rPr>
      </w:pPr>
      <w:bookmarkStart w:id="75" w:name="_Hlk107555857"/>
      <w:r w:rsidRPr="0042047F">
        <w:t xml:space="preserve">Table </w:t>
      </w:r>
      <w:fldSimple w:instr=" SEQ Table \* ARABIC " w:fldLock="1">
        <w:r w:rsidR="005A7A1C">
          <w:rPr>
            <w:noProof/>
          </w:rPr>
          <w:t>24</w:t>
        </w:r>
      </w:fldSimple>
      <w:r w:rsidR="000A1519" w:rsidRPr="00EE14F0">
        <w:rPr>
          <w:szCs w:val="20"/>
        </w:rPr>
        <w:t xml:space="preserve">: Estimated financial implications for the PBS/RPBS of listing ruxolitinib for </w:t>
      </w:r>
      <w:r w:rsidR="001A7127">
        <w:rPr>
          <w:szCs w:val="20"/>
        </w:rPr>
        <w:t>c</w:t>
      </w:r>
      <w:r w:rsidR="000A1519" w:rsidRPr="00EE14F0">
        <w:rPr>
          <w:szCs w:val="20"/>
        </w:rPr>
        <w:t xml:space="preserve">GVHD </w:t>
      </w:r>
      <w:r w:rsidR="001A7127">
        <w:rPr>
          <w:szCs w:val="20"/>
        </w:rPr>
        <w:t xml:space="preserve">and </w:t>
      </w:r>
      <w:r w:rsidR="00360732">
        <w:rPr>
          <w:szCs w:val="20"/>
        </w:rPr>
        <w:t>a</w:t>
      </w:r>
      <w:r w:rsidR="001A7127">
        <w:rPr>
          <w:szCs w:val="20"/>
        </w:rPr>
        <w:t xml:space="preserve">GVHD </w:t>
      </w:r>
      <w:r w:rsidR="000A1519" w:rsidRPr="00EE14F0">
        <w:rPr>
          <w:szCs w:val="20"/>
        </w:rPr>
        <w:t>(effective price)</w:t>
      </w:r>
    </w:p>
    <w:tbl>
      <w:tblPr>
        <w:tblStyle w:val="TableGrid"/>
        <w:tblW w:w="5000" w:type="pct"/>
        <w:tblLayout w:type="fixed"/>
        <w:tblLook w:val="04A0" w:firstRow="1" w:lastRow="0" w:firstColumn="1" w:lastColumn="0" w:noHBand="0" w:noVBand="1"/>
      </w:tblPr>
      <w:tblGrid>
        <w:gridCol w:w="3110"/>
        <w:gridCol w:w="982"/>
        <w:gridCol w:w="985"/>
        <w:gridCol w:w="985"/>
        <w:gridCol w:w="985"/>
        <w:gridCol w:w="985"/>
        <w:gridCol w:w="985"/>
      </w:tblGrid>
      <w:tr w:rsidR="000A1519" w:rsidRPr="00EE14F0" w14:paraId="219437FC" w14:textId="77777777" w:rsidTr="00410066">
        <w:tc>
          <w:tcPr>
            <w:tcW w:w="1725" w:type="pct"/>
            <w:vAlign w:val="center"/>
          </w:tcPr>
          <w:p w14:paraId="2F12F6CC" w14:textId="77777777" w:rsidR="000A1519" w:rsidRPr="00EE14F0" w:rsidRDefault="000A1519" w:rsidP="00E67D76">
            <w:pPr>
              <w:pStyle w:val="TableText"/>
              <w:keepLines/>
              <w:tabs>
                <w:tab w:val="right" w:pos="3513"/>
              </w:tabs>
              <w:ind w:left="-57" w:right="-68"/>
              <w:rPr>
                <w:rFonts w:cstheme="minorHAnsi"/>
                <w:szCs w:val="20"/>
              </w:rPr>
            </w:pPr>
          </w:p>
        </w:tc>
        <w:tc>
          <w:tcPr>
            <w:tcW w:w="545" w:type="pct"/>
            <w:vAlign w:val="center"/>
          </w:tcPr>
          <w:p w14:paraId="0592AE4E" w14:textId="77777777" w:rsidR="000A1519" w:rsidRPr="00EE14F0" w:rsidRDefault="000A1519" w:rsidP="00E67D76">
            <w:pPr>
              <w:pStyle w:val="TableText"/>
              <w:keepLines/>
              <w:ind w:left="-65" w:right="-82"/>
              <w:jc w:val="center"/>
              <w:rPr>
                <w:rFonts w:cs="Calibri"/>
                <w:b/>
                <w:bCs w:val="0"/>
                <w:color w:val="000000"/>
                <w:szCs w:val="20"/>
              </w:rPr>
            </w:pPr>
            <w:r w:rsidRPr="00EE14F0">
              <w:rPr>
                <w:b/>
                <w:bCs w:val="0"/>
                <w:szCs w:val="20"/>
              </w:rPr>
              <w:t>Year 1</w:t>
            </w:r>
          </w:p>
        </w:tc>
        <w:tc>
          <w:tcPr>
            <w:tcW w:w="546" w:type="pct"/>
            <w:vAlign w:val="center"/>
          </w:tcPr>
          <w:p w14:paraId="673590AB" w14:textId="77777777" w:rsidR="000A1519" w:rsidRPr="00EE14F0" w:rsidRDefault="000A1519" w:rsidP="00E67D76">
            <w:pPr>
              <w:pStyle w:val="TableText"/>
              <w:keepLines/>
              <w:ind w:left="-65" w:right="-82"/>
              <w:jc w:val="center"/>
              <w:rPr>
                <w:rFonts w:cs="Calibri"/>
                <w:b/>
                <w:bCs w:val="0"/>
                <w:color w:val="000000"/>
                <w:szCs w:val="20"/>
              </w:rPr>
            </w:pPr>
            <w:r w:rsidRPr="00EE14F0">
              <w:rPr>
                <w:b/>
                <w:bCs w:val="0"/>
                <w:szCs w:val="20"/>
              </w:rPr>
              <w:t>Year 2</w:t>
            </w:r>
          </w:p>
        </w:tc>
        <w:tc>
          <w:tcPr>
            <w:tcW w:w="546" w:type="pct"/>
            <w:vAlign w:val="center"/>
          </w:tcPr>
          <w:p w14:paraId="0CFBE204" w14:textId="77777777" w:rsidR="000A1519" w:rsidRPr="00EE14F0" w:rsidRDefault="000A1519" w:rsidP="00E67D76">
            <w:pPr>
              <w:pStyle w:val="TableText"/>
              <w:keepLines/>
              <w:ind w:left="-65" w:right="-82"/>
              <w:jc w:val="center"/>
              <w:rPr>
                <w:rFonts w:cs="Calibri"/>
                <w:b/>
                <w:bCs w:val="0"/>
                <w:color w:val="000000"/>
                <w:szCs w:val="20"/>
              </w:rPr>
            </w:pPr>
            <w:r w:rsidRPr="00EE14F0">
              <w:rPr>
                <w:b/>
                <w:bCs w:val="0"/>
                <w:szCs w:val="20"/>
              </w:rPr>
              <w:t>Year 3</w:t>
            </w:r>
          </w:p>
        </w:tc>
        <w:tc>
          <w:tcPr>
            <w:tcW w:w="546" w:type="pct"/>
            <w:vAlign w:val="center"/>
          </w:tcPr>
          <w:p w14:paraId="361A6A87" w14:textId="77777777" w:rsidR="000A1519" w:rsidRPr="00EE14F0" w:rsidRDefault="000A1519" w:rsidP="00E67D76">
            <w:pPr>
              <w:pStyle w:val="TableText"/>
              <w:keepLines/>
              <w:ind w:left="-65" w:right="-82"/>
              <w:jc w:val="center"/>
              <w:rPr>
                <w:rFonts w:cs="Calibri"/>
                <w:b/>
                <w:bCs w:val="0"/>
                <w:color w:val="000000"/>
                <w:szCs w:val="20"/>
              </w:rPr>
            </w:pPr>
            <w:r w:rsidRPr="00EE14F0">
              <w:rPr>
                <w:b/>
                <w:bCs w:val="0"/>
                <w:szCs w:val="20"/>
              </w:rPr>
              <w:t>Year 4</w:t>
            </w:r>
          </w:p>
        </w:tc>
        <w:tc>
          <w:tcPr>
            <w:tcW w:w="546" w:type="pct"/>
            <w:vAlign w:val="center"/>
          </w:tcPr>
          <w:p w14:paraId="2E7583ED" w14:textId="77777777" w:rsidR="000A1519" w:rsidRPr="00EE14F0" w:rsidRDefault="000A1519" w:rsidP="00E67D76">
            <w:pPr>
              <w:pStyle w:val="TableText"/>
              <w:keepLines/>
              <w:ind w:left="-65" w:right="-82"/>
              <w:jc w:val="center"/>
              <w:rPr>
                <w:rFonts w:cs="Calibri"/>
                <w:b/>
                <w:bCs w:val="0"/>
                <w:color w:val="000000"/>
                <w:szCs w:val="20"/>
              </w:rPr>
            </w:pPr>
            <w:r w:rsidRPr="00EE14F0">
              <w:rPr>
                <w:b/>
                <w:bCs w:val="0"/>
                <w:szCs w:val="20"/>
              </w:rPr>
              <w:t>Year 5</w:t>
            </w:r>
          </w:p>
        </w:tc>
        <w:tc>
          <w:tcPr>
            <w:tcW w:w="546" w:type="pct"/>
            <w:vAlign w:val="center"/>
          </w:tcPr>
          <w:p w14:paraId="6D52EE7E" w14:textId="77777777" w:rsidR="000A1519" w:rsidRPr="00EE14F0" w:rsidRDefault="000A1519" w:rsidP="00E67D76">
            <w:pPr>
              <w:pStyle w:val="TableText"/>
              <w:keepLines/>
              <w:ind w:left="-65" w:right="-82"/>
              <w:jc w:val="center"/>
              <w:rPr>
                <w:rFonts w:cs="Calibri"/>
                <w:b/>
                <w:bCs w:val="0"/>
                <w:color w:val="000000"/>
                <w:szCs w:val="20"/>
              </w:rPr>
            </w:pPr>
            <w:r w:rsidRPr="00EE14F0">
              <w:rPr>
                <w:b/>
                <w:bCs w:val="0"/>
                <w:szCs w:val="20"/>
              </w:rPr>
              <w:t>Year 6</w:t>
            </w:r>
          </w:p>
        </w:tc>
      </w:tr>
      <w:tr w:rsidR="000A1519" w:rsidRPr="00EE14F0" w14:paraId="4E5492D9" w14:textId="77777777" w:rsidTr="00A361A7">
        <w:tc>
          <w:tcPr>
            <w:tcW w:w="5000" w:type="pct"/>
            <w:gridSpan w:val="7"/>
          </w:tcPr>
          <w:p w14:paraId="4E347AB7" w14:textId="78721EE4" w:rsidR="000A1519" w:rsidRPr="00EE14F0" w:rsidRDefault="000A1519" w:rsidP="00E67D76">
            <w:pPr>
              <w:pStyle w:val="TableText"/>
              <w:keepLines/>
              <w:ind w:left="-65" w:right="-82"/>
              <w:rPr>
                <w:rFonts w:cs="Calibri"/>
                <w:color w:val="000000"/>
                <w:szCs w:val="20"/>
              </w:rPr>
            </w:pPr>
            <w:r w:rsidRPr="00EE14F0">
              <w:rPr>
                <w:rFonts w:cstheme="minorHAnsi"/>
                <w:b/>
                <w:bCs w:val="0"/>
                <w:szCs w:val="20"/>
              </w:rPr>
              <w:t xml:space="preserve">Net cost of ruxolitinib to </w:t>
            </w:r>
            <w:r>
              <w:rPr>
                <w:rFonts w:cstheme="minorHAnsi"/>
                <w:b/>
                <w:bCs w:val="0"/>
                <w:szCs w:val="20"/>
              </w:rPr>
              <w:t>health budgets</w:t>
            </w:r>
            <w:r w:rsidRPr="00EE14F0">
              <w:rPr>
                <w:rFonts w:cstheme="minorHAnsi"/>
                <w:b/>
                <w:bCs w:val="0"/>
                <w:szCs w:val="20"/>
              </w:rPr>
              <w:t xml:space="preserve"> for steroid refractory moderate</w:t>
            </w:r>
            <w:r w:rsidR="00CD2292">
              <w:rPr>
                <w:rFonts w:cstheme="minorHAnsi"/>
                <w:b/>
                <w:bCs w:val="0"/>
                <w:szCs w:val="20"/>
              </w:rPr>
              <w:t xml:space="preserve"> to </w:t>
            </w:r>
            <w:r w:rsidRPr="00EE14F0">
              <w:rPr>
                <w:rFonts w:cstheme="minorHAnsi"/>
                <w:b/>
                <w:bCs w:val="0"/>
                <w:szCs w:val="20"/>
              </w:rPr>
              <w:t>severe cGVHD</w:t>
            </w:r>
          </w:p>
        </w:tc>
      </w:tr>
      <w:tr w:rsidR="000A1519" w:rsidRPr="00814E4D" w14:paraId="2731B381" w14:textId="77777777" w:rsidTr="00410066">
        <w:tc>
          <w:tcPr>
            <w:tcW w:w="1725" w:type="pct"/>
            <w:vAlign w:val="center"/>
          </w:tcPr>
          <w:p w14:paraId="7CB63EF0" w14:textId="77777777" w:rsidR="000A1519" w:rsidRPr="00814E4D" w:rsidRDefault="000A1519" w:rsidP="00E67D76">
            <w:pPr>
              <w:pStyle w:val="TableText"/>
              <w:keepLines/>
              <w:tabs>
                <w:tab w:val="right" w:pos="3513"/>
              </w:tabs>
              <w:ind w:left="-57" w:right="-68"/>
              <w:rPr>
                <w:szCs w:val="20"/>
              </w:rPr>
            </w:pPr>
            <w:r w:rsidRPr="00814E4D">
              <w:rPr>
                <w:rFonts w:cs="Calibri"/>
                <w:color w:val="000000"/>
                <w:szCs w:val="20"/>
              </w:rPr>
              <w:t xml:space="preserve">Net cost to </w:t>
            </w:r>
            <w:r>
              <w:rPr>
                <w:rFonts w:cs="Calibri"/>
                <w:color w:val="000000"/>
                <w:szCs w:val="20"/>
              </w:rPr>
              <w:t>PBS/RPBS</w:t>
            </w:r>
            <w:r w:rsidRPr="00EE14F0">
              <w:rPr>
                <w:rFonts w:cs="Calibri"/>
                <w:color w:val="000000"/>
                <w:szCs w:val="20"/>
              </w:rPr>
              <w:t xml:space="preserve"> </w:t>
            </w:r>
            <w:r>
              <w:rPr>
                <w:rFonts w:cs="Calibri"/>
                <w:color w:val="000000"/>
                <w:szCs w:val="20"/>
              </w:rPr>
              <w:t>(less copayment)</w:t>
            </w:r>
          </w:p>
        </w:tc>
        <w:tc>
          <w:tcPr>
            <w:tcW w:w="545" w:type="pct"/>
            <w:vAlign w:val="center"/>
          </w:tcPr>
          <w:p w14:paraId="769968A2" w14:textId="175DE4F0" w:rsidR="000A1519" w:rsidRPr="00CE7FA9" w:rsidRDefault="000A1519" w:rsidP="00E67D76">
            <w:pPr>
              <w:pStyle w:val="TableText"/>
              <w:keepLines/>
              <w:ind w:left="-65" w:right="-82"/>
              <w:jc w:val="center"/>
              <w:rPr>
                <w:rFonts w:cs="Arial"/>
                <w:szCs w:val="20"/>
                <w:highlight w:val="darkGray"/>
                <w:vertAlign w:val="superscript"/>
              </w:rPr>
            </w:pPr>
            <w:r w:rsidRPr="00320844">
              <w:rPr>
                <w:rFonts w:cs="Calibri"/>
                <w:color w:val="000000"/>
                <w:szCs w:val="20"/>
              </w:rPr>
              <w:t>$</w:t>
            </w:r>
            <w:r w:rsidR="00F96E54" w:rsidRPr="00F96E54">
              <w:rPr>
                <w:rFonts w:cs="Calibri"/>
                <w:color w:val="000000"/>
                <w:spacing w:val="48"/>
                <w:szCs w:val="20"/>
                <w:shd w:val="solid" w:color="000000" w:fill="000000"/>
                <w:fitText w:val="225" w:id="-1435342324"/>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24"/>
                <w14:textFill>
                  <w14:solidFill>
                    <w14:srgbClr w14:val="000000">
                      <w14:alpha w14:val="100000"/>
                    </w14:srgbClr>
                  </w14:solidFill>
                </w14:textFill>
              </w:rPr>
              <w:t>|</w:t>
            </w:r>
            <w:r w:rsidR="001C7A57" w:rsidRPr="00CE7FA9">
              <w:rPr>
                <w:rFonts w:cs="Calibri"/>
                <w:color w:val="000000"/>
                <w:szCs w:val="20"/>
                <w:vertAlign w:val="superscript"/>
              </w:rPr>
              <w:t>1</w:t>
            </w:r>
          </w:p>
        </w:tc>
        <w:tc>
          <w:tcPr>
            <w:tcW w:w="546" w:type="pct"/>
            <w:vAlign w:val="center"/>
          </w:tcPr>
          <w:p w14:paraId="764FFAF8" w14:textId="06F6B677" w:rsidR="000A1519" w:rsidRPr="00814E4D" w:rsidRDefault="000A1519" w:rsidP="00E67D76">
            <w:pPr>
              <w:pStyle w:val="TableText"/>
              <w:keepLines/>
              <w:ind w:left="-65" w:right="-82"/>
              <w:jc w:val="center"/>
              <w:rPr>
                <w:rFonts w:cs="Arial"/>
                <w:szCs w:val="20"/>
              </w:rPr>
            </w:pPr>
            <w:r w:rsidRPr="00EE14F0">
              <w:rPr>
                <w:rFonts w:cs="Calibri"/>
                <w:color w:val="000000"/>
                <w:szCs w:val="20"/>
              </w:rPr>
              <w:t>$</w:t>
            </w:r>
            <w:r w:rsidR="00F96E54" w:rsidRPr="00F96E54">
              <w:rPr>
                <w:rFonts w:cs="Calibri"/>
                <w:color w:val="000000"/>
                <w:spacing w:val="48"/>
                <w:szCs w:val="20"/>
                <w:shd w:val="solid" w:color="000000" w:fill="000000"/>
                <w:fitText w:val="225" w:id="-1435342323"/>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23"/>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755C007D" w14:textId="387D1026" w:rsidR="000A1519" w:rsidRPr="00CE7FA9" w:rsidRDefault="000A1519" w:rsidP="00E67D76">
            <w:pPr>
              <w:pStyle w:val="TableText"/>
              <w:keepLines/>
              <w:ind w:left="-65" w:right="-82"/>
              <w:jc w:val="center"/>
              <w:rPr>
                <w:rFonts w:cs="Arial"/>
                <w:szCs w:val="20"/>
                <w:highlight w:val="darkGray"/>
              </w:rPr>
            </w:pPr>
            <w:r w:rsidRPr="00320844">
              <w:rPr>
                <w:rFonts w:cs="Calibri"/>
                <w:color w:val="000000"/>
                <w:szCs w:val="20"/>
              </w:rPr>
              <w:t>$</w:t>
            </w:r>
            <w:r w:rsidR="00F96E54" w:rsidRPr="00F96E54">
              <w:rPr>
                <w:rFonts w:cs="Calibri"/>
                <w:color w:val="000000"/>
                <w:spacing w:val="48"/>
                <w:szCs w:val="20"/>
                <w:shd w:val="solid" w:color="000000" w:fill="000000"/>
                <w:fitText w:val="225" w:id="-1435342322"/>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22"/>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658BBA1D" w14:textId="629E0850" w:rsidR="000A1519" w:rsidRPr="00814E4D" w:rsidRDefault="000A1519" w:rsidP="00E67D76">
            <w:pPr>
              <w:pStyle w:val="TableText"/>
              <w:keepLines/>
              <w:ind w:left="-65" w:right="-82"/>
              <w:jc w:val="center"/>
              <w:rPr>
                <w:rFonts w:cs="Arial"/>
                <w:szCs w:val="20"/>
              </w:rPr>
            </w:pPr>
            <w:r w:rsidRPr="00EE14F0">
              <w:rPr>
                <w:rFonts w:cs="Calibri"/>
                <w:color w:val="000000"/>
                <w:szCs w:val="20"/>
              </w:rPr>
              <w:t>$</w:t>
            </w:r>
            <w:r w:rsidR="00F96E54" w:rsidRPr="00F96E54">
              <w:rPr>
                <w:rFonts w:cs="Calibri"/>
                <w:color w:val="000000"/>
                <w:spacing w:val="48"/>
                <w:szCs w:val="20"/>
                <w:shd w:val="solid" w:color="000000" w:fill="000000"/>
                <w:fitText w:val="225" w:id="-1435342321"/>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21"/>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3C6FCA5E" w14:textId="3BBA0565" w:rsidR="000A1519" w:rsidRPr="00814E4D" w:rsidRDefault="000A1519" w:rsidP="00E67D76">
            <w:pPr>
              <w:pStyle w:val="TableText"/>
              <w:keepLines/>
              <w:ind w:left="-65" w:right="-82"/>
              <w:jc w:val="center"/>
              <w:rPr>
                <w:rFonts w:cs="Arial"/>
                <w:szCs w:val="20"/>
              </w:rPr>
            </w:pPr>
            <w:r w:rsidRPr="00EE14F0">
              <w:rPr>
                <w:rFonts w:cs="Calibri"/>
                <w:color w:val="000000"/>
                <w:szCs w:val="20"/>
              </w:rPr>
              <w:t>$</w:t>
            </w:r>
            <w:r w:rsidR="00F96E54" w:rsidRPr="00F96E54">
              <w:rPr>
                <w:rFonts w:cs="Calibri"/>
                <w:color w:val="000000"/>
                <w:spacing w:val="48"/>
                <w:szCs w:val="20"/>
                <w:shd w:val="solid" w:color="000000" w:fill="000000"/>
                <w:fitText w:val="225" w:id="-1435342320"/>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20"/>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27B35E34" w14:textId="6CC05BBC" w:rsidR="000A1519" w:rsidRPr="00814E4D" w:rsidRDefault="000A1519" w:rsidP="00E67D76">
            <w:pPr>
              <w:pStyle w:val="TableText"/>
              <w:keepLines/>
              <w:ind w:left="-65" w:right="-82"/>
              <w:jc w:val="center"/>
              <w:rPr>
                <w:rFonts w:cs="Arial"/>
                <w:szCs w:val="20"/>
              </w:rPr>
            </w:pPr>
            <w:r w:rsidRPr="00EE14F0">
              <w:rPr>
                <w:rFonts w:cs="Calibri"/>
                <w:color w:val="000000"/>
                <w:szCs w:val="20"/>
              </w:rPr>
              <w:t>$</w:t>
            </w:r>
            <w:r w:rsidR="00F96E54" w:rsidRPr="00F96E54">
              <w:rPr>
                <w:rFonts w:cs="Calibri"/>
                <w:color w:val="000000"/>
                <w:spacing w:val="48"/>
                <w:szCs w:val="20"/>
                <w:shd w:val="solid" w:color="000000" w:fill="000000"/>
                <w:fitText w:val="225" w:id="-1435342336"/>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36"/>
                <w14:textFill>
                  <w14:solidFill>
                    <w14:srgbClr w14:val="000000">
                      <w14:alpha w14:val="100000"/>
                    </w14:srgbClr>
                  </w14:solidFill>
                </w14:textFill>
              </w:rPr>
              <w:t>|</w:t>
            </w:r>
            <w:r w:rsidR="001C7A57" w:rsidRPr="008518B0">
              <w:rPr>
                <w:rFonts w:cs="Calibri"/>
                <w:color w:val="000000"/>
                <w:szCs w:val="20"/>
                <w:vertAlign w:val="superscript"/>
              </w:rPr>
              <w:t>1</w:t>
            </w:r>
          </w:p>
        </w:tc>
      </w:tr>
      <w:tr w:rsidR="000A1519" w:rsidRPr="00EE14F0" w14:paraId="3DD98E98" w14:textId="77777777" w:rsidTr="00A361A7">
        <w:tc>
          <w:tcPr>
            <w:tcW w:w="5000" w:type="pct"/>
            <w:gridSpan w:val="7"/>
            <w:vAlign w:val="center"/>
          </w:tcPr>
          <w:p w14:paraId="38C021B2" w14:textId="0B1F40F3" w:rsidR="000A1519" w:rsidRPr="00EE14F0" w:rsidRDefault="000A1519" w:rsidP="00E67D76">
            <w:pPr>
              <w:pStyle w:val="TableText"/>
              <w:keepLines/>
              <w:ind w:left="-65" w:right="-82"/>
              <w:rPr>
                <w:rFonts w:cs="Arial"/>
                <w:b/>
                <w:bCs w:val="0"/>
                <w:szCs w:val="20"/>
              </w:rPr>
            </w:pPr>
            <w:r w:rsidRPr="00EE14F0">
              <w:rPr>
                <w:rFonts w:cstheme="minorHAnsi"/>
                <w:b/>
                <w:bCs w:val="0"/>
                <w:szCs w:val="20"/>
              </w:rPr>
              <w:t>Net cost of ruxolitinib to the PBS/RPBS for steroid refractory Grade II</w:t>
            </w:r>
            <w:r w:rsidR="00CD2292">
              <w:rPr>
                <w:rFonts w:cstheme="minorHAnsi"/>
                <w:b/>
                <w:bCs w:val="0"/>
                <w:szCs w:val="20"/>
              </w:rPr>
              <w:t xml:space="preserve"> to </w:t>
            </w:r>
            <w:r w:rsidRPr="00EE14F0">
              <w:rPr>
                <w:rFonts w:cstheme="minorHAnsi"/>
                <w:b/>
                <w:bCs w:val="0"/>
                <w:szCs w:val="20"/>
              </w:rPr>
              <w:t>IV aGVHD</w:t>
            </w:r>
          </w:p>
        </w:tc>
      </w:tr>
      <w:tr w:rsidR="000A1519" w:rsidRPr="00EE14F0" w14:paraId="6F3418ED" w14:textId="77777777" w:rsidTr="00410066">
        <w:tc>
          <w:tcPr>
            <w:tcW w:w="1725" w:type="pct"/>
            <w:vAlign w:val="center"/>
          </w:tcPr>
          <w:p w14:paraId="63B09011" w14:textId="77777777" w:rsidR="000A1519" w:rsidRPr="00EE14F0" w:rsidRDefault="000A1519" w:rsidP="00E67D76">
            <w:pPr>
              <w:pStyle w:val="TableText"/>
              <w:keepLines/>
              <w:tabs>
                <w:tab w:val="right" w:pos="3513"/>
              </w:tabs>
              <w:ind w:left="-57" w:right="-68"/>
              <w:rPr>
                <w:rFonts w:cs="Calibri"/>
                <w:color w:val="000000"/>
                <w:szCs w:val="20"/>
              </w:rPr>
            </w:pPr>
            <w:r w:rsidRPr="00EE14F0">
              <w:rPr>
                <w:rFonts w:cs="Calibri"/>
                <w:color w:val="000000"/>
                <w:szCs w:val="20"/>
              </w:rPr>
              <w:t xml:space="preserve">Net cost to </w:t>
            </w:r>
            <w:r>
              <w:rPr>
                <w:rFonts w:cs="Calibri"/>
                <w:color w:val="000000"/>
                <w:szCs w:val="20"/>
              </w:rPr>
              <w:t>PBS/RPBS</w:t>
            </w:r>
            <w:r w:rsidRPr="00EE14F0">
              <w:rPr>
                <w:rFonts w:cs="Calibri"/>
                <w:color w:val="000000"/>
                <w:szCs w:val="20"/>
              </w:rPr>
              <w:t xml:space="preserve"> </w:t>
            </w:r>
            <w:r>
              <w:rPr>
                <w:rFonts w:cs="Calibri"/>
                <w:color w:val="000000"/>
                <w:szCs w:val="20"/>
              </w:rPr>
              <w:t>(less copayment)</w:t>
            </w:r>
          </w:p>
        </w:tc>
        <w:tc>
          <w:tcPr>
            <w:tcW w:w="545" w:type="pct"/>
            <w:vAlign w:val="center"/>
          </w:tcPr>
          <w:p w14:paraId="0793DA0F" w14:textId="3B126E51" w:rsidR="000A1519" w:rsidRPr="00EE14F0" w:rsidRDefault="000A1519" w:rsidP="00E67D76">
            <w:pPr>
              <w:pStyle w:val="TableText"/>
              <w:keepLines/>
              <w:ind w:left="-65" w:right="-82"/>
              <w:jc w:val="center"/>
              <w:rPr>
                <w:rFonts w:cs="Calibri"/>
                <w:color w:val="000000"/>
                <w:szCs w:val="20"/>
              </w:rPr>
            </w:pPr>
            <w:r w:rsidRPr="00EE14F0">
              <w:rPr>
                <w:rFonts w:cs="Calibri"/>
                <w:color w:val="000000"/>
                <w:szCs w:val="20"/>
              </w:rPr>
              <w:t>$</w:t>
            </w:r>
            <w:r w:rsidR="00F96E54" w:rsidRPr="00F96E54">
              <w:rPr>
                <w:rFonts w:cs="Calibri"/>
                <w:color w:val="000000"/>
                <w:spacing w:val="48"/>
                <w:szCs w:val="20"/>
                <w:shd w:val="solid" w:color="000000" w:fill="000000"/>
                <w:fitText w:val="225" w:id="-1435342335"/>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35"/>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4E212AEB" w14:textId="0988B569" w:rsidR="000A1519" w:rsidRPr="00EE14F0" w:rsidRDefault="000A1519" w:rsidP="00E67D76">
            <w:pPr>
              <w:pStyle w:val="TableText"/>
              <w:keepLines/>
              <w:ind w:left="-65" w:right="-82"/>
              <w:jc w:val="center"/>
              <w:rPr>
                <w:rFonts w:cs="Calibri"/>
                <w:color w:val="000000"/>
                <w:szCs w:val="20"/>
              </w:rPr>
            </w:pPr>
            <w:r w:rsidRPr="00EE14F0">
              <w:rPr>
                <w:rFonts w:cs="Calibri"/>
                <w:color w:val="000000"/>
                <w:szCs w:val="20"/>
              </w:rPr>
              <w:t>$</w:t>
            </w:r>
            <w:r w:rsidR="00F96E54" w:rsidRPr="00F96E54">
              <w:rPr>
                <w:rFonts w:cs="Calibri"/>
                <w:color w:val="000000"/>
                <w:spacing w:val="48"/>
                <w:szCs w:val="20"/>
                <w:shd w:val="solid" w:color="000000" w:fill="000000"/>
                <w:fitText w:val="225" w:id="-1435342334"/>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34"/>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69785F6C" w14:textId="1BAB7323" w:rsidR="000A1519" w:rsidRPr="00EE14F0" w:rsidRDefault="000A1519" w:rsidP="00E67D76">
            <w:pPr>
              <w:pStyle w:val="TableText"/>
              <w:keepLines/>
              <w:ind w:left="-65" w:right="-82"/>
              <w:jc w:val="center"/>
              <w:rPr>
                <w:rFonts w:cs="Calibri"/>
                <w:color w:val="000000"/>
                <w:szCs w:val="20"/>
              </w:rPr>
            </w:pPr>
            <w:r w:rsidRPr="00EE14F0">
              <w:rPr>
                <w:rFonts w:cs="Calibri"/>
                <w:color w:val="000000"/>
                <w:szCs w:val="20"/>
              </w:rPr>
              <w:t>$</w:t>
            </w:r>
            <w:r w:rsidR="00F96E54" w:rsidRPr="00F96E54">
              <w:rPr>
                <w:rFonts w:cs="Calibri"/>
                <w:color w:val="000000"/>
                <w:spacing w:val="48"/>
                <w:szCs w:val="20"/>
                <w:shd w:val="solid" w:color="000000" w:fill="000000"/>
                <w:fitText w:val="225" w:id="-1435342333"/>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33"/>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49F19B35" w14:textId="0C62343E" w:rsidR="000A1519" w:rsidRPr="00EE14F0" w:rsidRDefault="000A1519" w:rsidP="00E67D76">
            <w:pPr>
              <w:pStyle w:val="TableText"/>
              <w:keepLines/>
              <w:ind w:left="-65" w:right="-82"/>
              <w:jc w:val="center"/>
              <w:rPr>
                <w:rFonts w:cs="Calibri"/>
                <w:color w:val="000000"/>
                <w:szCs w:val="20"/>
              </w:rPr>
            </w:pPr>
            <w:r w:rsidRPr="00EE14F0">
              <w:rPr>
                <w:rFonts w:cs="Calibri"/>
                <w:color w:val="000000"/>
                <w:szCs w:val="20"/>
              </w:rPr>
              <w:t>$</w:t>
            </w:r>
            <w:r w:rsidR="00F96E54" w:rsidRPr="00F96E54">
              <w:rPr>
                <w:rFonts w:cs="Calibri"/>
                <w:color w:val="000000"/>
                <w:spacing w:val="48"/>
                <w:szCs w:val="20"/>
                <w:shd w:val="solid" w:color="000000" w:fill="000000"/>
                <w:fitText w:val="225" w:id="-1435342332"/>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32"/>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54DC2C73" w14:textId="7828B144" w:rsidR="000A1519" w:rsidRPr="00EE14F0" w:rsidRDefault="000A1519" w:rsidP="00E67D76">
            <w:pPr>
              <w:pStyle w:val="TableText"/>
              <w:keepLines/>
              <w:ind w:left="-65" w:right="-82"/>
              <w:jc w:val="center"/>
              <w:rPr>
                <w:rFonts w:cs="Calibri"/>
                <w:color w:val="000000"/>
                <w:szCs w:val="20"/>
              </w:rPr>
            </w:pPr>
            <w:r w:rsidRPr="00EE14F0">
              <w:rPr>
                <w:rFonts w:cs="Calibri"/>
                <w:color w:val="000000"/>
                <w:szCs w:val="20"/>
              </w:rPr>
              <w:t>$</w:t>
            </w:r>
            <w:r w:rsidR="00F96E54" w:rsidRPr="00F96E54">
              <w:rPr>
                <w:rFonts w:cs="Calibri"/>
                <w:color w:val="000000"/>
                <w:spacing w:val="48"/>
                <w:szCs w:val="20"/>
                <w:shd w:val="solid" w:color="000000" w:fill="000000"/>
                <w:fitText w:val="225" w:id="-1435342331"/>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31"/>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1DA21CB5" w14:textId="72346D72" w:rsidR="000A1519" w:rsidRPr="00EE14F0" w:rsidRDefault="000A1519" w:rsidP="00E67D76">
            <w:pPr>
              <w:pStyle w:val="TableText"/>
              <w:keepLines/>
              <w:ind w:left="-65" w:right="-82"/>
              <w:jc w:val="center"/>
              <w:rPr>
                <w:rFonts w:cs="Calibri"/>
                <w:color w:val="000000"/>
                <w:szCs w:val="20"/>
              </w:rPr>
            </w:pPr>
            <w:r w:rsidRPr="00EE14F0">
              <w:rPr>
                <w:rFonts w:cs="Calibri"/>
                <w:color w:val="000000"/>
                <w:szCs w:val="20"/>
              </w:rPr>
              <w:t>$</w:t>
            </w:r>
            <w:r w:rsidR="00F96E54" w:rsidRPr="00F96E54">
              <w:rPr>
                <w:rFonts w:cs="Calibri"/>
                <w:color w:val="000000"/>
                <w:spacing w:val="48"/>
                <w:szCs w:val="20"/>
                <w:shd w:val="solid" w:color="000000" w:fill="000000"/>
                <w:fitText w:val="225" w:id="-1435342330"/>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30"/>
                <w14:textFill>
                  <w14:solidFill>
                    <w14:srgbClr w14:val="000000">
                      <w14:alpha w14:val="100000"/>
                    </w14:srgbClr>
                  </w14:solidFill>
                </w14:textFill>
              </w:rPr>
              <w:t>|</w:t>
            </w:r>
            <w:r w:rsidR="001C7A57" w:rsidRPr="008518B0">
              <w:rPr>
                <w:rFonts w:cs="Calibri"/>
                <w:color w:val="000000"/>
                <w:szCs w:val="20"/>
                <w:vertAlign w:val="superscript"/>
              </w:rPr>
              <w:t>1</w:t>
            </w:r>
          </w:p>
        </w:tc>
      </w:tr>
      <w:tr w:rsidR="000A1519" w:rsidRPr="00EE14F0" w14:paraId="5D7361C5" w14:textId="77777777" w:rsidTr="00A361A7">
        <w:tc>
          <w:tcPr>
            <w:tcW w:w="5000" w:type="pct"/>
            <w:gridSpan w:val="7"/>
          </w:tcPr>
          <w:p w14:paraId="3CAD3FBF" w14:textId="0D06EA73" w:rsidR="000A1519" w:rsidRPr="00EE14F0" w:rsidRDefault="000A1519" w:rsidP="00E67D76">
            <w:pPr>
              <w:pStyle w:val="TableText"/>
              <w:keepLines/>
              <w:ind w:left="-65" w:right="-82"/>
              <w:rPr>
                <w:rFonts w:cs="Calibri"/>
                <w:color w:val="000000"/>
                <w:szCs w:val="20"/>
              </w:rPr>
            </w:pPr>
            <w:r w:rsidRPr="00EE14F0">
              <w:rPr>
                <w:rFonts w:cstheme="minorHAnsi"/>
                <w:b/>
                <w:bCs w:val="0"/>
                <w:szCs w:val="20"/>
              </w:rPr>
              <w:t xml:space="preserve">Net total cost of ruxolitinib to the PBS/RPBS for </w:t>
            </w:r>
            <w:r w:rsidR="00CD2292">
              <w:rPr>
                <w:rFonts w:cstheme="minorHAnsi"/>
                <w:b/>
                <w:bCs w:val="0"/>
                <w:szCs w:val="20"/>
              </w:rPr>
              <w:t xml:space="preserve">steroid refractory </w:t>
            </w:r>
            <w:r w:rsidRPr="00EE14F0">
              <w:rPr>
                <w:rFonts w:cstheme="minorHAnsi"/>
                <w:b/>
                <w:bCs w:val="0"/>
                <w:szCs w:val="20"/>
              </w:rPr>
              <w:t>GVHD</w:t>
            </w:r>
          </w:p>
        </w:tc>
      </w:tr>
      <w:tr w:rsidR="000A1519" w:rsidRPr="00EE14F0" w14:paraId="2B51EF5A" w14:textId="77777777" w:rsidTr="00410066">
        <w:tc>
          <w:tcPr>
            <w:tcW w:w="1725" w:type="pct"/>
            <w:vAlign w:val="center"/>
          </w:tcPr>
          <w:p w14:paraId="41215F29" w14:textId="77777777" w:rsidR="000A1519" w:rsidRPr="00EE14F0" w:rsidRDefault="000A1519" w:rsidP="00E67D76">
            <w:pPr>
              <w:pStyle w:val="TableText"/>
              <w:keepLines/>
              <w:tabs>
                <w:tab w:val="right" w:pos="3513"/>
              </w:tabs>
              <w:ind w:left="-57" w:right="-68"/>
              <w:rPr>
                <w:b/>
                <w:bCs w:val="0"/>
                <w:szCs w:val="20"/>
              </w:rPr>
            </w:pPr>
            <w:r w:rsidRPr="00EE14F0">
              <w:rPr>
                <w:rFonts w:cs="Calibri"/>
                <w:b/>
                <w:bCs w:val="0"/>
                <w:color w:val="000000"/>
                <w:szCs w:val="20"/>
              </w:rPr>
              <w:t xml:space="preserve">Net total cost of ruxolitinib to PBS/RPBS </w:t>
            </w:r>
            <w:r>
              <w:rPr>
                <w:rFonts w:cs="Calibri"/>
                <w:b/>
                <w:bCs w:val="0"/>
                <w:color w:val="000000"/>
                <w:szCs w:val="20"/>
              </w:rPr>
              <w:t>(less copayment)</w:t>
            </w:r>
          </w:p>
        </w:tc>
        <w:tc>
          <w:tcPr>
            <w:tcW w:w="545" w:type="pct"/>
            <w:vAlign w:val="center"/>
          </w:tcPr>
          <w:p w14:paraId="384C8EFF" w14:textId="4D5A0917" w:rsidR="000A1519" w:rsidRPr="00EE14F0" w:rsidRDefault="000A1519" w:rsidP="00E67D76">
            <w:pPr>
              <w:pStyle w:val="TableText"/>
              <w:keepLines/>
              <w:ind w:left="-65" w:right="-82"/>
              <w:jc w:val="center"/>
              <w:rPr>
                <w:rFonts w:cs="Arial"/>
                <w:b/>
                <w:bCs w:val="0"/>
                <w:szCs w:val="20"/>
              </w:rPr>
            </w:pPr>
            <w:r w:rsidRPr="00EE14F0">
              <w:rPr>
                <w:rFonts w:cs="Calibri"/>
                <w:b/>
                <w:bCs w:val="0"/>
                <w:color w:val="000000"/>
                <w:szCs w:val="20"/>
              </w:rPr>
              <w:t>$</w:t>
            </w:r>
            <w:r w:rsidR="00F96E54" w:rsidRPr="00F96E54">
              <w:rPr>
                <w:rFonts w:cs="Calibri"/>
                <w:b/>
                <w:bCs w:val="0"/>
                <w:color w:val="000000"/>
                <w:spacing w:val="184"/>
                <w:szCs w:val="20"/>
                <w:shd w:val="solid" w:color="000000" w:fill="000000"/>
                <w:fitText w:val="276" w:id="-1435342329"/>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76" w:id="-1435342329"/>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6C16A413" w14:textId="3125B2E5" w:rsidR="000A1519" w:rsidRPr="00EE14F0" w:rsidRDefault="000A1519" w:rsidP="00E67D76">
            <w:pPr>
              <w:pStyle w:val="TableText"/>
              <w:keepLines/>
              <w:ind w:left="-65" w:right="-82"/>
              <w:jc w:val="center"/>
              <w:rPr>
                <w:rFonts w:cs="Arial"/>
                <w:b/>
                <w:bCs w:val="0"/>
                <w:szCs w:val="20"/>
              </w:rPr>
            </w:pPr>
            <w:r w:rsidRPr="00EE14F0">
              <w:rPr>
                <w:rFonts w:cs="Calibri"/>
                <w:b/>
                <w:bCs w:val="0"/>
                <w:color w:val="000000"/>
                <w:szCs w:val="20"/>
              </w:rPr>
              <w:t>$</w:t>
            </w:r>
            <w:r w:rsidR="00F96E54" w:rsidRPr="00F96E54">
              <w:rPr>
                <w:rFonts w:cs="Calibri"/>
                <w:b/>
                <w:bCs w:val="0"/>
                <w:color w:val="000000"/>
                <w:spacing w:val="196"/>
                <w:szCs w:val="20"/>
                <w:shd w:val="solid" w:color="000000" w:fill="000000"/>
                <w:fitText w:val="288" w:id="-1435342328"/>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328"/>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3BA16C22" w14:textId="23AD90D8" w:rsidR="000A1519" w:rsidRPr="00EE14F0" w:rsidRDefault="000A1519" w:rsidP="00E67D76">
            <w:pPr>
              <w:pStyle w:val="TableText"/>
              <w:keepLines/>
              <w:ind w:left="-65" w:right="-82"/>
              <w:jc w:val="center"/>
              <w:rPr>
                <w:rFonts w:cs="Arial"/>
                <w:b/>
                <w:bCs w:val="0"/>
                <w:szCs w:val="20"/>
              </w:rPr>
            </w:pPr>
            <w:r w:rsidRPr="00EE14F0">
              <w:rPr>
                <w:rFonts w:cs="Calibri"/>
                <w:b/>
                <w:bCs w:val="0"/>
                <w:color w:val="000000"/>
                <w:szCs w:val="20"/>
              </w:rPr>
              <w:t>$</w:t>
            </w:r>
            <w:r w:rsidR="00F96E54" w:rsidRPr="00F96E54">
              <w:rPr>
                <w:rFonts w:cs="Calibri"/>
                <w:b/>
                <w:bCs w:val="0"/>
                <w:color w:val="000000"/>
                <w:spacing w:val="196"/>
                <w:szCs w:val="20"/>
                <w:shd w:val="solid" w:color="000000" w:fill="000000"/>
                <w:fitText w:val="288" w:id="-1435342327"/>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327"/>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3ABE1850" w14:textId="43062849" w:rsidR="000A1519" w:rsidRPr="00EE14F0" w:rsidRDefault="000A1519" w:rsidP="00E67D76">
            <w:pPr>
              <w:pStyle w:val="TableText"/>
              <w:keepLines/>
              <w:ind w:left="-65" w:right="-82"/>
              <w:jc w:val="center"/>
              <w:rPr>
                <w:rFonts w:cs="Arial"/>
                <w:b/>
                <w:bCs w:val="0"/>
                <w:szCs w:val="20"/>
              </w:rPr>
            </w:pPr>
            <w:r w:rsidRPr="00EE14F0">
              <w:rPr>
                <w:rFonts w:cs="Calibri"/>
                <w:b/>
                <w:bCs w:val="0"/>
                <w:color w:val="000000"/>
                <w:szCs w:val="20"/>
              </w:rPr>
              <w:t>$</w:t>
            </w:r>
            <w:r w:rsidR="00F96E54" w:rsidRPr="00F96E54">
              <w:rPr>
                <w:rFonts w:cs="Calibri"/>
                <w:b/>
                <w:bCs w:val="0"/>
                <w:color w:val="000000"/>
                <w:spacing w:val="196"/>
                <w:szCs w:val="20"/>
                <w:shd w:val="solid" w:color="000000" w:fill="000000"/>
                <w:fitText w:val="288" w:id="-1435342326"/>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326"/>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29B7853D" w14:textId="6A118212" w:rsidR="000A1519" w:rsidRPr="00EE14F0" w:rsidRDefault="000A1519" w:rsidP="00E67D76">
            <w:pPr>
              <w:pStyle w:val="TableText"/>
              <w:keepLines/>
              <w:ind w:left="-65" w:right="-82"/>
              <w:jc w:val="center"/>
              <w:rPr>
                <w:rFonts w:cs="Arial"/>
                <w:b/>
                <w:bCs w:val="0"/>
                <w:szCs w:val="20"/>
              </w:rPr>
            </w:pPr>
            <w:r w:rsidRPr="00EE14F0">
              <w:rPr>
                <w:rFonts w:cs="Calibri"/>
                <w:b/>
                <w:bCs w:val="0"/>
                <w:color w:val="000000"/>
                <w:szCs w:val="20"/>
              </w:rPr>
              <w:t>$</w:t>
            </w:r>
            <w:r w:rsidR="00F96E54" w:rsidRPr="00F96E54">
              <w:rPr>
                <w:rFonts w:cs="Calibri"/>
                <w:b/>
                <w:bCs w:val="0"/>
                <w:color w:val="000000"/>
                <w:spacing w:val="196"/>
                <w:szCs w:val="20"/>
                <w:shd w:val="solid" w:color="000000" w:fill="000000"/>
                <w:fitText w:val="288" w:id="-1435342325"/>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325"/>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007F3647" w14:textId="5138B5AC" w:rsidR="000A1519" w:rsidRPr="00EE14F0" w:rsidRDefault="000A1519" w:rsidP="00E67D76">
            <w:pPr>
              <w:pStyle w:val="TableText"/>
              <w:keepLines/>
              <w:ind w:left="-65" w:right="-82"/>
              <w:jc w:val="center"/>
              <w:rPr>
                <w:rFonts w:cs="Arial"/>
                <w:b/>
                <w:bCs w:val="0"/>
                <w:szCs w:val="20"/>
              </w:rPr>
            </w:pPr>
            <w:r w:rsidRPr="00EE14F0">
              <w:rPr>
                <w:rFonts w:cs="Calibri"/>
                <w:b/>
                <w:bCs w:val="0"/>
                <w:color w:val="000000"/>
                <w:szCs w:val="20"/>
              </w:rPr>
              <w:t>$</w:t>
            </w:r>
            <w:r w:rsidR="00F96E54" w:rsidRPr="00F96E54">
              <w:rPr>
                <w:rFonts w:cs="Calibri"/>
                <w:b/>
                <w:bCs w:val="0"/>
                <w:color w:val="000000"/>
                <w:spacing w:val="196"/>
                <w:szCs w:val="20"/>
                <w:shd w:val="solid" w:color="000000" w:fill="000000"/>
                <w:fitText w:val="288" w:id="-1435342324"/>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324"/>
                <w14:textFill>
                  <w14:solidFill>
                    <w14:srgbClr w14:val="000000">
                      <w14:alpha w14:val="100000"/>
                    </w14:srgbClr>
                  </w14:solidFill>
                </w14:textFill>
              </w:rPr>
              <w:t>|</w:t>
            </w:r>
            <w:r w:rsidR="001C7A57" w:rsidRPr="008518B0">
              <w:rPr>
                <w:rFonts w:cs="Calibri"/>
                <w:color w:val="000000"/>
                <w:szCs w:val="20"/>
                <w:vertAlign w:val="superscript"/>
              </w:rPr>
              <w:t>1</w:t>
            </w:r>
          </w:p>
        </w:tc>
      </w:tr>
      <w:tr w:rsidR="000A1519" w:rsidRPr="00EE14F0" w14:paraId="353CADA4" w14:textId="77777777" w:rsidTr="00410066">
        <w:tc>
          <w:tcPr>
            <w:tcW w:w="1725" w:type="pct"/>
          </w:tcPr>
          <w:p w14:paraId="015813F6" w14:textId="77777777" w:rsidR="000A1519" w:rsidRPr="00EE14F0" w:rsidRDefault="000A1519" w:rsidP="00E67D76">
            <w:pPr>
              <w:pStyle w:val="TableText"/>
              <w:keepLines/>
              <w:tabs>
                <w:tab w:val="right" w:pos="3513"/>
              </w:tabs>
              <w:ind w:left="-57" w:right="-68"/>
              <w:rPr>
                <w:rFonts w:cs="Calibri"/>
                <w:color w:val="000000"/>
                <w:szCs w:val="20"/>
              </w:rPr>
            </w:pPr>
            <w:r>
              <w:rPr>
                <w:rFonts w:cs="Calibri"/>
                <w:color w:val="000000"/>
                <w:szCs w:val="20"/>
              </w:rPr>
              <w:t>MBS cost offsets of ECP administration</w:t>
            </w:r>
          </w:p>
        </w:tc>
        <w:tc>
          <w:tcPr>
            <w:tcW w:w="545" w:type="pct"/>
          </w:tcPr>
          <w:p w14:paraId="2B026F31" w14:textId="1D0C4B4A" w:rsidR="000A1519" w:rsidRPr="00CE7FA9" w:rsidRDefault="000A1519" w:rsidP="00E67D76">
            <w:pPr>
              <w:pStyle w:val="TableText"/>
              <w:keepLines/>
              <w:ind w:left="-65" w:right="-82"/>
              <w:jc w:val="center"/>
              <w:rPr>
                <w:rFonts w:cs="Calibri"/>
                <w:color w:val="000000"/>
                <w:szCs w:val="20"/>
                <w:highlight w:val="darkGray"/>
              </w:rPr>
            </w:pPr>
            <w:r w:rsidRPr="00320844">
              <w:rPr>
                <w:rFonts w:cs="Calibri"/>
                <w:color w:val="000000"/>
                <w:szCs w:val="20"/>
              </w:rPr>
              <w:t>-$</w:t>
            </w:r>
            <w:r w:rsidR="00F96E54" w:rsidRPr="00F96E54">
              <w:rPr>
                <w:rFonts w:cs="Calibri"/>
                <w:color w:val="000000"/>
                <w:spacing w:val="164"/>
                <w:szCs w:val="20"/>
                <w:shd w:val="solid" w:color="000000" w:fill="000000"/>
                <w:fitText w:val="250" w:id="-1435342323"/>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2323"/>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tcPr>
          <w:p w14:paraId="17706A15" w14:textId="5AD71D9F" w:rsidR="000A1519" w:rsidRPr="00EE14F0" w:rsidRDefault="000A1519" w:rsidP="00E67D76">
            <w:pPr>
              <w:pStyle w:val="TableText"/>
              <w:keepLines/>
              <w:ind w:left="-65" w:right="-82"/>
              <w:jc w:val="center"/>
              <w:rPr>
                <w:rFonts w:cs="Calibri"/>
                <w:color w:val="000000"/>
                <w:szCs w:val="20"/>
              </w:rPr>
            </w:pPr>
            <w:r w:rsidRPr="003814C9">
              <w:rPr>
                <w:rFonts w:cs="Calibri"/>
                <w:color w:val="000000"/>
                <w:szCs w:val="20"/>
              </w:rPr>
              <w:t>-$</w:t>
            </w:r>
            <w:r w:rsidR="00F96E54" w:rsidRPr="00F96E54">
              <w:rPr>
                <w:rFonts w:cs="Calibri"/>
                <w:color w:val="000000"/>
                <w:spacing w:val="164"/>
                <w:szCs w:val="20"/>
                <w:shd w:val="solid" w:color="000000" w:fill="000000"/>
                <w:fitText w:val="250" w:id="-1435342322"/>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2322"/>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tcPr>
          <w:p w14:paraId="4EA26299" w14:textId="6608D3C7" w:rsidR="000A1519" w:rsidRPr="00EE14F0" w:rsidRDefault="000A1519" w:rsidP="00E67D76">
            <w:pPr>
              <w:pStyle w:val="TableText"/>
              <w:keepLines/>
              <w:ind w:left="-65" w:right="-82"/>
              <w:jc w:val="center"/>
              <w:rPr>
                <w:rFonts w:cs="Calibri"/>
                <w:color w:val="000000"/>
                <w:szCs w:val="20"/>
              </w:rPr>
            </w:pPr>
            <w:r w:rsidRPr="003814C9">
              <w:rPr>
                <w:rFonts w:cs="Calibri"/>
                <w:color w:val="000000"/>
                <w:szCs w:val="20"/>
              </w:rPr>
              <w:t>-$</w:t>
            </w:r>
            <w:r w:rsidR="00F96E54" w:rsidRPr="00F96E54">
              <w:rPr>
                <w:rFonts w:cs="Calibri"/>
                <w:color w:val="000000"/>
                <w:spacing w:val="164"/>
                <w:szCs w:val="20"/>
                <w:shd w:val="solid" w:color="000000" w:fill="000000"/>
                <w:fitText w:val="250" w:id="-1435342321"/>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2321"/>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tcPr>
          <w:p w14:paraId="46AD5F8C" w14:textId="3DE2F050" w:rsidR="000A1519" w:rsidRPr="00EE14F0" w:rsidRDefault="000A1519" w:rsidP="00E67D76">
            <w:pPr>
              <w:pStyle w:val="TableText"/>
              <w:keepLines/>
              <w:ind w:left="-65" w:right="-82"/>
              <w:jc w:val="center"/>
              <w:rPr>
                <w:rFonts w:cs="Calibri"/>
                <w:color w:val="000000"/>
                <w:szCs w:val="20"/>
              </w:rPr>
            </w:pPr>
            <w:r w:rsidRPr="003814C9">
              <w:rPr>
                <w:rFonts w:cs="Calibri"/>
                <w:color w:val="000000"/>
                <w:szCs w:val="20"/>
              </w:rPr>
              <w:t>-$</w:t>
            </w:r>
            <w:r w:rsidR="00F96E54" w:rsidRPr="00F96E54">
              <w:rPr>
                <w:rFonts w:cs="Calibri"/>
                <w:color w:val="000000"/>
                <w:spacing w:val="164"/>
                <w:szCs w:val="20"/>
                <w:shd w:val="solid" w:color="000000" w:fill="000000"/>
                <w:fitText w:val="250" w:id="-1435342320"/>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2320"/>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tcPr>
          <w:p w14:paraId="04376125" w14:textId="6D112000" w:rsidR="000A1519" w:rsidRPr="00EE14F0" w:rsidRDefault="000A1519" w:rsidP="00E67D76">
            <w:pPr>
              <w:pStyle w:val="TableText"/>
              <w:keepLines/>
              <w:ind w:left="-65" w:right="-82"/>
              <w:jc w:val="center"/>
              <w:rPr>
                <w:rFonts w:cs="Calibri"/>
                <w:color w:val="000000"/>
                <w:szCs w:val="20"/>
              </w:rPr>
            </w:pPr>
            <w:r w:rsidRPr="003814C9">
              <w:rPr>
                <w:rFonts w:cs="Calibri"/>
                <w:color w:val="000000"/>
                <w:szCs w:val="20"/>
              </w:rPr>
              <w:t>-$</w:t>
            </w:r>
            <w:r w:rsidR="00F96E54" w:rsidRPr="00F96E54">
              <w:rPr>
                <w:rFonts w:cs="Calibri"/>
                <w:color w:val="000000"/>
                <w:spacing w:val="164"/>
                <w:szCs w:val="20"/>
                <w:shd w:val="solid" w:color="000000" w:fill="000000"/>
                <w:fitText w:val="250" w:id="-1435342336"/>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2336"/>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tcPr>
          <w:p w14:paraId="5B966F67" w14:textId="3044220D" w:rsidR="000A1519" w:rsidRPr="00EE14F0" w:rsidRDefault="000A1519" w:rsidP="00E67D76">
            <w:pPr>
              <w:pStyle w:val="TableText"/>
              <w:keepLines/>
              <w:ind w:left="-65" w:right="-82"/>
              <w:jc w:val="center"/>
              <w:rPr>
                <w:rFonts w:cs="Calibri"/>
                <w:color w:val="000000"/>
                <w:szCs w:val="20"/>
              </w:rPr>
            </w:pPr>
            <w:r w:rsidRPr="003814C9">
              <w:rPr>
                <w:rFonts w:cs="Calibri"/>
                <w:color w:val="000000"/>
                <w:szCs w:val="20"/>
              </w:rPr>
              <w:t>-$</w:t>
            </w:r>
            <w:r w:rsidR="00F96E54" w:rsidRPr="00F96E54">
              <w:rPr>
                <w:rFonts w:cs="Calibri"/>
                <w:color w:val="000000"/>
                <w:spacing w:val="164"/>
                <w:szCs w:val="20"/>
                <w:shd w:val="solid" w:color="000000" w:fill="000000"/>
                <w:fitText w:val="250" w:id="-1435342335"/>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2335"/>
                <w14:textFill>
                  <w14:solidFill>
                    <w14:srgbClr w14:val="000000">
                      <w14:alpha w14:val="100000"/>
                    </w14:srgbClr>
                  </w14:solidFill>
                </w14:textFill>
              </w:rPr>
              <w:t>|</w:t>
            </w:r>
            <w:r w:rsidR="001C7A57" w:rsidRPr="008518B0">
              <w:rPr>
                <w:rFonts w:cs="Calibri"/>
                <w:color w:val="000000"/>
                <w:szCs w:val="20"/>
                <w:vertAlign w:val="superscript"/>
              </w:rPr>
              <w:t>1</w:t>
            </w:r>
          </w:p>
        </w:tc>
      </w:tr>
      <w:tr w:rsidR="000A1519" w:rsidRPr="00EE14F0" w14:paraId="3A893E03" w14:textId="77777777" w:rsidTr="00410066">
        <w:tc>
          <w:tcPr>
            <w:tcW w:w="1725" w:type="pct"/>
          </w:tcPr>
          <w:p w14:paraId="73DE43A4" w14:textId="58811076" w:rsidR="000A1519" w:rsidRDefault="000A1519" w:rsidP="00E67D76">
            <w:pPr>
              <w:pStyle w:val="TableText"/>
              <w:keepLines/>
              <w:tabs>
                <w:tab w:val="right" w:pos="3513"/>
              </w:tabs>
              <w:ind w:left="-57" w:right="-68"/>
              <w:rPr>
                <w:rFonts w:cs="Calibri"/>
                <w:color w:val="000000"/>
                <w:szCs w:val="20"/>
              </w:rPr>
            </w:pPr>
            <w:r w:rsidRPr="00B579C6">
              <w:rPr>
                <w:rFonts w:cs="Calibri"/>
                <w:b/>
                <w:bCs w:val="0"/>
                <w:color w:val="000000"/>
                <w:szCs w:val="20"/>
              </w:rPr>
              <w:t xml:space="preserve">Net total </w:t>
            </w:r>
            <w:r w:rsidR="00492773">
              <w:rPr>
                <w:rFonts w:cs="Calibri"/>
                <w:b/>
                <w:bCs w:val="0"/>
                <w:color w:val="000000"/>
                <w:szCs w:val="20"/>
              </w:rPr>
              <w:t>cost</w:t>
            </w:r>
            <w:r w:rsidRPr="00B579C6">
              <w:rPr>
                <w:rFonts w:cs="Calibri"/>
                <w:b/>
                <w:bCs w:val="0"/>
                <w:color w:val="000000"/>
                <w:szCs w:val="20"/>
              </w:rPr>
              <w:t xml:space="preserve"> of ruxolitinib to </w:t>
            </w:r>
            <w:r w:rsidR="00492773">
              <w:rPr>
                <w:rFonts w:cs="Calibri"/>
                <w:b/>
                <w:bCs w:val="0"/>
                <w:color w:val="000000"/>
                <w:szCs w:val="20"/>
              </w:rPr>
              <w:t>PBS/RPBS and MBS</w:t>
            </w:r>
          </w:p>
        </w:tc>
        <w:tc>
          <w:tcPr>
            <w:tcW w:w="545" w:type="pct"/>
            <w:vAlign w:val="center"/>
          </w:tcPr>
          <w:p w14:paraId="30D5ED54" w14:textId="00E1453E" w:rsidR="000A1519" w:rsidRPr="003814C9" w:rsidRDefault="000A1519" w:rsidP="00E67D76">
            <w:pPr>
              <w:pStyle w:val="TableText"/>
              <w:keepLines/>
              <w:ind w:left="-65" w:right="-82"/>
              <w:jc w:val="center"/>
              <w:rPr>
                <w:rFonts w:cs="Calibri"/>
                <w:color w:val="000000"/>
                <w:szCs w:val="20"/>
              </w:rPr>
            </w:pPr>
            <w:r w:rsidRPr="00C4364B">
              <w:rPr>
                <w:rFonts w:cs="Calibri"/>
                <w:b/>
                <w:bCs w:val="0"/>
                <w:color w:val="000000"/>
                <w:szCs w:val="20"/>
              </w:rPr>
              <w:t>$</w:t>
            </w:r>
            <w:r w:rsidR="00F96E54" w:rsidRPr="00F96E54">
              <w:rPr>
                <w:rFonts w:cs="Calibri"/>
                <w:b/>
                <w:bCs w:val="0"/>
                <w:color w:val="000000"/>
                <w:spacing w:val="184"/>
                <w:szCs w:val="20"/>
                <w:shd w:val="solid" w:color="000000" w:fill="000000"/>
                <w:fitText w:val="276" w:id="-1435342334"/>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76" w:id="-1435342334"/>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19FE8802" w14:textId="6AD5980E" w:rsidR="000A1519" w:rsidRPr="003814C9" w:rsidRDefault="000A1519" w:rsidP="00E67D76">
            <w:pPr>
              <w:pStyle w:val="TableText"/>
              <w:keepLines/>
              <w:ind w:left="-65" w:right="-82"/>
              <w:jc w:val="center"/>
              <w:rPr>
                <w:rFonts w:cs="Calibri"/>
                <w:color w:val="000000"/>
                <w:szCs w:val="20"/>
              </w:rPr>
            </w:pPr>
            <w:r w:rsidRPr="00C4364B">
              <w:rPr>
                <w:rFonts w:cs="Calibri"/>
                <w:b/>
                <w:bCs w:val="0"/>
                <w:color w:val="000000"/>
                <w:szCs w:val="20"/>
              </w:rPr>
              <w:t>$</w:t>
            </w:r>
            <w:r w:rsidR="00F96E54" w:rsidRPr="00F96E54">
              <w:rPr>
                <w:rFonts w:cs="Calibri"/>
                <w:b/>
                <w:bCs w:val="0"/>
                <w:color w:val="000000"/>
                <w:spacing w:val="196"/>
                <w:szCs w:val="20"/>
                <w:shd w:val="solid" w:color="000000" w:fill="000000"/>
                <w:fitText w:val="288" w:id="-1435342333"/>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333"/>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54B47C0F" w14:textId="68D5CB97" w:rsidR="000A1519" w:rsidRPr="003814C9" w:rsidRDefault="000A1519" w:rsidP="00E67D76">
            <w:pPr>
              <w:pStyle w:val="TableText"/>
              <w:keepLines/>
              <w:ind w:left="-65" w:right="-82"/>
              <w:jc w:val="center"/>
              <w:rPr>
                <w:rFonts w:cs="Calibri"/>
                <w:color w:val="000000"/>
                <w:szCs w:val="20"/>
              </w:rPr>
            </w:pPr>
            <w:r w:rsidRPr="00C4364B">
              <w:rPr>
                <w:rFonts w:cs="Calibri"/>
                <w:b/>
                <w:bCs w:val="0"/>
                <w:color w:val="000000"/>
                <w:szCs w:val="20"/>
              </w:rPr>
              <w:t>$</w:t>
            </w:r>
            <w:r w:rsidR="00F96E54" w:rsidRPr="00F96E54">
              <w:rPr>
                <w:rFonts w:cs="Calibri"/>
                <w:b/>
                <w:bCs w:val="0"/>
                <w:color w:val="000000"/>
                <w:spacing w:val="196"/>
                <w:szCs w:val="20"/>
                <w:shd w:val="solid" w:color="000000" w:fill="000000"/>
                <w:fitText w:val="288" w:id="-1435342332"/>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332"/>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2B08224B" w14:textId="17F24782" w:rsidR="000A1519" w:rsidRPr="003814C9" w:rsidRDefault="000A1519" w:rsidP="00E67D76">
            <w:pPr>
              <w:pStyle w:val="TableText"/>
              <w:keepLines/>
              <w:ind w:left="-65" w:right="-82"/>
              <w:jc w:val="center"/>
              <w:rPr>
                <w:rFonts w:cs="Calibri"/>
                <w:color w:val="000000"/>
                <w:szCs w:val="20"/>
              </w:rPr>
            </w:pPr>
            <w:r w:rsidRPr="00C4364B">
              <w:rPr>
                <w:rFonts w:cs="Calibri"/>
                <w:b/>
                <w:bCs w:val="0"/>
                <w:color w:val="000000"/>
                <w:szCs w:val="20"/>
              </w:rPr>
              <w:t>$</w:t>
            </w:r>
            <w:r w:rsidR="00F96E54" w:rsidRPr="00F96E54">
              <w:rPr>
                <w:rFonts w:cs="Calibri"/>
                <w:b/>
                <w:bCs w:val="0"/>
                <w:color w:val="000000"/>
                <w:spacing w:val="196"/>
                <w:szCs w:val="20"/>
                <w:shd w:val="solid" w:color="000000" w:fill="000000"/>
                <w:fitText w:val="288" w:id="-1435342331"/>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331"/>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72185EBA" w14:textId="5949ED7A" w:rsidR="000A1519" w:rsidRPr="003814C9" w:rsidRDefault="000A1519" w:rsidP="00E67D76">
            <w:pPr>
              <w:pStyle w:val="TableText"/>
              <w:keepLines/>
              <w:ind w:left="-65" w:right="-82"/>
              <w:jc w:val="center"/>
              <w:rPr>
                <w:rFonts w:cs="Calibri"/>
                <w:color w:val="000000"/>
                <w:szCs w:val="20"/>
              </w:rPr>
            </w:pPr>
            <w:r w:rsidRPr="00C4364B">
              <w:rPr>
                <w:rFonts w:cs="Calibri"/>
                <w:b/>
                <w:bCs w:val="0"/>
                <w:color w:val="000000"/>
                <w:szCs w:val="20"/>
              </w:rPr>
              <w:t>$</w:t>
            </w:r>
            <w:r w:rsidR="00F96E54" w:rsidRPr="00F96E54">
              <w:rPr>
                <w:rFonts w:cs="Calibri"/>
                <w:b/>
                <w:bCs w:val="0"/>
                <w:color w:val="000000"/>
                <w:spacing w:val="196"/>
                <w:szCs w:val="20"/>
                <w:shd w:val="solid" w:color="000000" w:fill="000000"/>
                <w:fitText w:val="288" w:id="-1435342330"/>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330"/>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2BF6EA5A" w14:textId="5A86A775" w:rsidR="000A1519" w:rsidRPr="003814C9" w:rsidRDefault="000A1519" w:rsidP="00E67D76">
            <w:pPr>
              <w:pStyle w:val="TableText"/>
              <w:keepLines/>
              <w:ind w:left="-65" w:right="-82"/>
              <w:jc w:val="center"/>
              <w:rPr>
                <w:rFonts w:cs="Calibri"/>
                <w:color w:val="000000"/>
                <w:szCs w:val="20"/>
              </w:rPr>
            </w:pPr>
            <w:r w:rsidRPr="00C4364B">
              <w:rPr>
                <w:rFonts w:cs="Calibri"/>
                <w:b/>
                <w:bCs w:val="0"/>
                <w:color w:val="000000"/>
                <w:szCs w:val="20"/>
              </w:rPr>
              <w:t>$</w:t>
            </w:r>
            <w:r w:rsidR="00F96E54" w:rsidRPr="00F96E54">
              <w:rPr>
                <w:rFonts w:cs="Calibri"/>
                <w:b/>
                <w:bCs w:val="0"/>
                <w:color w:val="000000"/>
                <w:spacing w:val="196"/>
                <w:szCs w:val="20"/>
                <w:shd w:val="solid" w:color="000000" w:fill="000000"/>
                <w:fitText w:val="288" w:id="-1435342329"/>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329"/>
                <w14:textFill>
                  <w14:solidFill>
                    <w14:srgbClr w14:val="000000">
                      <w14:alpha w14:val="100000"/>
                    </w14:srgbClr>
                  </w14:solidFill>
                </w14:textFill>
              </w:rPr>
              <w:t>|</w:t>
            </w:r>
            <w:r w:rsidR="001C7A57" w:rsidRPr="008518B0">
              <w:rPr>
                <w:rFonts w:cs="Calibri"/>
                <w:color w:val="000000"/>
                <w:szCs w:val="20"/>
                <w:vertAlign w:val="superscript"/>
              </w:rPr>
              <w:t>1</w:t>
            </w:r>
          </w:p>
        </w:tc>
      </w:tr>
      <w:tr w:rsidR="00410066" w:rsidRPr="00EE14F0" w14:paraId="0B02459E" w14:textId="77777777" w:rsidTr="00410066">
        <w:tc>
          <w:tcPr>
            <w:tcW w:w="5000" w:type="pct"/>
            <w:gridSpan w:val="7"/>
          </w:tcPr>
          <w:p w14:paraId="53FF7A43" w14:textId="5CB773BF" w:rsidR="00410066" w:rsidRPr="00C4364B" w:rsidRDefault="00410066" w:rsidP="00E67D76">
            <w:pPr>
              <w:pStyle w:val="TableText"/>
              <w:keepLines/>
              <w:ind w:left="-65" w:right="-82"/>
              <w:rPr>
                <w:rFonts w:cs="Calibri"/>
                <w:b/>
                <w:bCs w:val="0"/>
                <w:color w:val="000000"/>
                <w:szCs w:val="20"/>
              </w:rPr>
            </w:pPr>
            <w:r>
              <w:rPr>
                <w:rFonts w:cs="Calibri"/>
                <w:b/>
                <w:bCs w:val="0"/>
                <w:color w:val="000000"/>
                <w:szCs w:val="20"/>
              </w:rPr>
              <w:t>Incorporating the revised estimates provided in the pre-PBAC response for cGVHD</w:t>
            </w:r>
          </w:p>
        </w:tc>
      </w:tr>
      <w:tr w:rsidR="00410066" w:rsidRPr="00EE14F0" w14:paraId="35A4F2A8" w14:textId="77777777" w:rsidTr="00410066">
        <w:tc>
          <w:tcPr>
            <w:tcW w:w="1725" w:type="pct"/>
          </w:tcPr>
          <w:p w14:paraId="06BD4CEA" w14:textId="760FB737" w:rsidR="00410066" w:rsidRPr="00B579C6" w:rsidRDefault="009B7F7B" w:rsidP="00E67D76">
            <w:pPr>
              <w:pStyle w:val="TableText"/>
              <w:keepLines/>
              <w:tabs>
                <w:tab w:val="right" w:pos="3513"/>
              </w:tabs>
              <w:ind w:left="-57" w:right="-68"/>
              <w:rPr>
                <w:rFonts w:cs="Calibri"/>
                <w:b/>
                <w:bCs w:val="0"/>
                <w:color w:val="000000"/>
                <w:szCs w:val="20"/>
              </w:rPr>
            </w:pPr>
            <w:r>
              <w:rPr>
                <w:rFonts w:cs="Calibri"/>
                <w:b/>
                <w:bCs w:val="0"/>
                <w:color w:val="000000"/>
                <w:szCs w:val="20"/>
              </w:rPr>
              <w:t>Net t</w:t>
            </w:r>
            <w:r w:rsidR="00410066">
              <w:rPr>
                <w:rFonts w:cs="Calibri"/>
                <w:b/>
                <w:bCs w:val="0"/>
                <w:color w:val="000000"/>
                <w:szCs w:val="20"/>
              </w:rPr>
              <w:t>otal cost of ruxolitinib to PBS/RPBS (less copayment)</w:t>
            </w:r>
          </w:p>
        </w:tc>
        <w:tc>
          <w:tcPr>
            <w:tcW w:w="545" w:type="pct"/>
            <w:vAlign w:val="center"/>
          </w:tcPr>
          <w:p w14:paraId="273C5FA9" w14:textId="3CAB85F1" w:rsidR="00410066" w:rsidRPr="00410066" w:rsidRDefault="00410066" w:rsidP="00E67D76">
            <w:pPr>
              <w:pStyle w:val="TableText"/>
              <w:keepLines/>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184"/>
                <w:szCs w:val="20"/>
                <w:shd w:val="solid" w:color="000000" w:fill="000000"/>
                <w:fitText w:val="276" w:id="-1435342328"/>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76" w:id="-1435342328"/>
                <w14:textFill>
                  <w14:solidFill>
                    <w14:srgbClr w14:val="000000">
                      <w14:alpha w14:val="100000"/>
                    </w14:srgbClr>
                  </w14:solidFill>
                </w14:textFill>
              </w:rPr>
              <w:t>|</w:t>
            </w:r>
            <w:r w:rsidR="001C7A57">
              <w:rPr>
                <w:rFonts w:cs="Calibri"/>
                <w:color w:val="000000"/>
                <w:szCs w:val="20"/>
                <w:vertAlign w:val="superscript"/>
              </w:rPr>
              <w:t>2</w:t>
            </w:r>
          </w:p>
        </w:tc>
        <w:tc>
          <w:tcPr>
            <w:tcW w:w="546" w:type="pct"/>
            <w:vAlign w:val="center"/>
          </w:tcPr>
          <w:p w14:paraId="522EA824" w14:textId="60BE1245" w:rsidR="00410066" w:rsidRPr="00410066" w:rsidRDefault="00410066" w:rsidP="00E67D76">
            <w:pPr>
              <w:pStyle w:val="TableText"/>
              <w:keepLines/>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196"/>
                <w:szCs w:val="20"/>
                <w:shd w:val="solid" w:color="000000" w:fill="000000"/>
                <w:fitText w:val="288" w:id="-1435342327"/>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88" w:id="-1435342327"/>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62F54D6F" w14:textId="729308A6" w:rsidR="00410066" w:rsidRPr="00410066" w:rsidRDefault="00410066" w:rsidP="00E67D76">
            <w:pPr>
              <w:pStyle w:val="TableText"/>
              <w:keepLines/>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196"/>
                <w:szCs w:val="20"/>
                <w:shd w:val="solid" w:color="000000" w:fill="000000"/>
                <w:fitText w:val="288" w:id="-1435342326"/>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88" w:id="-1435342326"/>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77A88BCA" w14:textId="5EA20811" w:rsidR="00410066" w:rsidRPr="00410066" w:rsidRDefault="00410066" w:rsidP="00E67D76">
            <w:pPr>
              <w:pStyle w:val="TableText"/>
              <w:keepLines/>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196"/>
                <w:szCs w:val="20"/>
                <w:shd w:val="solid" w:color="000000" w:fill="000000"/>
                <w:fitText w:val="288" w:id="-1435342325"/>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88" w:id="-1435342325"/>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1807B6E0" w14:textId="1B32951E" w:rsidR="00410066" w:rsidRPr="00410066" w:rsidRDefault="00410066" w:rsidP="00E67D76">
            <w:pPr>
              <w:pStyle w:val="TableText"/>
              <w:keepLines/>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196"/>
                <w:szCs w:val="20"/>
                <w:shd w:val="solid" w:color="000000" w:fill="000000"/>
                <w:fitText w:val="288" w:id="-1435342324"/>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88" w:id="-1435342324"/>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7AFF77D4" w14:textId="1E9514F5" w:rsidR="00410066" w:rsidRPr="00410066" w:rsidRDefault="00410066" w:rsidP="00E67D76">
            <w:pPr>
              <w:pStyle w:val="TableText"/>
              <w:keepLines/>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196"/>
                <w:szCs w:val="20"/>
                <w:shd w:val="solid" w:color="000000" w:fill="000000"/>
                <w:fitText w:val="288" w:id="-1435342323"/>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88" w:id="-1435342323"/>
                <w14:textFill>
                  <w14:solidFill>
                    <w14:srgbClr w14:val="000000">
                      <w14:alpha w14:val="100000"/>
                    </w14:srgbClr>
                  </w14:solidFill>
                </w14:textFill>
              </w:rPr>
              <w:t>|</w:t>
            </w:r>
            <w:r w:rsidR="001C7A57" w:rsidRPr="008518B0">
              <w:rPr>
                <w:rFonts w:cs="Calibri"/>
                <w:color w:val="000000"/>
                <w:szCs w:val="20"/>
                <w:vertAlign w:val="superscript"/>
              </w:rPr>
              <w:t>1</w:t>
            </w:r>
          </w:p>
        </w:tc>
      </w:tr>
      <w:tr w:rsidR="009A4832" w:rsidRPr="00EE14F0" w14:paraId="537E2C05" w14:textId="77777777" w:rsidTr="00410066">
        <w:tc>
          <w:tcPr>
            <w:tcW w:w="1725" w:type="pct"/>
          </w:tcPr>
          <w:p w14:paraId="5030AC79" w14:textId="530E18B2" w:rsidR="009A4832" w:rsidRDefault="00492773" w:rsidP="00E67D76">
            <w:pPr>
              <w:pStyle w:val="TableText"/>
              <w:keepLines/>
              <w:tabs>
                <w:tab w:val="right" w:pos="3513"/>
              </w:tabs>
              <w:ind w:left="-57" w:right="-68"/>
              <w:rPr>
                <w:rFonts w:cs="Calibri"/>
                <w:b/>
                <w:bCs w:val="0"/>
                <w:color w:val="000000"/>
                <w:szCs w:val="20"/>
              </w:rPr>
            </w:pPr>
            <w:r w:rsidRPr="00B579C6">
              <w:rPr>
                <w:rFonts w:cs="Calibri"/>
                <w:b/>
                <w:bCs w:val="0"/>
                <w:color w:val="000000"/>
                <w:szCs w:val="20"/>
              </w:rPr>
              <w:t xml:space="preserve">Net total </w:t>
            </w:r>
            <w:r>
              <w:rPr>
                <w:rFonts w:cs="Calibri"/>
                <w:b/>
                <w:bCs w:val="0"/>
                <w:color w:val="000000"/>
                <w:szCs w:val="20"/>
              </w:rPr>
              <w:t>cost</w:t>
            </w:r>
            <w:r w:rsidRPr="00B579C6">
              <w:rPr>
                <w:rFonts w:cs="Calibri"/>
                <w:b/>
                <w:bCs w:val="0"/>
                <w:color w:val="000000"/>
                <w:szCs w:val="20"/>
              </w:rPr>
              <w:t xml:space="preserve"> of ruxolitinib to </w:t>
            </w:r>
            <w:r>
              <w:rPr>
                <w:rFonts w:cs="Calibri"/>
                <w:b/>
                <w:bCs w:val="0"/>
                <w:color w:val="000000"/>
                <w:szCs w:val="20"/>
              </w:rPr>
              <w:t>PBS/RPBS and MBS</w:t>
            </w:r>
          </w:p>
        </w:tc>
        <w:tc>
          <w:tcPr>
            <w:tcW w:w="545" w:type="pct"/>
            <w:vAlign w:val="center"/>
          </w:tcPr>
          <w:p w14:paraId="76558428" w14:textId="3E814249" w:rsidR="009A4832" w:rsidRPr="009A4832" w:rsidRDefault="009A4832" w:rsidP="00E67D76">
            <w:pPr>
              <w:pStyle w:val="TableText"/>
              <w:keepLines/>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184"/>
                <w:szCs w:val="20"/>
                <w:shd w:val="solid" w:color="000000" w:fill="000000"/>
                <w:fitText w:val="276" w:id="-1435342322"/>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76" w:id="-1435342322"/>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49BBE971" w14:textId="39DD72CD" w:rsidR="009A4832" w:rsidRPr="009A4832" w:rsidRDefault="009A4832" w:rsidP="00E67D76">
            <w:pPr>
              <w:pStyle w:val="TableText"/>
              <w:keepLines/>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196"/>
                <w:szCs w:val="20"/>
                <w:shd w:val="solid" w:color="000000" w:fill="000000"/>
                <w:fitText w:val="288" w:id="-1435342321"/>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88" w:id="-1435342321"/>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48F77814" w14:textId="60601EB3" w:rsidR="009A4832" w:rsidRPr="009A4832" w:rsidRDefault="009A4832" w:rsidP="00E67D76">
            <w:pPr>
              <w:pStyle w:val="TableText"/>
              <w:keepLines/>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196"/>
                <w:szCs w:val="20"/>
                <w:shd w:val="solid" w:color="000000" w:fill="000000"/>
                <w:fitText w:val="288" w:id="-1435342320"/>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88" w:id="-1435342320"/>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58C683E9" w14:textId="095C33F7" w:rsidR="009A4832" w:rsidRPr="009A4832" w:rsidRDefault="009A4832" w:rsidP="00E67D76">
            <w:pPr>
              <w:pStyle w:val="TableText"/>
              <w:keepLines/>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196"/>
                <w:szCs w:val="20"/>
                <w:shd w:val="solid" w:color="000000" w:fill="000000"/>
                <w:fitText w:val="288" w:id="-1435342336"/>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88" w:id="-1435342336"/>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52BF6A05" w14:textId="278DA63E" w:rsidR="009A4832" w:rsidRPr="009A4832" w:rsidRDefault="009A4832" w:rsidP="00E67D76">
            <w:pPr>
              <w:pStyle w:val="TableText"/>
              <w:keepLines/>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196"/>
                <w:szCs w:val="20"/>
                <w:shd w:val="solid" w:color="000000" w:fill="000000"/>
                <w:fitText w:val="288" w:id="-1435342335"/>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88" w:id="-1435342335"/>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14531CA2" w14:textId="451D4F22" w:rsidR="009A4832" w:rsidRPr="009A4832" w:rsidRDefault="009A4832" w:rsidP="00E67D76">
            <w:pPr>
              <w:pStyle w:val="TableText"/>
              <w:keepLines/>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196"/>
                <w:szCs w:val="20"/>
                <w:shd w:val="solid" w:color="000000" w:fill="000000"/>
                <w:fitText w:val="288" w:id="-1435342334"/>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88" w:id="-1435342334"/>
                <w14:textFill>
                  <w14:solidFill>
                    <w14:srgbClr w14:val="000000">
                      <w14:alpha w14:val="100000"/>
                    </w14:srgbClr>
                  </w14:solidFill>
                </w14:textFill>
              </w:rPr>
              <w:t>|</w:t>
            </w:r>
            <w:r w:rsidR="001C7A57" w:rsidRPr="008518B0">
              <w:rPr>
                <w:rFonts w:cs="Calibri"/>
                <w:color w:val="000000"/>
                <w:szCs w:val="20"/>
                <w:vertAlign w:val="superscript"/>
              </w:rPr>
              <w:t>1</w:t>
            </w:r>
          </w:p>
        </w:tc>
      </w:tr>
    </w:tbl>
    <w:p w14:paraId="3E1CBF39" w14:textId="77777777" w:rsidR="000A1519" w:rsidRDefault="000A1519" w:rsidP="00E67D76">
      <w:pPr>
        <w:pStyle w:val="TableFigureFooter"/>
        <w:keepNext/>
        <w:keepLines/>
      </w:pPr>
      <w:r>
        <w:t>Source: Tables 4.4-1, p387.</w:t>
      </w:r>
    </w:p>
    <w:p w14:paraId="6FE0C825" w14:textId="32C2946E" w:rsidR="000A1519" w:rsidRDefault="000A1519" w:rsidP="00CE7FA9">
      <w:pPr>
        <w:pStyle w:val="TableFigureFooter"/>
        <w:keepNext/>
        <w:keepLines/>
        <w:spacing w:after="0"/>
      </w:pPr>
      <w:r>
        <w:t xml:space="preserve">Abbreviations: </w:t>
      </w:r>
      <w:r w:rsidRPr="00D563DB">
        <w:t>aGVHD</w:t>
      </w:r>
      <w:r>
        <w:t>,</w:t>
      </w:r>
      <w:r w:rsidRPr="00D563DB">
        <w:t xml:space="preserve"> acute graft versus host disease; alloSCT</w:t>
      </w:r>
      <w:r>
        <w:t>,</w:t>
      </w:r>
      <w:r w:rsidRPr="00D563DB">
        <w:t xml:space="preserve"> allogenic stem cell transplantation; </w:t>
      </w:r>
      <w:r>
        <w:t xml:space="preserve">BAT, best available therapy; </w:t>
      </w:r>
      <w:r w:rsidRPr="00D563DB">
        <w:t>cGVHD</w:t>
      </w:r>
      <w:r>
        <w:t>,</w:t>
      </w:r>
      <w:r w:rsidRPr="00D563DB">
        <w:t xml:space="preserve"> chronic graft versus host disease</w:t>
      </w:r>
      <w:r>
        <w:t xml:space="preserve">; PBS, </w:t>
      </w:r>
      <w:r w:rsidRPr="00BE20A6">
        <w:t>Pharmaceutical Benefits Scheme</w:t>
      </w:r>
      <w:r>
        <w:t xml:space="preserve">; RPBS, </w:t>
      </w:r>
      <w:r w:rsidRPr="00BE20A6">
        <w:t>Repatriation Pharmaceutical Benefits Scheme</w:t>
      </w:r>
      <w:r>
        <w:t>.</w:t>
      </w:r>
    </w:p>
    <w:p w14:paraId="1CA7A99C" w14:textId="77777777" w:rsidR="001C7A57" w:rsidRPr="009A6D58" w:rsidRDefault="001C7A57" w:rsidP="001C7A57">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722844F" w14:textId="2F17E0C5" w:rsidR="001C7A57" w:rsidRPr="009A6D58" w:rsidRDefault="001C7A57" w:rsidP="001C7A57">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E02FAB" w:rsidRPr="00E02FAB">
        <w:rPr>
          <w:rFonts w:ascii="Arial Narrow" w:hAnsi="Arial Narrow"/>
          <w:i/>
          <w:sz w:val="18"/>
          <w:szCs w:val="18"/>
        </w:rPr>
        <w:t>$0 to &lt; $10 million</w:t>
      </w:r>
      <w:r w:rsidR="00E02FAB" w:rsidRPr="00E02FAB" w:rsidDel="00E02FAB">
        <w:rPr>
          <w:rFonts w:ascii="Arial Narrow" w:hAnsi="Arial Narrow"/>
          <w:i/>
          <w:sz w:val="18"/>
          <w:szCs w:val="18"/>
        </w:rPr>
        <w:t xml:space="preserve"> </w:t>
      </w:r>
    </w:p>
    <w:p w14:paraId="323AC535" w14:textId="3D6608D8" w:rsidR="001C7A57" w:rsidRPr="009A6D58" w:rsidRDefault="001C7A57" w:rsidP="001C7A57">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bookmarkStart w:id="76" w:name="_Hlk114133707"/>
      <w:r w:rsidR="00E02FAB" w:rsidRPr="00E02FAB">
        <w:rPr>
          <w:rFonts w:ascii="Arial Narrow" w:hAnsi="Arial Narrow"/>
          <w:i/>
          <w:sz w:val="18"/>
          <w:szCs w:val="18"/>
        </w:rPr>
        <w:t>$10 million to &lt; $20 millio</w:t>
      </w:r>
      <w:bookmarkEnd w:id="76"/>
      <w:r w:rsidR="00E02FAB" w:rsidRPr="00E02FAB">
        <w:rPr>
          <w:rFonts w:ascii="Arial Narrow" w:hAnsi="Arial Narrow"/>
          <w:i/>
          <w:sz w:val="18"/>
          <w:szCs w:val="18"/>
        </w:rPr>
        <w:t>n</w:t>
      </w:r>
      <w:r w:rsidR="00E02FAB" w:rsidRPr="00E02FAB" w:rsidDel="00E02FAB">
        <w:rPr>
          <w:rFonts w:ascii="Arial Narrow" w:hAnsi="Arial Narrow"/>
          <w:i/>
          <w:sz w:val="18"/>
          <w:szCs w:val="18"/>
        </w:rPr>
        <w:t xml:space="preserve"> </w:t>
      </w:r>
    </w:p>
    <w:p w14:paraId="6DC51680" w14:textId="77777777" w:rsidR="001C7A57" w:rsidRPr="00CD0CE8" w:rsidRDefault="001C7A57" w:rsidP="00E67D76">
      <w:pPr>
        <w:pStyle w:val="TableFigureFooter"/>
        <w:keepNext/>
        <w:keepLines/>
      </w:pPr>
    </w:p>
    <w:p w14:paraId="10577396" w14:textId="58E8F181" w:rsidR="00EA230D" w:rsidRDefault="000A1519" w:rsidP="00EA230D">
      <w:pPr>
        <w:pStyle w:val="ExecSumBodyText"/>
        <w:numPr>
          <w:ilvl w:val="1"/>
          <w:numId w:val="1"/>
        </w:numPr>
      </w:pPr>
      <w:bookmarkStart w:id="77" w:name="_Hlk107555921"/>
      <w:bookmarkEnd w:id="75"/>
      <w:r w:rsidRPr="00921EA2">
        <w:t xml:space="preserve">The </w:t>
      </w:r>
      <w:r w:rsidR="00EA230D">
        <w:t xml:space="preserve">submission </w:t>
      </w:r>
      <w:r w:rsidRPr="00921EA2">
        <w:t xml:space="preserve">estimated </w:t>
      </w:r>
      <w:r w:rsidR="00EA230D">
        <w:t xml:space="preserve">that the </w:t>
      </w:r>
      <w:r w:rsidRPr="00921EA2">
        <w:t>overall financial impact to the PBS/RPBS of listing ruxolitinib for a</w:t>
      </w:r>
      <w:r w:rsidR="00FA2702">
        <w:t xml:space="preserve">cute and chronic </w:t>
      </w:r>
      <w:r w:rsidRPr="00921EA2">
        <w:t xml:space="preserve">GVHD was </w:t>
      </w:r>
      <w:r w:rsidR="0073171F" w:rsidRPr="0073171F">
        <w:t>$0 to &lt; $10 million</w:t>
      </w:r>
      <w:r w:rsidR="0073171F" w:rsidRPr="0073171F" w:rsidDel="0073171F">
        <w:t xml:space="preserve"> </w:t>
      </w:r>
      <w:r w:rsidRPr="00921EA2">
        <w:t xml:space="preserve">in Year 1, </w:t>
      </w:r>
      <w:r w:rsidR="0073171F" w:rsidRPr="0073171F">
        <w:t>$0</w:t>
      </w:r>
      <w:r w:rsidR="00E02FAB">
        <w:t xml:space="preserve"> </w:t>
      </w:r>
      <w:r w:rsidR="0073171F" w:rsidRPr="0073171F">
        <w:t>to</w:t>
      </w:r>
      <w:r w:rsidR="00E02FAB">
        <w:t xml:space="preserve"> </w:t>
      </w:r>
      <w:r w:rsidR="0073171F" w:rsidRPr="0073171F">
        <w:t>&lt; $10 million</w:t>
      </w:r>
      <w:r w:rsidR="0073171F" w:rsidRPr="0073171F" w:rsidDel="0073171F">
        <w:t xml:space="preserve"> </w:t>
      </w:r>
      <w:r w:rsidRPr="00921EA2">
        <w:t>in Year 6, a</w:t>
      </w:r>
      <w:r w:rsidR="00196ACC">
        <w:t>nd</w:t>
      </w:r>
      <w:r w:rsidRPr="00921EA2">
        <w:t xml:space="preserve"> total</w:t>
      </w:r>
      <w:r w:rsidR="00196ACC">
        <w:t>ling</w:t>
      </w:r>
      <w:r w:rsidRPr="00921EA2">
        <w:t xml:space="preserve"> </w:t>
      </w:r>
      <w:r w:rsidR="00E02FAB" w:rsidRPr="00E02FAB">
        <w:t>$20 million</w:t>
      </w:r>
      <w:r w:rsidR="00E02FAB">
        <w:t xml:space="preserve"> </w:t>
      </w:r>
      <w:r w:rsidR="00E02FAB" w:rsidRPr="00E02FAB">
        <w:t>to</w:t>
      </w:r>
      <w:r w:rsidR="00E02FAB">
        <w:t xml:space="preserve"> </w:t>
      </w:r>
      <w:r w:rsidR="00E02FAB" w:rsidRPr="00E02FAB">
        <w:t>&lt; $30 million</w:t>
      </w:r>
      <w:r w:rsidR="00E02FAB" w:rsidRPr="00E02FAB" w:rsidDel="00E02FAB">
        <w:t xml:space="preserve"> </w:t>
      </w:r>
      <w:r w:rsidRPr="00921EA2">
        <w:t xml:space="preserve">over </w:t>
      </w:r>
      <w:r w:rsidR="00196ACC">
        <w:t xml:space="preserve">the first </w:t>
      </w:r>
      <w:r w:rsidRPr="00921EA2">
        <w:t>6 years</w:t>
      </w:r>
      <w:r w:rsidR="00196ACC">
        <w:t xml:space="preserve"> of listing</w:t>
      </w:r>
      <w:r w:rsidRPr="00921EA2">
        <w:t>.</w:t>
      </w:r>
      <w:r w:rsidR="00EA230D">
        <w:t xml:space="preserve"> The </w:t>
      </w:r>
      <w:r w:rsidR="00FA2702">
        <w:t xml:space="preserve">submission estimated the </w:t>
      </w:r>
      <w:r w:rsidR="00EA230D">
        <w:t xml:space="preserve">total cost to the </w:t>
      </w:r>
      <w:r w:rsidR="00492773">
        <w:t>PBS/ RPBS and MBS (</w:t>
      </w:r>
      <w:r w:rsidR="004B349A">
        <w:t>including estimated MBS offsets</w:t>
      </w:r>
      <w:r w:rsidR="00492773">
        <w:t xml:space="preserve"> for ECP)</w:t>
      </w:r>
      <w:r w:rsidR="00EA230D">
        <w:t xml:space="preserve"> </w:t>
      </w:r>
      <w:r w:rsidR="00FA2702">
        <w:t>would</w:t>
      </w:r>
      <w:r w:rsidR="00EA230D">
        <w:t xml:space="preserve"> be </w:t>
      </w:r>
      <w:r w:rsidR="00E02FAB" w:rsidRPr="00E02FAB">
        <w:t>$10 million to &lt; $20 million</w:t>
      </w:r>
      <w:r w:rsidR="00E02FAB" w:rsidRPr="00E02FAB" w:rsidDel="00E02FAB">
        <w:t xml:space="preserve"> </w:t>
      </w:r>
      <w:r w:rsidR="00EA230D">
        <w:t>over the first 6 years of listing</w:t>
      </w:r>
      <w:r w:rsidR="00FA2702">
        <w:t xml:space="preserve">, and this was increased in the pre-PBAC response to </w:t>
      </w:r>
      <w:r w:rsidR="00E02FAB" w:rsidRPr="00E02FAB">
        <w:t>$20 million</w:t>
      </w:r>
      <w:r w:rsidR="00E02FAB">
        <w:t xml:space="preserve"> </w:t>
      </w:r>
      <w:r w:rsidR="00E02FAB" w:rsidRPr="00E02FAB">
        <w:t>to</w:t>
      </w:r>
      <w:r w:rsidR="00E02FAB">
        <w:t xml:space="preserve"> </w:t>
      </w:r>
      <w:r w:rsidR="00E02FAB" w:rsidRPr="00E02FAB">
        <w:t>&lt; $30 million</w:t>
      </w:r>
      <w:r w:rsidR="00E02FAB" w:rsidRPr="00E02FAB" w:rsidDel="00E02FAB">
        <w:t xml:space="preserve"> </w:t>
      </w:r>
      <w:r w:rsidR="00FA2702">
        <w:t>over 6 years</w:t>
      </w:r>
      <w:r w:rsidR="00EA230D">
        <w:t>.</w:t>
      </w:r>
    </w:p>
    <w:p w14:paraId="1F8D47C7" w14:textId="45FA3B8C" w:rsidR="009116AC" w:rsidRPr="00A6154D" w:rsidRDefault="000A1519" w:rsidP="009116AC">
      <w:pPr>
        <w:pStyle w:val="ExecSumBodyText"/>
        <w:numPr>
          <w:ilvl w:val="1"/>
          <w:numId w:val="1"/>
        </w:numPr>
      </w:pPr>
      <w:bookmarkStart w:id="78" w:name="_Ref106351956"/>
      <w:bookmarkEnd w:id="77"/>
      <w:r w:rsidRPr="00A6154D">
        <w:t xml:space="preserve">The </w:t>
      </w:r>
      <w:r w:rsidR="00974DDF">
        <w:t xml:space="preserve">evaluation and ESC considered that the financial estimates </w:t>
      </w:r>
      <w:r w:rsidRPr="00A6154D">
        <w:t>were uncertain for the following reasons:</w:t>
      </w:r>
      <w:bookmarkStart w:id="79" w:name="_Hlk103083894"/>
      <w:bookmarkEnd w:id="78"/>
    </w:p>
    <w:p w14:paraId="25C816A4" w14:textId="1BAA630A" w:rsidR="00C12341" w:rsidRPr="00A6154D" w:rsidRDefault="00F356DA" w:rsidP="00A2582A">
      <w:pPr>
        <w:pStyle w:val="ExecSumBodyText"/>
        <w:numPr>
          <w:ilvl w:val="1"/>
          <w:numId w:val="24"/>
        </w:numPr>
        <w:spacing w:after="0"/>
        <w:ind w:left="1077" w:hanging="357"/>
      </w:pPr>
      <w:r w:rsidRPr="00A6154D">
        <w:t xml:space="preserve">The </w:t>
      </w:r>
      <w:r w:rsidR="00974DDF">
        <w:t xml:space="preserve">estimates </w:t>
      </w:r>
      <w:r w:rsidR="00DF6826" w:rsidRPr="00A6154D">
        <w:t xml:space="preserve">were </w:t>
      </w:r>
      <w:r w:rsidRPr="00A6154D">
        <w:t>based on patients with steroid refractory disease</w:t>
      </w:r>
      <w:r w:rsidR="00DF6826" w:rsidRPr="00A6154D">
        <w:t xml:space="preserve"> only</w:t>
      </w:r>
      <w:r w:rsidRPr="00A6154D">
        <w:t xml:space="preserve"> and did not appear to account for patients with steroid dependent disease or patients with steroid intolerance. </w:t>
      </w:r>
      <w:r w:rsidR="00C12341" w:rsidRPr="00A6154D">
        <w:t>The PSCR stated that the analysis included cGHVD patients with steroid dependent disease, but not aGVHD</w:t>
      </w:r>
      <w:r w:rsidR="001658CC" w:rsidRPr="00A6154D">
        <w:t xml:space="preserve"> steroid dependent disease;</w:t>
      </w:r>
      <w:r w:rsidR="00C12341" w:rsidRPr="00A6154D">
        <w:t xml:space="preserve"> therefore, the PSCR acknowledged that it was possible that the total eligible population may have been slightly underestimated due to the omission of these patients.</w:t>
      </w:r>
      <w:r w:rsidR="00196ACC" w:rsidRPr="00A6154D">
        <w:t xml:space="preserve"> The ESC </w:t>
      </w:r>
      <w:r w:rsidR="00974DDF">
        <w:t>and PBAC considered</w:t>
      </w:r>
      <w:r w:rsidR="00196ACC" w:rsidRPr="00A6154D">
        <w:t xml:space="preserve"> that the steroid intolerant population was expected to be small.</w:t>
      </w:r>
    </w:p>
    <w:p w14:paraId="50341ABA" w14:textId="290650DD" w:rsidR="000A1519" w:rsidRPr="00A6154D" w:rsidRDefault="000A1519" w:rsidP="00A2582A">
      <w:pPr>
        <w:pStyle w:val="ListParagraph"/>
        <w:numPr>
          <w:ilvl w:val="0"/>
          <w:numId w:val="18"/>
        </w:numPr>
        <w:ind w:left="1077" w:hanging="357"/>
      </w:pPr>
      <w:r w:rsidRPr="00A6154D">
        <w:t xml:space="preserve">The estimated proportion of alloSCT survivors derived from Gifford et al. (2016) most likely underestimated the eligible population in the contemporary Australian setting, given the study was based on </w:t>
      </w:r>
      <w:r w:rsidR="002063F3" w:rsidRPr="00A6154D">
        <w:t>patients transplanted between 2000 and 2013</w:t>
      </w:r>
      <w:r w:rsidRPr="00A6154D">
        <w:t xml:space="preserve"> and excluded patients aged 12 to </w:t>
      </w:r>
      <w:r w:rsidRPr="00A6154D">
        <w:rPr>
          <w:rFonts w:cs="Calibri"/>
        </w:rPr>
        <w:t>≤</w:t>
      </w:r>
      <w:r w:rsidRPr="00A6154D">
        <w:t>18 years.</w:t>
      </w:r>
      <w:r w:rsidR="00B24162">
        <w:t xml:space="preserve"> The pre-PBAC response increased the proportion of prevalent patients alive at Year 1 from 45% to 55% based on the most recent publication from the Austral</w:t>
      </w:r>
      <w:r w:rsidR="00217453">
        <w:t>as</w:t>
      </w:r>
      <w:r w:rsidR="00B24162">
        <w:t xml:space="preserve">ian Bone Marrow </w:t>
      </w:r>
      <w:r w:rsidR="00217453">
        <w:t xml:space="preserve">Transplant </w:t>
      </w:r>
      <w:r w:rsidR="00B24162">
        <w:t>Recipient Registry.</w:t>
      </w:r>
    </w:p>
    <w:p w14:paraId="5C8BF4E4" w14:textId="50915256" w:rsidR="000A1519" w:rsidRPr="00A6154D" w:rsidRDefault="000A1519" w:rsidP="00A2582A">
      <w:pPr>
        <w:pStyle w:val="ListParagraph"/>
        <w:numPr>
          <w:ilvl w:val="0"/>
          <w:numId w:val="18"/>
        </w:numPr>
        <w:ind w:left="1077" w:hanging="357"/>
      </w:pPr>
      <w:r w:rsidRPr="00A6154D">
        <w:t xml:space="preserve">The proportions of patients with steroid refractory GVHD derived from Axt et al. (2019) may not be applicable to the Australian setting, given Axt (2019) was a small German study based on data from 2004 to 2013 that excluded patients aged 12 to 18 years. </w:t>
      </w:r>
      <w:r w:rsidR="00B24162">
        <w:t>The pre-PBAC response increased the proportion of patients with moderate cGVHD who were ste</w:t>
      </w:r>
      <w:r w:rsidR="007248EC">
        <w:t>r</w:t>
      </w:r>
      <w:r w:rsidR="00B24162">
        <w:t xml:space="preserve">oid refractory from 22.2% to 60% </w:t>
      </w:r>
      <w:r w:rsidR="00974DDF">
        <w:t xml:space="preserve">which it stated was </w:t>
      </w:r>
      <w:r w:rsidR="00B24162">
        <w:t>to align with the values reported in the ratified MSAC PICO for ECP (p7, Extracorporeal photopheresis (Application 1651) Ratified PICO).</w:t>
      </w:r>
      <w:r w:rsidR="00EA230D">
        <w:t xml:space="preserve"> The PBAC noted that the change appeared to be based on </w:t>
      </w:r>
      <w:r w:rsidR="00E94719">
        <w:t>a</w:t>
      </w:r>
      <w:r w:rsidR="00EA230D">
        <w:t xml:space="preserve"> statement </w:t>
      </w:r>
      <w:r w:rsidR="00E94719">
        <w:t xml:space="preserve">in the PICO </w:t>
      </w:r>
      <w:r w:rsidR="00EA230D">
        <w:t>that ‘it is estimated that 40% of patients achieve a complete or partial response to first-line treatment’ and that no source was provided.</w:t>
      </w:r>
    </w:p>
    <w:p w14:paraId="34F18704" w14:textId="08FC853B" w:rsidR="003066B4" w:rsidRPr="00A6154D" w:rsidRDefault="000A1519" w:rsidP="00A2582A">
      <w:pPr>
        <w:pStyle w:val="ListParagraph"/>
        <w:numPr>
          <w:ilvl w:val="0"/>
          <w:numId w:val="18"/>
        </w:numPr>
        <w:ind w:left="1077" w:hanging="357"/>
      </w:pPr>
      <w:r w:rsidRPr="00A6154D">
        <w:t xml:space="preserve">The estimated duration of </w:t>
      </w:r>
      <w:r w:rsidR="002063F3" w:rsidRPr="00A6154D">
        <w:t xml:space="preserve">ruxolitinib </w:t>
      </w:r>
      <w:r w:rsidRPr="00A6154D">
        <w:t xml:space="preserve">treatment for initial and continuing treatment </w:t>
      </w:r>
      <w:r w:rsidR="003066B4" w:rsidRPr="00A6154D">
        <w:t xml:space="preserve">for cGVHD was </w:t>
      </w:r>
      <w:r w:rsidR="00360732" w:rsidRPr="00A6154D">
        <w:t xml:space="preserve">based on outcomes from the economic model </w:t>
      </w:r>
      <w:r w:rsidRPr="00A6154D">
        <w:t xml:space="preserve">derived from </w:t>
      </w:r>
      <w:r w:rsidR="003066B4" w:rsidRPr="00A6154D">
        <w:t>extrapolated time to treatment discontinuation data. The</w:t>
      </w:r>
      <w:r w:rsidR="00974DDF">
        <w:t xml:space="preserve"> evaluation considered that the</w:t>
      </w:r>
      <w:r w:rsidR="003066B4" w:rsidRPr="00A6154D">
        <w:t xml:space="preserve"> extrapolat</w:t>
      </w:r>
      <w:r w:rsidR="009720AB" w:rsidRPr="00A6154D">
        <w:t>ed time to treatment discontinuation data</w:t>
      </w:r>
      <w:r w:rsidR="003066B4" w:rsidRPr="00A6154D">
        <w:t xml:space="preserve"> w</w:t>
      </w:r>
      <w:r w:rsidR="00974DDF">
        <w:t>ere</w:t>
      </w:r>
      <w:r w:rsidR="003066B4" w:rsidRPr="00A6154D">
        <w:t xml:space="preserve"> uncertain due to the limited duration of observed data (median follow-up of 57 weeks).</w:t>
      </w:r>
      <w:r w:rsidR="001658CC" w:rsidRPr="00A6154D">
        <w:t xml:space="preserve"> </w:t>
      </w:r>
      <w:r w:rsidR="00974DDF">
        <w:t>However, t</w:t>
      </w:r>
      <w:r w:rsidR="001658CC" w:rsidRPr="00A6154D">
        <w:t xml:space="preserve">he ESC noted that the base case financial estimates applied the exponential extrapolation and that this resulted in the shortest treatment duration. </w:t>
      </w:r>
      <w:r w:rsidR="001C403A">
        <w:t>The PBAC noted that the estimate</w:t>
      </w:r>
      <w:r w:rsidR="00FA2702">
        <w:t>d treatment duration</w:t>
      </w:r>
      <w:r w:rsidR="001C403A">
        <w:t xml:space="preserve"> was consistent with the economic model.</w:t>
      </w:r>
    </w:p>
    <w:p w14:paraId="56A98C36" w14:textId="1AD4EDD8" w:rsidR="00BC3A22" w:rsidRPr="00A6154D" w:rsidRDefault="00991ADD" w:rsidP="00A2582A">
      <w:pPr>
        <w:pStyle w:val="ListParagraph"/>
        <w:numPr>
          <w:ilvl w:val="0"/>
          <w:numId w:val="18"/>
        </w:numPr>
        <w:ind w:left="1077" w:hanging="357"/>
      </w:pPr>
      <w:r w:rsidRPr="00A6154D">
        <w:t xml:space="preserve">The utilisation of </w:t>
      </w:r>
      <w:r w:rsidR="00392273" w:rsidRPr="00A6154D">
        <w:t xml:space="preserve">cGVHD </w:t>
      </w:r>
      <w:r w:rsidR="007E4E5C" w:rsidRPr="00A6154D">
        <w:t xml:space="preserve">BAT </w:t>
      </w:r>
      <w:r w:rsidR="00392273" w:rsidRPr="00A6154D">
        <w:t xml:space="preserve">treatments was </w:t>
      </w:r>
      <w:r w:rsidR="005D3DA5" w:rsidRPr="00A6154D">
        <w:t>estimated</w:t>
      </w:r>
      <w:r w:rsidR="00392273" w:rsidRPr="00A6154D">
        <w:t xml:space="preserve"> from the modelled outputs </w:t>
      </w:r>
      <w:r w:rsidR="005D3DA5" w:rsidRPr="00A6154D">
        <w:t>of</w:t>
      </w:r>
      <w:r w:rsidR="00392273" w:rsidRPr="00A6154D">
        <w:t xml:space="preserve"> the economic model. </w:t>
      </w:r>
      <w:r w:rsidR="005D3DA5" w:rsidRPr="00A6154D">
        <w:t>The e</w:t>
      </w:r>
      <w:r w:rsidRPr="00A6154D">
        <w:t>stimated utilisation was</w:t>
      </w:r>
      <w:r w:rsidR="005D3DA5" w:rsidRPr="00A6154D">
        <w:t xml:space="preserve"> considered </w:t>
      </w:r>
      <w:r w:rsidR="003D60E7" w:rsidRPr="00A6154D">
        <w:t xml:space="preserve">uncertain </w:t>
      </w:r>
      <w:r w:rsidR="005D3DA5" w:rsidRPr="00A6154D">
        <w:t xml:space="preserve">due to the likely differences </w:t>
      </w:r>
      <w:r w:rsidR="007E4E5C" w:rsidRPr="00A6154D">
        <w:t xml:space="preserve">in </w:t>
      </w:r>
      <w:r w:rsidR="003F4E42" w:rsidRPr="00A6154D">
        <w:t xml:space="preserve">availability and utilisation </w:t>
      </w:r>
      <w:r w:rsidR="007E4E5C" w:rsidRPr="00A6154D">
        <w:t xml:space="preserve">of treatments </w:t>
      </w:r>
      <w:r w:rsidR="005D3DA5" w:rsidRPr="00A6154D">
        <w:t xml:space="preserve">between the </w:t>
      </w:r>
      <w:r w:rsidR="007E4E5C" w:rsidRPr="00A6154D">
        <w:t xml:space="preserve">clinical trial </w:t>
      </w:r>
      <w:r w:rsidR="003F4E42" w:rsidRPr="00A6154D">
        <w:t>setting and Australian clinical practice.</w:t>
      </w:r>
    </w:p>
    <w:p w14:paraId="19AD4623" w14:textId="77777777" w:rsidR="00E53512" w:rsidRPr="00C9624D" w:rsidRDefault="00E53512" w:rsidP="00E53512">
      <w:pPr>
        <w:pStyle w:val="3-SubsectionHeading"/>
      </w:pPr>
      <w:bookmarkStart w:id="80" w:name="_Toc22897649"/>
      <w:bookmarkStart w:id="81" w:name="_Toc22898861"/>
      <w:bookmarkStart w:id="82" w:name="_Toc103614224"/>
      <w:bookmarkEnd w:id="79"/>
      <w:r w:rsidRPr="00C9624D">
        <w:t>Financial Management – Risk Sharing Arrangements</w:t>
      </w:r>
      <w:bookmarkEnd w:id="80"/>
      <w:bookmarkEnd w:id="81"/>
      <w:bookmarkEnd w:id="82"/>
    </w:p>
    <w:p w14:paraId="27686031" w14:textId="41A0DD50" w:rsidR="00E53512" w:rsidRPr="00551BD8" w:rsidRDefault="00E53512" w:rsidP="00E53512">
      <w:pPr>
        <w:pStyle w:val="ExecSumBodyText"/>
        <w:numPr>
          <w:ilvl w:val="1"/>
          <w:numId w:val="1"/>
        </w:numPr>
      </w:pPr>
      <w:r w:rsidRPr="00551BD8">
        <w:t xml:space="preserve">No </w:t>
      </w:r>
      <w:r>
        <w:t>risk-sharing arrangement</w:t>
      </w:r>
      <w:r w:rsidR="00891B30">
        <w:t xml:space="preserve"> was</w:t>
      </w:r>
      <w:r>
        <w:t xml:space="preserve"> proposed.</w:t>
      </w:r>
    </w:p>
    <w:p w14:paraId="6B53FF05" w14:textId="23D782AF" w:rsidR="00A6154D" w:rsidRPr="00A6154D" w:rsidRDefault="00A6154D" w:rsidP="00A6154D">
      <w:pPr>
        <w:ind w:firstLine="720"/>
      </w:pPr>
      <w:r w:rsidRPr="00A6154D">
        <w:rPr>
          <w:i/>
          <w:iCs/>
          <w:lang w:val="en-US"/>
        </w:rPr>
        <w:t>For more detail on PBAC’s view, see section 7 PBAC outcome.</w:t>
      </w:r>
    </w:p>
    <w:p w14:paraId="2EAFC8A8" w14:textId="77777777" w:rsidR="00A6154D" w:rsidRPr="0090150D" w:rsidRDefault="00A6154D" w:rsidP="00A6154D">
      <w:pPr>
        <w:pStyle w:val="2-SectionHeading"/>
      </w:pPr>
      <w:bookmarkStart w:id="83" w:name="_Hlk76381249"/>
      <w:bookmarkStart w:id="84" w:name="_Hlk76377955"/>
      <w:bookmarkStart w:id="85" w:name="_Toc22898863"/>
      <w:bookmarkStart w:id="86" w:name="_Hlk103601438"/>
      <w:r w:rsidRPr="0090150D">
        <w:t>PBAC Outcome</w:t>
      </w:r>
    </w:p>
    <w:p w14:paraId="31C58950" w14:textId="61357770" w:rsidR="004301D2" w:rsidRPr="004301D2" w:rsidRDefault="004301D2" w:rsidP="00220334">
      <w:pPr>
        <w:widowControl w:val="0"/>
        <w:spacing w:after="120"/>
        <w:outlineLvl w:val="2"/>
        <w:rPr>
          <w:rFonts w:asciiTheme="minorHAnsi" w:hAnsiTheme="minorHAnsi"/>
          <w:snapToGrid w:val="0"/>
          <w:u w:val="single"/>
          <w:lang w:val="en-GB"/>
        </w:rPr>
      </w:pPr>
      <w:r w:rsidRPr="004301D2">
        <w:rPr>
          <w:rFonts w:asciiTheme="minorHAnsi" w:hAnsiTheme="minorHAnsi"/>
          <w:snapToGrid w:val="0"/>
          <w:u w:val="single"/>
          <w:lang w:val="en-GB"/>
        </w:rPr>
        <w:t>Ruxolitinib for acute gra</w:t>
      </w:r>
      <w:r>
        <w:rPr>
          <w:rFonts w:asciiTheme="minorHAnsi" w:hAnsiTheme="minorHAnsi"/>
          <w:snapToGrid w:val="0"/>
          <w:u w:val="single"/>
          <w:lang w:val="en-GB"/>
        </w:rPr>
        <w:t>ft</w:t>
      </w:r>
      <w:r w:rsidRPr="004301D2">
        <w:rPr>
          <w:rFonts w:asciiTheme="minorHAnsi" w:hAnsiTheme="minorHAnsi"/>
          <w:snapToGrid w:val="0"/>
          <w:u w:val="single"/>
          <w:lang w:val="en-GB"/>
        </w:rPr>
        <w:t xml:space="preserve"> versus host disease</w:t>
      </w:r>
    </w:p>
    <w:p w14:paraId="188FE7AF" w14:textId="3AEFDA02" w:rsidR="00A6154D" w:rsidRPr="00CE42B4" w:rsidRDefault="00A6154D" w:rsidP="00573EC7">
      <w:pPr>
        <w:widowControl w:val="0"/>
        <w:numPr>
          <w:ilvl w:val="1"/>
          <w:numId w:val="1"/>
        </w:numPr>
        <w:spacing w:after="120"/>
        <w:ind w:left="720" w:hanging="720"/>
        <w:rPr>
          <w:rFonts w:asciiTheme="minorHAnsi" w:hAnsiTheme="minorHAnsi"/>
          <w:snapToGrid w:val="0"/>
          <w:lang w:val="en-GB"/>
        </w:rPr>
      </w:pPr>
      <w:r w:rsidRPr="004301D2">
        <w:rPr>
          <w:rFonts w:asciiTheme="minorHAnsi" w:hAnsiTheme="minorHAnsi"/>
          <w:snapToGrid w:val="0"/>
          <w:lang w:val="en-GB"/>
        </w:rPr>
        <w:t xml:space="preserve">The PBAC recommended the listing of </w:t>
      </w:r>
      <w:r w:rsidR="004301D2" w:rsidRPr="00540625">
        <w:rPr>
          <w:rFonts w:asciiTheme="minorHAnsi" w:hAnsiTheme="minorHAnsi"/>
          <w:snapToGrid w:val="0"/>
          <w:lang w:val="en-GB"/>
        </w:rPr>
        <w:t>ruxolitinib for the treatment of acute graft versus host disease (aGVHD)</w:t>
      </w:r>
      <w:r w:rsidRPr="00540625">
        <w:rPr>
          <w:rFonts w:asciiTheme="minorHAnsi" w:hAnsiTheme="minorHAnsi"/>
          <w:snapToGrid w:val="0"/>
          <w:lang w:val="en-GB"/>
        </w:rPr>
        <w:t xml:space="preserve">, on the basis that it should be available only under special arrangements under Section 100 </w:t>
      </w:r>
      <w:r w:rsidR="00573EC7">
        <w:rPr>
          <w:rFonts w:asciiTheme="minorHAnsi" w:hAnsiTheme="minorHAnsi"/>
          <w:snapToGrid w:val="0"/>
          <w:lang w:val="en-GB"/>
        </w:rPr>
        <w:t xml:space="preserve">(Highly Specialised Drug Program). </w:t>
      </w:r>
      <w:r w:rsidRPr="004301D2">
        <w:rPr>
          <w:rFonts w:asciiTheme="minorHAnsi" w:hAnsiTheme="minorHAnsi"/>
          <w:snapToGrid w:val="0"/>
          <w:lang w:val="en-GB"/>
        </w:rPr>
        <w:t xml:space="preserve">The PBAC </w:t>
      </w:r>
      <w:r w:rsidR="004301D2">
        <w:rPr>
          <w:rFonts w:asciiTheme="minorHAnsi" w:hAnsiTheme="minorHAnsi"/>
          <w:snapToGrid w:val="0"/>
          <w:lang w:val="en-GB"/>
        </w:rPr>
        <w:t>was satisfied that ruxolitinib provides, for some patients, a significant improvement in efficacy, including an improvement in overall response rate (ORR), compared with best available therapy (BAT</w:t>
      </w:r>
      <w:r w:rsidR="00573EC7">
        <w:rPr>
          <w:rFonts w:asciiTheme="minorHAnsi" w:hAnsiTheme="minorHAnsi"/>
          <w:snapToGrid w:val="0"/>
          <w:lang w:val="en-GB"/>
        </w:rPr>
        <w:t>)</w:t>
      </w:r>
      <w:r w:rsidR="004301D2">
        <w:rPr>
          <w:rFonts w:asciiTheme="minorHAnsi" w:hAnsiTheme="minorHAnsi"/>
          <w:snapToGrid w:val="0"/>
          <w:lang w:val="en-GB"/>
        </w:rPr>
        <w:t xml:space="preserve">. </w:t>
      </w:r>
      <w:r w:rsidR="00573EC7">
        <w:rPr>
          <w:rFonts w:asciiTheme="minorHAnsi" w:hAnsiTheme="minorHAnsi"/>
          <w:snapToGrid w:val="0"/>
          <w:lang w:val="en-GB"/>
        </w:rPr>
        <w:t xml:space="preserve">The PBAC considered that ruxolitinib </w:t>
      </w:r>
      <w:r w:rsidR="00573EC7" w:rsidRPr="0058608D">
        <w:rPr>
          <w:rFonts w:asciiTheme="minorHAnsi" w:hAnsiTheme="minorHAnsi"/>
          <w:snapToGrid w:val="0"/>
          <w:lang w:val="en-GB"/>
        </w:rPr>
        <w:t xml:space="preserve">would be cost effective </w:t>
      </w:r>
      <w:r w:rsidR="00E42A79" w:rsidRPr="00014A9C">
        <w:rPr>
          <w:rFonts w:asciiTheme="minorHAnsi" w:hAnsiTheme="minorHAnsi"/>
          <w:snapToGrid w:val="0"/>
          <w:lang w:val="en-GB"/>
        </w:rPr>
        <w:t>with some minor changes to the model presented</w:t>
      </w:r>
      <w:r w:rsidR="00CA4550" w:rsidRPr="00014A9C">
        <w:rPr>
          <w:rFonts w:asciiTheme="minorHAnsi" w:hAnsiTheme="minorHAnsi"/>
          <w:snapToGrid w:val="0"/>
          <w:lang w:val="en-GB"/>
        </w:rPr>
        <w:t>,</w:t>
      </w:r>
      <w:r w:rsidR="00573EC7" w:rsidRPr="00014A9C">
        <w:rPr>
          <w:rFonts w:asciiTheme="minorHAnsi" w:hAnsiTheme="minorHAnsi"/>
          <w:snapToGrid w:val="0"/>
          <w:lang w:val="en-GB"/>
        </w:rPr>
        <w:t xml:space="preserve"> </w:t>
      </w:r>
      <w:r w:rsidR="00573EC7">
        <w:rPr>
          <w:rFonts w:asciiTheme="minorHAnsi" w:hAnsiTheme="minorHAnsi"/>
          <w:snapToGrid w:val="0"/>
          <w:lang w:val="en-GB"/>
        </w:rPr>
        <w:t>and that the financial impact of listing w</w:t>
      </w:r>
      <w:r w:rsidR="00C15B2F">
        <w:rPr>
          <w:rFonts w:asciiTheme="minorHAnsi" w:hAnsiTheme="minorHAnsi"/>
          <w:snapToGrid w:val="0"/>
          <w:lang w:val="en-GB"/>
        </w:rPr>
        <w:t>ould be</w:t>
      </w:r>
      <w:r w:rsidR="00573EC7">
        <w:rPr>
          <w:rFonts w:asciiTheme="minorHAnsi" w:hAnsiTheme="minorHAnsi"/>
          <w:snapToGrid w:val="0"/>
          <w:lang w:val="en-GB"/>
        </w:rPr>
        <w:t xml:space="preserve"> </w:t>
      </w:r>
      <w:r w:rsidR="00E53512">
        <w:rPr>
          <w:rFonts w:asciiTheme="minorHAnsi" w:hAnsiTheme="minorHAnsi"/>
          <w:snapToGrid w:val="0"/>
          <w:lang w:val="en-GB"/>
        </w:rPr>
        <w:t>modest</w:t>
      </w:r>
      <w:r w:rsidR="00573EC7">
        <w:rPr>
          <w:rFonts w:asciiTheme="minorHAnsi" w:hAnsiTheme="minorHAnsi"/>
          <w:snapToGrid w:val="0"/>
          <w:lang w:val="en-GB"/>
        </w:rPr>
        <w:t>.</w:t>
      </w:r>
    </w:p>
    <w:p w14:paraId="2DEFE265" w14:textId="77777777" w:rsidR="00573EC7" w:rsidRDefault="00573EC7" w:rsidP="00E67D76">
      <w:pPr>
        <w:keepLines/>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considered that there was a high unmet need for effective therapies to treat this condition.</w:t>
      </w:r>
    </w:p>
    <w:p w14:paraId="0EB0CF2E" w14:textId="77777777" w:rsidR="00573EC7" w:rsidRDefault="00573EC7"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considered that the nominated comparator, BAT, was appropriate.</w:t>
      </w:r>
    </w:p>
    <w:p w14:paraId="4046A131" w14:textId="640F8767" w:rsidR="00572EF0" w:rsidRDefault="00572EF0"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considered that the claim that ruxolitinib demonstrated superior efficacy compared to BAT in the key clinical trial, REACH2, was reasonable. The PBAC noted that treatment with ruxolitinib was associated with a statistically significant improvement in ORR at Day 28 (risk difference (RD) = 0.23; 95% CI: 0.12, 0.34) and durable overall response at Day 56 (RD = 0.18; 95% CI: 0.08, 0.28). The PBAC also noted that ruxolitinib was associated with a longer median overall survival compared to BAT (10.7 months versus 5.8 months)</w:t>
      </w:r>
      <w:r w:rsidR="0014365D">
        <w:rPr>
          <w:rFonts w:asciiTheme="minorHAnsi" w:hAnsiTheme="minorHAnsi"/>
          <w:snapToGrid w:val="0"/>
          <w:lang w:val="en-GB"/>
        </w:rPr>
        <w:t xml:space="preserve"> with clear separation of the Kaplan Meier curves (Figure 3)</w:t>
      </w:r>
      <w:r>
        <w:rPr>
          <w:rFonts w:asciiTheme="minorHAnsi" w:hAnsiTheme="minorHAnsi"/>
          <w:snapToGrid w:val="0"/>
          <w:lang w:val="en-GB"/>
        </w:rPr>
        <w:t>, but that this difference was not statistically significant (HR = 0.83; 95% CI: 0.62, 1.13).</w:t>
      </w:r>
      <w:r w:rsidR="00455CAF">
        <w:rPr>
          <w:rFonts w:asciiTheme="minorHAnsi" w:hAnsiTheme="minorHAnsi"/>
          <w:snapToGrid w:val="0"/>
          <w:lang w:val="en-GB"/>
        </w:rPr>
        <w:t xml:space="preserve"> The PBAC noted that patients who did not respond to BAT </w:t>
      </w:r>
      <w:r w:rsidR="00920031">
        <w:rPr>
          <w:rFonts w:asciiTheme="minorHAnsi" w:hAnsiTheme="minorHAnsi"/>
          <w:snapToGrid w:val="0"/>
          <w:lang w:val="en-GB"/>
        </w:rPr>
        <w:t xml:space="preserve">by Day 28 </w:t>
      </w:r>
      <w:r w:rsidR="00455CAF">
        <w:rPr>
          <w:rFonts w:asciiTheme="minorHAnsi" w:hAnsiTheme="minorHAnsi"/>
          <w:snapToGrid w:val="0"/>
          <w:lang w:val="en-GB"/>
        </w:rPr>
        <w:t xml:space="preserve">were </w:t>
      </w:r>
      <w:r w:rsidR="00920031">
        <w:rPr>
          <w:rFonts w:asciiTheme="minorHAnsi" w:hAnsiTheme="minorHAnsi"/>
          <w:snapToGrid w:val="0"/>
          <w:lang w:val="en-GB"/>
        </w:rPr>
        <w:t>eligible</w:t>
      </w:r>
      <w:r w:rsidR="00455CAF">
        <w:rPr>
          <w:rFonts w:asciiTheme="minorHAnsi" w:hAnsiTheme="minorHAnsi"/>
          <w:snapToGrid w:val="0"/>
          <w:lang w:val="en-GB"/>
        </w:rPr>
        <w:t xml:space="preserve"> to crossover and receive ruxolitinib treatment and considered that this </w:t>
      </w:r>
      <w:r w:rsidR="00360A04">
        <w:rPr>
          <w:rFonts w:asciiTheme="minorHAnsi" w:hAnsiTheme="minorHAnsi"/>
          <w:snapToGrid w:val="0"/>
          <w:lang w:val="en-GB"/>
        </w:rPr>
        <w:t xml:space="preserve">likely </w:t>
      </w:r>
      <w:r w:rsidR="00455CAF">
        <w:rPr>
          <w:rFonts w:asciiTheme="minorHAnsi" w:hAnsiTheme="minorHAnsi"/>
          <w:snapToGrid w:val="0"/>
          <w:lang w:val="en-GB"/>
        </w:rPr>
        <w:t>confounded the overall survival data.</w:t>
      </w:r>
    </w:p>
    <w:p w14:paraId="79EC1DF3" w14:textId="1E8B4ADB" w:rsidR="00455CAF" w:rsidRDefault="00455CAF"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In terms of safety, the PBAC noted that ruxolitinib was associated with higher rates of treatment-emergent adverse events, serious adverse events and discontinuations due to adverse events than BAT</w:t>
      </w:r>
      <w:r w:rsidR="00E7637D">
        <w:rPr>
          <w:rFonts w:asciiTheme="minorHAnsi" w:hAnsiTheme="minorHAnsi"/>
          <w:snapToGrid w:val="0"/>
          <w:lang w:val="en-GB"/>
        </w:rPr>
        <w:t xml:space="preserve"> in the REACH2 trial</w:t>
      </w:r>
      <w:r>
        <w:rPr>
          <w:rFonts w:asciiTheme="minorHAnsi" w:hAnsiTheme="minorHAnsi"/>
          <w:snapToGrid w:val="0"/>
          <w:lang w:val="en-GB"/>
        </w:rPr>
        <w:t xml:space="preserve">. The PBAC </w:t>
      </w:r>
      <w:r w:rsidR="00880B98">
        <w:rPr>
          <w:rFonts w:asciiTheme="minorHAnsi" w:hAnsiTheme="minorHAnsi"/>
          <w:snapToGrid w:val="0"/>
          <w:lang w:val="en-GB"/>
        </w:rPr>
        <w:t xml:space="preserve">considered that the broad range of BATs may have exaggerated the incremental effect of adverse events in the ruxolitinib arm and considered that </w:t>
      </w:r>
      <w:r w:rsidR="004C05C9">
        <w:rPr>
          <w:rFonts w:asciiTheme="minorHAnsi" w:hAnsiTheme="minorHAnsi"/>
          <w:snapToGrid w:val="0"/>
          <w:lang w:val="en-GB"/>
        </w:rPr>
        <w:t xml:space="preserve">ruxolitinib was generally well tolerated and that, </w:t>
      </w:r>
      <w:r w:rsidR="00880B98">
        <w:rPr>
          <w:rFonts w:asciiTheme="minorHAnsi" w:hAnsiTheme="minorHAnsi"/>
          <w:snapToGrid w:val="0"/>
          <w:lang w:val="en-GB"/>
        </w:rPr>
        <w:t>overall, the claim that ruxolitinib was non-inferior in terms of safety compared to BAT was reasonable.</w:t>
      </w:r>
    </w:p>
    <w:p w14:paraId="3CD31E8B" w14:textId="48C3EA86" w:rsidR="00880B98" w:rsidRDefault="00880B98"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submission presented a cost-utility analysis of ruxolitinib versus BAT</w:t>
      </w:r>
      <w:r w:rsidR="007C73AA">
        <w:rPr>
          <w:rFonts w:asciiTheme="minorHAnsi" w:hAnsiTheme="minorHAnsi"/>
          <w:snapToGrid w:val="0"/>
          <w:lang w:val="en-GB"/>
        </w:rPr>
        <w:t xml:space="preserve">. The PBAC noted that the economic evaluation was a </w:t>
      </w:r>
      <w:r>
        <w:rPr>
          <w:rFonts w:asciiTheme="minorHAnsi" w:hAnsiTheme="minorHAnsi"/>
          <w:snapToGrid w:val="0"/>
          <w:lang w:val="en-GB"/>
        </w:rPr>
        <w:t xml:space="preserve">microsimulation model </w:t>
      </w:r>
      <w:r w:rsidR="007C73AA">
        <w:rPr>
          <w:rFonts w:asciiTheme="minorHAnsi" w:hAnsiTheme="minorHAnsi"/>
          <w:snapToGrid w:val="0"/>
          <w:lang w:val="en-GB"/>
        </w:rPr>
        <w:t xml:space="preserve">and was based on the results of the REACH2 trial. The PBAC considered </w:t>
      </w:r>
      <w:r w:rsidR="00FA2702">
        <w:rPr>
          <w:rFonts w:asciiTheme="minorHAnsi" w:hAnsiTheme="minorHAnsi"/>
          <w:snapToGrid w:val="0"/>
          <w:lang w:val="en-GB"/>
        </w:rPr>
        <w:t xml:space="preserve">that the assumption in the model that patients could receive multiple additional lines of therapy </w:t>
      </w:r>
      <w:r w:rsidR="007C73AA">
        <w:rPr>
          <w:rFonts w:asciiTheme="minorHAnsi" w:hAnsiTheme="minorHAnsi"/>
          <w:snapToGrid w:val="0"/>
          <w:lang w:val="en-GB"/>
        </w:rPr>
        <w:t>(i.e. patients in the ruxolitinib arm received initial treatment with ruxolitinib followed by up to 9 lines of BAT therapy and patients in the BAT arm received up to 9 lines of therapy) was reasonable and reflective of clinical practice</w:t>
      </w:r>
      <w:r w:rsidR="00FA2702">
        <w:rPr>
          <w:rFonts w:asciiTheme="minorHAnsi" w:hAnsiTheme="minorHAnsi"/>
          <w:snapToGrid w:val="0"/>
          <w:lang w:val="en-GB"/>
        </w:rPr>
        <w:t xml:space="preserve">. While the PBAC </w:t>
      </w:r>
      <w:r w:rsidR="007C73AA">
        <w:rPr>
          <w:rFonts w:asciiTheme="minorHAnsi" w:hAnsiTheme="minorHAnsi"/>
          <w:snapToGrid w:val="0"/>
          <w:lang w:val="en-GB"/>
        </w:rPr>
        <w:t xml:space="preserve">considered that the assumption in the model that each line of BAT had the same efficacy as the </w:t>
      </w:r>
      <w:r w:rsidR="002429F9">
        <w:rPr>
          <w:rFonts w:asciiTheme="minorHAnsi" w:hAnsiTheme="minorHAnsi"/>
          <w:snapToGrid w:val="0"/>
          <w:lang w:val="en-GB"/>
        </w:rPr>
        <w:t>initial BAT</w:t>
      </w:r>
      <w:r w:rsidR="007C73AA">
        <w:rPr>
          <w:rFonts w:asciiTheme="minorHAnsi" w:hAnsiTheme="minorHAnsi"/>
          <w:snapToGrid w:val="0"/>
          <w:lang w:val="en-GB"/>
        </w:rPr>
        <w:t xml:space="preserve"> was not clinically plausible</w:t>
      </w:r>
      <w:r w:rsidR="00FA2702">
        <w:rPr>
          <w:rFonts w:asciiTheme="minorHAnsi" w:hAnsiTheme="minorHAnsi"/>
          <w:snapToGrid w:val="0"/>
          <w:lang w:val="en-GB"/>
        </w:rPr>
        <w:t>, the Committee</w:t>
      </w:r>
      <w:r w:rsidR="00FA2702" w:rsidRPr="00FA2702">
        <w:t xml:space="preserve"> </w:t>
      </w:r>
      <w:r w:rsidR="00FA2702" w:rsidRPr="00FA2702">
        <w:rPr>
          <w:rFonts w:asciiTheme="minorHAnsi" w:hAnsiTheme="minorHAnsi"/>
          <w:snapToGrid w:val="0"/>
          <w:lang w:val="en-GB"/>
        </w:rPr>
        <w:t xml:space="preserve">acknowledged that no evidence </w:t>
      </w:r>
      <w:r w:rsidR="00FA2702">
        <w:rPr>
          <w:rFonts w:asciiTheme="minorHAnsi" w:hAnsiTheme="minorHAnsi"/>
          <w:snapToGrid w:val="0"/>
          <w:lang w:val="en-GB"/>
        </w:rPr>
        <w:t xml:space="preserve">was provided </w:t>
      </w:r>
      <w:r w:rsidR="00FA2702" w:rsidRPr="00FA2702">
        <w:rPr>
          <w:rFonts w:asciiTheme="minorHAnsi" w:hAnsiTheme="minorHAnsi"/>
          <w:snapToGrid w:val="0"/>
          <w:lang w:val="en-GB"/>
        </w:rPr>
        <w:t xml:space="preserve">to inform </w:t>
      </w:r>
      <w:r w:rsidR="00FA2702">
        <w:rPr>
          <w:rFonts w:asciiTheme="minorHAnsi" w:hAnsiTheme="minorHAnsi"/>
          <w:snapToGrid w:val="0"/>
          <w:lang w:val="en-GB"/>
        </w:rPr>
        <w:t>alternative</w:t>
      </w:r>
      <w:r w:rsidR="00FA2702" w:rsidRPr="00FA2702">
        <w:rPr>
          <w:rFonts w:asciiTheme="minorHAnsi" w:hAnsiTheme="minorHAnsi"/>
          <w:snapToGrid w:val="0"/>
          <w:lang w:val="en-GB"/>
        </w:rPr>
        <w:t xml:space="preserve"> efficacy </w:t>
      </w:r>
      <w:r w:rsidR="00FA2702">
        <w:rPr>
          <w:rFonts w:asciiTheme="minorHAnsi" w:hAnsiTheme="minorHAnsi"/>
          <w:snapToGrid w:val="0"/>
          <w:lang w:val="en-GB"/>
        </w:rPr>
        <w:t>estimates and</w:t>
      </w:r>
      <w:r w:rsidR="004C05C9">
        <w:rPr>
          <w:rFonts w:asciiTheme="minorHAnsi" w:hAnsiTheme="minorHAnsi"/>
          <w:snapToGrid w:val="0"/>
          <w:lang w:val="en-GB"/>
        </w:rPr>
        <w:t xml:space="preserve"> noted</w:t>
      </w:r>
      <w:r w:rsidR="00FA2702">
        <w:rPr>
          <w:rFonts w:asciiTheme="minorHAnsi" w:hAnsiTheme="minorHAnsi"/>
          <w:snapToGrid w:val="0"/>
          <w:lang w:val="en-GB"/>
        </w:rPr>
        <w:t xml:space="preserve"> that sensitivity analyses indicated the </w:t>
      </w:r>
      <w:r w:rsidR="00FA2702" w:rsidRPr="00FA2702">
        <w:rPr>
          <w:rFonts w:asciiTheme="minorHAnsi" w:hAnsiTheme="minorHAnsi"/>
          <w:snapToGrid w:val="0"/>
          <w:lang w:val="en-GB"/>
        </w:rPr>
        <w:t xml:space="preserve">assumption was </w:t>
      </w:r>
      <w:r w:rsidR="00FA2702">
        <w:rPr>
          <w:rFonts w:asciiTheme="minorHAnsi" w:hAnsiTheme="minorHAnsi"/>
          <w:snapToGrid w:val="0"/>
          <w:lang w:val="en-GB"/>
        </w:rPr>
        <w:t xml:space="preserve">likely to be </w:t>
      </w:r>
      <w:r w:rsidR="00FA2702" w:rsidRPr="00FA2702">
        <w:rPr>
          <w:rFonts w:asciiTheme="minorHAnsi" w:hAnsiTheme="minorHAnsi"/>
          <w:snapToGrid w:val="0"/>
          <w:lang w:val="en-GB"/>
        </w:rPr>
        <w:t>appropriately conservative</w:t>
      </w:r>
      <w:r w:rsidR="00FA2702">
        <w:rPr>
          <w:rFonts w:asciiTheme="minorHAnsi" w:hAnsiTheme="minorHAnsi"/>
          <w:snapToGrid w:val="0"/>
          <w:lang w:val="en-GB"/>
        </w:rPr>
        <w:t>.</w:t>
      </w:r>
    </w:p>
    <w:p w14:paraId="7CC628BB" w14:textId="6F18DD93" w:rsidR="00091F22" w:rsidRPr="00014A9C" w:rsidRDefault="002429F9" w:rsidP="00A6154D">
      <w:pPr>
        <w:widowControl w:val="0"/>
        <w:numPr>
          <w:ilvl w:val="1"/>
          <w:numId w:val="1"/>
        </w:numPr>
        <w:spacing w:after="120"/>
        <w:ind w:left="720" w:hanging="720"/>
        <w:rPr>
          <w:rFonts w:asciiTheme="minorHAnsi" w:hAnsiTheme="minorHAnsi"/>
          <w:snapToGrid w:val="0"/>
          <w:lang w:val="en-GB"/>
        </w:rPr>
      </w:pPr>
      <w:bookmarkStart w:id="87" w:name="_Ref109906272"/>
      <w:r>
        <w:rPr>
          <w:rFonts w:asciiTheme="minorHAnsi" w:hAnsiTheme="minorHAnsi"/>
          <w:snapToGrid w:val="0"/>
          <w:lang w:val="en-GB"/>
        </w:rPr>
        <w:t xml:space="preserve">The PBAC </w:t>
      </w:r>
      <w:r w:rsidR="00E7637D">
        <w:rPr>
          <w:rFonts w:asciiTheme="minorHAnsi" w:hAnsiTheme="minorHAnsi"/>
          <w:snapToGrid w:val="0"/>
          <w:lang w:val="en-GB"/>
        </w:rPr>
        <w:t>noted</w:t>
      </w:r>
      <w:r>
        <w:rPr>
          <w:rFonts w:asciiTheme="minorHAnsi" w:hAnsiTheme="minorHAnsi"/>
          <w:snapToGrid w:val="0"/>
          <w:lang w:val="en-GB"/>
        </w:rPr>
        <w:t xml:space="preserve"> the </w:t>
      </w:r>
      <w:r w:rsidR="00787B96">
        <w:rPr>
          <w:rFonts w:asciiTheme="minorHAnsi" w:hAnsiTheme="minorHAnsi"/>
          <w:snapToGrid w:val="0"/>
          <w:lang w:val="en-GB"/>
        </w:rPr>
        <w:t xml:space="preserve">submission’s </w:t>
      </w:r>
      <w:r>
        <w:rPr>
          <w:rFonts w:asciiTheme="minorHAnsi" w:hAnsiTheme="minorHAnsi"/>
          <w:snapToGrid w:val="0"/>
          <w:lang w:val="en-GB"/>
        </w:rPr>
        <w:t xml:space="preserve">base case incremental cost effectiveness ratio (ICER) </w:t>
      </w:r>
      <w:r w:rsidR="002144E3">
        <w:rPr>
          <w:rFonts w:asciiTheme="minorHAnsi" w:hAnsiTheme="minorHAnsi"/>
          <w:snapToGrid w:val="0"/>
          <w:lang w:val="en-GB"/>
        </w:rPr>
        <w:t>was</w:t>
      </w:r>
      <w:r>
        <w:rPr>
          <w:rFonts w:asciiTheme="minorHAnsi" w:hAnsiTheme="minorHAnsi"/>
          <w:snapToGrid w:val="0"/>
          <w:lang w:val="en-GB"/>
        </w:rPr>
        <w:t xml:space="preserve"> </w:t>
      </w:r>
      <w:r w:rsidR="00320844" w:rsidRPr="00320844">
        <w:rPr>
          <w:rFonts w:asciiTheme="minorHAnsi" w:hAnsiTheme="minorHAnsi"/>
          <w:snapToGrid w:val="0"/>
        </w:rPr>
        <w:t>$55,000 to &lt; $</w:t>
      </w:r>
      <w:r w:rsidR="00320844">
        <w:rPr>
          <w:rFonts w:asciiTheme="minorHAnsi" w:hAnsiTheme="minorHAnsi"/>
          <w:snapToGrid w:val="0"/>
        </w:rPr>
        <w:t>6</w:t>
      </w:r>
      <w:r w:rsidR="00320844" w:rsidRPr="00320844">
        <w:rPr>
          <w:rFonts w:asciiTheme="minorHAnsi" w:hAnsiTheme="minorHAnsi"/>
          <w:snapToGrid w:val="0"/>
        </w:rPr>
        <w:t>5,000</w:t>
      </w:r>
      <w:r w:rsidR="00320844">
        <w:rPr>
          <w:rFonts w:asciiTheme="minorHAnsi" w:hAnsiTheme="minorHAnsi"/>
          <w:snapToGrid w:val="0"/>
        </w:rPr>
        <w:t xml:space="preserve"> </w:t>
      </w:r>
      <w:r>
        <w:rPr>
          <w:rFonts w:asciiTheme="minorHAnsi" w:hAnsiTheme="minorHAnsi"/>
          <w:snapToGrid w:val="0"/>
          <w:lang w:val="en-GB"/>
        </w:rPr>
        <w:t>per quality adjusted life year (QALY)</w:t>
      </w:r>
      <w:r w:rsidR="00E7637D">
        <w:rPr>
          <w:rFonts w:asciiTheme="minorHAnsi" w:hAnsiTheme="minorHAnsi"/>
          <w:snapToGrid w:val="0"/>
          <w:lang w:val="en-GB"/>
        </w:rPr>
        <w:t>. The PBAC considered that the ICER</w:t>
      </w:r>
      <w:r>
        <w:rPr>
          <w:rFonts w:asciiTheme="minorHAnsi" w:hAnsiTheme="minorHAnsi"/>
          <w:snapToGrid w:val="0"/>
          <w:lang w:val="en-GB"/>
        </w:rPr>
        <w:t xml:space="preserve"> was optimistic given the uncertain extrapolation in the context of the long time horizon (15 years) which was based on a short duration of follow up in the REACH2 trial (5.7 months)</w:t>
      </w:r>
      <w:r w:rsidR="00360A04">
        <w:rPr>
          <w:rFonts w:asciiTheme="minorHAnsi" w:hAnsiTheme="minorHAnsi"/>
          <w:snapToGrid w:val="0"/>
          <w:lang w:val="en-GB"/>
        </w:rPr>
        <w:t xml:space="preserve"> and resulted in an incremental overall survival benefit despite the non-statistically significant result in the trial</w:t>
      </w:r>
      <w:r>
        <w:rPr>
          <w:rFonts w:asciiTheme="minorHAnsi" w:hAnsiTheme="minorHAnsi"/>
          <w:snapToGrid w:val="0"/>
          <w:lang w:val="en-GB"/>
        </w:rPr>
        <w:t xml:space="preserve">. </w:t>
      </w:r>
      <w:r w:rsidR="002B27DB">
        <w:rPr>
          <w:rFonts w:asciiTheme="minorHAnsi" w:hAnsiTheme="minorHAnsi"/>
          <w:snapToGrid w:val="0"/>
          <w:lang w:val="en-GB"/>
        </w:rPr>
        <w:t>The PBAC considered that a 5 year time horizon was more reasonable</w:t>
      </w:r>
      <w:r w:rsidR="00E453AD">
        <w:rPr>
          <w:rFonts w:asciiTheme="minorHAnsi" w:hAnsiTheme="minorHAnsi"/>
          <w:snapToGrid w:val="0"/>
          <w:lang w:val="en-GB"/>
        </w:rPr>
        <w:t xml:space="preserve"> </w:t>
      </w:r>
      <w:r w:rsidR="000E0A62">
        <w:rPr>
          <w:rFonts w:asciiTheme="minorHAnsi" w:hAnsiTheme="minorHAnsi"/>
          <w:snapToGrid w:val="0"/>
          <w:lang w:val="en-GB"/>
        </w:rPr>
        <w:t>and would minimise the</w:t>
      </w:r>
      <w:r w:rsidR="007D65A8">
        <w:rPr>
          <w:rFonts w:asciiTheme="minorHAnsi" w:hAnsiTheme="minorHAnsi"/>
          <w:snapToGrid w:val="0"/>
          <w:lang w:val="en-GB"/>
        </w:rPr>
        <w:t xml:space="preserve"> </w:t>
      </w:r>
      <w:r w:rsidR="000E0A62">
        <w:rPr>
          <w:rFonts w:asciiTheme="minorHAnsi" w:hAnsiTheme="minorHAnsi"/>
          <w:snapToGrid w:val="0"/>
          <w:lang w:val="en-GB"/>
        </w:rPr>
        <w:t xml:space="preserve">uncertainties in the </w:t>
      </w:r>
      <w:r w:rsidR="000E0A62" w:rsidRPr="00014A9C">
        <w:rPr>
          <w:rFonts w:asciiTheme="minorHAnsi" w:hAnsiTheme="minorHAnsi"/>
          <w:snapToGrid w:val="0"/>
          <w:lang w:val="en-GB"/>
        </w:rPr>
        <w:t xml:space="preserve">extrapolations due to the short </w:t>
      </w:r>
      <w:r w:rsidR="007D65A8" w:rsidRPr="00014A9C">
        <w:rPr>
          <w:rFonts w:asciiTheme="minorHAnsi" w:hAnsiTheme="minorHAnsi"/>
          <w:snapToGrid w:val="0"/>
          <w:lang w:val="en-GB"/>
        </w:rPr>
        <w:t>duration of follow up in the trial</w:t>
      </w:r>
      <w:r w:rsidR="002B27DB" w:rsidRPr="00014A9C">
        <w:rPr>
          <w:rFonts w:asciiTheme="minorHAnsi" w:hAnsiTheme="minorHAnsi"/>
          <w:snapToGrid w:val="0"/>
          <w:lang w:val="en-GB"/>
        </w:rPr>
        <w:t>.</w:t>
      </w:r>
      <w:r w:rsidR="00C0720A" w:rsidRPr="00014A9C">
        <w:rPr>
          <w:rFonts w:asciiTheme="minorHAnsi" w:hAnsiTheme="minorHAnsi"/>
          <w:snapToGrid w:val="0"/>
          <w:lang w:val="en-GB"/>
        </w:rPr>
        <w:t xml:space="preserve"> The PBAC noted this resulted in an ICER of </w:t>
      </w:r>
      <w:r w:rsidR="00320844" w:rsidRPr="00320844">
        <w:rPr>
          <w:rFonts w:asciiTheme="minorHAnsi" w:hAnsiTheme="minorHAnsi"/>
          <w:snapToGrid w:val="0"/>
        </w:rPr>
        <w:t>$</w:t>
      </w:r>
      <w:r w:rsidR="00320844">
        <w:rPr>
          <w:rFonts w:asciiTheme="minorHAnsi" w:hAnsiTheme="minorHAnsi"/>
          <w:snapToGrid w:val="0"/>
        </w:rPr>
        <w:t>6</w:t>
      </w:r>
      <w:r w:rsidR="00320844" w:rsidRPr="00320844">
        <w:rPr>
          <w:rFonts w:asciiTheme="minorHAnsi" w:hAnsiTheme="minorHAnsi"/>
          <w:snapToGrid w:val="0"/>
        </w:rPr>
        <w:t>5,000 to &lt; $75,000</w:t>
      </w:r>
      <w:r w:rsidR="00320844">
        <w:rPr>
          <w:rFonts w:asciiTheme="minorHAnsi" w:hAnsiTheme="minorHAnsi"/>
          <w:snapToGrid w:val="0"/>
        </w:rPr>
        <w:t xml:space="preserve"> </w:t>
      </w:r>
      <w:r w:rsidR="00C0720A" w:rsidRPr="00014A9C">
        <w:rPr>
          <w:rFonts w:asciiTheme="minorHAnsi" w:hAnsiTheme="minorHAnsi"/>
          <w:snapToGrid w:val="0"/>
          <w:lang w:val="en-GB"/>
        </w:rPr>
        <w:t>per QALY.</w:t>
      </w:r>
      <w:r w:rsidR="0043567D" w:rsidRPr="00014A9C">
        <w:rPr>
          <w:rFonts w:asciiTheme="minorHAnsi" w:hAnsiTheme="minorHAnsi"/>
          <w:snapToGrid w:val="0"/>
          <w:lang w:val="en-GB"/>
        </w:rPr>
        <w:t xml:space="preserve"> </w:t>
      </w:r>
      <w:bookmarkEnd w:id="87"/>
    </w:p>
    <w:p w14:paraId="61A1FC39" w14:textId="0BA56332" w:rsidR="00E42A79" w:rsidRPr="00014A9C" w:rsidRDefault="00E42A79" w:rsidP="00A6154D">
      <w:pPr>
        <w:widowControl w:val="0"/>
        <w:numPr>
          <w:ilvl w:val="1"/>
          <w:numId w:val="1"/>
        </w:numPr>
        <w:spacing w:after="120"/>
        <w:ind w:left="720" w:hanging="720"/>
        <w:rPr>
          <w:rFonts w:asciiTheme="minorHAnsi" w:hAnsiTheme="minorHAnsi"/>
          <w:snapToGrid w:val="0"/>
          <w:lang w:val="en-GB"/>
        </w:rPr>
      </w:pPr>
      <w:r w:rsidRPr="00014A9C">
        <w:rPr>
          <w:rFonts w:asciiTheme="minorHAnsi" w:hAnsiTheme="minorHAnsi"/>
          <w:snapToGrid w:val="0"/>
          <w:lang w:val="en-GB"/>
        </w:rPr>
        <w:t xml:space="preserve">The PBAC noted the multivariate sensitivity analysis </w:t>
      </w:r>
      <w:r w:rsidR="00CA4550" w:rsidRPr="00014A9C">
        <w:rPr>
          <w:rFonts w:asciiTheme="minorHAnsi" w:hAnsiTheme="minorHAnsi"/>
          <w:snapToGrid w:val="0"/>
          <w:lang w:val="en-GB"/>
        </w:rPr>
        <w:t>that</w:t>
      </w:r>
      <w:r w:rsidRPr="00014A9C">
        <w:rPr>
          <w:rFonts w:asciiTheme="minorHAnsi" w:hAnsiTheme="minorHAnsi"/>
          <w:snapToGrid w:val="0"/>
          <w:lang w:val="en-GB"/>
        </w:rPr>
        <w:t xml:space="preserve"> applied a 5 year time horizon and the current myelofibrosis 5 mg tablet price resulted in an ICER of </w:t>
      </w:r>
      <w:r w:rsidR="00320844" w:rsidRPr="00320844">
        <w:rPr>
          <w:rFonts w:asciiTheme="minorHAnsi" w:hAnsiTheme="minorHAnsi"/>
          <w:snapToGrid w:val="0"/>
        </w:rPr>
        <w:t>$55,000 to &lt; $</w:t>
      </w:r>
      <w:r w:rsidR="00320844">
        <w:rPr>
          <w:rFonts w:asciiTheme="minorHAnsi" w:hAnsiTheme="minorHAnsi"/>
          <w:snapToGrid w:val="0"/>
        </w:rPr>
        <w:t>6</w:t>
      </w:r>
      <w:r w:rsidR="00320844" w:rsidRPr="00320844">
        <w:rPr>
          <w:rFonts w:asciiTheme="minorHAnsi" w:hAnsiTheme="minorHAnsi"/>
          <w:snapToGrid w:val="0"/>
        </w:rPr>
        <w:t>5,000</w:t>
      </w:r>
      <w:r w:rsidR="00320844">
        <w:rPr>
          <w:rFonts w:asciiTheme="minorHAnsi" w:hAnsiTheme="minorHAnsi"/>
          <w:snapToGrid w:val="0"/>
        </w:rPr>
        <w:t xml:space="preserve"> </w:t>
      </w:r>
      <w:r w:rsidRPr="00014A9C">
        <w:rPr>
          <w:rFonts w:asciiTheme="minorHAnsi" w:hAnsiTheme="minorHAnsi"/>
          <w:snapToGrid w:val="0"/>
          <w:lang w:val="en-GB"/>
        </w:rPr>
        <w:t>per QALY, which was similar to the ICER presented in the submission base case</w:t>
      </w:r>
      <w:r w:rsidR="00CA4550" w:rsidRPr="00014A9C">
        <w:rPr>
          <w:rFonts w:asciiTheme="minorHAnsi" w:hAnsiTheme="minorHAnsi"/>
          <w:snapToGrid w:val="0"/>
          <w:lang w:val="en-GB"/>
        </w:rPr>
        <w:t>. The PBAC c</w:t>
      </w:r>
      <w:r w:rsidRPr="00014A9C">
        <w:rPr>
          <w:rFonts w:asciiTheme="minorHAnsi" w:hAnsiTheme="minorHAnsi"/>
          <w:snapToGrid w:val="0"/>
          <w:lang w:val="en-GB"/>
        </w:rPr>
        <w:t>onsidered that this was a more appropriate base case.</w:t>
      </w:r>
    </w:p>
    <w:p w14:paraId="77D68999" w14:textId="6F5316E3" w:rsidR="00091F22" w:rsidRPr="00014A9C" w:rsidRDefault="00091F22" w:rsidP="00A6154D">
      <w:pPr>
        <w:widowControl w:val="0"/>
        <w:numPr>
          <w:ilvl w:val="1"/>
          <w:numId w:val="1"/>
        </w:numPr>
        <w:spacing w:after="120"/>
        <w:ind w:left="720" w:hanging="720"/>
        <w:rPr>
          <w:rFonts w:asciiTheme="minorHAnsi" w:hAnsiTheme="minorHAnsi"/>
          <w:snapToGrid w:val="0"/>
          <w:lang w:val="en-GB"/>
        </w:rPr>
      </w:pPr>
      <w:r w:rsidRPr="00014A9C">
        <w:rPr>
          <w:rFonts w:asciiTheme="minorHAnsi" w:hAnsiTheme="minorHAnsi"/>
          <w:snapToGrid w:val="0"/>
          <w:lang w:val="en-GB"/>
        </w:rPr>
        <w:t xml:space="preserve">The PBAC noted the estimated financial impact of listing ruxolitinib for aGVHD </w:t>
      </w:r>
      <w:r w:rsidR="000E0A62" w:rsidRPr="00014A9C">
        <w:rPr>
          <w:rFonts w:asciiTheme="minorHAnsi" w:hAnsiTheme="minorHAnsi"/>
          <w:snapToGrid w:val="0"/>
          <w:lang w:val="en-GB"/>
        </w:rPr>
        <w:t>was modest and considered that the estimates presented were reasonable</w:t>
      </w:r>
      <w:r w:rsidRPr="00014A9C">
        <w:rPr>
          <w:rFonts w:asciiTheme="minorHAnsi" w:hAnsiTheme="minorHAnsi"/>
          <w:snapToGrid w:val="0"/>
          <w:lang w:val="en-GB"/>
        </w:rPr>
        <w:t>.</w:t>
      </w:r>
    </w:p>
    <w:p w14:paraId="17F1B7DE" w14:textId="5F6C1AE7" w:rsidR="002B27DB" w:rsidRDefault="002B27DB" w:rsidP="00A6154D">
      <w:pPr>
        <w:widowControl w:val="0"/>
        <w:numPr>
          <w:ilvl w:val="1"/>
          <w:numId w:val="1"/>
        </w:numPr>
        <w:spacing w:after="120"/>
        <w:ind w:left="720" w:hanging="720"/>
        <w:rPr>
          <w:rFonts w:asciiTheme="minorHAnsi" w:hAnsiTheme="minorHAnsi"/>
          <w:snapToGrid w:val="0"/>
          <w:lang w:val="en-GB"/>
        </w:rPr>
      </w:pPr>
      <w:r w:rsidRPr="00014A9C">
        <w:rPr>
          <w:rFonts w:asciiTheme="minorHAnsi" w:hAnsiTheme="minorHAnsi"/>
          <w:snapToGrid w:val="0"/>
          <w:lang w:val="en-GB"/>
        </w:rPr>
        <w:t>The PBAC</w:t>
      </w:r>
      <w:r>
        <w:rPr>
          <w:rFonts w:asciiTheme="minorHAnsi" w:hAnsiTheme="minorHAnsi"/>
          <w:snapToGrid w:val="0"/>
          <w:lang w:val="en-GB"/>
        </w:rPr>
        <w:t xml:space="preserve"> noted that the literature</w:t>
      </w:r>
      <w:r>
        <w:rPr>
          <w:rStyle w:val="FootnoteReference"/>
          <w:rFonts w:asciiTheme="minorHAnsi" w:hAnsiTheme="minorHAnsi"/>
          <w:snapToGrid w:val="0"/>
          <w:lang w:val="en-GB"/>
        </w:rPr>
        <w:footnoteReference w:id="1"/>
      </w:r>
      <w:r>
        <w:rPr>
          <w:rFonts w:asciiTheme="minorHAnsi" w:hAnsiTheme="minorHAnsi"/>
          <w:snapToGrid w:val="0"/>
          <w:lang w:val="en-GB"/>
        </w:rPr>
        <w:t xml:space="preserve"> proposed that aGVHD patients could be considered refractory to ruxolitinib if there was no improvement (partial response or better) compared with baseline after </w:t>
      </w:r>
      <w:r>
        <w:rPr>
          <w:rFonts w:asciiTheme="minorHAnsi" w:hAnsiTheme="minorHAnsi" w:cstheme="minorHAnsi"/>
          <w:snapToGrid w:val="0"/>
          <w:lang w:val="en-GB"/>
        </w:rPr>
        <w:t>≥</w:t>
      </w:r>
      <w:r>
        <w:rPr>
          <w:rFonts w:asciiTheme="minorHAnsi" w:hAnsiTheme="minorHAnsi"/>
          <w:snapToGrid w:val="0"/>
          <w:lang w:val="en-GB"/>
        </w:rPr>
        <w:t xml:space="preserve"> 14 days of treatment with ruxolitinib. </w:t>
      </w:r>
      <w:r w:rsidR="00C15B2F">
        <w:rPr>
          <w:rFonts w:asciiTheme="minorHAnsi" w:hAnsiTheme="minorHAnsi"/>
          <w:snapToGrid w:val="0"/>
          <w:lang w:val="en-GB"/>
        </w:rPr>
        <w:t xml:space="preserve">Therefore, the PBAC considered that this definition should be included in the continuing supply restriction to </w:t>
      </w:r>
      <w:r w:rsidR="00E53512">
        <w:rPr>
          <w:rFonts w:asciiTheme="minorHAnsi" w:hAnsiTheme="minorHAnsi"/>
          <w:snapToGrid w:val="0"/>
          <w:lang w:val="en-GB"/>
        </w:rPr>
        <w:t>allow</w:t>
      </w:r>
      <w:r w:rsidR="00C15B2F">
        <w:rPr>
          <w:rFonts w:asciiTheme="minorHAnsi" w:hAnsiTheme="minorHAnsi"/>
          <w:snapToGrid w:val="0"/>
          <w:lang w:val="en-GB"/>
        </w:rPr>
        <w:t xml:space="preserve"> supply </w:t>
      </w:r>
      <w:r w:rsidR="00E53512">
        <w:rPr>
          <w:rFonts w:asciiTheme="minorHAnsi" w:hAnsiTheme="minorHAnsi"/>
          <w:snapToGrid w:val="0"/>
          <w:lang w:val="en-GB"/>
        </w:rPr>
        <w:t>in</w:t>
      </w:r>
      <w:r w:rsidR="00C15B2F">
        <w:rPr>
          <w:rFonts w:asciiTheme="minorHAnsi" w:hAnsiTheme="minorHAnsi"/>
          <w:snapToGrid w:val="0"/>
          <w:lang w:val="en-GB"/>
        </w:rPr>
        <w:t xml:space="preserve"> responsive disease only.</w:t>
      </w:r>
    </w:p>
    <w:p w14:paraId="5150EB8E" w14:textId="6F8AD1AD" w:rsidR="00027290" w:rsidRDefault="00027290"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also considered that treatment for aGVHD should commence within 100 days of </w:t>
      </w:r>
      <w:r w:rsidR="005E70FB">
        <w:rPr>
          <w:rFonts w:asciiTheme="minorHAnsi" w:hAnsiTheme="minorHAnsi"/>
          <w:snapToGrid w:val="0"/>
          <w:lang w:val="en-GB"/>
        </w:rPr>
        <w:t xml:space="preserve">allogenic stem cell </w:t>
      </w:r>
      <w:r>
        <w:rPr>
          <w:rFonts w:asciiTheme="minorHAnsi" w:hAnsiTheme="minorHAnsi"/>
          <w:snapToGrid w:val="0"/>
          <w:lang w:val="en-GB"/>
        </w:rPr>
        <w:t>transplant.</w:t>
      </w:r>
    </w:p>
    <w:p w14:paraId="4B2E610B" w14:textId="12B9CE16" w:rsidR="000263B5" w:rsidRDefault="00C15B2F"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noted the </w:t>
      </w:r>
      <w:r w:rsidR="000263B5">
        <w:rPr>
          <w:rFonts w:asciiTheme="minorHAnsi" w:hAnsiTheme="minorHAnsi"/>
          <w:snapToGrid w:val="0"/>
          <w:lang w:val="en-GB"/>
        </w:rPr>
        <w:t>inclusion to the continuing supply restriction proposed in the pre-PBAC response relating to the tapering criteria and considered that this addition was reasonable</w:t>
      </w:r>
      <w:r w:rsidR="000E0A62">
        <w:rPr>
          <w:rFonts w:asciiTheme="minorHAnsi" w:hAnsiTheme="minorHAnsi"/>
          <w:snapToGrid w:val="0"/>
          <w:lang w:val="en-GB"/>
        </w:rPr>
        <w:t xml:space="preserve"> (see paragraph </w:t>
      </w:r>
      <w:r w:rsidR="00DF2327">
        <w:rPr>
          <w:rFonts w:asciiTheme="minorHAnsi" w:hAnsiTheme="minorHAnsi"/>
          <w:snapToGrid w:val="0"/>
          <w:lang w:val="en-GB"/>
        </w:rPr>
        <w:fldChar w:fldCharType="begin" w:fldLock="1"/>
      </w:r>
      <w:r w:rsidR="00DF2327">
        <w:rPr>
          <w:rFonts w:asciiTheme="minorHAnsi" w:hAnsiTheme="minorHAnsi"/>
          <w:snapToGrid w:val="0"/>
          <w:lang w:val="en-GB"/>
        </w:rPr>
        <w:instrText xml:space="preserve"> REF _Ref109986946 \r \h </w:instrText>
      </w:r>
      <w:r w:rsidR="00DF2327">
        <w:rPr>
          <w:rFonts w:asciiTheme="minorHAnsi" w:hAnsiTheme="minorHAnsi"/>
          <w:snapToGrid w:val="0"/>
          <w:lang w:val="en-GB"/>
        </w:rPr>
      </w:r>
      <w:r w:rsidR="00DF2327">
        <w:rPr>
          <w:rFonts w:asciiTheme="minorHAnsi" w:hAnsiTheme="minorHAnsi"/>
          <w:snapToGrid w:val="0"/>
          <w:lang w:val="en-GB"/>
        </w:rPr>
        <w:fldChar w:fldCharType="separate"/>
      </w:r>
      <w:r w:rsidR="00DF2327">
        <w:rPr>
          <w:rFonts w:asciiTheme="minorHAnsi" w:hAnsiTheme="minorHAnsi"/>
          <w:snapToGrid w:val="0"/>
          <w:lang w:val="en-GB"/>
        </w:rPr>
        <w:t>3.19</w:t>
      </w:r>
      <w:r w:rsidR="00DF2327">
        <w:rPr>
          <w:rFonts w:asciiTheme="minorHAnsi" w:hAnsiTheme="minorHAnsi"/>
          <w:snapToGrid w:val="0"/>
          <w:lang w:val="en-GB"/>
        </w:rPr>
        <w:fldChar w:fldCharType="end"/>
      </w:r>
      <w:r w:rsidR="000E0A62">
        <w:rPr>
          <w:rFonts w:asciiTheme="minorHAnsi" w:hAnsiTheme="minorHAnsi"/>
          <w:snapToGrid w:val="0"/>
          <w:lang w:val="en-GB"/>
        </w:rPr>
        <w:t>)</w:t>
      </w:r>
      <w:r w:rsidR="000263B5">
        <w:rPr>
          <w:rFonts w:asciiTheme="minorHAnsi" w:hAnsiTheme="minorHAnsi"/>
          <w:snapToGrid w:val="0"/>
          <w:lang w:val="en-GB"/>
        </w:rPr>
        <w:t>.</w:t>
      </w:r>
    </w:p>
    <w:p w14:paraId="02AB3E89" w14:textId="7CF77530" w:rsidR="000263B5" w:rsidRDefault="000263B5"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recommended that the restriction be silent with respect to the age of the patient.</w:t>
      </w:r>
    </w:p>
    <w:p w14:paraId="3C57AEE5" w14:textId="08F236DB" w:rsidR="000263B5" w:rsidRDefault="000263B5"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considered that the proposed grandfather restriction </w:t>
      </w:r>
      <w:r w:rsidR="00E216B8">
        <w:rPr>
          <w:rFonts w:asciiTheme="minorHAnsi" w:hAnsiTheme="minorHAnsi"/>
          <w:snapToGrid w:val="0"/>
          <w:lang w:val="en-GB"/>
        </w:rPr>
        <w:t>w</w:t>
      </w:r>
      <w:r>
        <w:rPr>
          <w:rFonts w:asciiTheme="minorHAnsi" w:hAnsiTheme="minorHAnsi"/>
          <w:snapToGrid w:val="0"/>
          <w:lang w:val="en-GB"/>
        </w:rPr>
        <w:t>as appropriate.</w:t>
      </w:r>
    </w:p>
    <w:p w14:paraId="3BEF68F7" w14:textId="4EF17455" w:rsidR="00EC2355" w:rsidRPr="007D71EE" w:rsidRDefault="00EC2355" w:rsidP="00EC2355">
      <w:pPr>
        <w:pStyle w:val="ListParagraph"/>
        <w:numPr>
          <w:ilvl w:val="1"/>
          <w:numId w:val="1"/>
        </w:numPr>
        <w:spacing w:after="160"/>
        <w:ind w:hanging="720"/>
        <w:contextualSpacing w:val="0"/>
      </w:pPr>
      <w:r>
        <w:rPr>
          <w:rFonts w:asciiTheme="minorHAnsi" w:hAnsiTheme="minorHAnsi"/>
          <w:snapToGrid w:val="0"/>
          <w:lang w:val="en-GB"/>
        </w:rPr>
        <w:t xml:space="preserve">The PBAC found that the criteria prescribed </w:t>
      </w:r>
      <w:r w:rsidRPr="007D71EE">
        <w:t xml:space="preserve">by the </w:t>
      </w:r>
      <w:r w:rsidRPr="007D71EE">
        <w:rPr>
          <w:i/>
        </w:rPr>
        <w:t>National Health (Pharmaceuticals and Vaccines – Cost Recovery) Regulations 20</w:t>
      </w:r>
      <w:r w:rsidR="003010C5">
        <w:rPr>
          <w:i/>
        </w:rPr>
        <w:t>22</w:t>
      </w:r>
      <w:r w:rsidRPr="007D71EE">
        <w:t xml:space="preserve"> for Pricing Pathway A were met. Specifically</w:t>
      </w:r>
      <w:r w:rsidR="00DF2327">
        <w:t>,</w:t>
      </w:r>
      <w:r w:rsidRPr="007D71EE">
        <w:t xml:space="preserve"> the PBAC found that in the circumstances of its recommendation for </w:t>
      </w:r>
      <w:r>
        <w:t>ruxolitinib for the treatment of aGVHD</w:t>
      </w:r>
      <w:r w:rsidRPr="007D71EE">
        <w:t>:</w:t>
      </w:r>
    </w:p>
    <w:p w14:paraId="6A9AA0B2" w14:textId="75544575" w:rsidR="00EC2355" w:rsidRPr="007D71EE" w:rsidRDefault="00EC2355" w:rsidP="00EC2355">
      <w:pPr>
        <w:autoSpaceDE w:val="0"/>
        <w:autoSpaceDN w:val="0"/>
        <w:adjustRightInd w:val="0"/>
        <w:spacing w:after="120"/>
        <w:ind w:left="720" w:hanging="11"/>
      </w:pPr>
      <w:r w:rsidRPr="007D71EE">
        <w:t>a)</w:t>
      </w:r>
      <w:r>
        <w:t xml:space="preserve"> </w:t>
      </w:r>
      <w:r w:rsidRPr="007D71EE">
        <w:t xml:space="preserve">The treatment is expected to provide a substantial and clinically relevant improvement in efficacy over </w:t>
      </w:r>
      <w:r>
        <w:t>BAT on the basis of the ORR</w:t>
      </w:r>
      <w:r w:rsidRPr="007D71EE">
        <w:t xml:space="preserve"> </w:t>
      </w:r>
      <w:r>
        <w:t>gain observed in REACH2;</w:t>
      </w:r>
    </w:p>
    <w:p w14:paraId="4913CC1E" w14:textId="610A50F2" w:rsidR="00EC2355" w:rsidRPr="007D71EE" w:rsidRDefault="00EC2355" w:rsidP="00EC2355">
      <w:pPr>
        <w:autoSpaceDE w:val="0"/>
        <w:autoSpaceDN w:val="0"/>
        <w:adjustRightInd w:val="0"/>
        <w:spacing w:after="120"/>
        <w:ind w:left="720" w:hanging="11"/>
      </w:pPr>
      <w:r w:rsidRPr="007D71EE">
        <w:t>b)</w:t>
      </w:r>
      <w:r>
        <w:t xml:space="preserve"> </w:t>
      </w:r>
      <w:r w:rsidRPr="007D71EE">
        <w:t xml:space="preserve">The treatment is expected to address a high and urgent unmet clinical need </w:t>
      </w:r>
      <w:r>
        <w:t>in the proposed population;</w:t>
      </w:r>
    </w:p>
    <w:p w14:paraId="178A739E" w14:textId="63D031CC" w:rsidR="00EC2355" w:rsidRPr="007D71EE" w:rsidRDefault="00EC2355" w:rsidP="00EC2355">
      <w:pPr>
        <w:autoSpaceDE w:val="0"/>
        <w:autoSpaceDN w:val="0"/>
        <w:adjustRightInd w:val="0"/>
        <w:spacing w:after="120"/>
        <w:ind w:left="720" w:hanging="11"/>
      </w:pPr>
      <w:r w:rsidRPr="007D71EE">
        <w:t>c)</w:t>
      </w:r>
      <w:r>
        <w:t xml:space="preserve"> </w:t>
      </w:r>
      <w:r w:rsidRPr="007D71EE">
        <w:t>It would be in the public interest for the subsequent pricing application to be progressed under Pricing Pathway A on the basis of the preceding findings</w:t>
      </w:r>
      <w:r w:rsidR="00787B96">
        <w:t>.</w:t>
      </w:r>
    </w:p>
    <w:p w14:paraId="34163ABA" w14:textId="1EDC3740" w:rsidR="00EC2355" w:rsidRPr="00EC2355" w:rsidRDefault="00EC2355" w:rsidP="00E67D76">
      <w:pPr>
        <w:keepNext/>
        <w:widowControl w:val="0"/>
        <w:rPr>
          <w:rFonts w:asciiTheme="minorHAnsi" w:hAnsiTheme="minorHAnsi"/>
          <w:b/>
          <w:bCs/>
          <w:snapToGrid w:val="0"/>
          <w:lang w:val="en-GB"/>
        </w:rPr>
      </w:pPr>
      <w:r w:rsidRPr="00EC2355">
        <w:rPr>
          <w:rFonts w:asciiTheme="minorHAnsi" w:hAnsiTheme="minorHAnsi"/>
          <w:b/>
          <w:bCs/>
          <w:snapToGrid w:val="0"/>
          <w:lang w:val="en-GB"/>
        </w:rPr>
        <w:t>Outcome</w:t>
      </w:r>
      <w:r w:rsidR="00861E2B">
        <w:rPr>
          <w:rFonts w:asciiTheme="minorHAnsi" w:hAnsiTheme="minorHAnsi"/>
          <w:b/>
          <w:bCs/>
          <w:snapToGrid w:val="0"/>
          <w:lang w:val="en-GB"/>
        </w:rPr>
        <w:t xml:space="preserve"> for acute </w:t>
      </w:r>
      <w:r w:rsidR="00861E2B" w:rsidRPr="00861E2B">
        <w:rPr>
          <w:rFonts w:asciiTheme="minorHAnsi" w:hAnsiTheme="minorHAnsi"/>
          <w:b/>
          <w:bCs/>
          <w:snapToGrid w:val="0"/>
          <w:lang w:val="en-GB"/>
        </w:rPr>
        <w:t>graft versus host disease</w:t>
      </w:r>
      <w:r w:rsidRPr="00EC2355">
        <w:rPr>
          <w:rFonts w:asciiTheme="minorHAnsi" w:hAnsiTheme="minorHAnsi"/>
          <w:b/>
          <w:bCs/>
          <w:snapToGrid w:val="0"/>
          <w:lang w:val="en-GB"/>
        </w:rPr>
        <w:t>:</w:t>
      </w:r>
    </w:p>
    <w:p w14:paraId="75CE5B51" w14:textId="1536DC9F" w:rsidR="00EC2355" w:rsidRDefault="00EC2355" w:rsidP="00EC2355">
      <w:pPr>
        <w:widowControl w:val="0"/>
        <w:spacing w:after="120"/>
        <w:rPr>
          <w:rFonts w:asciiTheme="minorHAnsi" w:hAnsiTheme="minorHAnsi"/>
          <w:snapToGrid w:val="0"/>
          <w:lang w:val="en-GB"/>
        </w:rPr>
      </w:pPr>
      <w:r>
        <w:rPr>
          <w:rFonts w:asciiTheme="minorHAnsi" w:hAnsiTheme="minorHAnsi"/>
          <w:snapToGrid w:val="0"/>
          <w:lang w:val="en-GB"/>
        </w:rPr>
        <w:t>Recommended</w:t>
      </w:r>
    </w:p>
    <w:p w14:paraId="08D28571" w14:textId="44BB1845" w:rsidR="000263B5" w:rsidRPr="000263B5" w:rsidRDefault="000263B5" w:rsidP="008F1E38">
      <w:pPr>
        <w:widowControl w:val="0"/>
        <w:spacing w:after="120"/>
        <w:outlineLvl w:val="2"/>
        <w:rPr>
          <w:rFonts w:asciiTheme="minorHAnsi" w:hAnsiTheme="minorHAnsi"/>
          <w:snapToGrid w:val="0"/>
          <w:u w:val="single"/>
          <w:lang w:val="en-GB"/>
        </w:rPr>
      </w:pPr>
      <w:r w:rsidRPr="000263B5">
        <w:rPr>
          <w:rFonts w:asciiTheme="minorHAnsi" w:hAnsiTheme="minorHAnsi"/>
          <w:snapToGrid w:val="0"/>
          <w:u w:val="single"/>
          <w:lang w:val="en-GB"/>
        </w:rPr>
        <w:t>Ruxolitinib for chronic graft versus host disease</w:t>
      </w:r>
    </w:p>
    <w:p w14:paraId="3E85F564" w14:textId="20FED9D3" w:rsidR="00C15B2F" w:rsidRDefault="006D385E"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did not</w:t>
      </w:r>
      <w:r w:rsidR="00215FB5">
        <w:rPr>
          <w:rFonts w:asciiTheme="minorHAnsi" w:hAnsiTheme="minorHAnsi"/>
          <w:snapToGrid w:val="0"/>
          <w:lang w:val="en-GB"/>
        </w:rPr>
        <w:t xml:space="preserve"> recommend the listing of ruxolitinib for the treatment of chronic graft versus host disease (cGVHD). </w:t>
      </w:r>
      <w:r w:rsidR="002144E3">
        <w:rPr>
          <w:rFonts w:asciiTheme="minorHAnsi" w:hAnsiTheme="minorHAnsi"/>
          <w:snapToGrid w:val="0"/>
          <w:lang w:val="en-GB"/>
        </w:rPr>
        <w:t>T</w:t>
      </w:r>
      <w:r w:rsidR="00215FB5">
        <w:rPr>
          <w:rFonts w:asciiTheme="minorHAnsi" w:hAnsiTheme="minorHAnsi"/>
          <w:snapToGrid w:val="0"/>
          <w:lang w:val="en-GB"/>
        </w:rPr>
        <w:t>he PBAC was satisfied that ruxolitinib provides, for some patients, a significant improvement in effi</w:t>
      </w:r>
      <w:r w:rsidR="00EC2355">
        <w:rPr>
          <w:rFonts w:asciiTheme="minorHAnsi" w:hAnsiTheme="minorHAnsi"/>
          <w:snapToGrid w:val="0"/>
          <w:lang w:val="en-GB"/>
        </w:rPr>
        <w:t>cacy, including an improvement in ORR, compared with BAT</w:t>
      </w:r>
      <w:r w:rsidR="002144E3">
        <w:rPr>
          <w:rFonts w:asciiTheme="minorHAnsi" w:hAnsiTheme="minorHAnsi"/>
          <w:snapToGrid w:val="0"/>
          <w:lang w:val="en-GB"/>
        </w:rPr>
        <w:t>. However</w:t>
      </w:r>
      <w:r w:rsidR="00EC2355">
        <w:rPr>
          <w:rFonts w:asciiTheme="minorHAnsi" w:hAnsiTheme="minorHAnsi"/>
          <w:snapToGrid w:val="0"/>
          <w:lang w:val="en-GB"/>
        </w:rPr>
        <w:t xml:space="preserve">, the PBAC considered that </w:t>
      </w:r>
      <w:r w:rsidR="00E216B8">
        <w:rPr>
          <w:rFonts w:asciiTheme="minorHAnsi" w:hAnsiTheme="minorHAnsi"/>
          <w:snapToGrid w:val="0"/>
          <w:lang w:val="en-GB"/>
        </w:rPr>
        <w:t>changes to the economic model inputs</w:t>
      </w:r>
      <w:r w:rsidR="00957295">
        <w:rPr>
          <w:rFonts w:asciiTheme="minorHAnsi" w:hAnsiTheme="minorHAnsi"/>
          <w:snapToGrid w:val="0"/>
          <w:lang w:val="en-GB"/>
        </w:rPr>
        <w:t xml:space="preserve">, including </w:t>
      </w:r>
      <w:r w:rsidR="002144E3">
        <w:rPr>
          <w:rFonts w:asciiTheme="minorHAnsi" w:hAnsiTheme="minorHAnsi"/>
          <w:snapToGrid w:val="0"/>
          <w:lang w:val="en-GB"/>
        </w:rPr>
        <w:t>a reduction in</w:t>
      </w:r>
      <w:r w:rsidR="00957295">
        <w:rPr>
          <w:rFonts w:asciiTheme="minorHAnsi" w:hAnsiTheme="minorHAnsi"/>
          <w:snapToGrid w:val="0"/>
          <w:lang w:val="en-GB"/>
        </w:rPr>
        <w:t xml:space="preserve"> the price of ruxolitinib,</w:t>
      </w:r>
      <w:r w:rsidR="00E216B8">
        <w:rPr>
          <w:rFonts w:asciiTheme="minorHAnsi" w:hAnsiTheme="minorHAnsi"/>
          <w:snapToGrid w:val="0"/>
          <w:lang w:val="en-GB"/>
        </w:rPr>
        <w:t xml:space="preserve"> would be required to achieve </w:t>
      </w:r>
      <w:r w:rsidR="007D6D8A" w:rsidRPr="003770D6">
        <w:rPr>
          <w:rFonts w:asciiTheme="minorHAnsi" w:hAnsiTheme="minorHAnsi"/>
          <w:snapToGrid w:val="0"/>
          <w:lang w:val="en-GB"/>
        </w:rPr>
        <w:t>a</w:t>
      </w:r>
      <w:r w:rsidR="007D6D8A">
        <w:rPr>
          <w:rFonts w:asciiTheme="minorHAnsi" w:hAnsiTheme="minorHAnsi"/>
          <w:snapToGrid w:val="0"/>
          <w:lang w:val="en-GB"/>
        </w:rPr>
        <w:t>cceptable</w:t>
      </w:r>
      <w:r w:rsidR="007D6D8A" w:rsidRPr="003770D6">
        <w:rPr>
          <w:rFonts w:asciiTheme="minorHAnsi" w:hAnsiTheme="minorHAnsi"/>
          <w:snapToGrid w:val="0"/>
          <w:lang w:val="en-GB"/>
        </w:rPr>
        <w:t xml:space="preserve"> </w:t>
      </w:r>
      <w:r w:rsidR="007D6D8A">
        <w:rPr>
          <w:rFonts w:asciiTheme="minorHAnsi" w:hAnsiTheme="minorHAnsi"/>
          <w:snapToGrid w:val="0"/>
          <w:lang w:val="en-GB"/>
        </w:rPr>
        <w:t xml:space="preserve">incremental </w:t>
      </w:r>
      <w:r w:rsidR="007D6D8A" w:rsidRPr="003770D6">
        <w:rPr>
          <w:rFonts w:asciiTheme="minorHAnsi" w:hAnsiTheme="minorHAnsi"/>
          <w:snapToGrid w:val="0"/>
          <w:lang w:val="en-GB"/>
        </w:rPr>
        <w:t>cost-effective</w:t>
      </w:r>
      <w:r w:rsidR="007D6D8A">
        <w:rPr>
          <w:rFonts w:asciiTheme="minorHAnsi" w:hAnsiTheme="minorHAnsi"/>
          <w:snapToGrid w:val="0"/>
          <w:lang w:val="en-GB"/>
        </w:rPr>
        <w:t>ness</w:t>
      </w:r>
      <w:r w:rsidR="00E216B8">
        <w:rPr>
          <w:rFonts w:asciiTheme="minorHAnsi" w:hAnsiTheme="minorHAnsi"/>
          <w:snapToGrid w:val="0"/>
          <w:lang w:val="en-GB"/>
        </w:rPr>
        <w:t>. Further, the PBAC considered that</w:t>
      </w:r>
      <w:r w:rsidR="00EC2355">
        <w:rPr>
          <w:rFonts w:asciiTheme="minorHAnsi" w:hAnsiTheme="minorHAnsi"/>
          <w:snapToGrid w:val="0"/>
          <w:lang w:val="en-GB"/>
        </w:rPr>
        <w:t xml:space="preserve"> the financial estimates </w:t>
      </w:r>
      <w:r w:rsidR="004C05C9">
        <w:rPr>
          <w:rFonts w:asciiTheme="minorHAnsi" w:hAnsiTheme="minorHAnsi"/>
          <w:snapToGrid w:val="0"/>
          <w:lang w:val="en-GB"/>
        </w:rPr>
        <w:t xml:space="preserve">provided in the pre-PBAC response </w:t>
      </w:r>
      <w:r w:rsidR="00EC2355">
        <w:rPr>
          <w:rFonts w:asciiTheme="minorHAnsi" w:hAnsiTheme="minorHAnsi"/>
          <w:snapToGrid w:val="0"/>
          <w:lang w:val="en-GB"/>
        </w:rPr>
        <w:t xml:space="preserve">were </w:t>
      </w:r>
      <w:r w:rsidR="00E216B8">
        <w:rPr>
          <w:rFonts w:asciiTheme="minorHAnsi" w:hAnsiTheme="minorHAnsi"/>
          <w:snapToGrid w:val="0"/>
          <w:lang w:val="en-GB"/>
        </w:rPr>
        <w:t>overestimated</w:t>
      </w:r>
      <w:r w:rsidR="00EC2355">
        <w:rPr>
          <w:rFonts w:asciiTheme="minorHAnsi" w:hAnsiTheme="minorHAnsi"/>
          <w:snapToGrid w:val="0"/>
          <w:lang w:val="en-GB"/>
        </w:rPr>
        <w:t>.</w:t>
      </w:r>
    </w:p>
    <w:p w14:paraId="49E05F79" w14:textId="079F9FE9" w:rsidR="00EC2355" w:rsidRDefault="00EC2355"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considered that there was a high unmet need for effective therapies to treat this condition.</w:t>
      </w:r>
    </w:p>
    <w:p w14:paraId="11C65C41" w14:textId="526CAE20" w:rsidR="00EC2355" w:rsidRDefault="00EC2355"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considered that the nominat</w:t>
      </w:r>
      <w:r w:rsidR="004C05C9">
        <w:rPr>
          <w:rFonts w:asciiTheme="minorHAnsi" w:hAnsiTheme="minorHAnsi"/>
          <w:snapToGrid w:val="0"/>
          <w:lang w:val="en-GB"/>
        </w:rPr>
        <w:t>ed</w:t>
      </w:r>
      <w:r>
        <w:rPr>
          <w:rFonts w:asciiTheme="minorHAnsi" w:hAnsiTheme="minorHAnsi"/>
          <w:snapToGrid w:val="0"/>
          <w:lang w:val="en-GB"/>
        </w:rPr>
        <w:t xml:space="preserve"> comparator, BAT, was appropriate.</w:t>
      </w:r>
    </w:p>
    <w:p w14:paraId="5A37FC4C" w14:textId="2EF79139" w:rsidR="00EC2355" w:rsidRDefault="00EC2355"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considered that the claim that ruxolitinib demonstrated superior efficacy compared to BAT in the key clinical trial, REACH3, was reasonable. The PBAC noted that treatment with ruxolitinib was associated with a statistically significant improvement in ORR at Week 24 (RD = </w:t>
      </w:r>
      <w:r w:rsidR="00920031">
        <w:rPr>
          <w:rFonts w:asciiTheme="minorHAnsi" w:hAnsiTheme="minorHAnsi"/>
          <w:snapToGrid w:val="0"/>
          <w:lang w:val="en-GB"/>
        </w:rPr>
        <w:t>0.24; 95% CI: 0.14, 0.34)</w:t>
      </w:r>
      <w:r w:rsidR="004C05C9">
        <w:rPr>
          <w:rFonts w:asciiTheme="minorHAnsi" w:hAnsiTheme="minorHAnsi"/>
          <w:snapToGrid w:val="0"/>
          <w:lang w:val="en-GB"/>
        </w:rPr>
        <w:t xml:space="preserve"> </w:t>
      </w:r>
      <w:r w:rsidR="00920031">
        <w:rPr>
          <w:rFonts w:asciiTheme="minorHAnsi" w:hAnsiTheme="minorHAnsi"/>
          <w:snapToGrid w:val="0"/>
          <w:lang w:val="en-GB"/>
        </w:rPr>
        <w:t>and a statistically significant improvement in failure-free survival (HR = 0.37; 95% CI: 0.27, 0.51).</w:t>
      </w:r>
    </w:p>
    <w:p w14:paraId="4A3CFCDC" w14:textId="565FFF8D" w:rsidR="00920031" w:rsidRDefault="00920031" w:rsidP="004C05C9">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noted that the </w:t>
      </w:r>
      <w:r w:rsidR="00EB3C64">
        <w:rPr>
          <w:rFonts w:asciiTheme="minorHAnsi" w:hAnsiTheme="minorHAnsi"/>
          <w:snapToGrid w:val="0"/>
          <w:lang w:val="en-GB"/>
        </w:rPr>
        <w:t xml:space="preserve">overall survival </w:t>
      </w:r>
      <w:r>
        <w:rPr>
          <w:rFonts w:asciiTheme="minorHAnsi" w:hAnsiTheme="minorHAnsi"/>
          <w:snapToGrid w:val="0"/>
          <w:lang w:val="en-GB"/>
        </w:rPr>
        <w:t>data were relatively immature, with median overall survival not reached in either arm</w:t>
      </w:r>
      <w:r w:rsidR="00E7637D">
        <w:rPr>
          <w:rFonts w:asciiTheme="minorHAnsi" w:hAnsiTheme="minorHAnsi"/>
          <w:snapToGrid w:val="0"/>
          <w:lang w:val="en-GB"/>
        </w:rPr>
        <w:t xml:space="preserve">. </w:t>
      </w:r>
      <w:r>
        <w:rPr>
          <w:rFonts w:asciiTheme="minorHAnsi" w:hAnsiTheme="minorHAnsi"/>
          <w:snapToGrid w:val="0"/>
          <w:lang w:val="en-GB"/>
        </w:rPr>
        <w:t xml:space="preserve">The PBAC </w:t>
      </w:r>
      <w:r w:rsidR="0014365D">
        <w:rPr>
          <w:rFonts w:asciiTheme="minorHAnsi" w:hAnsiTheme="minorHAnsi"/>
          <w:snapToGrid w:val="0"/>
          <w:lang w:val="en-GB"/>
        </w:rPr>
        <w:t xml:space="preserve">noted </w:t>
      </w:r>
      <w:r w:rsidR="004C05C9">
        <w:rPr>
          <w:rFonts w:asciiTheme="minorHAnsi" w:hAnsiTheme="minorHAnsi"/>
          <w:snapToGrid w:val="0"/>
          <w:lang w:val="en-GB"/>
        </w:rPr>
        <w:t xml:space="preserve">there was no statistically significant difference in overall survival between the ruxolitinib and BAT arms (HR = 1.09; 95% CI: 0.65, 1.82) and no separation of the Kaplan Meier curves (Figure 2) but acknowledged </w:t>
      </w:r>
      <w:r>
        <w:rPr>
          <w:rFonts w:asciiTheme="minorHAnsi" w:hAnsiTheme="minorHAnsi"/>
          <w:snapToGrid w:val="0"/>
          <w:lang w:val="en-GB"/>
        </w:rPr>
        <w:t xml:space="preserve">that </w:t>
      </w:r>
      <w:r w:rsidR="004C05C9">
        <w:rPr>
          <w:rFonts w:asciiTheme="minorHAnsi" w:hAnsiTheme="minorHAnsi"/>
          <w:snapToGrid w:val="0"/>
          <w:lang w:val="en-GB"/>
        </w:rPr>
        <w:t xml:space="preserve">these results </w:t>
      </w:r>
      <w:r>
        <w:rPr>
          <w:rFonts w:asciiTheme="minorHAnsi" w:hAnsiTheme="minorHAnsi"/>
          <w:snapToGrid w:val="0"/>
          <w:lang w:val="en-GB"/>
        </w:rPr>
        <w:t xml:space="preserve">were likely confounded </w:t>
      </w:r>
      <w:r w:rsidR="004C05C9" w:rsidRPr="00A6154D">
        <w:t>by the use of subsequent treatments, including crossover of patients from the BAT arm to receive ruxolitinib after Week 24</w:t>
      </w:r>
      <w:r w:rsidR="004C05C9">
        <w:t xml:space="preserve">. Further, the PBAC </w:t>
      </w:r>
      <w:r w:rsidR="004C05C9" w:rsidRPr="00A6154D">
        <w:t xml:space="preserve">noted that the trial was not powered to detect a difference in </w:t>
      </w:r>
      <w:r w:rsidR="004C05C9">
        <w:t>overall survival.</w:t>
      </w:r>
      <w:r w:rsidR="0014365D">
        <w:rPr>
          <w:rFonts w:asciiTheme="minorHAnsi" w:hAnsiTheme="minorHAnsi"/>
          <w:snapToGrid w:val="0"/>
          <w:lang w:val="en-GB"/>
        </w:rPr>
        <w:t xml:space="preserve"> </w:t>
      </w:r>
    </w:p>
    <w:p w14:paraId="62C5516A" w14:textId="467971BB" w:rsidR="00E7637D" w:rsidRDefault="00E7637D" w:rsidP="00E7637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In terms of safety, the PBAC noted that ruxolitinib was associated with higher rates of treatment-emergent adverse events, serious adverse events and discontinuations due to adverse events than BAT in the REACH3 trial. The PBAC considered that the broad range of BATs may have exaggerated the incremental effect of adverse events in the ruxolitinib arm and considered that</w:t>
      </w:r>
      <w:r w:rsidR="004C05C9" w:rsidRPr="004C05C9">
        <w:rPr>
          <w:rFonts w:asciiTheme="minorHAnsi" w:hAnsiTheme="minorHAnsi"/>
          <w:snapToGrid w:val="0"/>
          <w:lang w:val="en-GB"/>
        </w:rPr>
        <w:t xml:space="preserve"> </w:t>
      </w:r>
      <w:r w:rsidR="004C05C9">
        <w:rPr>
          <w:rFonts w:asciiTheme="minorHAnsi" w:hAnsiTheme="minorHAnsi"/>
          <w:snapToGrid w:val="0"/>
          <w:lang w:val="en-GB"/>
        </w:rPr>
        <w:t xml:space="preserve">ruxolitinib was generally well tolerated and that, </w:t>
      </w:r>
      <w:r>
        <w:rPr>
          <w:rFonts w:asciiTheme="minorHAnsi" w:hAnsiTheme="minorHAnsi"/>
          <w:snapToGrid w:val="0"/>
          <w:lang w:val="en-GB"/>
        </w:rPr>
        <w:t>overall, the claim that ruxolitinib was non-inferior in terms of safety compared to BAT was reasonable.</w:t>
      </w:r>
    </w:p>
    <w:p w14:paraId="3D15067C" w14:textId="0E3DF12A" w:rsidR="00E7637D" w:rsidRDefault="00E7637D"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submission presented a cost-utility analysis of ruxolitinib versus BAT. The PBAC noted that the economic evaluation was a microsimulation model and was based on the results of the REACH3 trial. The PBAC considered </w:t>
      </w:r>
      <w:r w:rsidR="004C05C9">
        <w:rPr>
          <w:rFonts w:asciiTheme="minorHAnsi" w:hAnsiTheme="minorHAnsi"/>
          <w:snapToGrid w:val="0"/>
          <w:lang w:val="en-GB"/>
        </w:rPr>
        <w:t>the</w:t>
      </w:r>
      <w:r>
        <w:rPr>
          <w:rFonts w:asciiTheme="minorHAnsi" w:hAnsiTheme="minorHAnsi"/>
          <w:snapToGrid w:val="0"/>
          <w:lang w:val="en-GB"/>
        </w:rPr>
        <w:t xml:space="preserve"> </w:t>
      </w:r>
      <w:r w:rsidR="004C05C9">
        <w:rPr>
          <w:rFonts w:asciiTheme="minorHAnsi" w:hAnsiTheme="minorHAnsi"/>
          <w:snapToGrid w:val="0"/>
          <w:lang w:val="en-GB"/>
        </w:rPr>
        <w:t>assumption in the model that patients could receive multiple additional lines of therapy</w:t>
      </w:r>
      <w:r>
        <w:rPr>
          <w:rFonts w:asciiTheme="minorHAnsi" w:hAnsiTheme="minorHAnsi"/>
          <w:snapToGrid w:val="0"/>
          <w:lang w:val="en-GB"/>
        </w:rPr>
        <w:t xml:space="preserve"> was reasonable and reflective of clinical practice. </w:t>
      </w:r>
      <w:r w:rsidR="004C05C9">
        <w:rPr>
          <w:rFonts w:asciiTheme="minorHAnsi" w:hAnsiTheme="minorHAnsi"/>
          <w:snapToGrid w:val="0"/>
          <w:lang w:val="en-GB"/>
        </w:rPr>
        <w:t>However, l</w:t>
      </w:r>
      <w:r>
        <w:rPr>
          <w:rFonts w:asciiTheme="minorHAnsi" w:hAnsiTheme="minorHAnsi"/>
          <w:snapToGrid w:val="0"/>
          <w:lang w:val="en-GB"/>
        </w:rPr>
        <w:t>ike the aGVHD model, the PBAC considered that the assumption that each line of BAT had the same efficacy as the initial BAT was not clinically plausible.</w:t>
      </w:r>
      <w:r w:rsidR="004C05C9" w:rsidRPr="004C05C9">
        <w:t xml:space="preserve"> </w:t>
      </w:r>
      <w:r w:rsidR="004C05C9">
        <w:t>The PBAC</w:t>
      </w:r>
      <w:r w:rsidR="004C05C9" w:rsidRPr="004C05C9">
        <w:rPr>
          <w:rFonts w:asciiTheme="minorHAnsi" w:hAnsiTheme="minorHAnsi"/>
          <w:snapToGrid w:val="0"/>
          <w:lang w:val="en-GB"/>
        </w:rPr>
        <w:t xml:space="preserve"> acknowledged that no evidence was provided to inform alternative efficacy estimates and noted that sensitivity analyses indicated the assumption was likely to be appropriately conservative.</w:t>
      </w:r>
    </w:p>
    <w:p w14:paraId="538DE174" w14:textId="62DB1A8D" w:rsidR="00E7637D" w:rsidRDefault="00E453AD"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noted the </w:t>
      </w:r>
      <w:r w:rsidR="00787B96">
        <w:rPr>
          <w:rFonts w:asciiTheme="minorHAnsi" w:hAnsiTheme="minorHAnsi"/>
          <w:snapToGrid w:val="0"/>
          <w:lang w:val="en-GB"/>
        </w:rPr>
        <w:t xml:space="preserve">submission’s </w:t>
      </w:r>
      <w:r>
        <w:rPr>
          <w:rFonts w:asciiTheme="minorHAnsi" w:hAnsiTheme="minorHAnsi"/>
          <w:snapToGrid w:val="0"/>
          <w:lang w:val="en-GB"/>
        </w:rPr>
        <w:t xml:space="preserve">base case ICER </w:t>
      </w:r>
      <w:r w:rsidR="009D603E">
        <w:rPr>
          <w:rFonts w:asciiTheme="minorHAnsi" w:hAnsiTheme="minorHAnsi"/>
          <w:snapToGrid w:val="0"/>
          <w:lang w:val="en-GB"/>
        </w:rPr>
        <w:t xml:space="preserve">was </w:t>
      </w:r>
      <w:r w:rsidR="00320844" w:rsidRPr="00320844">
        <w:rPr>
          <w:rFonts w:asciiTheme="minorHAnsi" w:hAnsiTheme="minorHAnsi"/>
          <w:snapToGrid w:val="0"/>
        </w:rPr>
        <w:t>$</w:t>
      </w:r>
      <w:r w:rsidR="00320844">
        <w:rPr>
          <w:rFonts w:asciiTheme="minorHAnsi" w:hAnsiTheme="minorHAnsi"/>
          <w:snapToGrid w:val="0"/>
        </w:rPr>
        <w:t>6</w:t>
      </w:r>
      <w:r w:rsidR="00320844" w:rsidRPr="00320844">
        <w:rPr>
          <w:rFonts w:asciiTheme="minorHAnsi" w:hAnsiTheme="minorHAnsi"/>
          <w:snapToGrid w:val="0"/>
        </w:rPr>
        <w:t>5,000 to &lt; $75,000</w:t>
      </w:r>
      <w:r>
        <w:rPr>
          <w:rFonts w:asciiTheme="minorHAnsi" w:hAnsiTheme="minorHAnsi"/>
          <w:snapToGrid w:val="0"/>
          <w:lang w:val="en-GB"/>
        </w:rPr>
        <w:t xml:space="preserve"> per QALY. The PBAC </w:t>
      </w:r>
      <w:r w:rsidR="000611DC">
        <w:rPr>
          <w:rFonts w:asciiTheme="minorHAnsi" w:hAnsiTheme="minorHAnsi"/>
          <w:snapToGrid w:val="0"/>
          <w:lang w:val="en-GB"/>
        </w:rPr>
        <w:t>considered that the extrapolation of cGVHD-related mortality</w:t>
      </w:r>
      <w:r w:rsidR="00D8457D">
        <w:rPr>
          <w:rFonts w:asciiTheme="minorHAnsi" w:hAnsiTheme="minorHAnsi"/>
          <w:snapToGrid w:val="0"/>
          <w:lang w:val="en-GB"/>
        </w:rPr>
        <w:t xml:space="preserve"> and </w:t>
      </w:r>
      <w:r w:rsidR="000611DC">
        <w:rPr>
          <w:rFonts w:asciiTheme="minorHAnsi" w:hAnsiTheme="minorHAnsi"/>
          <w:snapToGrid w:val="0"/>
          <w:lang w:val="en-GB"/>
        </w:rPr>
        <w:t xml:space="preserve">duration of response </w:t>
      </w:r>
      <w:r w:rsidR="009054A4">
        <w:rPr>
          <w:rFonts w:asciiTheme="minorHAnsi" w:hAnsiTheme="minorHAnsi"/>
          <w:snapToGrid w:val="0"/>
          <w:lang w:val="en-GB"/>
        </w:rPr>
        <w:t xml:space="preserve">in the model </w:t>
      </w:r>
      <w:r w:rsidR="000611DC">
        <w:rPr>
          <w:rFonts w:asciiTheme="minorHAnsi" w:hAnsiTheme="minorHAnsi"/>
          <w:snapToGrid w:val="0"/>
          <w:lang w:val="en-GB"/>
        </w:rPr>
        <w:t xml:space="preserve">were </w:t>
      </w:r>
      <w:r w:rsidR="009054A4">
        <w:rPr>
          <w:rFonts w:asciiTheme="minorHAnsi" w:hAnsiTheme="minorHAnsi"/>
          <w:snapToGrid w:val="0"/>
          <w:lang w:val="en-GB"/>
        </w:rPr>
        <w:t xml:space="preserve">likely </w:t>
      </w:r>
      <w:r w:rsidR="000611DC">
        <w:rPr>
          <w:rFonts w:asciiTheme="minorHAnsi" w:hAnsiTheme="minorHAnsi"/>
          <w:snapToGrid w:val="0"/>
          <w:lang w:val="en-GB"/>
        </w:rPr>
        <w:t xml:space="preserve">optimistic and highly uncertain </w:t>
      </w:r>
      <w:r>
        <w:rPr>
          <w:rFonts w:asciiTheme="minorHAnsi" w:hAnsiTheme="minorHAnsi"/>
          <w:snapToGrid w:val="0"/>
          <w:lang w:val="en-GB"/>
        </w:rPr>
        <w:t>particularly in the context of the long modelled time horizon (30 years) compared with the limited duration of trial data (</w:t>
      </w:r>
      <w:r w:rsidR="000611DC">
        <w:rPr>
          <w:rFonts w:asciiTheme="minorHAnsi" w:hAnsiTheme="minorHAnsi"/>
          <w:snapToGrid w:val="0"/>
          <w:lang w:val="en-GB"/>
        </w:rPr>
        <w:t xml:space="preserve">median duration of follow-up = </w:t>
      </w:r>
      <w:r>
        <w:rPr>
          <w:rFonts w:asciiTheme="minorHAnsi" w:hAnsiTheme="minorHAnsi"/>
          <w:snapToGrid w:val="0"/>
          <w:lang w:val="en-GB"/>
        </w:rPr>
        <w:t>57.3 weeks)</w:t>
      </w:r>
      <w:r w:rsidR="0014365D">
        <w:rPr>
          <w:rFonts w:asciiTheme="minorHAnsi" w:hAnsiTheme="minorHAnsi"/>
          <w:snapToGrid w:val="0"/>
          <w:lang w:val="en-GB"/>
        </w:rPr>
        <w:t xml:space="preserve">. </w:t>
      </w:r>
      <w:r w:rsidR="009054A4">
        <w:rPr>
          <w:rFonts w:asciiTheme="minorHAnsi" w:hAnsiTheme="minorHAnsi"/>
          <w:snapToGrid w:val="0"/>
          <w:lang w:val="en-GB"/>
        </w:rPr>
        <w:t>In particular, t</w:t>
      </w:r>
      <w:r w:rsidR="00AF53DE">
        <w:rPr>
          <w:rFonts w:asciiTheme="minorHAnsi" w:hAnsiTheme="minorHAnsi"/>
          <w:snapToGrid w:val="0"/>
          <w:lang w:val="en-GB"/>
        </w:rPr>
        <w:t xml:space="preserve">he PBAC </w:t>
      </w:r>
      <w:r w:rsidR="000611DC">
        <w:rPr>
          <w:rFonts w:asciiTheme="minorHAnsi" w:hAnsiTheme="minorHAnsi"/>
          <w:snapToGrid w:val="0"/>
          <w:lang w:val="en-GB"/>
        </w:rPr>
        <w:t>considered</w:t>
      </w:r>
      <w:r w:rsidR="00AF53DE">
        <w:rPr>
          <w:rFonts w:asciiTheme="minorHAnsi" w:hAnsiTheme="minorHAnsi"/>
          <w:snapToGrid w:val="0"/>
          <w:lang w:val="en-GB"/>
        </w:rPr>
        <w:t xml:space="preserve"> that the extrapolation of overall survival was likely optimistic </w:t>
      </w:r>
      <w:r w:rsidR="009054A4">
        <w:rPr>
          <w:rFonts w:asciiTheme="minorHAnsi" w:hAnsiTheme="minorHAnsi"/>
          <w:snapToGrid w:val="0"/>
          <w:lang w:val="en-GB"/>
        </w:rPr>
        <w:t>given the</w:t>
      </w:r>
      <w:r w:rsidR="00D8457D">
        <w:rPr>
          <w:rFonts w:asciiTheme="minorHAnsi" w:hAnsiTheme="minorHAnsi"/>
          <w:snapToGrid w:val="0"/>
          <w:lang w:val="en-GB"/>
        </w:rPr>
        <w:t>re was no separation of the Kaplan Meier curves for</w:t>
      </w:r>
      <w:r w:rsidR="009054A4">
        <w:rPr>
          <w:rFonts w:asciiTheme="minorHAnsi" w:hAnsiTheme="minorHAnsi"/>
          <w:snapToGrid w:val="0"/>
          <w:lang w:val="en-GB"/>
        </w:rPr>
        <w:t xml:space="preserve"> overall survival in REACH3</w:t>
      </w:r>
      <w:r w:rsidR="002144E3">
        <w:rPr>
          <w:rFonts w:asciiTheme="minorHAnsi" w:hAnsiTheme="minorHAnsi"/>
          <w:snapToGrid w:val="0"/>
          <w:lang w:val="en-GB"/>
        </w:rPr>
        <w:t xml:space="preserve">, and the </w:t>
      </w:r>
      <w:r w:rsidR="008F1E38">
        <w:rPr>
          <w:rFonts w:asciiTheme="minorHAnsi" w:hAnsiTheme="minorHAnsi"/>
          <w:snapToGrid w:val="0"/>
          <w:lang w:val="en-GB"/>
        </w:rPr>
        <w:t>hazard ratio</w:t>
      </w:r>
      <w:r w:rsidR="002144E3">
        <w:rPr>
          <w:rFonts w:asciiTheme="minorHAnsi" w:hAnsiTheme="minorHAnsi"/>
          <w:snapToGrid w:val="0"/>
          <w:lang w:val="en-GB"/>
        </w:rPr>
        <w:t xml:space="preserve"> for overall survival was </w:t>
      </w:r>
      <w:r w:rsidR="002144E3">
        <w:t xml:space="preserve">1.09 (95% CI: 0.65, 1.82). Further, </w:t>
      </w:r>
      <w:r w:rsidR="00AF53DE">
        <w:rPr>
          <w:rFonts w:asciiTheme="minorHAnsi" w:hAnsiTheme="minorHAnsi"/>
          <w:snapToGrid w:val="0"/>
          <w:lang w:val="en-GB"/>
        </w:rPr>
        <w:t xml:space="preserve">the use of alternate parametric functions resulted in a wide range of </w:t>
      </w:r>
      <w:r w:rsidR="00787B96">
        <w:rPr>
          <w:rFonts w:asciiTheme="minorHAnsi" w:hAnsiTheme="minorHAnsi"/>
          <w:snapToGrid w:val="0"/>
          <w:lang w:val="en-GB"/>
        </w:rPr>
        <w:t xml:space="preserve">incremental </w:t>
      </w:r>
      <w:r w:rsidR="00AF53DE">
        <w:rPr>
          <w:rFonts w:asciiTheme="minorHAnsi" w:hAnsiTheme="minorHAnsi"/>
          <w:snapToGrid w:val="0"/>
          <w:lang w:val="en-GB"/>
        </w:rPr>
        <w:t>survival outcomes.</w:t>
      </w:r>
      <w:r w:rsidR="000611DC">
        <w:rPr>
          <w:rFonts w:asciiTheme="minorHAnsi" w:hAnsiTheme="minorHAnsi"/>
          <w:snapToGrid w:val="0"/>
          <w:lang w:val="en-GB"/>
        </w:rPr>
        <w:t xml:space="preserve"> The PBAC considered that a shorter time horizon</w:t>
      </w:r>
      <w:r w:rsidR="00B16322">
        <w:rPr>
          <w:rFonts w:asciiTheme="minorHAnsi" w:hAnsiTheme="minorHAnsi"/>
          <w:snapToGrid w:val="0"/>
          <w:lang w:val="en-GB"/>
        </w:rPr>
        <w:t xml:space="preserve">, of 10 years, </w:t>
      </w:r>
      <w:r w:rsidR="000611DC">
        <w:rPr>
          <w:rFonts w:asciiTheme="minorHAnsi" w:hAnsiTheme="minorHAnsi"/>
          <w:snapToGrid w:val="0"/>
          <w:lang w:val="en-GB"/>
        </w:rPr>
        <w:t xml:space="preserve">would </w:t>
      </w:r>
      <w:r w:rsidR="002144E3">
        <w:rPr>
          <w:rFonts w:asciiTheme="minorHAnsi" w:hAnsiTheme="minorHAnsi"/>
          <w:snapToGrid w:val="0"/>
          <w:lang w:val="en-GB"/>
        </w:rPr>
        <w:t xml:space="preserve">be required to </w:t>
      </w:r>
      <w:r w:rsidR="000611DC">
        <w:rPr>
          <w:rFonts w:asciiTheme="minorHAnsi" w:hAnsiTheme="minorHAnsi"/>
          <w:snapToGrid w:val="0"/>
          <w:lang w:val="en-GB"/>
        </w:rPr>
        <w:t>reduce the uncertainties associated with the</w:t>
      </w:r>
      <w:r w:rsidR="00787B96">
        <w:rPr>
          <w:rFonts w:asciiTheme="minorHAnsi" w:hAnsiTheme="minorHAnsi"/>
          <w:snapToGrid w:val="0"/>
          <w:lang w:val="en-GB"/>
        </w:rPr>
        <w:t>se</w:t>
      </w:r>
      <w:r w:rsidR="000611DC">
        <w:rPr>
          <w:rFonts w:asciiTheme="minorHAnsi" w:hAnsiTheme="minorHAnsi"/>
          <w:snapToGrid w:val="0"/>
          <w:lang w:val="en-GB"/>
        </w:rPr>
        <w:t xml:space="preserve"> extrapolations.</w:t>
      </w:r>
      <w:r w:rsidR="00B16322">
        <w:rPr>
          <w:rFonts w:asciiTheme="minorHAnsi" w:hAnsiTheme="minorHAnsi"/>
          <w:snapToGrid w:val="0"/>
          <w:lang w:val="en-GB"/>
        </w:rPr>
        <w:t xml:space="preserve"> The PBAC acknowledged that 10 years was longer than the time horizon </w:t>
      </w:r>
      <w:r w:rsidR="00C265F7">
        <w:rPr>
          <w:rFonts w:asciiTheme="minorHAnsi" w:hAnsiTheme="minorHAnsi"/>
          <w:snapToGrid w:val="0"/>
          <w:lang w:val="en-GB"/>
        </w:rPr>
        <w:t xml:space="preserve">of five years </w:t>
      </w:r>
      <w:r w:rsidR="00CA4550">
        <w:rPr>
          <w:rFonts w:asciiTheme="minorHAnsi" w:hAnsiTheme="minorHAnsi"/>
          <w:snapToGrid w:val="0"/>
          <w:lang w:val="en-GB"/>
        </w:rPr>
        <w:t>which</w:t>
      </w:r>
      <w:r w:rsidR="00C265F7">
        <w:rPr>
          <w:rFonts w:asciiTheme="minorHAnsi" w:hAnsiTheme="minorHAnsi"/>
          <w:snapToGrid w:val="0"/>
          <w:lang w:val="en-GB"/>
        </w:rPr>
        <w:t xml:space="preserve"> was </w:t>
      </w:r>
      <w:r w:rsidR="00B16322">
        <w:rPr>
          <w:rFonts w:asciiTheme="minorHAnsi" w:hAnsiTheme="minorHAnsi"/>
          <w:snapToGrid w:val="0"/>
          <w:lang w:val="en-GB"/>
        </w:rPr>
        <w:t xml:space="preserve">accepted by MSAC </w:t>
      </w:r>
      <w:r w:rsidR="00C265F7">
        <w:rPr>
          <w:rFonts w:asciiTheme="minorHAnsi" w:hAnsiTheme="minorHAnsi"/>
          <w:snapToGrid w:val="0"/>
          <w:lang w:val="en-GB"/>
        </w:rPr>
        <w:t xml:space="preserve">for ECP, but considered there were key differences between the two models including differences in the assumptions applied around mortality. </w:t>
      </w:r>
    </w:p>
    <w:p w14:paraId="478A4E01" w14:textId="19279ADC" w:rsidR="00957295" w:rsidRPr="00957295" w:rsidRDefault="00AF53DE" w:rsidP="00B7521E">
      <w:pPr>
        <w:pStyle w:val="ExecSumBodyText"/>
      </w:pPr>
      <w:r w:rsidRPr="00B7521E">
        <w:rPr>
          <w:lang w:val="en-GB"/>
        </w:rPr>
        <w:t xml:space="preserve">The PBAC noted that </w:t>
      </w:r>
      <w:r w:rsidR="008F1E38" w:rsidRPr="00B7521E">
        <w:rPr>
          <w:lang w:val="en-GB"/>
        </w:rPr>
        <w:t>the health state utilities were derived from a post-hoc analysis of EQ-5D data collected in the REACH3 trial. T</w:t>
      </w:r>
      <w:r w:rsidRPr="00B7521E">
        <w:rPr>
          <w:lang w:val="en-GB"/>
        </w:rPr>
        <w:t xml:space="preserve">he model assumed </w:t>
      </w:r>
      <w:r w:rsidR="00E30BA8" w:rsidRPr="00B7521E">
        <w:rPr>
          <w:lang w:val="en-GB"/>
        </w:rPr>
        <w:t>there would be a</w:t>
      </w:r>
      <w:r w:rsidRPr="00B7521E">
        <w:rPr>
          <w:lang w:val="en-GB"/>
        </w:rPr>
        <w:t xml:space="preserve"> utility benefit for patients on treatment with ruxol</w:t>
      </w:r>
      <w:r w:rsidRPr="00C265F7">
        <w:rPr>
          <w:lang w:val="en-GB"/>
        </w:rPr>
        <w:t>itinib</w:t>
      </w:r>
      <w:r w:rsidR="00310C08" w:rsidRPr="00C265F7">
        <w:rPr>
          <w:lang w:val="en-GB"/>
        </w:rPr>
        <w:t xml:space="preserve">. The PBAC noted that the pre-Sub-Committee Response (PSCR) stated that the increased utility </w:t>
      </w:r>
      <w:r w:rsidR="00E30BA8" w:rsidRPr="00C265F7">
        <w:rPr>
          <w:lang w:val="en-GB"/>
        </w:rPr>
        <w:t>in</w:t>
      </w:r>
      <w:r w:rsidR="00310C08" w:rsidRPr="00C265F7">
        <w:rPr>
          <w:lang w:val="en-GB"/>
        </w:rPr>
        <w:t xml:space="preserve"> patients treated with ruxolitinib </w:t>
      </w:r>
      <w:r w:rsidR="00E30BA8" w:rsidRPr="009A0541">
        <w:rPr>
          <w:lang w:val="en-GB"/>
        </w:rPr>
        <w:t xml:space="preserve">(versus those treated with BAT) </w:t>
      </w:r>
      <w:r w:rsidR="00310C08" w:rsidRPr="009A0541">
        <w:rPr>
          <w:lang w:val="en-GB"/>
        </w:rPr>
        <w:t xml:space="preserve">was likely due to the steroid-sparing effect </w:t>
      </w:r>
      <w:r w:rsidR="00E30BA8" w:rsidRPr="00E161AA">
        <w:rPr>
          <w:lang w:val="en-GB"/>
        </w:rPr>
        <w:t>of</w:t>
      </w:r>
      <w:r w:rsidR="00310C08" w:rsidRPr="00E161AA">
        <w:rPr>
          <w:lang w:val="en-GB"/>
        </w:rPr>
        <w:t xml:space="preserve"> ruxolitinib and </w:t>
      </w:r>
      <w:r w:rsidR="00E30BA8" w:rsidRPr="00E161AA">
        <w:rPr>
          <w:lang w:val="en-GB"/>
        </w:rPr>
        <w:t xml:space="preserve">the higher proportion of patients achieving </w:t>
      </w:r>
      <w:r w:rsidR="00310C08" w:rsidRPr="00E161AA">
        <w:rPr>
          <w:lang w:val="en-GB"/>
        </w:rPr>
        <w:t>a complete response</w:t>
      </w:r>
      <w:r w:rsidRPr="00E40834">
        <w:rPr>
          <w:lang w:val="en-GB"/>
        </w:rPr>
        <w:t xml:space="preserve">. The PBAC considered that </w:t>
      </w:r>
      <w:r w:rsidR="00B7521E" w:rsidRPr="00E40834">
        <w:rPr>
          <w:lang w:val="en-GB"/>
        </w:rPr>
        <w:t xml:space="preserve">a difference in quality of life and consequently in utilities between the arms </w:t>
      </w:r>
      <w:r w:rsidR="00B7521E" w:rsidRPr="00B7521E">
        <w:rPr>
          <w:lang w:val="en-GB"/>
        </w:rPr>
        <w:t>was possibl</w:t>
      </w:r>
      <w:r w:rsidR="00B7521E">
        <w:rPr>
          <w:lang w:val="en-GB"/>
        </w:rPr>
        <w:t>e</w:t>
      </w:r>
      <w:r w:rsidR="00B7521E" w:rsidRPr="00B7521E">
        <w:rPr>
          <w:lang w:val="en-GB"/>
        </w:rPr>
        <w:t xml:space="preserve"> </w:t>
      </w:r>
      <w:r w:rsidR="00B16322">
        <w:rPr>
          <w:lang w:val="en-GB"/>
        </w:rPr>
        <w:t>given</w:t>
      </w:r>
      <w:r w:rsidR="00B7521E">
        <w:rPr>
          <w:lang w:val="en-GB"/>
        </w:rPr>
        <w:t xml:space="preserve"> the </w:t>
      </w:r>
      <w:r w:rsidR="00B16322">
        <w:rPr>
          <w:lang w:val="en-GB"/>
        </w:rPr>
        <w:t xml:space="preserve">potential for </w:t>
      </w:r>
      <w:r w:rsidR="00B7521E">
        <w:rPr>
          <w:lang w:val="en-GB"/>
        </w:rPr>
        <w:t>reductions in st</w:t>
      </w:r>
      <w:r w:rsidR="00B16322">
        <w:rPr>
          <w:lang w:val="en-GB"/>
        </w:rPr>
        <w:t>e</w:t>
      </w:r>
      <w:r w:rsidR="00B7521E">
        <w:rPr>
          <w:lang w:val="en-GB"/>
        </w:rPr>
        <w:t>roid use</w:t>
      </w:r>
      <w:r w:rsidR="00B16322">
        <w:rPr>
          <w:lang w:val="en-GB"/>
        </w:rPr>
        <w:t xml:space="preserve"> with ruxolitinib therapy, noting that in REACH3 a higher proportion of patients i</w:t>
      </w:r>
      <w:r w:rsidR="00B16322" w:rsidRPr="00B16322">
        <w:rPr>
          <w:lang w:val="en-GB"/>
        </w:rPr>
        <w:t>n the ruxolitinib arm had completely tapered off systemic corticosteroids compared to the BAT arm after 24 weeks (ruxolitinib = 24% versus BAT = 17%).</w:t>
      </w:r>
      <w:r w:rsidR="00B7521E">
        <w:rPr>
          <w:lang w:val="en-GB"/>
        </w:rPr>
        <w:t xml:space="preserve"> </w:t>
      </w:r>
    </w:p>
    <w:p w14:paraId="29D955D5" w14:textId="1116271B" w:rsidR="00CA657E" w:rsidRPr="000E3A32" w:rsidRDefault="00F3193B" w:rsidP="004D1927">
      <w:pPr>
        <w:widowControl w:val="0"/>
        <w:numPr>
          <w:ilvl w:val="1"/>
          <w:numId w:val="1"/>
        </w:numPr>
        <w:spacing w:after="120"/>
        <w:ind w:left="720" w:hanging="720"/>
      </w:pPr>
      <w:r w:rsidRPr="00CA657E">
        <w:rPr>
          <w:rFonts w:asciiTheme="minorHAnsi" w:hAnsiTheme="minorHAnsi"/>
          <w:snapToGrid w:val="0"/>
          <w:lang w:val="en-GB"/>
        </w:rPr>
        <w:t xml:space="preserve">The PBAC </w:t>
      </w:r>
      <w:r w:rsidR="004D1927">
        <w:rPr>
          <w:rFonts w:asciiTheme="minorHAnsi" w:hAnsiTheme="minorHAnsi"/>
          <w:snapToGrid w:val="0"/>
          <w:lang w:val="en-GB"/>
        </w:rPr>
        <w:t>noted</w:t>
      </w:r>
      <w:r w:rsidR="004D1927" w:rsidRPr="00CA657E">
        <w:rPr>
          <w:rFonts w:asciiTheme="minorHAnsi" w:hAnsiTheme="minorHAnsi"/>
          <w:snapToGrid w:val="0"/>
          <w:lang w:val="en-GB"/>
        </w:rPr>
        <w:t xml:space="preserve"> </w:t>
      </w:r>
      <w:r w:rsidRPr="00CA657E">
        <w:rPr>
          <w:rFonts w:asciiTheme="minorHAnsi" w:hAnsiTheme="minorHAnsi"/>
          <w:snapToGrid w:val="0"/>
          <w:lang w:val="en-GB"/>
        </w:rPr>
        <w:t xml:space="preserve">that </w:t>
      </w:r>
      <w:r w:rsidR="004D1927">
        <w:rPr>
          <w:rFonts w:asciiTheme="minorHAnsi" w:hAnsiTheme="minorHAnsi"/>
          <w:snapToGrid w:val="0"/>
          <w:lang w:val="en-GB"/>
        </w:rPr>
        <w:t xml:space="preserve">there were likely to be </w:t>
      </w:r>
      <w:r w:rsidR="00310C08">
        <w:rPr>
          <w:rFonts w:asciiTheme="minorHAnsi" w:hAnsiTheme="minorHAnsi"/>
          <w:snapToGrid w:val="0"/>
          <w:lang w:val="en-GB"/>
        </w:rPr>
        <w:t xml:space="preserve">applicability </w:t>
      </w:r>
      <w:r w:rsidR="004D1927">
        <w:rPr>
          <w:rFonts w:asciiTheme="minorHAnsi" w:hAnsiTheme="minorHAnsi"/>
          <w:snapToGrid w:val="0"/>
          <w:lang w:val="en-GB"/>
        </w:rPr>
        <w:t xml:space="preserve">differences </w:t>
      </w:r>
      <w:r w:rsidR="00310C08">
        <w:rPr>
          <w:rFonts w:asciiTheme="minorHAnsi" w:hAnsiTheme="minorHAnsi"/>
          <w:snapToGrid w:val="0"/>
          <w:lang w:val="en-GB"/>
        </w:rPr>
        <w:t xml:space="preserve">between the REACH3 trial and Australian clinical practice relating to </w:t>
      </w:r>
      <w:r w:rsidR="004D1927">
        <w:rPr>
          <w:rFonts w:asciiTheme="minorHAnsi" w:hAnsiTheme="minorHAnsi"/>
          <w:snapToGrid w:val="0"/>
          <w:lang w:val="en-GB"/>
        </w:rPr>
        <w:t xml:space="preserve">the availability and utilisation of BAT treatments and that these </w:t>
      </w:r>
      <w:r w:rsidR="00310C08">
        <w:rPr>
          <w:rFonts w:asciiTheme="minorHAnsi" w:hAnsiTheme="minorHAnsi"/>
          <w:snapToGrid w:val="0"/>
          <w:lang w:val="en-GB"/>
        </w:rPr>
        <w:t>may have</w:t>
      </w:r>
      <w:r w:rsidR="004D1927">
        <w:rPr>
          <w:rFonts w:asciiTheme="minorHAnsi" w:hAnsiTheme="minorHAnsi"/>
          <w:snapToGrid w:val="0"/>
          <w:lang w:val="en-GB"/>
        </w:rPr>
        <w:t xml:space="preserve"> impact</w:t>
      </w:r>
      <w:r w:rsidR="00310C08">
        <w:rPr>
          <w:rFonts w:asciiTheme="minorHAnsi" w:hAnsiTheme="minorHAnsi"/>
          <w:snapToGrid w:val="0"/>
          <w:lang w:val="en-GB"/>
        </w:rPr>
        <w:t>ed</w:t>
      </w:r>
      <w:r w:rsidR="004D1927">
        <w:rPr>
          <w:rFonts w:asciiTheme="minorHAnsi" w:hAnsiTheme="minorHAnsi"/>
          <w:snapToGrid w:val="0"/>
          <w:lang w:val="en-GB"/>
        </w:rPr>
        <w:t xml:space="preserve"> the clinical outcomes and costs. In particular, the </w:t>
      </w:r>
      <w:r w:rsidR="00E30BA8">
        <w:rPr>
          <w:rFonts w:asciiTheme="minorHAnsi" w:hAnsiTheme="minorHAnsi"/>
          <w:snapToGrid w:val="0"/>
          <w:lang w:val="en-GB"/>
        </w:rPr>
        <w:t xml:space="preserve">PBAC noted that </w:t>
      </w:r>
      <w:r w:rsidR="00D704A6">
        <w:rPr>
          <w:rFonts w:asciiTheme="minorHAnsi" w:hAnsiTheme="minorHAnsi"/>
          <w:snapToGrid w:val="0"/>
          <w:lang w:val="en-GB"/>
        </w:rPr>
        <w:t>t</w:t>
      </w:r>
      <w:r w:rsidR="00D704A6" w:rsidRPr="00D704A6">
        <w:rPr>
          <w:rFonts w:asciiTheme="minorHAnsi" w:hAnsiTheme="minorHAnsi"/>
          <w:snapToGrid w:val="0"/>
          <w:lang w:val="en-GB"/>
        </w:rPr>
        <w:t>he model assumed that</w:t>
      </w:r>
      <w:r w:rsidR="00D704A6">
        <w:rPr>
          <w:rFonts w:asciiTheme="minorHAnsi" w:hAnsiTheme="minorHAnsi"/>
          <w:snapToGrid w:val="0"/>
          <w:lang w:val="en-GB"/>
        </w:rPr>
        <w:t xml:space="preserve"> </w:t>
      </w:r>
      <w:r w:rsidR="00D704A6" w:rsidRPr="00D704A6">
        <w:rPr>
          <w:rFonts w:asciiTheme="minorHAnsi" w:hAnsiTheme="minorHAnsi"/>
          <w:snapToGrid w:val="0"/>
          <w:lang w:val="en-GB"/>
        </w:rPr>
        <w:t xml:space="preserve">35% of patients in the BAT arm would receive </w:t>
      </w:r>
      <w:r w:rsidR="00D704A6">
        <w:rPr>
          <w:rFonts w:asciiTheme="minorHAnsi" w:hAnsiTheme="minorHAnsi"/>
          <w:snapToGrid w:val="0"/>
          <w:lang w:val="en-GB"/>
        </w:rPr>
        <w:t>extracorporeal photopheresis (ECP)</w:t>
      </w:r>
      <w:r w:rsidR="00D704A6" w:rsidRPr="00D704A6">
        <w:rPr>
          <w:rFonts w:asciiTheme="minorHAnsi" w:hAnsiTheme="minorHAnsi"/>
          <w:snapToGrid w:val="0"/>
          <w:lang w:val="en-GB"/>
        </w:rPr>
        <w:t xml:space="preserve"> as their initial treatment</w:t>
      </w:r>
      <w:r w:rsidR="00D704A6">
        <w:rPr>
          <w:rFonts w:asciiTheme="minorHAnsi" w:hAnsiTheme="minorHAnsi"/>
          <w:snapToGrid w:val="0"/>
          <w:lang w:val="en-GB"/>
        </w:rPr>
        <w:t xml:space="preserve">, consistent with the clinical trial data. </w:t>
      </w:r>
      <w:r w:rsidR="008F1E38">
        <w:rPr>
          <w:rFonts w:asciiTheme="minorHAnsi" w:hAnsiTheme="minorHAnsi"/>
          <w:snapToGrid w:val="0"/>
          <w:lang w:val="en-GB"/>
        </w:rPr>
        <w:t>T</w:t>
      </w:r>
      <w:r w:rsidR="00E30BA8">
        <w:rPr>
          <w:rFonts w:asciiTheme="minorHAnsi" w:hAnsiTheme="minorHAnsi"/>
          <w:snapToGrid w:val="0"/>
          <w:lang w:val="en-GB"/>
        </w:rPr>
        <w:t xml:space="preserve">he </w:t>
      </w:r>
      <w:r w:rsidR="00D704A6">
        <w:rPr>
          <w:rFonts w:asciiTheme="minorHAnsi" w:hAnsiTheme="minorHAnsi"/>
          <w:snapToGrid w:val="0"/>
          <w:lang w:val="en-GB"/>
        </w:rPr>
        <w:t xml:space="preserve">PBAC considered that this may be overestimated </w:t>
      </w:r>
      <w:r w:rsidR="004D1927">
        <w:rPr>
          <w:rFonts w:asciiTheme="minorHAnsi" w:hAnsiTheme="minorHAnsi"/>
          <w:snapToGrid w:val="0"/>
          <w:lang w:val="en-GB"/>
        </w:rPr>
        <w:t>as uptake in the Australian setting is currently limited due to its lack of availability and the complexity associated with treatment</w:t>
      </w:r>
      <w:r w:rsidR="008F1E38">
        <w:rPr>
          <w:rFonts w:asciiTheme="minorHAnsi" w:hAnsiTheme="minorHAnsi"/>
          <w:snapToGrid w:val="0"/>
          <w:lang w:val="en-GB"/>
        </w:rPr>
        <w:t>. However,</w:t>
      </w:r>
      <w:r w:rsidR="00E2743E">
        <w:rPr>
          <w:rFonts w:asciiTheme="minorHAnsi" w:hAnsiTheme="minorHAnsi"/>
          <w:snapToGrid w:val="0"/>
          <w:lang w:val="en-GB"/>
        </w:rPr>
        <w:t xml:space="preserve"> the PBAC also acknowledged that the trial-based data from REACH3 was the best estimate available</w:t>
      </w:r>
      <w:r w:rsidR="009670D2">
        <w:rPr>
          <w:rFonts w:asciiTheme="minorHAnsi" w:hAnsiTheme="minorHAnsi"/>
          <w:snapToGrid w:val="0"/>
          <w:lang w:val="en-GB"/>
        </w:rPr>
        <w:t xml:space="preserve"> in terms of determining the likely outcomes associated with BAT</w:t>
      </w:r>
      <w:r w:rsidR="008F1E38">
        <w:rPr>
          <w:rFonts w:asciiTheme="minorHAnsi" w:hAnsiTheme="minorHAnsi"/>
          <w:snapToGrid w:val="0"/>
          <w:lang w:val="en-GB"/>
        </w:rPr>
        <w:t xml:space="preserve"> in this patient population</w:t>
      </w:r>
      <w:r w:rsidR="004D1927">
        <w:rPr>
          <w:rFonts w:asciiTheme="minorHAnsi" w:hAnsiTheme="minorHAnsi"/>
          <w:snapToGrid w:val="0"/>
          <w:lang w:val="en-GB"/>
        </w:rPr>
        <w:t>.</w:t>
      </w:r>
    </w:p>
    <w:p w14:paraId="52C74E19" w14:textId="1DD2B6E5" w:rsidR="00A24ECB" w:rsidRPr="00DC0332" w:rsidRDefault="00DC0332" w:rsidP="00DC0332">
      <w:pPr>
        <w:widowControl w:val="0"/>
        <w:numPr>
          <w:ilvl w:val="1"/>
          <w:numId w:val="1"/>
        </w:numPr>
        <w:spacing w:after="120"/>
        <w:ind w:left="720" w:hanging="720"/>
        <w:rPr>
          <w:rFonts w:asciiTheme="minorHAnsi" w:hAnsiTheme="minorHAnsi"/>
          <w:snapToGrid w:val="0"/>
          <w:lang w:val="en-GB"/>
        </w:rPr>
      </w:pPr>
      <w:bookmarkStart w:id="88" w:name="_Ref109395412"/>
      <w:r w:rsidRPr="00DC0332">
        <w:rPr>
          <w:rFonts w:asciiTheme="minorHAnsi" w:hAnsiTheme="minorHAnsi"/>
          <w:snapToGrid w:val="0"/>
          <w:lang w:val="en-GB"/>
        </w:rPr>
        <w:t xml:space="preserve">The PBAC considered that a more appropriate base case </w:t>
      </w:r>
      <w:r w:rsidR="00E161AA">
        <w:rPr>
          <w:rFonts w:asciiTheme="minorHAnsi" w:hAnsiTheme="minorHAnsi"/>
          <w:snapToGrid w:val="0"/>
          <w:lang w:val="en-GB"/>
        </w:rPr>
        <w:t xml:space="preserve">for cGVHD </w:t>
      </w:r>
      <w:r w:rsidRPr="00DC0332">
        <w:rPr>
          <w:rFonts w:asciiTheme="minorHAnsi" w:hAnsiTheme="minorHAnsi"/>
          <w:snapToGrid w:val="0"/>
          <w:lang w:val="en-GB"/>
        </w:rPr>
        <w:t>would:</w:t>
      </w:r>
      <w:bookmarkEnd w:id="88"/>
    </w:p>
    <w:p w14:paraId="7D0750C7" w14:textId="0D69EB82" w:rsidR="00DC0332" w:rsidRDefault="00B45F07" w:rsidP="00A2582A">
      <w:pPr>
        <w:widowControl w:val="0"/>
        <w:numPr>
          <w:ilvl w:val="1"/>
          <w:numId w:val="25"/>
        </w:numPr>
        <w:spacing w:after="120"/>
        <w:ind w:left="1077" w:hanging="357"/>
        <w:rPr>
          <w:rFonts w:asciiTheme="minorHAnsi" w:hAnsiTheme="minorHAnsi"/>
          <w:snapToGrid w:val="0"/>
          <w:lang w:val="en-GB"/>
        </w:rPr>
      </w:pPr>
      <w:r>
        <w:rPr>
          <w:rFonts w:asciiTheme="minorHAnsi" w:hAnsiTheme="minorHAnsi"/>
          <w:snapToGrid w:val="0"/>
          <w:lang w:val="en-GB"/>
        </w:rPr>
        <w:t>a</w:t>
      </w:r>
      <w:r w:rsidR="00DC0332">
        <w:rPr>
          <w:rFonts w:asciiTheme="minorHAnsi" w:hAnsiTheme="minorHAnsi"/>
          <w:snapToGrid w:val="0"/>
          <w:lang w:val="en-GB"/>
        </w:rPr>
        <w:t xml:space="preserve">pply </w:t>
      </w:r>
      <w:r w:rsidR="00DC0332" w:rsidRPr="00FF224D">
        <w:rPr>
          <w:rFonts w:asciiTheme="minorHAnsi" w:hAnsiTheme="minorHAnsi"/>
          <w:snapToGrid w:val="0"/>
          <w:lang w:val="en-GB"/>
        </w:rPr>
        <w:t>a time</w:t>
      </w:r>
      <w:r w:rsidR="00DC0332">
        <w:rPr>
          <w:rFonts w:asciiTheme="minorHAnsi" w:hAnsiTheme="minorHAnsi"/>
          <w:snapToGrid w:val="0"/>
          <w:lang w:val="en-GB"/>
        </w:rPr>
        <w:t xml:space="preserve"> horizon</w:t>
      </w:r>
      <w:r w:rsidR="00C265F7">
        <w:rPr>
          <w:rFonts w:asciiTheme="minorHAnsi" w:hAnsiTheme="minorHAnsi"/>
          <w:snapToGrid w:val="0"/>
          <w:lang w:val="en-GB"/>
        </w:rPr>
        <w:t xml:space="preserve"> of ten years</w:t>
      </w:r>
      <w:r w:rsidR="00DC0332">
        <w:rPr>
          <w:rFonts w:asciiTheme="minorHAnsi" w:hAnsiTheme="minorHAnsi"/>
          <w:snapToGrid w:val="0"/>
          <w:lang w:val="en-GB"/>
        </w:rPr>
        <w:t>;</w:t>
      </w:r>
      <w:r>
        <w:rPr>
          <w:rFonts w:asciiTheme="minorHAnsi" w:hAnsiTheme="minorHAnsi"/>
          <w:snapToGrid w:val="0"/>
          <w:lang w:val="en-GB"/>
        </w:rPr>
        <w:t xml:space="preserve"> and</w:t>
      </w:r>
    </w:p>
    <w:p w14:paraId="5BEDC2C2" w14:textId="166EC4CC" w:rsidR="003770D6" w:rsidRDefault="0082382B" w:rsidP="00A2582A">
      <w:pPr>
        <w:widowControl w:val="0"/>
        <w:numPr>
          <w:ilvl w:val="1"/>
          <w:numId w:val="25"/>
        </w:numPr>
        <w:spacing w:after="120"/>
        <w:ind w:left="1077" w:hanging="357"/>
        <w:rPr>
          <w:rFonts w:asciiTheme="minorHAnsi" w:hAnsiTheme="minorHAnsi"/>
          <w:snapToGrid w:val="0"/>
          <w:lang w:val="en-GB"/>
        </w:rPr>
      </w:pPr>
      <w:r w:rsidRPr="00E2743E">
        <w:rPr>
          <w:rFonts w:asciiTheme="minorHAnsi" w:hAnsiTheme="minorHAnsi"/>
          <w:snapToGrid w:val="0"/>
          <w:lang w:val="en-GB"/>
        </w:rPr>
        <w:t>result in</w:t>
      </w:r>
      <w:r w:rsidR="00B45F07" w:rsidRPr="00E2743E">
        <w:rPr>
          <w:rFonts w:asciiTheme="minorHAnsi" w:hAnsiTheme="minorHAnsi"/>
          <w:snapToGrid w:val="0"/>
          <w:lang w:val="en-GB"/>
        </w:rPr>
        <w:t xml:space="preserve"> an ICER</w:t>
      </w:r>
      <w:r w:rsidR="00E42A79">
        <w:rPr>
          <w:rFonts w:asciiTheme="minorHAnsi" w:hAnsiTheme="minorHAnsi"/>
          <w:snapToGrid w:val="0"/>
          <w:lang w:val="en-GB"/>
        </w:rPr>
        <w:t xml:space="preserve"> similar to </w:t>
      </w:r>
      <w:r w:rsidR="009670D2">
        <w:rPr>
          <w:rFonts w:asciiTheme="minorHAnsi" w:hAnsiTheme="minorHAnsi"/>
          <w:snapToGrid w:val="0"/>
          <w:lang w:val="en-GB"/>
        </w:rPr>
        <w:t xml:space="preserve">the </w:t>
      </w:r>
      <w:r w:rsidR="009670D2" w:rsidRPr="00014A9C">
        <w:rPr>
          <w:rFonts w:asciiTheme="minorHAnsi" w:hAnsiTheme="minorHAnsi"/>
          <w:snapToGrid w:val="0"/>
          <w:lang w:val="en-GB"/>
        </w:rPr>
        <w:t xml:space="preserve">ICER </w:t>
      </w:r>
      <w:r w:rsidR="009A0541" w:rsidRPr="00014A9C">
        <w:rPr>
          <w:rFonts w:asciiTheme="minorHAnsi" w:hAnsiTheme="minorHAnsi"/>
          <w:snapToGrid w:val="0"/>
          <w:lang w:val="en-GB"/>
        </w:rPr>
        <w:t xml:space="preserve">accepted </w:t>
      </w:r>
      <w:r w:rsidR="00C408C2" w:rsidRPr="00014A9C">
        <w:rPr>
          <w:rFonts w:asciiTheme="minorHAnsi" w:hAnsiTheme="minorHAnsi"/>
          <w:snapToGrid w:val="0"/>
          <w:lang w:val="en-GB"/>
        </w:rPr>
        <w:t>for a</w:t>
      </w:r>
      <w:r w:rsidR="009A0541" w:rsidRPr="00014A9C">
        <w:rPr>
          <w:rFonts w:asciiTheme="minorHAnsi" w:hAnsiTheme="minorHAnsi"/>
          <w:snapToGrid w:val="0"/>
          <w:lang w:val="en-GB"/>
        </w:rPr>
        <w:t>GVHD</w:t>
      </w:r>
      <w:r w:rsidR="003770D6">
        <w:rPr>
          <w:rFonts w:asciiTheme="minorHAnsi" w:hAnsiTheme="minorHAnsi"/>
          <w:snapToGrid w:val="0"/>
          <w:lang w:val="en-GB"/>
        </w:rPr>
        <w:t>.</w:t>
      </w:r>
    </w:p>
    <w:p w14:paraId="5C70A77F" w14:textId="19E6E7F7" w:rsidR="00E2743E" w:rsidRDefault="003770D6" w:rsidP="003770D6">
      <w:pPr>
        <w:widowControl w:val="0"/>
        <w:spacing w:after="120"/>
        <w:ind w:left="720"/>
        <w:rPr>
          <w:rFonts w:asciiTheme="minorHAnsi" w:hAnsiTheme="minorHAnsi"/>
          <w:snapToGrid w:val="0"/>
          <w:lang w:val="en-GB"/>
        </w:rPr>
      </w:pPr>
      <w:r>
        <w:rPr>
          <w:rFonts w:asciiTheme="minorHAnsi" w:hAnsiTheme="minorHAnsi"/>
          <w:snapToGrid w:val="0"/>
          <w:lang w:val="en-GB"/>
        </w:rPr>
        <w:t>The PBAC considered that, with the above parameters,</w:t>
      </w:r>
      <w:r w:rsidRPr="003770D6">
        <w:rPr>
          <w:rFonts w:asciiTheme="minorHAnsi" w:hAnsiTheme="minorHAnsi"/>
          <w:snapToGrid w:val="0"/>
          <w:lang w:val="en-GB"/>
        </w:rPr>
        <w:t xml:space="preserve"> a reduction in the price of ruxolitinib would be required to achieve a</w:t>
      </w:r>
      <w:r w:rsidR="00A94795">
        <w:rPr>
          <w:rFonts w:asciiTheme="minorHAnsi" w:hAnsiTheme="minorHAnsi"/>
          <w:snapToGrid w:val="0"/>
          <w:lang w:val="en-GB"/>
        </w:rPr>
        <w:t>cceptable</w:t>
      </w:r>
      <w:r w:rsidRPr="003770D6">
        <w:rPr>
          <w:rFonts w:asciiTheme="minorHAnsi" w:hAnsiTheme="minorHAnsi"/>
          <w:snapToGrid w:val="0"/>
          <w:lang w:val="en-GB"/>
        </w:rPr>
        <w:t xml:space="preserve"> </w:t>
      </w:r>
      <w:r w:rsidR="00A94795">
        <w:rPr>
          <w:rFonts w:asciiTheme="minorHAnsi" w:hAnsiTheme="minorHAnsi"/>
          <w:snapToGrid w:val="0"/>
          <w:lang w:val="en-GB"/>
        </w:rPr>
        <w:t xml:space="preserve">incremental </w:t>
      </w:r>
      <w:r w:rsidRPr="003770D6">
        <w:rPr>
          <w:rFonts w:asciiTheme="minorHAnsi" w:hAnsiTheme="minorHAnsi"/>
          <w:snapToGrid w:val="0"/>
          <w:lang w:val="en-GB"/>
        </w:rPr>
        <w:t>cost-effective</w:t>
      </w:r>
      <w:r w:rsidR="00A94795">
        <w:rPr>
          <w:rFonts w:asciiTheme="minorHAnsi" w:hAnsiTheme="minorHAnsi"/>
          <w:snapToGrid w:val="0"/>
          <w:lang w:val="en-GB"/>
        </w:rPr>
        <w:t>ness</w:t>
      </w:r>
      <w:r w:rsidR="00E2743E" w:rsidRPr="00E2743E">
        <w:rPr>
          <w:rFonts w:asciiTheme="minorHAnsi" w:hAnsiTheme="minorHAnsi"/>
          <w:snapToGrid w:val="0"/>
          <w:lang w:val="en-GB"/>
        </w:rPr>
        <w:t>.</w:t>
      </w:r>
    </w:p>
    <w:p w14:paraId="35ADF56E" w14:textId="332B4C08" w:rsidR="009E2302" w:rsidRPr="00E2743E" w:rsidRDefault="008A3E9A" w:rsidP="00E2743E">
      <w:pPr>
        <w:widowControl w:val="0"/>
        <w:numPr>
          <w:ilvl w:val="1"/>
          <w:numId w:val="1"/>
        </w:numPr>
        <w:spacing w:after="120"/>
        <w:ind w:left="720" w:hanging="720"/>
        <w:rPr>
          <w:rFonts w:asciiTheme="minorHAnsi" w:hAnsiTheme="minorHAnsi"/>
          <w:snapToGrid w:val="0"/>
          <w:lang w:val="en-GB"/>
        </w:rPr>
      </w:pPr>
      <w:bookmarkStart w:id="89" w:name="_Ref109395424"/>
      <w:r w:rsidRPr="00E2743E">
        <w:rPr>
          <w:rFonts w:asciiTheme="minorHAnsi" w:hAnsiTheme="minorHAnsi"/>
          <w:snapToGrid w:val="0"/>
          <w:lang w:val="en-GB"/>
        </w:rPr>
        <w:t xml:space="preserve">The PBAC noted that the pre-PBAC response made two changes to the financial </w:t>
      </w:r>
      <w:r w:rsidR="008F1E38">
        <w:rPr>
          <w:rFonts w:asciiTheme="minorHAnsi" w:hAnsiTheme="minorHAnsi"/>
          <w:snapToGrid w:val="0"/>
          <w:lang w:val="en-GB"/>
        </w:rPr>
        <w:t>estimates</w:t>
      </w:r>
      <w:r w:rsidRPr="00E2743E">
        <w:rPr>
          <w:rFonts w:asciiTheme="minorHAnsi" w:hAnsiTheme="minorHAnsi"/>
          <w:snapToGrid w:val="0"/>
          <w:lang w:val="en-GB"/>
        </w:rPr>
        <w:t xml:space="preserve">. </w:t>
      </w:r>
      <w:r w:rsidR="00D704A6" w:rsidRPr="00E2743E">
        <w:rPr>
          <w:rFonts w:asciiTheme="minorHAnsi" w:hAnsiTheme="minorHAnsi"/>
          <w:snapToGrid w:val="0"/>
          <w:lang w:val="en-GB"/>
        </w:rPr>
        <w:t>Firstly, the pre-PBAC response</w:t>
      </w:r>
      <w:r w:rsidRPr="00E2743E">
        <w:rPr>
          <w:rFonts w:asciiTheme="minorHAnsi" w:hAnsiTheme="minorHAnsi"/>
          <w:snapToGrid w:val="0"/>
          <w:lang w:val="en-GB"/>
        </w:rPr>
        <w:t xml:space="preserve"> increase</w:t>
      </w:r>
      <w:r w:rsidR="00D704A6" w:rsidRPr="00E2743E">
        <w:rPr>
          <w:rFonts w:asciiTheme="minorHAnsi" w:hAnsiTheme="minorHAnsi"/>
          <w:snapToGrid w:val="0"/>
          <w:lang w:val="en-GB"/>
        </w:rPr>
        <w:t>d</w:t>
      </w:r>
      <w:r w:rsidRPr="00E2743E">
        <w:rPr>
          <w:rFonts w:asciiTheme="minorHAnsi" w:hAnsiTheme="minorHAnsi"/>
          <w:snapToGrid w:val="0"/>
          <w:lang w:val="en-GB"/>
        </w:rPr>
        <w:t xml:space="preserve"> the proportion of prevalent patients alive at Year 1 from 45% to 55%</w:t>
      </w:r>
      <w:r w:rsidR="00D704A6" w:rsidRPr="00E2743E">
        <w:rPr>
          <w:rFonts w:asciiTheme="minorHAnsi" w:hAnsiTheme="minorHAnsi"/>
          <w:snapToGrid w:val="0"/>
          <w:lang w:val="en-GB"/>
        </w:rPr>
        <w:t>, which appeared to be</w:t>
      </w:r>
      <w:r w:rsidRPr="00E2743E">
        <w:rPr>
          <w:rFonts w:asciiTheme="minorHAnsi" w:hAnsiTheme="minorHAnsi"/>
          <w:snapToGrid w:val="0"/>
          <w:lang w:val="en-GB"/>
        </w:rPr>
        <w:t xml:space="preserve"> based on </w:t>
      </w:r>
      <w:r w:rsidR="00217453" w:rsidRPr="00E2743E">
        <w:rPr>
          <w:rFonts w:asciiTheme="minorHAnsi" w:hAnsiTheme="minorHAnsi"/>
          <w:snapToGrid w:val="0"/>
          <w:lang w:val="en-GB"/>
        </w:rPr>
        <w:t>a</w:t>
      </w:r>
      <w:r w:rsidRPr="00E2743E">
        <w:rPr>
          <w:rFonts w:asciiTheme="minorHAnsi" w:hAnsiTheme="minorHAnsi"/>
          <w:snapToGrid w:val="0"/>
          <w:lang w:val="en-GB"/>
        </w:rPr>
        <w:t xml:space="preserve"> recent publication f</w:t>
      </w:r>
      <w:r w:rsidR="00B24162" w:rsidRPr="00E2743E">
        <w:rPr>
          <w:rFonts w:asciiTheme="minorHAnsi" w:hAnsiTheme="minorHAnsi"/>
          <w:snapToGrid w:val="0"/>
          <w:lang w:val="en-GB"/>
        </w:rPr>
        <w:t>rom</w:t>
      </w:r>
      <w:r w:rsidRPr="00E2743E">
        <w:rPr>
          <w:rFonts w:asciiTheme="minorHAnsi" w:hAnsiTheme="minorHAnsi"/>
          <w:snapToGrid w:val="0"/>
          <w:lang w:val="en-GB"/>
        </w:rPr>
        <w:t xml:space="preserve"> the </w:t>
      </w:r>
      <w:r w:rsidR="00217453" w:rsidRPr="00E2743E">
        <w:rPr>
          <w:rFonts w:asciiTheme="minorHAnsi" w:hAnsiTheme="minorHAnsi"/>
          <w:snapToGrid w:val="0"/>
          <w:lang w:val="en-GB"/>
        </w:rPr>
        <w:t xml:space="preserve">Australasian Bone Marrow Transplant Recipient Registry </w:t>
      </w:r>
      <w:r w:rsidRPr="00E2743E">
        <w:rPr>
          <w:rFonts w:asciiTheme="minorHAnsi" w:hAnsiTheme="minorHAnsi"/>
          <w:snapToGrid w:val="0"/>
          <w:lang w:val="en-GB"/>
        </w:rPr>
        <w:t>(Kli</w:t>
      </w:r>
      <w:r w:rsidR="00217453" w:rsidRPr="00E2743E">
        <w:rPr>
          <w:rFonts w:asciiTheme="minorHAnsi" w:hAnsiTheme="minorHAnsi"/>
          <w:snapToGrid w:val="0"/>
          <w:lang w:val="en-GB"/>
        </w:rPr>
        <w:t>man 2022</w:t>
      </w:r>
      <w:r w:rsidRPr="00E2743E">
        <w:rPr>
          <w:rFonts w:asciiTheme="minorHAnsi" w:hAnsiTheme="minorHAnsi"/>
          <w:snapToGrid w:val="0"/>
          <w:lang w:val="en-GB"/>
        </w:rPr>
        <w:t>)</w:t>
      </w:r>
      <w:r w:rsidR="00217453" w:rsidRPr="00E2743E">
        <w:rPr>
          <w:rFonts w:asciiTheme="minorHAnsi" w:hAnsiTheme="minorHAnsi"/>
          <w:snapToGrid w:val="0"/>
          <w:lang w:val="en-GB"/>
        </w:rPr>
        <w:t xml:space="preserve">. The PBAC considered that this change was </w:t>
      </w:r>
      <w:r w:rsidR="00D704A6" w:rsidRPr="00E2743E">
        <w:rPr>
          <w:rFonts w:asciiTheme="minorHAnsi" w:hAnsiTheme="minorHAnsi"/>
          <w:snapToGrid w:val="0"/>
          <w:lang w:val="en-GB"/>
        </w:rPr>
        <w:t>rea</w:t>
      </w:r>
      <w:r w:rsidR="00217453" w:rsidRPr="00E2743E">
        <w:rPr>
          <w:rFonts w:asciiTheme="minorHAnsi" w:hAnsiTheme="minorHAnsi"/>
          <w:snapToGrid w:val="0"/>
          <w:lang w:val="en-GB"/>
        </w:rPr>
        <w:t>s</w:t>
      </w:r>
      <w:r w:rsidR="00D704A6" w:rsidRPr="00E2743E">
        <w:rPr>
          <w:rFonts w:asciiTheme="minorHAnsi" w:hAnsiTheme="minorHAnsi"/>
          <w:snapToGrid w:val="0"/>
          <w:lang w:val="en-GB"/>
        </w:rPr>
        <w:t>onable</w:t>
      </w:r>
      <w:r w:rsidRPr="00E2743E">
        <w:rPr>
          <w:rFonts w:asciiTheme="minorHAnsi" w:hAnsiTheme="minorHAnsi"/>
          <w:snapToGrid w:val="0"/>
          <w:lang w:val="en-GB"/>
        </w:rPr>
        <w:t xml:space="preserve">. </w:t>
      </w:r>
      <w:r w:rsidR="00217453" w:rsidRPr="00E2743E">
        <w:rPr>
          <w:rFonts w:asciiTheme="minorHAnsi" w:hAnsiTheme="minorHAnsi"/>
          <w:snapToGrid w:val="0"/>
          <w:lang w:val="en-GB"/>
        </w:rPr>
        <w:t>Secondly, t</w:t>
      </w:r>
      <w:r w:rsidRPr="00E2743E">
        <w:rPr>
          <w:rFonts w:asciiTheme="minorHAnsi" w:hAnsiTheme="minorHAnsi"/>
          <w:snapToGrid w:val="0"/>
          <w:lang w:val="en-GB"/>
        </w:rPr>
        <w:t xml:space="preserve">he </w:t>
      </w:r>
      <w:r w:rsidR="00217453" w:rsidRPr="00E2743E">
        <w:rPr>
          <w:rFonts w:asciiTheme="minorHAnsi" w:hAnsiTheme="minorHAnsi"/>
          <w:snapToGrid w:val="0"/>
          <w:lang w:val="en-GB"/>
        </w:rPr>
        <w:t xml:space="preserve">pre-PBAC response increased the proportion of patients with moderate cGVHD who </w:t>
      </w:r>
      <w:r w:rsidR="00FF224D" w:rsidRPr="00E2743E">
        <w:rPr>
          <w:rFonts w:asciiTheme="minorHAnsi" w:hAnsiTheme="minorHAnsi"/>
          <w:snapToGrid w:val="0"/>
          <w:lang w:val="en-GB"/>
        </w:rPr>
        <w:t>are assumed to be</w:t>
      </w:r>
      <w:r w:rsidR="00217453" w:rsidRPr="00E2743E">
        <w:rPr>
          <w:rFonts w:asciiTheme="minorHAnsi" w:hAnsiTheme="minorHAnsi"/>
          <w:snapToGrid w:val="0"/>
          <w:lang w:val="en-GB"/>
        </w:rPr>
        <w:t xml:space="preserve"> steroid refractory</w:t>
      </w:r>
      <w:r w:rsidR="00FF224D" w:rsidRPr="00E2743E">
        <w:rPr>
          <w:rFonts w:asciiTheme="minorHAnsi" w:hAnsiTheme="minorHAnsi"/>
          <w:snapToGrid w:val="0"/>
          <w:lang w:val="en-GB"/>
        </w:rPr>
        <w:t>/dependent/intolerant</w:t>
      </w:r>
      <w:r w:rsidR="00217453" w:rsidRPr="00E2743E">
        <w:rPr>
          <w:rFonts w:asciiTheme="minorHAnsi" w:hAnsiTheme="minorHAnsi"/>
          <w:snapToGrid w:val="0"/>
          <w:lang w:val="en-GB"/>
        </w:rPr>
        <w:t xml:space="preserve"> from 22.2% to 60%, which it stated was </w:t>
      </w:r>
      <w:r w:rsidR="00FF224D" w:rsidRPr="00E2743E">
        <w:rPr>
          <w:rFonts w:asciiTheme="minorHAnsi" w:hAnsiTheme="minorHAnsi"/>
          <w:snapToGrid w:val="0"/>
          <w:lang w:val="en-GB"/>
        </w:rPr>
        <w:t>to align with that reported in the MSAC PICO for ESC</w:t>
      </w:r>
      <w:r w:rsidR="00217453" w:rsidRPr="00E2743E">
        <w:rPr>
          <w:rFonts w:asciiTheme="minorHAnsi" w:hAnsiTheme="minorHAnsi"/>
          <w:snapToGrid w:val="0"/>
          <w:lang w:val="en-GB"/>
        </w:rPr>
        <w:t xml:space="preserve">. The </w:t>
      </w:r>
      <w:r w:rsidRPr="00E2743E">
        <w:rPr>
          <w:rFonts w:asciiTheme="minorHAnsi" w:hAnsiTheme="minorHAnsi"/>
          <w:snapToGrid w:val="0"/>
          <w:lang w:val="en-GB"/>
        </w:rPr>
        <w:t xml:space="preserve">PBAC considered </w:t>
      </w:r>
      <w:r w:rsidR="00217453" w:rsidRPr="00E2743E">
        <w:rPr>
          <w:rFonts w:asciiTheme="minorHAnsi" w:hAnsiTheme="minorHAnsi"/>
          <w:snapToGrid w:val="0"/>
          <w:lang w:val="en-GB"/>
        </w:rPr>
        <w:t>this change</w:t>
      </w:r>
      <w:r w:rsidRPr="00E2743E">
        <w:rPr>
          <w:rFonts w:asciiTheme="minorHAnsi" w:hAnsiTheme="minorHAnsi"/>
          <w:snapToGrid w:val="0"/>
          <w:lang w:val="en-GB"/>
        </w:rPr>
        <w:t xml:space="preserve"> was not reasonable </w:t>
      </w:r>
      <w:r w:rsidR="00B45F07" w:rsidRPr="00E2743E">
        <w:rPr>
          <w:rFonts w:asciiTheme="minorHAnsi" w:hAnsiTheme="minorHAnsi"/>
          <w:snapToGrid w:val="0"/>
          <w:lang w:val="en-GB"/>
        </w:rPr>
        <w:t xml:space="preserve">as </w:t>
      </w:r>
      <w:r w:rsidR="00FF224D" w:rsidRPr="00E2743E">
        <w:rPr>
          <w:rFonts w:asciiTheme="minorHAnsi" w:hAnsiTheme="minorHAnsi"/>
          <w:snapToGrid w:val="0"/>
          <w:lang w:val="en-GB"/>
        </w:rPr>
        <w:t>it was unsourced estimate</w:t>
      </w:r>
      <w:r w:rsidR="0092167C" w:rsidRPr="00E2743E">
        <w:rPr>
          <w:rFonts w:asciiTheme="minorHAnsi" w:hAnsiTheme="minorHAnsi"/>
          <w:snapToGrid w:val="0"/>
          <w:lang w:val="en-GB"/>
        </w:rPr>
        <w:t xml:space="preserve"> (</w:t>
      </w:r>
      <w:r w:rsidR="005A7A1C">
        <w:rPr>
          <w:rFonts w:asciiTheme="minorHAnsi" w:hAnsiTheme="minorHAnsi"/>
          <w:snapToGrid w:val="0"/>
          <w:lang w:val="en-GB"/>
        </w:rPr>
        <w:t xml:space="preserve">paragraph </w:t>
      </w:r>
      <w:r w:rsidR="005A7A1C">
        <w:rPr>
          <w:rFonts w:asciiTheme="minorHAnsi" w:hAnsiTheme="minorHAnsi"/>
          <w:snapToGrid w:val="0"/>
          <w:lang w:val="en-GB"/>
        </w:rPr>
        <w:fldChar w:fldCharType="begin" w:fldLock="1"/>
      </w:r>
      <w:r w:rsidR="005A7A1C">
        <w:rPr>
          <w:rFonts w:asciiTheme="minorHAnsi" w:hAnsiTheme="minorHAnsi"/>
          <w:snapToGrid w:val="0"/>
          <w:lang w:val="en-GB"/>
        </w:rPr>
        <w:instrText xml:space="preserve"> REF _Ref106351956 \r \h </w:instrText>
      </w:r>
      <w:r w:rsidR="005A7A1C">
        <w:rPr>
          <w:rFonts w:asciiTheme="minorHAnsi" w:hAnsiTheme="minorHAnsi"/>
          <w:snapToGrid w:val="0"/>
          <w:lang w:val="en-GB"/>
        </w:rPr>
      </w:r>
      <w:r w:rsidR="005A7A1C">
        <w:rPr>
          <w:rFonts w:asciiTheme="minorHAnsi" w:hAnsiTheme="minorHAnsi"/>
          <w:snapToGrid w:val="0"/>
          <w:lang w:val="en-GB"/>
        </w:rPr>
        <w:fldChar w:fldCharType="separate"/>
      </w:r>
      <w:r w:rsidR="005A7A1C">
        <w:rPr>
          <w:rFonts w:asciiTheme="minorHAnsi" w:hAnsiTheme="minorHAnsi"/>
          <w:snapToGrid w:val="0"/>
          <w:lang w:val="en-GB"/>
        </w:rPr>
        <w:t>6.128</w:t>
      </w:r>
      <w:r w:rsidR="005A7A1C">
        <w:rPr>
          <w:rFonts w:asciiTheme="minorHAnsi" w:hAnsiTheme="minorHAnsi"/>
          <w:snapToGrid w:val="0"/>
          <w:lang w:val="en-GB"/>
        </w:rPr>
        <w:fldChar w:fldCharType="end"/>
      </w:r>
      <w:r w:rsidR="00FF224D" w:rsidRPr="00E2743E">
        <w:rPr>
          <w:rFonts w:asciiTheme="minorHAnsi" w:hAnsiTheme="minorHAnsi"/>
          <w:snapToGrid w:val="0"/>
          <w:lang w:val="en-GB"/>
        </w:rPr>
        <w:t>)</w:t>
      </w:r>
      <w:r w:rsidR="00B24162" w:rsidRPr="00E2743E">
        <w:rPr>
          <w:rFonts w:asciiTheme="minorHAnsi" w:hAnsiTheme="minorHAnsi"/>
          <w:snapToGrid w:val="0"/>
          <w:lang w:val="en-GB"/>
        </w:rPr>
        <w:t>.</w:t>
      </w:r>
      <w:r w:rsidR="0092167C" w:rsidRPr="00E2743E">
        <w:rPr>
          <w:rFonts w:asciiTheme="minorHAnsi" w:hAnsiTheme="minorHAnsi"/>
          <w:snapToGrid w:val="0"/>
          <w:lang w:val="en-GB"/>
        </w:rPr>
        <w:t xml:space="preserve"> The PBAC considered that it would be more appropriate to apply the proportions from Axt et al, 2019 as per the submission</w:t>
      </w:r>
      <w:r w:rsidR="00FF224D" w:rsidRPr="00E2743E">
        <w:rPr>
          <w:rFonts w:asciiTheme="minorHAnsi" w:hAnsiTheme="minorHAnsi"/>
          <w:snapToGrid w:val="0"/>
          <w:lang w:val="en-GB"/>
        </w:rPr>
        <w:t>, noting these were more consistent with the estimates provided by the clinician at the sponsor hearing</w:t>
      </w:r>
      <w:r w:rsidR="0092167C" w:rsidRPr="00E2743E">
        <w:rPr>
          <w:rFonts w:asciiTheme="minorHAnsi" w:hAnsiTheme="minorHAnsi"/>
          <w:snapToGrid w:val="0"/>
          <w:lang w:val="en-GB"/>
        </w:rPr>
        <w:t>.</w:t>
      </w:r>
      <w:r w:rsidR="004B349A" w:rsidRPr="00E2743E">
        <w:rPr>
          <w:rFonts w:asciiTheme="minorHAnsi" w:hAnsiTheme="minorHAnsi"/>
          <w:snapToGrid w:val="0"/>
          <w:lang w:val="en-GB"/>
        </w:rPr>
        <w:t xml:space="preserve"> The PBAC considered that the other financial </w:t>
      </w:r>
      <w:r w:rsidR="00957295" w:rsidRPr="00E2743E">
        <w:rPr>
          <w:rFonts w:asciiTheme="minorHAnsi" w:hAnsiTheme="minorHAnsi"/>
          <w:snapToGrid w:val="0"/>
          <w:lang w:val="en-GB"/>
        </w:rPr>
        <w:t>impact inputs were reasonable.</w:t>
      </w:r>
      <w:bookmarkEnd w:id="89"/>
    </w:p>
    <w:p w14:paraId="0227541F" w14:textId="0B550B4F" w:rsidR="00891B30" w:rsidRDefault="009E2302" w:rsidP="00891B30">
      <w:pPr>
        <w:widowControl w:val="0"/>
        <w:numPr>
          <w:ilvl w:val="1"/>
          <w:numId w:val="1"/>
        </w:numPr>
        <w:spacing w:after="120"/>
        <w:ind w:left="720" w:hanging="720"/>
        <w:rPr>
          <w:rFonts w:asciiTheme="minorHAnsi" w:hAnsiTheme="minorHAnsi"/>
          <w:snapToGrid w:val="0"/>
          <w:lang w:val="en-GB"/>
        </w:rPr>
      </w:pPr>
      <w:bookmarkStart w:id="90" w:name="_Ref109987223"/>
      <w:r>
        <w:rPr>
          <w:rFonts w:asciiTheme="minorHAnsi" w:hAnsiTheme="minorHAnsi"/>
          <w:snapToGrid w:val="0"/>
          <w:lang w:val="en-GB"/>
        </w:rPr>
        <w:t xml:space="preserve">The PBAC considered that a risk sharing arrangement (RSA) would be required to </w:t>
      </w:r>
      <w:r w:rsidR="009A0541">
        <w:rPr>
          <w:rFonts w:asciiTheme="minorHAnsi" w:hAnsiTheme="minorHAnsi"/>
          <w:snapToGrid w:val="0"/>
          <w:lang w:val="en-GB"/>
        </w:rPr>
        <w:t xml:space="preserve">manage </w:t>
      </w:r>
      <w:r>
        <w:rPr>
          <w:rFonts w:asciiTheme="minorHAnsi" w:hAnsiTheme="minorHAnsi"/>
          <w:snapToGrid w:val="0"/>
          <w:lang w:val="en-GB"/>
        </w:rPr>
        <w:t>the risk associated with the uncertainties in the number of eligible patients and the duration of ruxolitinib treatment.</w:t>
      </w:r>
      <w:r w:rsidR="009A0541">
        <w:rPr>
          <w:rFonts w:asciiTheme="minorHAnsi" w:hAnsiTheme="minorHAnsi"/>
          <w:snapToGrid w:val="0"/>
          <w:lang w:val="en-GB"/>
        </w:rPr>
        <w:t xml:space="preserve"> The PBAC considered that a rebate </w:t>
      </w:r>
      <w:r w:rsidR="00096F45">
        <w:rPr>
          <w:rFonts w:asciiTheme="minorHAnsi" w:hAnsiTheme="minorHAnsi"/>
          <w:snapToGrid w:val="0"/>
          <w:lang w:val="en-GB"/>
        </w:rPr>
        <w:t>of</w:t>
      </w:r>
      <w:r w:rsidR="00E40834">
        <w:rPr>
          <w:rFonts w:asciiTheme="minorHAnsi" w:hAnsiTheme="minorHAnsi"/>
          <w:snapToGrid w:val="0"/>
          <w:lang w:val="en-GB"/>
        </w:rPr>
        <w:t xml:space="preserve"> </w:t>
      </w:r>
      <w:r w:rsidR="00D46576" w:rsidRPr="00BD1016">
        <w:rPr>
          <w:rFonts w:asciiTheme="minorHAnsi" w:hAnsiTheme="minorHAnsi"/>
          <w:snapToGrid w:val="0"/>
          <w:color w:val="000000"/>
          <w:w w:val="15"/>
          <w:shd w:val="solid" w:color="000000" w:fill="000000"/>
          <w:fitText w:val="-20" w:id="-1404819968"/>
          <w:lang w:val="en-GB"/>
          <w14:textFill>
            <w14:solidFill>
              <w14:srgbClr w14:val="000000">
                <w14:alpha w14:val="100000"/>
              </w14:srgbClr>
            </w14:solidFill>
          </w14:textFill>
        </w:rPr>
        <w:t xml:space="preserve">|  </w:t>
      </w:r>
      <w:r w:rsidR="00D46576" w:rsidRPr="00BD1016">
        <w:rPr>
          <w:rFonts w:asciiTheme="minorHAnsi" w:hAnsiTheme="minorHAnsi"/>
          <w:snapToGrid w:val="0"/>
          <w:color w:val="000000"/>
          <w:spacing w:val="-69"/>
          <w:w w:val="15"/>
          <w:shd w:val="solid" w:color="000000" w:fill="000000"/>
          <w:fitText w:val="-20" w:id="-1404819968"/>
          <w:lang w:val="en-GB"/>
          <w14:textFill>
            <w14:solidFill>
              <w14:srgbClr w14:val="000000">
                <w14:alpha w14:val="100000"/>
              </w14:srgbClr>
            </w14:solidFill>
          </w14:textFill>
        </w:rPr>
        <w:t>|</w:t>
      </w:r>
      <w:r w:rsidR="00E40834">
        <w:rPr>
          <w:rFonts w:asciiTheme="minorHAnsi" w:hAnsiTheme="minorHAnsi"/>
          <w:snapToGrid w:val="0"/>
          <w:lang w:val="en-GB"/>
        </w:rPr>
        <w:t xml:space="preserve">% </w:t>
      </w:r>
      <w:r w:rsidR="009A0541">
        <w:rPr>
          <w:rFonts w:asciiTheme="minorHAnsi" w:hAnsiTheme="minorHAnsi"/>
          <w:snapToGrid w:val="0"/>
          <w:lang w:val="en-GB"/>
        </w:rPr>
        <w:t xml:space="preserve">for </w:t>
      </w:r>
      <w:r w:rsidR="00E40834">
        <w:rPr>
          <w:rFonts w:asciiTheme="minorHAnsi" w:hAnsiTheme="minorHAnsi"/>
          <w:snapToGrid w:val="0"/>
          <w:lang w:val="en-GB"/>
        </w:rPr>
        <w:t xml:space="preserve">any expenditure </w:t>
      </w:r>
      <w:r w:rsidR="009A0541">
        <w:rPr>
          <w:rFonts w:asciiTheme="minorHAnsi" w:hAnsiTheme="minorHAnsi"/>
          <w:snapToGrid w:val="0"/>
          <w:lang w:val="en-GB"/>
        </w:rPr>
        <w:t>above the cap would be required, particularly given the uncertainty around the duration of treatment.</w:t>
      </w:r>
      <w:bookmarkEnd w:id="90"/>
      <w:r w:rsidR="009A0541">
        <w:rPr>
          <w:rFonts w:asciiTheme="minorHAnsi" w:hAnsiTheme="minorHAnsi"/>
          <w:snapToGrid w:val="0"/>
          <w:lang w:val="en-GB"/>
        </w:rPr>
        <w:t xml:space="preserve"> </w:t>
      </w:r>
    </w:p>
    <w:p w14:paraId="3FD1A9BA" w14:textId="4E748B7E" w:rsidR="007248EC" w:rsidRDefault="007248EC" w:rsidP="00891B30">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recommended that the restriction be silent with respect to the age of the patient.</w:t>
      </w:r>
    </w:p>
    <w:p w14:paraId="1999BC69" w14:textId="77777777" w:rsidR="00891B30" w:rsidRPr="00891B30" w:rsidRDefault="00891B30" w:rsidP="00891B30">
      <w:pPr>
        <w:widowControl w:val="0"/>
        <w:numPr>
          <w:ilvl w:val="1"/>
          <w:numId w:val="1"/>
        </w:numPr>
        <w:spacing w:after="120"/>
        <w:ind w:left="720" w:hanging="720"/>
        <w:rPr>
          <w:rFonts w:asciiTheme="minorHAnsi" w:hAnsiTheme="minorHAnsi"/>
          <w:snapToGrid w:val="0"/>
          <w:lang w:val="en-GB"/>
        </w:rPr>
      </w:pPr>
      <w:r w:rsidRPr="00891B30">
        <w:rPr>
          <w:snapToGrid w:val="0"/>
          <w:lang w:val="en-GB"/>
        </w:rPr>
        <w:t xml:space="preserve">The PBAC considered the outstanding issues could be easily resolved in a simple resubmission for </w:t>
      </w:r>
      <w:r>
        <w:rPr>
          <w:snapToGrid w:val="0"/>
          <w:lang w:val="en-GB"/>
        </w:rPr>
        <w:t>ruxolitinib for cGVHD</w:t>
      </w:r>
      <w:r w:rsidRPr="00891B30">
        <w:rPr>
          <w:snapToGrid w:val="0"/>
          <w:lang w:val="en-GB"/>
        </w:rPr>
        <w:t>. The PBAC also considered</w:t>
      </w:r>
      <w:r>
        <w:rPr>
          <w:snapToGrid w:val="0"/>
          <w:lang w:val="en-GB"/>
        </w:rPr>
        <w:t xml:space="preserve"> that ruxolitinib</w:t>
      </w:r>
      <w:r w:rsidRPr="00891B30">
        <w:rPr>
          <w:snapToGrid w:val="0"/>
          <w:lang w:val="en-GB"/>
        </w:rPr>
        <w:t xml:space="preserve"> addresses a high and urgent unmet clinical need and was expected to provide a substantial and clinically relevant improvement in efficacy over any alternative therapies. Therefore, the PBAC considered an early resolution pathway would be acceptable. If the sponsor accepts this pathway, the following changes may address these outstanding issues without requiring further re-evaluati</w:t>
      </w:r>
      <w:r>
        <w:rPr>
          <w:snapToGrid w:val="0"/>
          <w:lang w:val="en-GB"/>
        </w:rPr>
        <w:t>on:</w:t>
      </w:r>
    </w:p>
    <w:p w14:paraId="4B0F31AA" w14:textId="59C53FFC" w:rsidR="00891B30" w:rsidRPr="00891B30" w:rsidRDefault="00891B30" w:rsidP="00A2582A">
      <w:pPr>
        <w:widowControl w:val="0"/>
        <w:numPr>
          <w:ilvl w:val="1"/>
          <w:numId w:val="26"/>
        </w:numPr>
        <w:spacing w:after="120"/>
        <w:ind w:left="1077" w:hanging="357"/>
        <w:rPr>
          <w:rFonts w:asciiTheme="minorHAnsi" w:hAnsiTheme="minorHAnsi"/>
          <w:snapToGrid w:val="0"/>
          <w:lang w:val="en-GB"/>
        </w:rPr>
      </w:pPr>
      <w:r>
        <w:rPr>
          <w:snapToGrid w:val="0"/>
          <w:lang w:val="en-GB"/>
        </w:rPr>
        <w:t xml:space="preserve">A revised economic model that incorporates </w:t>
      </w:r>
      <w:proofErr w:type="gramStart"/>
      <w:r>
        <w:rPr>
          <w:snapToGrid w:val="0"/>
          <w:lang w:val="en-GB"/>
        </w:rPr>
        <w:t>that changes</w:t>
      </w:r>
      <w:proofErr w:type="gramEnd"/>
      <w:r>
        <w:rPr>
          <w:snapToGrid w:val="0"/>
          <w:lang w:val="en-GB"/>
        </w:rPr>
        <w:t xml:space="preserve"> outlined in paragraph</w:t>
      </w:r>
      <w:r w:rsidR="008F1E38">
        <w:rPr>
          <w:snapToGrid w:val="0"/>
          <w:lang w:val="en-GB"/>
        </w:rPr>
        <w:t xml:space="preserve"> </w:t>
      </w:r>
      <w:r w:rsidR="008F1E38">
        <w:rPr>
          <w:snapToGrid w:val="0"/>
          <w:lang w:val="en-GB"/>
        </w:rPr>
        <w:fldChar w:fldCharType="begin" w:fldLock="1"/>
      </w:r>
      <w:r w:rsidR="008F1E38">
        <w:rPr>
          <w:snapToGrid w:val="0"/>
          <w:lang w:val="en-GB"/>
        </w:rPr>
        <w:instrText xml:space="preserve"> REF _Ref109395412 \r \h </w:instrText>
      </w:r>
      <w:r w:rsidR="008F1E38">
        <w:rPr>
          <w:snapToGrid w:val="0"/>
          <w:lang w:val="en-GB"/>
        </w:rPr>
      </w:r>
      <w:r w:rsidR="008F1E38">
        <w:rPr>
          <w:snapToGrid w:val="0"/>
          <w:lang w:val="en-GB"/>
        </w:rPr>
        <w:fldChar w:fldCharType="separate"/>
      </w:r>
      <w:r w:rsidR="005A7A1C">
        <w:rPr>
          <w:snapToGrid w:val="0"/>
          <w:lang w:val="en-GB"/>
        </w:rPr>
        <w:t>7.26</w:t>
      </w:r>
      <w:r w:rsidR="008F1E38">
        <w:rPr>
          <w:snapToGrid w:val="0"/>
          <w:lang w:val="en-GB"/>
        </w:rPr>
        <w:fldChar w:fldCharType="end"/>
      </w:r>
      <w:r>
        <w:rPr>
          <w:snapToGrid w:val="0"/>
          <w:lang w:val="en-GB"/>
        </w:rPr>
        <w:t>; and</w:t>
      </w:r>
    </w:p>
    <w:p w14:paraId="19752E4E" w14:textId="2F3D86DD" w:rsidR="00891B30" w:rsidRPr="003770D6" w:rsidRDefault="008F1E38" w:rsidP="00A2582A">
      <w:pPr>
        <w:widowControl w:val="0"/>
        <w:numPr>
          <w:ilvl w:val="1"/>
          <w:numId w:val="26"/>
        </w:numPr>
        <w:spacing w:after="120"/>
        <w:ind w:left="1077" w:hanging="357"/>
        <w:rPr>
          <w:rFonts w:asciiTheme="minorHAnsi" w:hAnsiTheme="minorHAnsi"/>
          <w:snapToGrid w:val="0"/>
          <w:lang w:val="en-GB"/>
        </w:rPr>
      </w:pPr>
      <w:r>
        <w:rPr>
          <w:snapToGrid w:val="0"/>
          <w:lang w:val="en-GB"/>
        </w:rPr>
        <w:t>A</w:t>
      </w:r>
      <w:r w:rsidR="00A94795">
        <w:rPr>
          <w:snapToGrid w:val="0"/>
          <w:lang w:val="en-GB"/>
        </w:rPr>
        <w:t>n</w:t>
      </w:r>
      <w:r w:rsidR="00891B30" w:rsidRPr="003770D6">
        <w:rPr>
          <w:snapToGrid w:val="0"/>
          <w:lang w:val="en-GB"/>
        </w:rPr>
        <w:t xml:space="preserve"> RSA with expenditure caps based on the advice provided in paragraph</w:t>
      </w:r>
      <w:r w:rsidR="00E40834">
        <w:rPr>
          <w:snapToGrid w:val="0"/>
          <w:lang w:val="en-GB"/>
        </w:rPr>
        <w:t>s</w:t>
      </w:r>
      <w:r w:rsidR="00891B30" w:rsidRPr="003770D6">
        <w:rPr>
          <w:snapToGrid w:val="0"/>
          <w:lang w:val="en-GB"/>
        </w:rPr>
        <w:t xml:space="preserve"> </w:t>
      </w:r>
      <w:r w:rsidR="00DF2327">
        <w:rPr>
          <w:snapToGrid w:val="0"/>
          <w:lang w:val="en-GB"/>
        </w:rPr>
        <w:fldChar w:fldCharType="begin" w:fldLock="1"/>
      </w:r>
      <w:r w:rsidR="00DF2327">
        <w:rPr>
          <w:snapToGrid w:val="0"/>
          <w:lang w:val="en-GB"/>
        </w:rPr>
        <w:instrText xml:space="preserve"> REF _Ref109395412 \r \h </w:instrText>
      </w:r>
      <w:r w:rsidR="00DF2327">
        <w:rPr>
          <w:snapToGrid w:val="0"/>
          <w:lang w:val="en-GB"/>
        </w:rPr>
      </w:r>
      <w:r w:rsidR="00DF2327">
        <w:rPr>
          <w:snapToGrid w:val="0"/>
          <w:lang w:val="en-GB"/>
        </w:rPr>
        <w:fldChar w:fldCharType="separate"/>
      </w:r>
      <w:r w:rsidR="00DF2327">
        <w:rPr>
          <w:snapToGrid w:val="0"/>
          <w:lang w:val="en-GB"/>
        </w:rPr>
        <w:t>7.26</w:t>
      </w:r>
      <w:r w:rsidR="00DF2327">
        <w:rPr>
          <w:snapToGrid w:val="0"/>
          <w:lang w:val="en-GB"/>
        </w:rPr>
        <w:fldChar w:fldCharType="end"/>
      </w:r>
      <w:r w:rsidR="00DF2327">
        <w:rPr>
          <w:snapToGrid w:val="0"/>
          <w:lang w:val="en-GB"/>
        </w:rPr>
        <w:t xml:space="preserve">, </w:t>
      </w:r>
      <w:r>
        <w:rPr>
          <w:snapToGrid w:val="0"/>
          <w:lang w:val="en-GB"/>
        </w:rPr>
        <w:fldChar w:fldCharType="begin" w:fldLock="1"/>
      </w:r>
      <w:r>
        <w:rPr>
          <w:snapToGrid w:val="0"/>
          <w:lang w:val="en-GB"/>
        </w:rPr>
        <w:instrText xml:space="preserve"> REF _Ref109395424 \r \h </w:instrText>
      </w:r>
      <w:r>
        <w:rPr>
          <w:snapToGrid w:val="0"/>
          <w:lang w:val="en-GB"/>
        </w:rPr>
      </w:r>
      <w:r>
        <w:rPr>
          <w:snapToGrid w:val="0"/>
          <w:lang w:val="en-GB"/>
        </w:rPr>
        <w:fldChar w:fldCharType="separate"/>
      </w:r>
      <w:r w:rsidR="005A7A1C">
        <w:rPr>
          <w:snapToGrid w:val="0"/>
          <w:lang w:val="en-GB"/>
        </w:rPr>
        <w:t>7.27</w:t>
      </w:r>
      <w:r>
        <w:rPr>
          <w:snapToGrid w:val="0"/>
          <w:lang w:val="en-GB"/>
        </w:rPr>
        <w:fldChar w:fldCharType="end"/>
      </w:r>
      <w:r>
        <w:rPr>
          <w:snapToGrid w:val="0"/>
          <w:lang w:val="en-GB"/>
        </w:rPr>
        <w:t xml:space="preserve"> </w:t>
      </w:r>
      <w:r w:rsidR="005A7A1C">
        <w:rPr>
          <w:snapToGrid w:val="0"/>
          <w:lang w:val="en-GB"/>
        </w:rPr>
        <w:t xml:space="preserve">and </w:t>
      </w:r>
      <w:r w:rsidR="00DF2327">
        <w:rPr>
          <w:snapToGrid w:val="0"/>
          <w:lang w:val="en-GB"/>
        </w:rPr>
        <w:fldChar w:fldCharType="begin" w:fldLock="1"/>
      </w:r>
      <w:r w:rsidR="00DF2327">
        <w:rPr>
          <w:snapToGrid w:val="0"/>
          <w:lang w:val="en-GB"/>
        </w:rPr>
        <w:instrText xml:space="preserve"> REF _Ref109987223 \r \h </w:instrText>
      </w:r>
      <w:r w:rsidR="00DF2327">
        <w:rPr>
          <w:snapToGrid w:val="0"/>
          <w:lang w:val="en-GB"/>
        </w:rPr>
      </w:r>
      <w:r w:rsidR="00DF2327">
        <w:rPr>
          <w:snapToGrid w:val="0"/>
          <w:lang w:val="en-GB"/>
        </w:rPr>
        <w:fldChar w:fldCharType="separate"/>
      </w:r>
      <w:r w:rsidR="00DF2327">
        <w:rPr>
          <w:snapToGrid w:val="0"/>
          <w:lang w:val="en-GB"/>
        </w:rPr>
        <w:t>7.28</w:t>
      </w:r>
      <w:r w:rsidR="00DF2327">
        <w:rPr>
          <w:snapToGrid w:val="0"/>
          <w:lang w:val="en-GB"/>
        </w:rPr>
        <w:fldChar w:fldCharType="end"/>
      </w:r>
      <w:r w:rsidR="005A7A1C">
        <w:rPr>
          <w:snapToGrid w:val="0"/>
          <w:lang w:val="en-GB"/>
        </w:rPr>
        <w:t>,</w:t>
      </w:r>
      <w:r w:rsidR="00E40834">
        <w:rPr>
          <w:snapToGrid w:val="0"/>
          <w:lang w:val="en-GB"/>
        </w:rPr>
        <w:t xml:space="preserve"> </w:t>
      </w:r>
      <w:r>
        <w:rPr>
          <w:snapToGrid w:val="0"/>
          <w:lang w:val="en-GB"/>
        </w:rPr>
        <w:t>with</w:t>
      </w:r>
      <w:r w:rsidR="00891B30" w:rsidRPr="003770D6">
        <w:rPr>
          <w:snapToGrid w:val="0"/>
          <w:lang w:val="en-GB"/>
        </w:rPr>
        <w:t xml:space="preserve"> a reduced price </w:t>
      </w:r>
      <w:r w:rsidR="00483573" w:rsidRPr="003770D6">
        <w:rPr>
          <w:snapToGrid w:val="0"/>
          <w:lang w:val="en-GB"/>
        </w:rPr>
        <w:t>as derived from revised model outlined above</w:t>
      </w:r>
      <w:r w:rsidR="00891B30" w:rsidRPr="003770D6">
        <w:rPr>
          <w:snapToGrid w:val="0"/>
          <w:lang w:val="en-GB"/>
        </w:rPr>
        <w:t>.</w:t>
      </w:r>
    </w:p>
    <w:p w14:paraId="20116AA6" w14:textId="77777777" w:rsidR="00891B30" w:rsidRPr="007248EC" w:rsidRDefault="00891B30" w:rsidP="00891B30">
      <w:pPr>
        <w:widowControl w:val="0"/>
        <w:numPr>
          <w:ilvl w:val="1"/>
          <w:numId w:val="1"/>
        </w:numPr>
        <w:spacing w:after="120"/>
        <w:ind w:left="720" w:hanging="720"/>
        <w:rPr>
          <w:rFonts w:asciiTheme="minorHAnsi" w:hAnsiTheme="minorHAnsi"/>
          <w:snapToGrid w:val="0"/>
          <w:lang w:val="en-GB"/>
        </w:rPr>
      </w:pPr>
      <w:r w:rsidRPr="00891B30">
        <w:rPr>
          <w:snapToGrid w:val="0"/>
          <w:lang w:val="en-GB"/>
        </w:rPr>
        <w:t xml:space="preserve">The early resolution resubmission must be lodged by week 7 of the current PBAC cycle or </w:t>
      </w:r>
      <w:r>
        <w:rPr>
          <w:snapToGrid w:val="0"/>
          <w:lang w:val="en-GB"/>
        </w:rPr>
        <w:t xml:space="preserve">for </w:t>
      </w:r>
      <w:r w:rsidRPr="00891B30">
        <w:rPr>
          <w:snapToGrid w:val="0"/>
          <w:lang w:val="en-GB"/>
        </w:rPr>
        <w:t xml:space="preserve">the next </w:t>
      </w:r>
      <w:r>
        <w:rPr>
          <w:snapToGrid w:val="0"/>
          <w:lang w:val="en-GB"/>
        </w:rPr>
        <w:t xml:space="preserve">PBAC </w:t>
      </w:r>
      <w:r w:rsidRPr="00891B30">
        <w:rPr>
          <w:snapToGrid w:val="0"/>
          <w:lang w:val="en-GB"/>
        </w:rPr>
        <w:t>cycle. If the issues cannot be addressed by the sponsor in a simple resubmission and the early resolution timing is not acceptable, a standard re-entry pathway is available.</w:t>
      </w:r>
    </w:p>
    <w:p w14:paraId="4DFF60AB" w14:textId="46D85500" w:rsidR="00891B30" w:rsidRPr="00891B30" w:rsidRDefault="00891B30" w:rsidP="00891B30">
      <w:pPr>
        <w:widowControl w:val="0"/>
        <w:rPr>
          <w:rFonts w:asciiTheme="minorHAnsi" w:hAnsiTheme="minorHAnsi"/>
          <w:b/>
          <w:bCs/>
          <w:snapToGrid w:val="0"/>
          <w:lang w:val="en-GB"/>
        </w:rPr>
      </w:pPr>
      <w:r w:rsidRPr="00891B30">
        <w:rPr>
          <w:b/>
          <w:bCs/>
          <w:snapToGrid w:val="0"/>
          <w:lang w:val="en-GB"/>
        </w:rPr>
        <w:t>Outcome</w:t>
      </w:r>
      <w:r w:rsidR="00220334" w:rsidRPr="00220334">
        <w:t xml:space="preserve"> </w:t>
      </w:r>
      <w:r w:rsidR="00220334" w:rsidRPr="00220334">
        <w:rPr>
          <w:b/>
          <w:bCs/>
          <w:snapToGrid w:val="0"/>
          <w:lang w:val="en-GB"/>
        </w:rPr>
        <w:t>for chronic graft versus host disease</w:t>
      </w:r>
      <w:r w:rsidRPr="00891B30">
        <w:rPr>
          <w:b/>
          <w:bCs/>
          <w:snapToGrid w:val="0"/>
          <w:lang w:val="en-GB"/>
        </w:rPr>
        <w:t>:</w:t>
      </w:r>
    </w:p>
    <w:p w14:paraId="24D0EC04" w14:textId="3F1EA5AA" w:rsidR="00891B30" w:rsidRDefault="00891B30" w:rsidP="00891B30">
      <w:pPr>
        <w:widowControl w:val="0"/>
        <w:spacing w:after="120"/>
        <w:rPr>
          <w:snapToGrid w:val="0"/>
          <w:lang w:val="en-GB"/>
        </w:rPr>
      </w:pPr>
      <w:r w:rsidRPr="00891B30">
        <w:rPr>
          <w:snapToGrid w:val="0"/>
          <w:lang w:val="en-GB"/>
        </w:rPr>
        <w:t>Not recommended</w:t>
      </w:r>
    </w:p>
    <w:p w14:paraId="15C64C64" w14:textId="77777777" w:rsidR="00DF2327" w:rsidRPr="00891B30" w:rsidRDefault="00DF2327" w:rsidP="00891B30">
      <w:pPr>
        <w:widowControl w:val="0"/>
        <w:spacing w:after="120"/>
        <w:rPr>
          <w:rFonts w:asciiTheme="minorHAnsi" w:hAnsiTheme="minorHAnsi"/>
          <w:snapToGrid w:val="0"/>
          <w:lang w:val="en-GB"/>
        </w:rPr>
      </w:pPr>
    </w:p>
    <w:p w14:paraId="2BCF7D24" w14:textId="2E8E6F85" w:rsidR="00AD26CB" w:rsidRPr="00AF0E02" w:rsidRDefault="00891B30" w:rsidP="00A6154D">
      <w:pPr>
        <w:widowControl w:val="0"/>
        <w:numPr>
          <w:ilvl w:val="1"/>
          <w:numId w:val="1"/>
        </w:numPr>
        <w:spacing w:after="120"/>
        <w:ind w:left="720" w:hanging="720"/>
        <w:rPr>
          <w:rFonts w:asciiTheme="minorHAnsi" w:hAnsiTheme="minorHAnsi"/>
          <w:b/>
          <w:bCs/>
          <w:snapToGrid w:val="0"/>
        </w:rPr>
      </w:pPr>
      <w:r w:rsidRPr="00014A9C">
        <w:rPr>
          <w:rFonts w:asciiTheme="minorHAnsi" w:hAnsiTheme="minorHAnsi"/>
          <w:snapToGrid w:val="0"/>
          <w:lang w:val="en-GB"/>
        </w:rPr>
        <w:t>The PBAC noted that this submission is not eligible for an Independent Review as the aGVHD indication received a positive recommendation.</w:t>
      </w:r>
    </w:p>
    <w:bookmarkEnd w:id="83"/>
    <w:p w14:paraId="00C65AA4" w14:textId="77777777" w:rsidR="00A6154D" w:rsidRPr="00F237A4" w:rsidRDefault="00A6154D" w:rsidP="00A6154D">
      <w:pPr>
        <w:pStyle w:val="2-SectionHeading"/>
        <w:rPr>
          <w:iCs/>
          <w:lang w:val="en-GB"/>
        </w:rPr>
      </w:pPr>
      <w:r w:rsidRPr="00525B39">
        <w:rPr>
          <w:lang w:val="en-GB"/>
        </w:rPr>
        <w:t>Recommended listing</w:t>
      </w:r>
    </w:p>
    <w:p w14:paraId="340FEBB7" w14:textId="4F221939" w:rsidR="00A6154D" w:rsidRPr="0016655D" w:rsidRDefault="00A6154D" w:rsidP="0016655D">
      <w:pPr>
        <w:widowControl w:val="0"/>
        <w:numPr>
          <w:ilvl w:val="1"/>
          <w:numId w:val="1"/>
        </w:numPr>
        <w:spacing w:after="120"/>
        <w:ind w:left="720" w:hanging="720"/>
        <w:contextualSpacing/>
        <w:rPr>
          <w:rFonts w:asciiTheme="minorHAnsi" w:hAnsiTheme="minorHAnsi"/>
          <w:bCs/>
          <w:snapToGrid w:val="0"/>
        </w:rPr>
      </w:pPr>
      <w:r w:rsidRPr="0016655D">
        <w:rPr>
          <w:rFonts w:asciiTheme="minorHAnsi" w:hAnsiTheme="minorHAnsi"/>
          <w:bCs/>
          <w:snapToGrid w:val="0"/>
        </w:rPr>
        <w:t>Add new item</w:t>
      </w:r>
      <w:r w:rsidR="00AD26CB">
        <w:rPr>
          <w:rFonts w:asciiTheme="minorHAnsi" w:hAnsiTheme="minorHAnsi"/>
          <w:bCs/>
          <w:snapToGrid w:val="0"/>
        </w:rPr>
        <w:t xml:space="preserve"> for aGVHD</w:t>
      </w:r>
      <w:r w:rsidRPr="0016655D">
        <w:rPr>
          <w:rFonts w:asciiTheme="minorHAnsi" w:hAnsiTheme="minorHAnsi"/>
          <w:bCs/>
          <w:snapToGrid w:val="0"/>
        </w:rPr>
        <w:t>:</w:t>
      </w:r>
    </w:p>
    <w:p w14:paraId="40DC4239" w14:textId="35B8A6A8" w:rsidR="00A6154D" w:rsidRPr="00574FA7" w:rsidRDefault="00A6154D" w:rsidP="00A6154D">
      <w:pPr>
        <w:rPr>
          <w:rFonts w:asciiTheme="minorHAnsi" w:hAnsiTheme="minorHAnsi"/>
          <w:bCs/>
          <w:snapToGrid w:val="0"/>
          <w:lang w:val="en-GB"/>
        </w:rPr>
      </w:pPr>
    </w:p>
    <w:tbl>
      <w:tblPr>
        <w:tblW w:w="8936" w:type="dxa"/>
        <w:tblInd w:w="-5" w:type="dxa"/>
        <w:tblBorders>
          <w:top w:val="single" w:sz="4" w:space="0" w:color="auto"/>
          <w:bottom w:val="single" w:sz="4" w:space="0" w:color="auto"/>
          <w:insideH w:val="single" w:sz="4" w:space="0" w:color="auto"/>
        </w:tblBorders>
        <w:tblLook w:val="04A0" w:firstRow="1" w:lastRow="0" w:firstColumn="1" w:lastColumn="0" w:noHBand="0" w:noVBand="1"/>
      </w:tblPr>
      <w:tblGrid>
        <w:gridCol w:w="2699"/>
        <w:gridCol w:w="1134"/>
        <w:gridCol w:w="1134"/>
        <w:gridCol w:w="1134"/>
        <w:gridCol w:w="47"/>
        <w:gridCol w:w="1087"/>
        <w:gridCol w:w="1701"/>
      </w:tblGrid>
      <w:tr w:rsidR="0016655D" w:rsidRPr="0016655D" w14:paraId="2F880B85" w14:textId="77777777" w:rsidTr="0016655D">
        <w:tc>
          <w:tcPr>
            <w:tcW w:w="2699" w:type="dxa"/>
            <w:tcBorders>
              <w:right w:val="nil"/>
            </w:tcBorders>
          </w:tcPr>
          <w:bookmarkEnd w:id="84"/>
          <w:p w14:paraId="7E2FF83D" w14:textId="77777777" w:rsidR="0016655D" w:rsidRPr="0016655D" w:rsidRDefault="0016655D" w:rsidP="0016655D">
            <w:pPr>
              <w:pStyle w:val="TableFigureCaption"/>
            </w:pPr>
            <w:r w:rsidRPr="0016655D">
              <w:t>Name, restriction, manner of administration, form</w:t>
            </w:r>
          </w:p>
        </w:tc>
        <w:tc>
          <w:tcPr>
            <w:tcW w:w="1134" w:type="dxa"/>
            <w:tcBorders>
              <w:left w:val="nil"/>
              <w:right w:val="nil"/>
            </w:tcBorders>
          </w:tcPr>
          <w:p w14:paraId="11534189" w14:textId="77777777" w:rsidR="0016655D" w:rsidRPr="0016655D" w:rsidRDefault="0016655D" w:rsidP="0016655D">
            <w:pPr>
              <w:pStyle w:val="TableFigureCaption"/>
              <w:jc w:val="center"/>
            </w:pPr>
            <w:r w:rsidRPr="0016655D">
              <w:t>PBS item code</w:t>
            </w:r>
          </w:p>
        </w:tc>
        <w:tc>
          <w:tcPr>
            <w:tcW w:w="1134" w:type="dxa"/>
            <w:tcBorders>
              <w:left w:val="nil"/>
              <w:right w:val="nil"/>
            </w:tcBorders>
          </w:tcPr>
          <w:p w14:paraId="4205E489" w14:textId="77777777" w:rsidR="0016655D" w:rsidRPr="0016655D" w:rsidRDefault="0016655D" w:rsidP="0016655D">
            <w:pPr>
              <w:pStyle w:val="TableFigureCaption"/>
              <w:jc w:val="center"/>
            </w:pPr>
            <w:r w:rsidRPr="0016655D">
              <w:t>Maximum quantity (packs)</w:t>
            </w:r>
          </w:p>
        </w:tc>
        <w:tc>
          <w:tcPr>
            <w:tcW w:w="1181" w:type="dxa"/>
            <w:gridSpan w:val="2"/>
            <w:tcBorders>
              <w:left w:val="nil"/>
              <w:right w:val="nil"/>
            </w:tcBorders>
          </w:tcPr>
          <w:p w14:paraId="771D2559" w14:textId="77777777" w:rsidR="0016655D" w:rsidRPr="0016655D" w:rsidRDefault="0016655D" w:rsidP="0016655D">
            <w:pPr>
              <w:pStyle w:val="TableFigureCaption"/>
              <w:jc w:val="center"/>
            </w:pPr>
            <w:r w:rsidRPr="0016655D">
              <w:t>Maximum quantity (units)</w:t>
            </w:r>
          </w:p>
        </w:tc>
        <w:tc>
          <w:tcPr>
            <w:tcW w:w="1087" w:type="dxa"/>
            <w:tcBorders>
              <w:left w:val="nil"/>
              <w:right w:val="nil"/>
            </w:tcBorders>
          </w:tcPr>
          <w:p w14:paraId="342EAF69" w14:textId="77777777" w:rsidR="0016655D" w:rsidRPr="0016655D" w:rsidRDefault="0016655D" w:rsidP="0016655D">
            <w:pPr>
              <w:pStyle w:val="TableFigureCaption"/>
              <w:jc w:val="center"/>
            </w:pPr>
            <w:r w:rsidRPr="0016655D">
              <w:t>No. of repeats</w:t>
            </w:r>
          </w:p>
        </w:tc>
        <w:tc>
          <w:tcPr>
            <w:tcW w:w="1701" w:type="dxa"/>
            <w:tcBorders>
              <w:left w:val="nil"/>
            </w:tcBorders>
          </w:tcPr>
          <w:p w14:paraId="7E0C0E28" w14:textId="77777777" w:rsidR="0016655D" w:rsidRPr="0016655D" w:rsidRDefault="0016655D" w:rsidP="0016655D">
            <w:pPr>
              <w:pStyle w:val="TableFigureCaption"/>
              <w:jc w:val="center"/>
            </w:pPr>
            <w:r w:rsidRPr="0016655D">
              <w:t>Proprietary name and manufacturer</w:t>
            </w:r>
          </w:p>
        </w:tc>
      </w:tr>
      <w:tr w:rsidR="0016655D" w:rsidRPr="0016655D" w14:paraId="476ABFEE" w14:textId="77777777" w:rsidTr="0016655D">
        <w:tc>
          <w:tcPr>
            <w:tcW w:w="8936" w:type="dxa"/>
            <w:gridSpan w:val="7"/>
            <w:tcBorders>
              <w:bottom w:val="single" w:sz="4" w:space="0" w:color="auto"/>
            </w:tcBorders>
            <w:vAlign w:val="center"/>
          </w:tcPr>
          <w:p w14:paraId="112EB1E1" w14:textId="72938324" w:rsidR="0016655D" w:rsidRPr="0016655D" w:rsidRDefault="0016655D" w:rsidP="0016655D">
            <w:pPr>
              <w:pStyle w:val="TableText"/>
            </w:pPr>
            <w:r w:rsidRPr="0016655D">
              <w:rPr>
                <w:b/>
                <w:bCs w:val="0"/>
              </w:rPr>
              <w:t xml:space="preserve">aGVHD – initial </w:t>
            </w:r>
          </w:p>
        </w:tc>
      </w:tr>
      <w:tr w:rsidR="0016655D" w:rsidRPr="0016655D" w14:paraId="6B95DE06" w14:textId="77777777" w:rsidTr="0016655D">
        <w:tc>
          <w:tcPr>
            <w:tcW w:w="2699" w:type="dxa"/>
            <w:tcBorders>
              <w:right w:val="nil"/>
            </w:tcBorders>
            <w:vAlign w:val="center"/>
          </w:tcPr>
          <w:p w14:paraId="6551FA54" w14:textId="77777777" w:rsidR="0016655D" w:rsidRPr="00D8457D" w:rsidRDefault="0016655D" w:rsidP="0016655D">
            <w:pPr>
              <w:pStyle w:val="TableText"/>
            </w:pPr>
            <w:r w:rsidRPr="00D8457D">
              <w:rPr>
                <w:smallCaps/>
              </w:rPr>
              <w:t>RUXOLITINIB</w:t>
            </w:r>
          </w:p>
          <w:p w14:paraId="14FD65CC" w14:textId="77777777" w:rsidR="0016655D" w:rsidRPr="00D8457D" w:rsidRDefault="0016655D" w:rsidP="0016655D">
            <w:pPr>
              <w:pStyle w:val="TableText"/>
            </w:pPr>
            <w:r w:rsidRPr="00D8457D">
              <w:t>Tablet 5 mg, 56</w:t>
            </w:r>
          </w:p>
          <w:p w14:paraId="5837118F" w14:textId="77777777" w:rsidR="0016655D" w:rsidRPr="00D8457D" w:rsidRDefault="0016655D" w:rsidP="0016655D">
            <w:pPr>
              <w:pStyle w:val="TableText"/>
            </w:pPr>
            <w:r w:rsidRPr="00D8457D">
              <w:t>Tablet 10 mg, 56</w:t>
            </w:r>
          </w:p>
        </w:tc>
        <w:tc>
          <w:tcPr>
            <w:tcW w:w="1134" w:type="dxa"/>
            <w:tcBorders>
              <w:left w:val="nil"/>
              <w:right w:val="nil"/>
            </w:tcBorders>
            <w:vAlign w:val="bottom"/>
          </w:tcPr>
          <w:p w14:paraId="53A97B9B" w14:textId="77777777" w:rsidR="0016655D" w:rsidRPr="0016655D" w:rsidRDefault="0016655D" w:rsidP="0016655D">
            <w:pPr>
              <w:pStyle w:val="TableText"/>
              <w:jc w:val="center"/>
            </w:pPr>
            <w:r w:rsidRPr="0016655D">
              <w:t>NEW</w:t>
            </w:r>
          </w:p>
          <w:p w14:paraId="27F7CF4A" w14:textId="77777777" w:rsidR="0016655D" w:rsidRPr="0016655D" w:rsidRDefault="0016655D" w:rsidP="0016655D">
            <w:pPr>
              <w:pStyle w:val="TableText"/>
              <w:jc w:val="center"/>
            </w:pPr>
            <w:r w:rsidRPr="0016655D">
              <w:t>NEW</w:t>
            </w:r>
          </w:p>
        </w:tc>
        <w:tc>
          <w:tcPr>
            <w:tcW w:w="1134" w:type="dxa"/>
            <w:tcBorders>
              <w:left w:val="nil"/>
              <w:right w:val="nil"/>
            </w:tcBorders>
            <w:vAlign w:val="center"/>
          </w:tcPr>
          <w:p w14:paraId="68D80586" w14:textId="77777777" w:rsidR="0016655D" w:rsidRPr="0016655D" w:rsidRDefault="0016655D" w:rsidP="0016655D">
            <w:pPr>
              <w:pStyle w:val="TableText"/>
              <w:jc w:val="center"/>
            </w:pPr>
            <w:r w:rsidRPr="0016655D">
              <w:t>1</w:t>
            </w:r>
          </w:p>
        </w:tc>
        <w:tc>
          <w:tcPr>
            <w:tcW w:w="1134" w:type="dxa"/>
            <w:tcBorders>
              <w:left w:val="nil"/>
              <w:right w:val="nil"/>
            </w:tcBorders>
            <w:vAlign w:val="center"/>
          </w:tcPr>
          <w:p w14:paraId="4258D5FF" w14:textId="77777777" w:rsidR="0016655D" w:rsidRPr="0016655D" w:rsidRDefault="0016655D" w:rsidP="0016655D">
            <w:pPr>
              <w:pStyle w:val="TableText"/>
              <w:jc w:val="center"/>
            </w:pPr>
            <w:r w:rsidRPr="0016655D">
              <w:t>56</w:t>
            </w:r>
          </w:p>
        </w:tc>
        <w:tc>
          <w:tcPr>
            <w:tcW w:w="1134" w:type="dxa"/>
            <w:gridSpan w:val="2"/>
            <w:tcBorders>
              <w:left w:val="nil"/>
              <w:right w:val="nil"/>
            </w:tcBorders>
            <w:vAlign w:val="center"/>
          </w:tcPr>
          <w:p w14:paraId="65167C30" w14:textId="77777777" w:rsidR="0016655D" w:rsidRPr="0016655D" w:rsidRDefault="0016655D" w:rsidP="0016655D">
            <w:pPr>
              <w:pStyle w:val="TableText"/>
              <w:jc w:val="center"/>
            </w:pPr>
            <w:r w:rsidRPr="0016655D">
              <w:t>0</w:t>
            </w:r>
          </w:p>
        </w:tc>
        <w:tc>
          <w:tcPr>
            <w:tcW w:w="1701" w:type="dxa"/>
            <w:tcBorders>
              <w:left w:val="nil"/>
            </w:tcBorders>
            <w:vAlign w:val="center"/>
          </w:tcPr>
          <w:p w14:paraId="2AA73480" w14:textId="77777777" w:rsidR="0016655D" w:rsidRPr="0016655D" w:rsidRDefault="0016655D" w:rsidP="0016655D">
            <w:pPr>
              <w:pStyle w:val="TableText"/>
              <w:jc w:val="center"/>
            </w:pPr>
            <w:r w:rsidRPr="0016655D">
              <w:t>JAKAVI</w:t>
            </w:r>
            <w:r w:rsidRPr="0016655D">
              <w:rPr>
                <w:vertAlign w:val="superscript"/>
              </w:rPr>
              <w:t>®</w:t>
            </w:r>
            <w:r w:rsidRPr="0016655D">
              <w:t>, Novartis</w:t>
            </w:r>
          </w:p>
        </w:tc>
      </w:tr>
      <w:tr w:rsidR="0016655D" w:rsidRPr="0016655D" w14:paraId="3F675724" w14:textId="77777777" w:rsidTr="0016655D">
        <w:tc>
          <w:tcPr>
            <w:tcW w:w="8936" w:type="dxa"/>
            <w:gridSpan w:val="7"/>
            <w:vAlign w:val="center"/>
          </w:tcPr>
          <w:p w14:paraId="6F738FFA" w14:textId="618E8267" w:rsidR="0016655D" w:rsidRPr="00D8457D" w:rsidRDefault="0016655D" w:rsidP="0016655D">
            <w:pPr>
              <w:pStyle w:val="TableText"/>
            </w:pPr>
            <w:r w:rsidRPr="00D8457D">
              <w:rPr>
                <w:b/>
                <w:bCs w:val="0"/>
              </w:rPr>
              <w:t>aGVHD – continuing treatment</w:t>
            </w:r>
            <w:r w:rsidR="009E7E59">
              <w:rPr>
                <w:b/>
                <w:bCs w:val="0"/>
              </w:rPr>
              <w:t xml:space="preserve"> and grandfather treatment</w:t>
            </w:r>
          </w:p>
        </w:tc>
      </w:tr>
      <w:tr w:rsidR="0016655D" w:rsidRPr="0016655D" w14:paraId="68B10212" w14:textId="77777777" w:rsidTr="0016655D">
        <w:tc>
          <w:tcPr>
            <w:tcW w:w="2699" w:type="dxa"/>
            <w:vAlign w:val="center"/>
          </w:tcPr>
          <w:p w14:paraId="7A86DA83" w14:textId="77777777" w:rsidR="0016655D" w:rsidRPr="00D8457D" w:rsidRDefault="0016655D" w:rsidP="0016655D">
            <w:pPr>
              <w:pStyle w:val="TableText"/>
            </w:pPr>
            <w:r w:rsidRPr="00D8457D">
              <w:rPr>
                <w:smallCaps/>
              </w:rPr>
              <w:t>RUXOLITINIB</w:t>
            </w:r>
          </w:p>
          <w:p w14:paraId="2279DD03" w14:textId="77777777" w:rsidR="0016655D" w:rsidRPr="00D8457D" w:rsidRDefault="0016655D" w:rsidP="0016655D">
            <w:pPr>
              <w:pStyle w:val="TableText"/>
            </w:pPr>
            <w:r w:rsidRPr="00D8457D">
              <w:t>Tablet 5 mg, 56</w:t>
            </w:r>
          </w:p>
          <w:p w14:paraId="382074A9" w14:textId="77777777" w:rsidR="0016655D" w:rsidRPr="00D8457D" w:rsidRDefault="0016655D" w:rsidP="0016655D">
            <w:pPr>
              <w:pStyle w:val="TableText"/>
            </w:pPr>
            <w:r w:rsidRPr="00D8457D">
              <w:t>Tablet 10 mg, 56</w:t>
            </w:r>
          </w:p>
        </w:tc>
        <w:tc>
          <w:tcPr>
            <w:tcW w:w="1134" w:type="dxa"/>
            <w:vAlign w:val="bottom"/>
          </w:tcPr>
          <w:p w14:paraId="5028568E" w14:textId="77777777" w:rsidR="0016655D" w:rsidRPr="0016655D" w:rsidRDefault="0016655D" w:rsidP="0016655D">
            <w:pPr>
              <w:pStyle w:val="TableText"/>
              <w:jc w:val="center"/>
            </w:pPr>
            <w:r w:rsidRPr="0016655D">
              <w:t>NEW</w:t>
            </w:r>
          </w:p>
          <w:p w14:paraId="368D534A" w14:textId="77777777" w:rsidR="0016655D" w:rsidRPr="0016655D" w:rsidRDefault="0016655D" w:rsidP="0016655D">
            <w:pPr>
              <w:pStyle w:val="TableText"/>
              <w:jc w:val="center"/>
            </w:pPr>
            <w:r w:rsidRPr="0016655D">
              <w:t>NEW</w:t>
            </w:r>
          </w:p>
        </w:tc>
        <w:tc>
          <w:tcPr>
            <w:tcW w:w="1134" w:type="dxa"/>
            <w:vAlign w:val="center"/>
          </w:tcPr>
          <w:p w14:paraId="66C0FF38" w14:textId="77777777" w:rsidR="0016655D" w:rsidRPr="0016655D" w:rsidRDefault="0016655D" w:rsidP="0016655D">
            <w:pPr>
              <w:pStyle w:val="TableText"/>
              <w:jc w:val="center"/>
            </w:pPr>
            <w:r w:rsidRPr="0016655D">
              <w:t>1</w:t>
            </w:r>
          </w:p>
        </w:tc>
        <w:tc>
          <w:tcPr>
            <w:tcW w:w="1134" w:type="dxa"/>
            <w:vAlign w:val="center"/>
          </w:tcPr>
          <w:p w14:paraId="150BF02C" w14:textId="77777777" w:rsidR="0016655D" w:rsidRPr="0016655D" w:rsidRDefault="0016655D" w:rsidP="0016655D">
            <w:pPr>
              <w:pStyle w:val="TableText"/>
              <w:jc w:val="center"/>
            </w:pPr>
            <w:r w:rsidRPr="0016655D">
              <w:t>56</w:t>
            </w:r>
          </w:p>
        </w:tc>
        <w:tc>
          <w:tcPr>
            <w:tcW w:w="1134" w:type="dxa"/>
            <w:gridSpan w:val="2"/>
            <w:vAlign w:val="center"/>
          </w:tcPr>
          <w:p w14:paraId="06097FE2" w14:textId="77777777" w:rsidR="0016655D" w:rsidRPr="0016655D" w:rsidRDefault="0016655D" w:rsidP="0016655D">
            <w:pPr>
              <w:pStyle w:val="TableText"/>
              <w:jc w:val="center"/>
            </w:pPr>
            <w:r w:rsidRPr="0016655D">
              <w:t>5</w:t>
            </w:r>
          </w:p>
        </w:tc>
        <w:tc>
          <w:tcPr>
            <w:tcW w:w="1701" w:type="dxa"/>
            <w:vAlign w:val="center"/>
          </w:tcPr>
          <w:p w14:paraId="357BC7E9" w14:textId="77777777" w:rsidR="0016655D" w:rsidRPr="0016655D" w:rsidRDefault="0016655D" w:rsidP="0016655D">
            <w:pPr>
              <w:pStyle w:val="TableText"/>
              <w:jc w:val="center"/>
            </w:pPr>
            <w:r w:rsidRPr="0016655D">
              <w:t>JAKAVI</w:t>
            </w:r>
            <w:r w:rsidRPr="0016655D">
              <w:rPr>
                <w:vertAlign w:val="superscript"/>
              </w:rPr>
              <w:t>®</w:t>
            </w:r>
            <w:r w:rsidRPr="0016655D">
              <w:t>, Novartis</w:t>
            </w:r>
          </w:p>
        </w:tc>
      </w:tr>
    </w:tbl>
    <w:p w14:paraId="69A950DE" w14:textId="77777777" w:rsidR="0016655D" w:rsidRPr="0016655D" w:rsidRDefault="0016655D" w:rsidP="0016655D"/>
    <w:tbl>
      <w:tblPr>
        <w:tblW w:w="5000" w:type="pct"/>
        <w:tblLook w:val="0000" w:firstRow="0" w:lastRow="0" w:firstColumn="0" w:lastColumn="0" w:noHBand="0" w:noVBand="0"/>
      </w:tblPr>
      <w:tblGrid>
        <w:gridCol w:w="988"/>
        <w:gridCol w:w="8029"/>
      </w:tblGrid>
      <w:tr w:rsidR="0016655D" w:rsidRPr="0016655D" w14:paraId="01263FE3"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F9036CF"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7A9354B9" w14:textId="77777777" w:rsidR="0016655D" w:rsidRPr="0016655D" w:rsidRDefault="0016655D" w:rsidP="0016655D">
            <w:pPr>
              <w:pStyle w:val="TableText"/>
              <w:keepNext w:val="0"/>
            </w:pPr>
            <w:r w:rsidRPr="0016655D">
              <w:rPr>
                <w:b/>
              </w:rPr>
              <w:t xml:space="preserve">Category / Program: </w:t>
            </w:r>
            <w:r w:rsidRPr="0016655D">
              <w:t>Section 100 – Highly Specialised Drugs Program</w:t>
            </w:r>
          </w:p>
        </w:tc>
      </w:tr>
      <w:tr w:rsidR="0016655D" w:rsidRPr="0016655D" w14:paraId="3247D8D8"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36D928D"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0D9BEFB6" w14:textId="44F71738" w:rsidR="0016655D" w:rsidRPr="0016655D" w:rsidRDefault="0016655D" w:rsidP="0016655D">
            <w:pPr>
              <w:pStyle w:val="TableText"/>
              <w:keepNext w:val="0"/>
            </w:pPr>
            <w:r w:rsidRPr="0016655D">
              <w:rPr>
                <w:b/>
              </w:rPr>
              <w:t xml:space="preserve">Prescriber type: </w:t>
            </w:r>
            <w:r w:rsidRPr="0016655D">
              <w:fldChar w:fldCharType="begin" w:fldLock="1">
                <w:ffData>
                  <w:name w:val="Check1"/>
                  <w:enabled/>
                  <w:calcOnExit w:val="0"/>
                  <w:checkBox>
                    <w:sizeAuto/>
                    <w:default w:val="0"/>
                  </w:checkBox>
                </w:ffData>
              </w:fldChar>
            </w:r>
            <w:r w:rsidRPr="0016655D">
              <w:instrText xml:space="preserve"> FORMCHECKBOX </w:instrText>
            </w:r>
            <w:r w:rsidR="00BD1016">
              <w:fldChar w:fldCharType="separate"/>
            </w:r>
            <w:r w:rsidRPr="0016655D">
              <w:fldChar w:fldCharType="end"/>
            </w:r>
            <w:r w:rsidRPr="0016655D">
              <w:t xml:space="preserve">Dental  </w:t>
            </w:r>
            <w:r w:rsidRPr="0016655D">
              <w:fldChar w:fldCharType="begin" w:fldLock="1">
                <w:ffData>
                  <w:name w:val="Check1"/>
                  <w:enabled/>
                  <w:calcOnExit w:val="0"/>
                  <w:checkBox>
                    <w:sizeAuto/>
                    <w:default w:val="1"/>
                  </w:checkBox>
                </w:ffData>
              </w:fldChar>
            </w:r>
            <w:r w:rsidRPr="0016655D">
              <w:instrText xml:space="preserve"> FORMCHECKBOX </w:instrText>
            </w:r>
            <w:r w:rsidR="00BD1016">
              <w:fldChar w:fldCharType="separate"/>
            </w:r>
            <w:r w:rsidRPr="0016655D">
              <w:fldChar w:fldCharType="end"/>
            </w:r>
            <w:r w:rsidRPr="0016655D">
              <w:t xml:space="preserve">Medical Practitioners  </w:t>
            </w:r>
            <w:r w:rsidRPr="0016655D">
              <w:fldChar w:fldCharType="begin" w:fldLock="1">
                <w:ffData>
                  <w:name w:val="Check1"/>
                  <w:enabled/>
                  <w:calcOnExit w:val="0"/>
                  <w:checkBox>
                    <w:sizeAuto/>
                    <w:default w:val="0"/>
                  </w:checkBox>
                </w:ffData>
              </w:fldChar>
            </w:r>
            <w:r w:rsidRPr="0016655D">
              <w:instrText xml:space="preserve"> FORMCHECKBOX </w:instrText>
            </w:r>
            <w:r w:rsidR="00BD1016">
              <w:fldChar w:fldCharType="separate"/>
            </w:r>
            <w:r w:rsidRPr="0016655D">
              <w:fldChar w:fldCharType="end"/>
            </w:r>
            <w:r w:rsidRPr="0016655D">
              <w:t xml:space="preserve">Nurse practitioners </w:t>
            </w:r>
            <w:r w:rsidRPr="0016655D">
              <w:fldChar w:fldCharType="begin" w:fldLock="1">
                <w:ffData>
                  <w:name w:val="Check1"/>
                  <w:enabled/>
                  <w:calcOnExit w:val="0"/>
                  <w:checkBox>
                    <w:sizeAuto/>
                    <w:default w:val="0"/>
                  </w:checkBox>
                </w:ffData>
              </w:fldChar>
            </w:r>
            <w:r w:rsidRPr="0016655D">
              <w:instrText xml:space="preserve"> FORMCHECKBOX </w:instrText>
            </w:r>
            <w:r w:rsidR="00BD1016">
              <w:fldChar w:fldCharType="separate"/>
            </w:r>
            <w:r w:rsidRPr="0016655D">
              <w:fldChar w:fldCharType="end"/>
            </w:r>
            <w:r w:rsidRPr="0016655D">
              <w:t xml:space="preserve">Optometrists </w:t>
            </w:r>
            <w:r w:rsidRPr="0016655D">
              <w:fldChar w:fldCharType="begin" w:fldLock="1">
                <w:ffData>
                  <w:name w:val="Check1"/>
                  <w:enabled/>
                  <w:calcOnExit w:val="0"/>
                  <w:checkBox>
                    <w:sizeAuto/>
                    <w:default w:val="0"/>
                  </w:checkBox>
                </w:ffData>
              </w:fldChar>
            </w:r>
            <w:r w:rsidRPr="0016655D">
              <w:instrText xml:space="preserve"> FORMCHECKBOX </w:instrText>
            </w:r>
            <w:r w:rsidR="00BD1016">
              <w:fldChar w:fldCharType="separate"/>
            </w:r>
            <w:r w:rsidRPr="0016655D">
              <w:fldChar w:fldCharType="end"/>
            </w:r>
            <w:r w:rsidRPr="0016655D">
              <w:t>Midwives</w:t>
            </w:r>
          </w:p>
        </w:tc>
      </w:tr>
      <w:tr w:rsidR="0016655D" w:rsidRPr="0016655D" w14:paraId="05F033BA"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956AFC0"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5DA10957" w14:textId="77777777" w:rsidR="0016655D" w:rsidRPr="0016655D" w:rsidRDefault="0016655D" w:rsidP="0016655D">
            <w:pPr>
              <w:pStyle w:val="TableText"/>
              <w:keepNext w:val="0"/>
            </w:pPr>
            <w:r w:rsidRPr="0016655D">
              <w:rPr>
                <w:b/>
              </w:rPr>
              <w:t xml:space="preserve">Condition: </w:t>
            </w:r>
            <w:r w:rsidRPr="0016655D">
              <w:t>Acute graft versus host disease (aGVHD)</w:t>
            </w:r>
          </w:p>
        </w:tc>
      </w:tr>
      <w:tr w:rsidR="0016655D" w:rsidRPr="0016655D" w14:paraId="3AA70779"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6AFD0B95"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08B248FF" w14:textId="77777777" w:rsidR="0016655D" w:rsidRPr="0016655D" w:rsidRDefault="0016655D" w:rsidP="0016655D">
            <w:pPr>
              <w:pStyle w:val="TableText"/>
              <w:keepNext w:val="0"/>
            </w:pPr>
            <w:r w:rsidRPr="0016655D">
              <w:rPr>
                <w:b/>
              </w:rPr>
              <w:t xml:space="preserve">Severity: </w:t>
            </w:r>
            <w:r w:rsidRPr="0016655D">
              <w:t>Grade II to IV</w:t>
            </w:r>
          </w:p>
        </w:tc>
      </w:tr>
      <w:tr w:rsidR="0016655D" w:rsidRPr="0016655D" w14:paraId="7729C15F"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4D68693" w14:textId="0A968591" w:rsidR="0016655D" w:rsidRPr="0016655D" w:rsidRDefault="0016655D" w:rsidP="0016655D">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24F5722C" w14:textId="77777777" w:rsidR="0016655D" w:rsidRPr="0016655D" w:rsidRDefault="0016655D" w:rsidP="0016655D">
            <w:pPr>
              <w:pStyle w:val="TableText"/>
              <w:keepNext w:val="0"/>
            </w:pPr>
            <w:r w:rsidRPr="0016655D">
              <w:rPr>
                <w:b/>
              </w:rPr>
              <w:t xml:space="preserve">PBS Indication: </w:t>
            </w:r>
            <w:r w:rsidRPr="0016655D">
              <w:t>Grade II to IV acute graft versus host disease</w:t>
            </w:r>
          </w:p>
        </w:tc>
      </w:tr>
      <w:tr w:rsidR="0016655D" w:rsidRPr="0016655D" w14:paraId="646CA703"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7EC4CFB"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5F51E936" w14:textId="17B7B577" w:rsidR="0016655D" w:rsidRPr="0016655D" w:rsidRDefault="0016655D" w:rsidP="0016655D">
            <w:pPr>
              <w:pStyle w:val="TableText"/>
              <w:keepNext w:val="0"/>
            </w:pPr>
            <w:r w:rsidRPr="0016655D">
              <w:rPr>
                <w:b/>
              </w:rPr>
              <w:t xml:space="preserve">Treatment phase: </w:t>
            </w:r>
            <w:r w:rsidRPr="0016655D">
              <w:t>Initial</w:t>
            </w:r>
          </w:p>
        </w:tc>
      </w:tr>
      <w:tr w:rsidR="0016655D" w:rsidRPr="0016655D" w14:paraId="077E23C5"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7501B98" w14:textId="77777777" w:rsidR="0016655D" w:rsidRPr="0016655D" w:rsidRDefault="0016655D" w:rsidP="0016655D">
            <w:pPr>
              <w:pStyle w:val="TableText"/>
              <w:keepNext w:val="0"/>
              <w:rPr>
                <w:i/>
              </w:rPr>
            </w:pPr>
          </w:p>
        </w:tc>
        <w:tc>
          <w:tcPr>
            <w:tcW w:w="4452" w:type="pct"/>
            <w:tcBorders>
              <w:top w:val="single" w:sz="4" w:space="0" w:color="auto"/>
              <w:left w:val="single" w:sz="4" w:space="0" w:color="auto"/>
              <w:bottom w:val="single" w:sz="4" w:space="0" w:color="auto"/>
              <w:right w:val="single" w:sz="4" w:space="0" w:color="auto"/>
            </w:tcBorders>
          </w:tcPr>
          <w:p w14:paraId="7927D0B2" w14:textId="4CBFC336" w:rsidR="0016655D" w:rsidRPr="0016655D" w:rsidRDefault="0016655D" w:rsidP="0016655D">
            <w:pPr>
              <w:pStyle w:val="TableText"/>
              <w:keepNext w:val="0"/>
            </w:pPr>
            <w:r w:rsidRPr="0016655D">
              <w:rPr>
                <w:b/>
              </w:rPr>
              <w:t xml:space="preserve">Restriction type: </w:t>
            </w:r>
            <w:r w:rsidRPr="0016655D">
              <w:fldChar w:fldCharType="begin" w:fldLock="1">
                <w:ffData>
                  <w:name w:val="Check5"/>
                  <w:enabled/>
                  <w:calcOnExit w:val="0"/>
                  <w:checkBox>
                    <w:sizeAuto/>
                    <w:default w:val="1"/>
                  </w:checkBox>
                </w:ffData>
              </w:fldChar>
            </w:r>
            <w:r w:rsidRPr="0016655D">
              <w:instrText xml:space="preserve"> FORMCHECKBOX </w:instrText>
            </w:r>
            <w:r w:rsidR="00BD1016">
              <w:fldChar w:fldCharType="separate"/>
            </w:r>
            <w:r w:rsidRPr="0016655D">
              <w:fldChar w:fldCharType="end"/>
            </w:r>
            <w:r w:rsidRPr="0016655D">
              <w:t>Streamlined</w:t>
            </w:r>
          </w:p>
        </w:tc>
      </w:tr>
      <w:tr w:rsidR="0016655D" w:rsidRPr="0016655D" w14:paraId="5D4EE802"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D2EEDA6" w14:textId="77777777" w:rsidR="0016655D" w:rsidRPr="0016655D" w:rsidRDefault="0016655D" w:rsidP="0016655D">
            <w:pPr>
              <w:pStyle w:val="TableText"/>
              <w:keepNext w:val="0"/>
              <w:rPr>
                <w:i/>
              </w:rPr>
            </w:pPr>
          </w:p>
        </w:tc>
        <w:tc>
          <w:tcPr>
            <w:tcW w:w="4452" w:type="pct"/>
            <w:tcBorders>
              <w:top w:val="single" w:sz="4" w:space="0" w:color="auto"/>
              <w:left w:val="single" w:sz="4" w:space="0" w:color="auto"/>
              <w:bottom w:val="single" w:sz="4" w:space="0" w:color="auto"/>
              <w:right w:val="single" w:sz="4" w:space="0" w:color="auto"/>
            </w:tcBorders>
          </w:tcPr>
          <w:p w14:paraId="5C5FABCE" w14:textId="77777777" w:rsidR="0016655D" w:rsidRPr="0016655D" w:rsidRDefault="0016655D" w:rsidP="0016655D">
            <w:pPr>
              <w:pStyle w:val="TableText"/>
              <w:keepNext w:val="0"/>
              <w:rPr>
                <w:b/>
              </w:rPr>
            </w:pPr>
          </w:p>
        </w:tc>
      </w:tr>
      <w:tr w:rsidR="0016655D" w:rsidRPr="0016655D" w14:paraId="6FC9E62E"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7277D54" w14:textId="77777777" w:rsidR="0016655D" w:rsidRPr="0016655D" w:rsidRDefault="0016655D" w:rsidP="0016655D">
            <w:pPr>
              <w:pStyle w:val="TableText"/>
              <w:keepNext w:val="0"/>
              <w:rPr>
                <w:i/>
              </w:rPr>
            </w:pPr>
          </w:p>
        </w:tc>
        <w:tc>
          <w:tcPr>
            <w:tcW w:w="4452" w:type="pct"/>
            <w:tcBorders>
              <w:top w:val="single" w:sz="4" w:space="0" w:color="auto"/>
              <w:left w:val="single" w:sz="4" w:space="0" w:color="auto"/>
              <w:bottom w:val="single" w:sz="4" w:space="0" w:color="auto"/>
              <w:right w:val="single" w:sz="4" w:space="0" w:color="auto"/>
            </w:tcBorders>
          </w:tcPr>
          <w:p w14:paraId="00FFC8E0" w14:textId="77777777" w:rsidR="0016655D" w:rsidRPr="0016655D" w:rsidRDefault="0016655D" w:rsidP="0016655D">
            <w:pPr>
              <w:pStyle w:val="TableText"/>
              <w:keepNext w:val="0"/>
              <w:rPr>
                <w:b/>
              </w:rPr>
            </w:pPr>
            <w:r w:rsidRPr="0016655D">
              <w:rPr>
                <w:b/>
              </w:rPr>
              <w:t>Clinical criteria:</w:t>
            </w:r>
          </w:p>
        </w:tc>
      </w:tr>
      <w:tr w:rsidR="0016655D" w:rsidRPr="0016655D" w14:paraId="120CD5C5"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2F906461" w14:textId="4B8EC632"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5167B162" w14:textId="4CA3FE26" w:rsidR="0016655D" w:rsidRPr="0016655D" w:rsidRDefault="0016655D" w:rsidP="0016655D">
            <w:pPr>
              <w:pStyle w:val="TableText"/>
              <w:keepNext w:val="0"/>
              <w:rPr>
                <w:rFonts w:cs="Arial"/>
              </w:rPr>
            </w:pPr>
            <w:r w:rsidRPr="0016655D">
              <w:rPr>
                <w:rFonts w:cs="Arial"/>
              </w:rPr>
              <w:t xml:space="preserve">Patient must have received prior systemic steroid treatment for this condition </w:t>
            </w:r>
          </w:p>
        </w:tc>
      </w:tr>
      <w:tr w:rsidR="0016655D" w:rsidRPr="0016655D" w14:paraId="2569E1FC"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1719FE4" w14:textId="77777777"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4F0F9F94" w14:textId="77777777" w:rsidR="0016655D" w:rsidRPr="0016655D" w:rsidRDefault="0016655D" w:rsidP="0016655D">
            <w:pPr>
              <w:pStyle w:val="TableText"/>
              <w:keepNext w:val="0"/>
              <w:rPr>
                <w:rFonts w:cs="Arial"/>
                <w:b/>
                <w:bCs w:val="0"/>
              </w:rPr>
            </w:pPr>
            <w:r w:rsidRPr="0016655D">
              <w:rPr>
                <w:rFonts w:cs="Arial"/>
                <w:b/>
                <w:bCs w:val="0"/>
              </w:rPr>
              <w:t>AND</w:t>
            </w:r>
          </w:p>
        </w:tc>
      </w:tr>
      <w:tr w:rsidR="0016655D" w:rsidRPr="0016655D" w14:paraId="7E4A07E3"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6A0F45A1" w14:textId="77777777"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66EF1D75" w14:textId="77777777" w:rsidR="0016655D" w:rsidRPr="0016655D" w:rsidRDefault="0016655D" w:rsidP="0016655D">
            <w:pPr>
              <w:pStyle w:val="TableText"/>
              <w:keepNext w:val="0"/>
              <w:rPr>
                <w:rFonts w:cs="Arial"/>
                <w:b/>
                <w:bCs w:val="0"/>
              </w:rPr>
            </w:pPr>
            <w:r w:rsidRPr="0016655D">
              <w:rPr>
                <w:rFonts w:cs="Arial"/>
                <w:b/>
                <w:bCs w:val="0"/>
              </w:rPr>
              <w:t>Clinical criteria:</w:t>
            </w:r>
          </w:p>
        </w:tc>
      </w:tr>
      <w:tr w:rsidR="0016655D" w:rsidRPr="0016655D" w14:paraId="0F99D186"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791D8F5D" w14:textId="3F5640AF"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7E11E562" w14:textId="7C8AC088" w:rsidR="0016655D" w:rsidRPr="0016655D" w:rsidRDefault="0016655D" w:rsidP="0016655D">
            <w:pPr>
              <w:pStyle w:val="TableText"/>
              <w:keepNext w:val="0"/>
              <w:rPr>
                <w:rFonts w:cs="Arial"/>
              </w:rPr>
            </w:pPr>
            <w:r w:rsidRPr="0016655D">
              <w:rPr>
                <w:rFonts w:cs="Arial"/>
              </w:rPr>
              <w:t>Patient must be one of the following</w:t>
            </w:r>
            <w:r w:rsidR="00FC0641">
              <w:rPr>
                <w:rFonts w:cs="Arial"/>
              </w:rPr>
              <w:t>:</w:t>
            </w:r>
            <w:r w:rsidRPr="0016655D">
              <w:rPr>
                <w:rFonts w:cs="Arial"/>
              </w:rPr>
              <w:t xml:space="preserve"> (i) refractory to steroid treatment, (ii) dependent on steroid treatment, (iii) intolerant to steroid treatment</w:t>
            </w:r>
          </w:p>
        </w:tc>
      </w:tr>
      <w:tr w:rsidR="003D6A75" w:rsidRPr="0016655D" w14:paraId="2FD3DF77"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F525340" w14:textId="77777777" w:rsidR="003D6A75" w:rsidRPr="0016655D" w:rsidRDefault="003D6A75" w:rsidP="003D6A75">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5450838F" w14:textId="2EFAB215" w:rsidR="003D6A75" w:rsidRPr="0016655D" w:rsidRDefault="003D6A75" w:rsidP="003D6A75">
            <w:pPr>
              <w:pStyle w:val="TableText"/>
              <w:keepNext w:val="0"/>
              <w:rPr>
                <w:rFonts w:cs="Arial"/>
              </w:rPr>
            </w:pPr>
            <w:r w:rsidRPr="0016655D">
              <w:rPr>
                <w:rFonts w:cs="Arial"/>
                <w:b/>
                <w:bCs w:val="0"/>
              </w:rPr>
              <w:t>AND</w:t>
            </w:r>
          </w:p>
        </w:tc>
      </w:tr>
      <w:tr w:rsidR="003D6A75" w:rsidRPr="0016655D" w14:paraId="5B8EBBF4"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18B3786" w14:textId="77777777" w:rsidR="003D6A75" w:rsidRPr="0016655D" w:rsidRDefault="003D6A75" w:rsidP="003D6A75">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54DDC9AC" w14:textId="628E8E58" w:rsidR="003D6A75" w:rsidRPr="0016655D" w:rsidRDefault="003D6A75" w:rsidP="003D6A75">
            <w:pPr>
              <w:pStyle w:val="TableText"/>
              <w:keepNext w:val="0"/>
              <w:rPr>
                <w:rFonts w:cs="Arial"/>
              </w:rPr>
            </w:pPr>
            <w:r w:rsidRPr="0016655D">
              <w:rPr>
                <w:rFonts w:cs="Arial"/>
                <w:b/>
                <w:bCs w:val="0"/>
              </w:rPr>
              <w:t>Clinical criteria:</w:t>
            </w:r>
          </w:p>
        </w:tc>
      </w:tr>
      <w:tr w:rsidR="003D6A75" w:rsidRPr="0016655D" w14:paraId="32019C0C"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4A434BB" w14:textId="6AFC4F37" w:rsidR="003D6A75" w:rsidRPr="0016655D" w:rsidRDefault="003D6A75" w:rsidP="003D6A75">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2A87ACEC" w14:textId="6F2EF503" w:rsidR="003D6A75" w:rsidRPr="0016655D" w:rsidRDefault="003D6A75" w:rsidP="003D6A75">
            <w:pPr>
              <w:pStyle w:val="TableText"/>
              <w:keepNext w:val="0"/>
              <w:rPr>
                <w:rFonts w:cs="Arial"/>
              </w:rPr>
            </w:pPr>
            <w:r>
              <w:rPr>
                <w:rFonts w:cs="Arial"/>
              </w:rPr>
              <w:t>The treatment must be commenced no more than 100 days after receiving an allogenic haematopoietic stem cell transplantation</w:t>
            </w:r>
          </w:p>
        </w:tc>
      </w:tr>
      <w:tr w:rsidR="003D6A75" w:rsidRPr="0016655D" w14:paraId="1B101027"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B07AAF8" w14:textId="77777777" w:rsidR="003D6A75" w:rsidRPr="0016655D" w:rsidRDefault="003D6A75" w:rsidP="003D6A75">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1036A2CB" w14:textId="77777777" w:rsidR="003D6A75" w:rsidRPr="0016655D" w:rsidRDefault="003D6A75" w:rsidP="003D6A75">
            <w:pPr>
              <w:pStyle w:val="TableText"/>
              <w:keepNext w:val="0"/>
              <w:rPr>
                <w:rFonts w:cs="Arial"/>
              </w:rPr>
            </w:pPr>
          </w:p>
        </w:tc>
      </w:tr>
      <w:tr w:rsidR="003D6A75" w:rsidRPr="0016655D" w14:paraId="5F647FC2"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524869CE" w14:textId="77777777" w:rsidR="003D6A75" w:rsidRPr="0016655D" w:rsidRDefault="003D6A75" w:rsidP="003D6A75">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3F0FE22C" w14:textId="77777777" w:rsidR="003D6A75" w:rsidRPr="0016655D" w:rsidRDefault="003D6A75" w:rsidP="003D6A75">
            <w:pPr>
              <w:pStyle w:val="TableText"/>
              <w:keepNext w:val="0"/>
              <w:rPr>
                <w:rFonts w:cs="Arial"/>
              </w:rPr>
            </w:pPr>
            <w:r w:rsidRPr="0016655D">
              <w:rPr>
                <w:b/>
              </w:rPr>
              <w:t>Treatment criteria:</w:t>
            </w:r>
          </w:p>
        </w:tc>
      </w:tr>
      <w:tr w:rsidR="003D6A75" w:rsidRPr="0016655D" w14:paraId="504B5E13"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2D862426" w14:textId="6C77E26B" w:rsidR="003D6A75" w:rsidRPr="0016655D" w:rsidRDefault="003D6A75" w:rsidP="003D6A75">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0E258426" w14:textId="72091432" w:rsidR="003D6A75" w:rsidRPr="0016655D" w:rsidRDefault="003D6A75" w:rsidP="003D6A75">
            <w:pPr>
              <w:pStyle w:val="TableText"/>
              <w:keepNext w:val="0"/>
              <w:rPr>
                <w:rFonts w:cs="Arial"/>
              </w:rPr>
            </w:pPr>
            <w:r w:rsidRPr="0016655D">
              <w:rPr>
                <w:rFonts w:cs="Arial"/>
              </w:rPr>
              <w:t>Must be treated by</w:t>
            </w:r>
            <w:r w:rsidRPr="0016655D">
              <w:rPr>
                <w:rFonts w:cs="Arial"/>
                <w:i/>
                <w:iCs/>
              </w:rPr>
              <w:t xml:space="preserve"> </w:t>
            </w:r>
            <w:r>
              <w:rPr>
                <w:rFonts w:cs="Arial"/>
              </w:rPr>
              <w:t xml:space="preserve">a medical practitioner who is </w:t>
            </w:r>
            <w:r w:rsidRPr="0016655D">
              <w:rPr>
                <w:rFonts w:cs="Arial"/>
              </w:rPr>
              <w:t>either</w:t>
            </w:r>
            <w:r>
              <w:rPr>
                <w:rFonts w:cs="Arial"/>
              </w:rPr>
              <w:t>:</w:t>
            </w:r>
            <w:r w:rsidRPr="0016655D">
              <w:rPr>
                <w:rFonts w:cs="Arial"/>
              </w:rPr>
              <w:t xml:space="preserve"> (i) a haematologist, (ii) an oncologist with allogeneic bone marrow transplantation experience, (iii) a medical practitioner working under the direct supervision of one of the afore-mentioned specialist types</w:t>
            </w:r>
          </w:p>
        </w:tc>
      </w:tr>
      <w:tr w:rsidR="003D6A75" w:rsidRPr="0016655D" w14:paraId="612EF33B"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63F02EAF" w14:textId="77777777" w:rsidR="003D6A75" w:rsidRPr="0016655D" w:rsidRDefault="003D6A75" w:rsidP="003D6A75">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103BCCDD" w14:textId="77777777" w:rsidR="003D6A75" w:rsidRPr="0016655D" w:rsidRDefault="003D6A75" w:rsidP="003D6A75">
            <w:pPr>
              <w:pStyle w:val="TableText"/>
              <w:keepNext w:val="0"/>
              <w:rPr>
                <w:rFonts w:cs="Arial"/>
              </w:rPr>
            </w:pPr>
          </w:p>
        </w:tc>
      </w:tr>
      <w:tr w:rsidR="003D6A75" w:rsidRPr="0016655D" w14:paraId="0EFADF71"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467A4D54" w14:textId="0DF7E123" w:rsidR="003D6A75" w:rsidRPr="0016655D" w:rsidRDefault="003D6A75" w:rsidP="003D6A75">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5CF556C5" w14:textId="77777777" w:rsidR="003D6A75" w:rsidRPr="0016655D" w:rsidRDefault="003D6A75" w:rsidP="003D6A75">
            <w:pPr>
              <w:pStyle w:val="TableText"/>
              <w:keepNext w:val="0"/>
              <w:rPr>
                <w:b/>
              </w:rPr>
            </w:pPr>
            <w:r w:rsidRPr="0016655D">
              <w:rPr>
                <w:b/>
              </w:rPr>
              <w:t>Prescriber instructions:</w:t>
            </w:r>
          </w:p>
          <w:p w14:paraId="4B0EB9CE" w14:textId="0EDADC34" w:rsidR="003D6A75" w:rsidRPr="0016655D" w:rsidRDefault="003D6A75" w:rsidP="003D6A75">
            <w:pPr>
              <w:pStyle w:val="CommentText"/>
              <w:rPr>
                <w:rFonts w:ascii="Arial Narrow" w:hAnsi="Arial Narrow"/>
              </w:rPr>
            </w:pPr>
            <w:r w:rsidRPr="0016655D">
              <w:rPr>
                <w:rFonts w:ascii="Arial Narrow" w:hAnsi="Arial Narrow"/>
              </w:rPr>
              <w:t xml:space="preserve">The severity of aGVHD is defined by the </w:t>
            </w:r>
            <w:r w:rsidR="00BA504B" w:rsidRPr="00B806F8">
              <w:rPr>
                <w:rFonts w:ascii="Arial Narrow" w:hAnsi="Arial Narrow"/>
              </w:rPr>
              <w:t>Mount Sinai Acute GVHD International Consortium</w:t>
            </w:r>
            <w:r w:rsidR="00BA504B" w:rsidRPr="00320844">
              <w:rPr>
                <w:rFonts w:ascii="Arial Narrow" w:hAnsi="Arial Narrow"/>
              </w:rPr>
              <w:t xml:space="preserve"> </w:t>
            </w:r>
            <w:r w:rsidRPr="0016655D">
              <w:rPr>
                <w:rFonts w:ascii="Arial Narrow" w:hAnsi="Arial Narrow"/>
                <w:i/>
                <w:iCs/>
              </w:rPr>
              <w:t>(</w:t>
            </w:r>
            <w:r w:rsidRPr="0016655D">
              <w:rPr>
                <w:rFonts w:ascii="Arial Narrow" w:hAnsi="Arial Narrow"/>
              </w:rPr>
              <w:t>MAGIC</w:t>
            </w:r>
            <w:r w:rsidRPr="0016655D">
              <w:rPr>
                <w:rFonts w:ascii="Arial Narrow" w:hAnsi="Arial Narrow"/>
                <w:i/>
                <w:iCs/>
              </w:rPr>
              <w:t xml:space="preserve">) </w:t>
            </w:r>
            <w:r w:rsidRPr="0016655D">
              <w:rPr>
                <w:rFonts w:ascii="Arial Narrow" w:hAnsi="Arial Narrow"/>
              </w:rPr>
              <w:t xml:space="preserve">criteria </w:t>
            </w:r>
            <w:r>
              <w:rPr>
                <w:rFonts w:ascii="Arial Narrow" w:hAnsi="Arial Narrow"/>
              </w:rPr>
              <w:t xml:space="preserve">(Harris et al., 2016) </w:t>
            </w:r>
          </w:p>
        </w:tc>
      </w:tr>
      <w:tr w:rsidR="003D6A75" w:rsidRPr="0016655D" w14:paraId="4675A358" w14:textId="77777777" w:rsidTr="0016655D">
        <w:trPr>
          <w:cantSplit/>
          <w:trHeight w:val="3619"/>
        </w:trPr>
        <w:tc>
          <w:tcPr>
            <w:tcW w:w="548" w:type="pct"/>
            <w:tcBorders>
              <w:top w:val="single" w:sz="4" w:space="0" w:color="auto"/>
              <w:left w:val="single" w:sz="4" w:space="0" w:color="auto"/>
              <w:right w:val="single" w:sz="4" w:space="0" w:color="auto"/>
            </w:tcBorders>
          </w:tcPr>
          <w:p w14:paraId="495AB017" w14:textId="70C36DAC" w:rsidR="003D6A75" w:rsidRPr="0016655D" w:rsidRDefault="003D6A75" w:rsidP="003D6A75">
            <w:pPr>
              <w:pStyle w:val="TableText"/>
              <w:keepNext w:val="0"/>
              <w:jc w:val="center"/>
              <w:rPr>
                <w:b/>
              </w:rPr>
            </w:pPr>
          </w:p>
        </w:tc>
        <w:tc>
          <w:tcPr>
            <w:tcW w:w="4452" w:type="pct"/>
            <w:tcBorders>
              <w:top w:val="single" w:sz="4" w:space="0" w:color="auto"/>
              <w:left w:val="single" w:sz="4" w:space="0" w:color="auto"/>
              <w:right w:val="single" w:sz="4" w:space="0" w:color="auto"/>
            </w:tcBorders>
          </w:tcPr>
          <w:p w14:paraId="37224B7B" w14:textId="77777777" w:rsidR="003D6A75" w:rsidRPr="0016655D" w:rsidRDefault="003D6A75" w:rsidP="003D6A75">
            <w:pPr>
              <w:pStyle w:val="TableText"/>
              <w:keepNext w:val="0"/>
              <w:rPr>
                <w:b/>
              </w:rPr>
            </w:pPr>
            <w:r w:rsidRPr="0016655D">
              <w:rPr>
                <w:b/>
              </w:rPr>
              <w:t>Prescriber instructions:</w:t>
            </w:r>
          </w:p>
          <w:p w14:paraId="39B68174" w14:textId="77777777" w:rsidR="003D6A75" w:rsidRPr="0016655D" w:rsidRDefault="003D6A75" w:rsidP="003D6A75">
            <w:pPr>
              <w:pStyle w:val="TableText"/>
              <w:keepNext w:val="0"/>
              <w:rPr>
                <w:rFonts w:cs="Arial"/>
              </w:rPr>
            </w:pPr>
            <w:r w:rsidRPr="0016655D">
              <w:rPr>
                <w:rFonts w:cs="Arial"/>
              </w:rPr>
              <w:t>Steroid-refractory disease is defined as:</w:t>
            </w:r>
          </w:p>
          <w:p w14:paraId="29911BD4" w14:textId="77777777" w:rsidR="003D6A75" w:rsidRPr="0016655D" w:rsidRDefault="003D6A75" w:rsidP="003D6A75">
            <w:pPr>
              <w:pStyle w:val="TableText"/>
              <w:keepNext w:val="0"/>
              <w:rPr>
                <w:rFonts w:cs="Arial"/>
              </w:rPr>
            </w:pPr>
            <w:r w:rsidRPr="0016655D">
              <w:rPr>
                <w:rFonts w:cs="Arial"/>
              </w:rPr>
              <w:t>(a) Progression after at least 3 days of high-dose systemic corticosteroid (methylprednisolone 2 mg/kg/day [or equivalent prednisone dose 2.5 mg/kg/day]) with or without calcineurin inhibitors for the treatment of Grade II-IV aGVHD, OR</w:t>
            </w:r>
          </w:p>
          <w:p w14:paraId="3EE561F1" w14:textId="453177F0" w:rsidR="003D6A75" w:rsidRDefault="003D6A75" w:rsidP="003D6A75">
            <w:pPr>
              <w:pStyle w:val="TableText"/>
              <w:keepNext w:val="0"/>
              <w:rPr>
                <w:rFonts w:cs="Arial"/>
              </w:rPr>
            </w:pPr>
            <w:r w:rsidRPr="0016655D">
              <w:rPr>
                <w:rFonts w:cs="Arial"/>
              </w:rPr>
              <w:t>(b) Failure to achieve a partial response after 5 days at the time of initiation of high-dose systemic corticosteroid (methylprednisolone 2 mg/kg/day [or equivalent prednisone dose 2.5 mg/kg/day]) with or without calcineurin inhibitors for the treatment of Grade II-IV aGVHD</w:t>
            </w:r>
          </w:p>
          <w:p w14:paraId="15D30CC7" w14:textId="77777777" w:rsidR="003D6A75" w:rsidRPr="0016655D" w:rsidRDefault="003D6A75" w:rsidP="003D6A75">
            <w:pPr>
              <w:pStyle w:val="TableText"/>
              <w:keepNext w:val="0"/>
              <w:rPr>
                <w:rFonts w:cs="Arial"/>
              </w:rPr>
            </w:pPr>
          </w:p>
          <w:p w14:paraId="59BBB835" w14:textId="4E8DB465" w:rsidR="003D6A75" w:rsidRPr="0016655D" w:rsidRDefault="003D6A75" w:rsidP="003D6A75">
            <w:pPr>
              <w:pStyle w:val="TableText"/>
              <w:keepNext w:val="0"/>
              <w:rPr>
                <w:rFonts w:cs="Arial"/>
              </w:rPr>
            </w:pPr>
            <w:r w:rsidRPr="0016655D">
              <w:rPr>
                <w:rFonts w:cs="Arial"/>
              </w:rPr>
              <w:t>Steroid-dependent disease is defined as</w:t>
            </w:r>
            <w:r>
              <w:rPr>
                <w:rFonts w:cs="Arial"/>
              </w:rPr>
              <w:t xml:space="preserve"> f</w:t>
            </w:r>
            <w:r w:rsidRPr="0016655D">
              <w:rPr>
                <w:rFonts w:cs="Arial"/>
              </w:rPr>
              <w:t>ailed corticosteroid taper involving</w:t>
            </w:r>
            <w:r w:rsidRPr="0016655D">
              <w:rPr>
                <w:rFonts w:cs="Arial"/>
                <w:i/>
                <w:iCs/>
              </w:rPr>
              <w:t xml:space="preserve"> </w:t>
            </w:r>
            <w:r w:rsidRPr="0016655D">
              <w:rPr>
                <w:rFonts w:cs="Arial"/>
              </w:rPr>
              <w:t>either one of the following criteria:</w:t>
            </w:r>
          </w:p>
          <w:p w14:paraId="1196A8A4" w14:textId="493C755D" w:rsidR="003D6A75" w:rsidRPr="0016655D" w:rsidRDefault="003D6A75" w:rsidP="003D6A75">
            <w:pPr>
              <w:pStyle w:val="TableText"/>
              <w:keepNext w:val="0"/>
              <w:ind w:left="607"/>
              <w:rPr>
                <w:rFonts w:cs="Arial"/>
              </w:rPr>
            </w:pPr>
            <w:r w:rsidRPr="0016655D">
              <w:rPr>
                <w:rFonts w:cs="Arial"/>
              </w:rPr>
              <w:t>(i) an increase in the corticosteroid dose to methylprednisolone ≥ 2 mg/kg/day (or equivalent prednisone dose ≥ 2.5 mg/kg/day) OR</w:t>
            </w:r>
          </w:p>
          <w:p w14:paraId="5BD06348" w14:textId="5C9DF8EC" w:rsidR="003D6A75" w:rsidRDefault="003D6A75" w:rsidP="003D6A75">
            <w:pPr>
              <w:pStyle w:val="TableText"/>
              <w:keepNext w:val="0"/>
              <w:ind w:left="607"/>
              <w:rPr>
                <w:rFonts w:cs="Arial"/>
              </w:rPr>
            </w:pPr>
            <w:r w:rsidRPr="0016655D">
              <w:rPr>
                <w:rFonts w:cs="Arial"/>
              </w:rPr>
              <w:t>(ii)Failure to taper the methylprednisolone dose to &lt;0.5 mg/kg/day (or equivalent prednisone dose &lt;0.6 mg/kg/day) for a minimum 7 days</w:t>
            </w:r>
          </w:p>
          <w:p w14:paraId="33634C47" w14:textId="77777777" w:rsidR="003D6A75" w:rsidRPr="0016655D" w:rsidRDefault="003D6A75" w:rsidP="003D6A75">
            <w:pPr>
              <w:pStyle w:val="TableText"/>
              <w:keepNext w:val="0"/>
              <w:ind w:left="607"/>
              <w:rPr>
                <w:rFonts w:cs="Arial"/>
              </w:rPr>
            </w:pPr>
          </w:p>
          <w:p w14:paraId="67A55288" w14:textId="006AFC1B" w:rsidR="003D6A75" w:rsidRDefault="003D6A75" w:rsidP="003D6A75">
            <w:pPr>
              <w:pStyle w:val="TableText"/>
              <w:keepNext w:val="0"/>
              <w:rPr>
                <w:rFonts w:cs="Arial"/>
              </w:rPr>
            </w:pPr>
            <w:r w:rsidRPr="0016655D">
              <w:rPr>
                <w:rFonts w:cs="Arial"/>
              </w:rPr>
              <w:t xml:space="preserve">Steroid intolerance is defined as </w:t>
            </w:r>
            <w:r>
              <w:rPr>
                <w:rFonts w:cs="Arial"/>
              </w:rPr>
              <w:t xml:space="preserve">a </w:t>
            </w:r>
            <w:r w:rsidRPr="0016655D">
              <w:rPr>
                <w:rFonts w:cs="Arial"/>
              </w:rPr>
              <w:t>patient develop</w:t>
            </w:r>
            <w:r>
              <w:rPr>
                <w:rFonts w:cs="Arial"/>
              </w:rPr>
              <w:t>ing</w:t>
            </w:r>
            <w:r w:rsidRPr="0016655D">
              <w:rPr>
                <w:rFonts w:cs="Arial"/>
              </w:rPr>
              <w:t xml:space="preserve"> an intolerance of a severity necessitating treatment withdrawal.</w:t>
            </w:r>
          </w:p>
          <w:p w14:paraId="06E512A4" w14:textId="77777777" w:rsidR="003D6A75" w:rsidRDefault="003D6A75" w:rsidP="003D6A75">
            <w:pPr>
              <w:pStyle w:val="TableText"/>
              <w:keepNext w:val="0"/>
              <w:rPr>
                <w:rFonts w:cs="Arial"/>
              </w:rPr>
            </w:pPr>
          </w:p>
          <w:p w14:paraId="647DBAD7" w14:textId="0C2A42DA" w:rsidR="003D6A75" w:rsidRPr="0016655D" w:rsidRDefault="003D6A75" w:rsidP="003D6A75">
            <w:pPr>
              <w:pStyle w:val="TableText"/>
              <w:keepNext w:val="0"/>
              <w:rPr>
                <w:rFonts w:cs="Arial"/>
              </w:rPr>
            </w:pPr>
            <w:r>
              <w:rPr>
                <w:rFonts w:cs="Arial"/>
              </w:rPr>
              <w:t>Details of prior steroid use should be documented in the patient’s medical records</w:t>
            </w:r>
          </w:p>
        </w:tc>
      </w:tr>
      <w:tr w:rsidR="003D6A75" w:rsidRPr="0016655D" w14:paraId="3CDBD59C"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FFA30A2" w14:textId="145343F7" w:rsidR="003D6A75" w:rsidRPr="0016655D" w:rsidRDefault="003D6A75" w:rsidP="003D6A75">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5CBA0342" w14:textId="77777777" w:rsidR="003D6A75" w:rsidRPr="00804971" w:rsidRDefault="003D6A75" w:rsidP="003D6A75">
            <w:pPr>
              <w:pStyle w:val="TableText"/>
              <w:keepNext w:val="0"/>
              <w:rPr>
                <w:b/>
              </w:rPr>
            </w:pPr>
            <w:r w:rsidRPr="00804971">
              <w:rPr>
                <w:b/>
              </w:rPr>
              <w:t>Prescriber instructions:</w:t>
            </w:r>
          </w:p>
          <w:p w14:paraId="671BE4C6" w14:textId="77777777" w:rsidR="003D6A75" w:rsidRPr="00804971" w:rsidRDefault="003D6A75" w:rsidP="003D6A75">
            <w:pPr>
              <w:pStyle w:val="TableText"/>
              <w:keepNext w:val="0"/>
              <w:rPr>
                <w:rFonts w:cs="Arial"/>
              </w:rPr>
            </w:pPr>
            <w:r w:rsidRPr="00804971">
              <w:rPr>
                <w:rFonts w:cs="Arial"/>
              </w:rPr>
              <w:t xml:space="preserve">A patient must demonstrate a response 14 days after initiating treatment with ruxolitinib to be eligible for continuing treatment. </w:t>
            </w:r>
          </w:p>
          <w:p w14:paraId="34246C0D" w14:textId="77777777" w:rsidR="003D6A75" w:rsidRPr="00804971" w:rsidRDefault="003D6A75" w:rsidP="003D6A75">
            <w:pPr>
              <w:pStyle w:val="TableText"/>
              <w:keepNext w:val="0"/>
              <w:rPr>
                <w:rFonts w:cs="Arial"/>
              </w:rPr>
            </w:pPr>
          </w:p>
          <w:p w14:paraId="74520CAE" w14:textId="60E1EE88" w:rsidR="003D6A75" w:rsidRPr="00804971" w:rsidRDefault="003D6A75" w:rsidP="003D6A75">
            <w:pPr>
              <w:pStyle w:val="TableText"/>
              <w:keepNext w:val="0"/>
              <w:rPr>
                <w:rFonts w:cs="Arial"/>
              </w:rPr>
            </w:pPr>
            <w:r w:rsidRPr="00804971">
              <w:rPr>
                <w:rFonts w:cs="Arial"/>
              </w:rPr>
              <w:t xml:space="preserve">Response is defined as attaining a complete or partial response as assessed </w:t>
            </w:r>
            <w:r w:rsidRPr="00320844">
              <w:rPr>
                <w:rFonts w:cs="Arial"/>
              </w:rPr>
              <w:t xml:space="preserve">by </w:t>
            </w:r>
            <w:r w:rsidR="00BA504B" w:rsidRPr="00B806F8">
              <w:rPr>
                <w:i/>
                <w:iCs/>
              </w:rPr>
              <w:t>Mount Sinai Acute GVHD International Consortium</w:t>
            </w:r>
            <w:r w:rsidRPr="00320844">
              <w:rPr>
                <w:rFonts w:cs="Arial"/>
                <w:i/>
                <w:iCs/>
              </w:rPr>
              <w:t xml:space="preserve"> (</w:t>
            </w:r>
            <w:r w:rsidRPr="00320844">
              <w:rPr>
                <w:rFonts w:cs="Arial"/>
              </w:rPr>
              <w:t>MAGIC</w:t>
            </w:r>
            <w:r w:rsidRPr="00320844">
              <w:rPr>
                <w:rFonts w:cs="Arial"/>
                <w:i/>
                <w:iCs/>
              </w:rPr>
              <w:t>)</w:t>
            </w:r>
            <w:r w:rsidRPr="00320844">
              <w:rPr>
                <w:rFonts w:cs="Arial"/>
              </w:rPr>
              <w:t xml:space="preserve"> criteria (Harris et al., 2016). Note that response </w:t>
            </w:r>
            <w:r w:rsidRPr="00804971">
              <w:rPr>
                <w:rFonts w:cs="Arial"/>
              </w:rPr>
              <w:t>is relative to the assessment of organ function affected by aGVHD prior to commencing initial treatment with ruxolitinib.</w:t>
            </w:r>
          </w:p>
          <w:p w14:paraId="0ABD66E0" w14:textId="77777777" w:rsidR="003D6A75" w:rsidRPr="00804971" w:rsidRDefault="003D6A75" w:rsidP="003D6A75">
            <w:pPr>
              <w:pStyle w:val="TableText"/>
              <w:keepNext w:val="0"/>
              <w:rPr>
                <w:rFonts w:cs="Arial"/>
              </w:rPr>
            </w:pPr>
            <w:r w:rsidRPr="00804971">
              <w:t xml:space="preserve">(a) </w:t>
            </w:r>
            <w:r w:rsidRPr="00804971">
              <w:rPr>
                <w:rFonts w:cs="Arial"/>
              </w:rPr>
              <w:t xml:space="preserve">Complete response </w:t>
            </w:r>
            <w:r>
              <w:rPr>
                <w:rFonts w:cs="Arial"/>
              </w:rPr>
              <w:t>i</w:t>
            </w:r>
            <w:r w:rsidRPr="00804971">
              <w:rPr>
                <w:rFonts w:cs="Arial"/>
              </w:rPr>
              <w:t>s defined as a score of 0 for the aGVHD grading in all evaluable organs that indicates complete resolution of all signs and symptoms of aGVHD in all evaluable organs without administration of additional systemic therapies for any earlier progression, mixed response or non-response of aGVHD.</w:t>
            </w:r>
          </w:p>
          <w:p w14:paraId="1F205600" w14:textId="77777777" w:rsidR="003D6A75" w:rsidRDefault="003D6A75" w:rsidP="003D6A75">
            <w:pPr>
              <w:pStyle w:val="TableText"/>
              <w:keepNext w:val="0"/>
              <w:rPr>
                <w:rFonts w:cs="Arial"/>
              </w:rPr>
            </w:pPr>
            <w:r w:rsidRPr="00804971">
              <w:rPr>
                <w:rFonts w:cs="Arial"/>
              </w:rPr>
              <w:t xml:space="preserve">(b) Partial response </w:t>
            </w:r>
            <w:r>
              <w:rPr>
                <w:rFonts w:cs="Arial"/>
              </w:rPr>
              <w:t>i</w:t>
            </w:r>
            <w:r w:rsidRPr="00804971">
              <w:rPr>
                <w:rFonts w:cs="Arial"/>
              </w:rPr>
              <w:t>s defined as improvement of one stage in one or more organs involved with aGVHD signs or symptoms without progression in other organs or sites without administration of additional systemic therapies for an earlier progression, mixed response, or non-response of aGVHD.</w:t>
            </w:r>
          </w:p>
          <w:p w14:paraId="36900170" w14:textId="77777777" w:rsidR="003D6A75" w:rsidRDefault="003D6A75" w:rsidP="003D6A75">
            <w:pPr>
              <w:pStyle w:val="TableText"/>
              <w:keepNext w:val="0"/>
              <w:rPr>
                <w:rFonts w:cs="Arial"/>
                <w:b/>
              </w:rPr>
            </w:pPr>
          </w:p>
          <w:p w14:paraId="7C289B54" w14:textId="69C9F239" w:rsidR="003D6A75" w:rsidRPr="0016655D" w:rsidRDefault="003D6A75" w:rsidP="003D6A75">
            <w:pPr>
              <w:pStyle w:val="TableText"/>
              <w:keepNext w:val="0"/>
              <w:rPr>
                <w:b/>
              </w:rPr>
            </w:pPr>
            <w:r>
              <w:rPr>
                <w:bCs w:val="0"/>
              </w:rPr>
              <w:t>The assessment of response must be documented in the patient’s medical records</w:t>
            </w:r>
          </w:p>
        </w:tc>
      </w:tr>
      <w:tr w:rsidR="003D6A75" w:rsidRPr="0016655D" w14:paraId="04DEFE9F"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6F988C1" w14:textId="77777777" w:rsidR="003D6A75" w:rsidRDefault="003D6A75" w:rsidP="003D6A75">
            <w:pPr>
              <w:pStyle w:val="TableText"/>
              <w:keepNext w:val="0"/>
              <w:rPr>
                <w:bCs w:val="0"/>
              </w:rPr>
            </w:pPr>
          </w:p>
        </w:tc>
        <w:tc>
          <w:tcPr>
            <w:tcW w:w="4452" w:type="pct"/>
            <w:tcBorders>
              <w:top w:val="single" w:sz="4" w:space="0" w:color="auto"/>
              <w:left w:val="single" w:sz="4" w:space="0" w:color="auto"/>
              <w:bottom w:val="single" w:sz="4" w:space="0" w:color="auto"/>
              <w:right w:val="single" w:sz="4" w:space="0" w:color="auto"/>
            </w:tcBorders>
          </w:tcPr>
          <w:p w14:paraId="1E001980" w14:textId="77777777" w:rsidR="003D6A75" w:rsidRPr="00804971" w:rsidRDefault="003D6A75" w:rsidP="003D6A75">
            <w:pPr>
              <w:pStyle w:val="TableText"/>
              <w:keepNext w:val="0"/>
              <w:rPr>
                <w:b/>
              </w:rPr>
            </w:pPr>
          </w:p>
        </w:tc>
      </w:tr>
      <w:tr w:rsidR="003D6A75" w:rsidRPr="0016655D" w14:paraId="03811C9A"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589E9152" w14:textId="59632489" w:rsidR="003D6A75" w:rsidRPr="0016655D" w:rsidRDefault="003D6A75" w:rsidP="003D6A75">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5639D3D9" w14:textId="77777777" w:rsidR="003D6A75" w:rsidRPr="0016655D" w:rsidRDefault="003D6A75" w:rsidP="003D6A75">
            <w:pPr>
              <w:pStyle w:val="TableText"/>
              <w:keepNext w:val="0"/>
              <w:rPr>
                <w:rFonts w:cs="Arial"/>
              </w:rPr>
            </w:pPr>
            <w:r w:rsidRPr="0016655D">
              <w:rPr>
                <w:b/>
              </w:rPr>
              <w:t xml:space="preserve">Administrative advice: </w:t>
            </w:r>
            <w:r w:rsidRPr="0016655D">
              <w:rPr>
                <w:rFonts w:cs="Arial"/>
              </w:rPr>
              <w:t>This drug is not PBS-subsidised if it is prescribed to an in-patient in a public hospital setting</w:t>
            </w:r>
          </w:p>
        </w:tc>
      </w:tr>
      <w:tr w:rsidR="003D6A75" w:rsidRPr="0016655D" w14:paraId="621C9601"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B330196" w14:textId="4B7D7263" w:rsidR="003D6A75" w:rsidRPr="0016655D" w:rsidRDefault="003D6A75" w:rsidP="003D6A75">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3ED08F77" w14:textId="77777777" w:rsidR="003D6A75" w:rsidRPr="0016655D" w:rsidRDefault="003D6A75" w:rsidP="003D6A75">
            <w:pPr>
              <w:pStyle w:val="TableText"/>
              <w:keepNext w:val="0"/>
              <w:rPr>
                <w:b/>
              </w:rPr>
            </w:pPr>
            <w:r w:rsidRPr="0016655D">
              <w:rPr>
                <w:b/>
              </w:rPr>
              <w:t xml:space="preserve">Administrative advice: </w:t>
            </w:r>
            <w:r w:rsidRPr="0016655D">
              <w:rPr>
                <w:bCs w:val="0"/>
              </w:rPr>
              <w:t>Special Pricing Arrangements apply</w:t>
            </w:r>
          </w:p>
        </w:tc>
      </w:tr>
    </w:tbl>
    <w:p w14:paraId="7DB39307" w14:textId="77777777" w:rsidR="0016655D" w:rsidRPr="0016655D" w:rsidRDefault="0016655D" w:rsidP="0016655D"/>
    <w:tbl>
      <w:tblPr>
        <w:tblW w:w="5000" w:type="pct"/>
        <w:tblLook w:val="0000" w:firstRow="0" w:lastRow="0" w:firstColumn="0" w:lastColumn="0" w:noHBand="0" w:noVBand="0"/>
      </w:tblPr>
      <w:tblGrid>
        <w:gridCol w:w="988"/>
        <w:gridCol w:w="8029"/>
      </w:tblGrid>
      <w:tr w:rsidR="0016655D" w:rsidRPr="0016655D" w14:paraId="0F026B10"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6D1C7E9C"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7932054E" w14:textId="77777777" w:rsidR="0016655D" w:rsidRPr="0016655D" w:rsidRDefault="0016655D" w:rsidP="0016655D">
            <w:pPr>
              <w:pStyle w:val="TableText"/>
              <w:keepNext w:val="0"/>
            </w:pPr>
            <w:r w:rsidRPr="0016655D">
              <w:rPr>
                <w:b/>
              </w:rPr>
              <w:t xml:space="preserve">Category / Program: </w:t>
            </w:r>
            <w:r w:rsidRPr="0016655D">
              <w:t>Section 100 – Highly Specialised Drugs Program</w:t>
            </w:r>
          </w:p>
        </w:tc>
      </w:tr>
      <w:tr w:rsidR="0016655D" w:rsidRPr="0016655D" w14:paraId="64040081"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6AD203AD"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15E3ECE6" w14:textId="2F6F4EE5" w:rsidR="0016655D" w:rsidRPr="0016655D" w:rsidRDefault="0016655D" w:rsidP="0016655D">
            <w:pPr>
              <w:pStyle w:val="TableText"/>
              <w:keepNext w:val="0"/>
            </w:pPr>
            <w:r w:rsidRPr="0016655D">
              <w:rPr>
                <w:b/>
              </w:rPr>
              <w:t xml:space="preserve">Prescriber type: </w:t>
            </w:r>
            <w:r w:rsidRPr="0016655D">
              <w:fldChar w:fldCharType="begin" w:fldLock="1">
                <w:ffData>
                  <w:name w:val="Check1"/>
                  <w:enabled/>
                  <w:calcOnExit w:val="0"/>
                  <w:checkBox>
                    <w:sizeAuto/>
                    <w:default w:val="0"/>
                  </w:checkBox>
                </w:ffData>
              </w:fldChar>
            </w:r>
            <w:r w:rsidRPr="0016655D">
              <w:instrText xml:space="preserve"> FORMCHECKBOX </w:instrText>
            </w:r>
            <w:r w:rsidR="00BD1016">
              <w:fldChar w:fldCharType="separate"/>
            </w:r>
            <w:r w:rsidRPr="0016655D">
              <w:fldChar w:fldCharType="end"/>
            </w:r>
            <w:r w:rsidRPr="0016655D">
              <w:t xml:space="preserve">Dental  </w:t>
            </w:r>
            <w:r w:rsidRPr="0016655D">
              <w:fldChar w:fldCharType="begin" w:fldLock="1">
                <w:ffData>
                  <w:name w:val="Check1"/>
                  <w:enabled/>
                  <w:calcOnExit w:val="0"/>
                  <w:checkBox>
                    <w:sizeAuto/>
                    <w:default w:val="1"/>
                  </w:checkBox>
                </w:ffData>
              </w:fldChar>
            </w:r>
            <w:r w:rsidRPr="0016655D">
              <w:instrText xml:space="preserve"> FORMCHECKBOX </w:instrText>
            </w:r>
            <w:r w:rsidR="00BD1016">
              <w:fldChar w:fldCharType="separate"/>
            </w:r>
            <w:r w:rsidRPr="0016655D">
              <w:fldChar w:fldCharType="end"/>
            </w:r>
            <w:r w:rsidRPr="0016655D">
              <w:t xml:space="preserve">Medical Practitioners  </w:t>
            </w:r>
            <w:r w:rsidRPr="0016655D">
              <w:fldChar w:fldCharType="begin" w:fldLock="1">
                <w:ffData>
                  <w:name w:val="Check1"/>
                  <w:enabled/>
                  <w:calcOnExit w:val="0"/>
                  <w:checkBox>
                    <w:sizeAuto/>
                    <w:default w:val="0"/>
                  </w:checkBox>
                </w:ffData>
              </w:fldChar>
            </w:r>
            <w:r w:rsidRPr="0016655D">
              <w:instrText xml:space="preserve"> FORMCHECKBOX </w:instrText>
            </w:r>
            <w:r w:rsidR="00BD1016">
              <w:fldChar w:fldCharType="separate"/>
            </w:r>
            <w:r w:rsidRPr="0016655D">
              <w:fldChar w:fldCharType="end"/>
            </w:r>
            <w:r w:rsidRPr="0016655D">
              <w:t xml:space="preserve">Nurse practitioners </w:t>
            </w:r>
            <w:r w:rsidRPr="0016655D">
              <w:fldChar w:fldCharType="begin" w:fldLock="1">
                <w:ffData>
                  <w:name w:val="Check1"/>
                  <w:enabled/>
                  <w:calcOnExit w:val="0"/>
                  <w:checkBox>
                    <w:sizeAuto/>
                    <w:default w:val="0"/>
                  </w:checkBox>
                </w:ffData>
              </w:fldChar>
            </w:r>
            <w:r w:rsidRPr="0016655D">
              <w:instrText xml:space="preserve"> FORMCHECKBOX </w:instrText>
            </w:r>
            <w:r w:rsidR="00BD1016">
              <w:fldChar w:fldCharType="separate"/>
            </w:r>
            <w:r w:rsidRPr="0016655D">
              <w:fldChar w:fldCharType="end"/>
            </w:r>
            <w:r w:rsidRPr="0016655D">
              <w:t xml:space="preserve">Optometrists </w:t>
            </w:r>
            <w:r w:rsidRPr="0016655D">
              <w:fldChar w:fldCharType="begin" w:fldLock="1">
                <w:ffData>
                  <w:name w:val="Check1"/>
                  <w:enabled/>
                  <w:calcOnExit w:val="0"/>
                  <w:checkBox>
                    <w:sizeAuto/>
                    <w:default w:val="0"/>
                  </w:checkBox>
                </w:ffData>
              </w:fldChar>
            </w:r>
            <w:r w:rsidRPr="0016655D">
              <w:instrText xml:space="preserve"> FORMCHECKBOX </w:instrText>
            </w:r>
            <w:r w:rsidR="00BD1016">
              <w:fldChar w:fldCharType="separate"/>
            </w:r>
            <w:r w:rsidRPr="0016655D">
              <w:fldChar w:fldCharType="end"/>
            </w:r>
            <w:r w:rsidRPr="0016655D">
              <w:t>Midwives</w:t>
            </w:r>
          </w:p>
        </w:tc>
      </w:tr>
      <w:tr w:rsidR="0016655D" w:rsidRPr="0016655D" w14:paraId="03B183B3"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894439C"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3AF27CFB" w14:textId="77777777" w:rsidR="0016655D" w:rsidRPr="0016655D" w:rsidRDefault="0016655D" w:rsidP="0016655D">
            <w:pPr>
              <w:pStyle w:val="TableText"/>
              <w:keepNext w:val="0"/>
            </w:pPr>
            <w:r w:rsidRPr="0016655D">
              <w:rPr>
                <w:b/>
              </w:rPr>
              <w:t xml:space="preserve">Condition: </w:t>
            </w:r>
            <w:r w:rsidRPr="0016655D">
              <w:t>Acute graft versus host disease (aGVHD)</w:t>
            </w:r>
          </w:p>
        </w:tc>
      </w:tr>
      <w:tr w:rsidR="0016655D" w:rsidRPr="0016655D" w14:paraId="7AA24C8A"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4C162DB0"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09E3939B" w14:textId="77777777" w:rsidR="0016655D" w:rsidRPr="0016655D" w:rsidRDefault="0016655D" w:rsidP="0016655D">
            <w:pPr>
              <w:pStyle w:val="TableText"/>
              <w:keepNext w:val="0"/>
            </w:pPr>
            <w:r w:rsidRPr="0016655D">
              <w:rPr>
                <w:b/>
              </w:rPr>
              <w:t xml:space="preserve">Severity: </w:t>
            </w:r>
            <w:r w:rsidRPr="0016655D">
              <w:t>Grade II to IV</w:t>
            </w:r>
          </w:p>
        </w:tc>
      </w:tr>
      <w:tr w:rsidR="0016655D" w:rsidRPr="0016655D" w14:paraId="70767538"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F5F42EB" w14:textId="269A18E8" w:rsidR="0016655D" w:rsidRPr="0016655D" w:rsidRDefault="0016655D" w:rsidP="0016655D">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449703B8" w14:textId="77777777" w:rsidR="0016655D" w:rsidRPr="0016655D" w:rsidRDefault="0016655D" w:rsidP="0016655D">
            <w:pPr>
              <w:pStyle w:val="TableText"/>
              <w:keepNext w:val="0"/>
            </w:pPr>
            <w:r w:rsidRPr="0016655D">
              <w:rPr>
                <w:b/>
              </w:rPr>
              <w:t xml:space="preserve">PBS Indication: </w:t>
            </w:r>
            <w:r w:rsidRPr="0016655D">
              <w:t>Grade II to IV acute graft versus host disease</w:t>
            </w:r>
          </w:p>
        </w:tc>
      </w:tr>
      <w:tr w:rsidR="0016655D" w:rsidRPr="0016655D" w14:paraId="6015EEC1"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B7BDB36"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29954F74" w14:textId="77777777" w:rsidR="0016655D" w:rsidRPr="0016655D" w:rsidRDefault="0016655D" w:rsidP="0016655D">
            <w:pPr>
              <w:pStyle w:val="TableText"/>
              <w:keepNext w:val="0"/>
            </w:pPr>
            <w:r w:rsidRPr="0016655D">
              <w:rPr>
                <w:b/>
              </w:rPr>
              <w:t xml:space="preserve">Treatment phase: </w:t>
            </w:r>
            <w:r w:rsidRPr="0016655D">
              <w:t>Continuing</w:t>
            </w:r>
          </w:p>
        </w:tc>
      </w:tr>
      <w:tr w:rsidR="0016655D" w:rsidRPr="0016655D" w14:paraId="3660E082"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4475453E" w14:textId="77777777" w:rsidR="0016655D" w:rsidRPr="0016655D" w:rsidRDefault="0016655D" w:rsidP="0016655D">
            <w:pPr>
              <w:pStyle w:val="TableText"/>
              <w:keepNext w:val="0"/>
              <w:rPr>
                <w:i/>
              </w:rPr>
            </w:pPr>
          </w:p>
        </w:tc>
        <w:tc>
          <w:tcPr>
            <w:tcW w:w="4452" w:type="pct"/>
            <w:tcBorders>
              <w:top w:val="single" w:sz="4" w:space="0" w:color="auto"/>
              <w:left w:val="single" w:sz="4" w:space="0" w:color="auto"/>
              <w:bottom w:val="single" w:sz="4" w:space="0" w:color="auto"/>
              <w:right w:val="single" w:sz="4" w:space="0" w:color="auto"/>
            </w:tcBorders>
          </w:tcPr>
          <w:p w14:paraId="0C4B0DE6" w14:textId="67121AAC" w:rsidR="0016655D" w:rsidRPr="0016655D" w:rsidRDefault="0016655D" w:rsidP="0016655D">
            <w:pPr>
              <w:pStyle w:val="TableText"/>
              <w:keepNext w:val="0"/>
            </w:pPr>
            <w:r w:rsidRPr="0016655D">
              <w:rPr>
                <w:b/>
              </w:rPr>
              <w:t xml:space="preserve">Restriction type: </w:t>
            </w:r>
            <w:r w:rsidRPr="0016655D">
              <w:fldChar w:fldCharType="begin" w:fldLock="1">
                <w:ffData>
                  <w:name w:val="Check5"/>
                  <w:enabled/>
                  <w:calcOnExit w:val="0"/>
                  <w:checkBox>
                    <w:sizeAuto/>
                    <w:default w:val="1"/>
                  </w:checkBox>
                </w:ffData>
              </w:fldChar>
            </w:r>
            <w:r w:rsidRPr="0016655D">
              <w:instrText xml:space="preserve"> FORMCHECKBOX </w:instrText>
            </w:r>
            <w:r w:rsidR="00BD1016">
              <w:fldChar w:fldCharType="separate"/>
            </w:r>
            <w:r w:rsidRPr="0016655D">
              <w:fldChar w:fldCharType="end"/>
            </w:r>
            <w:r w:rsidRPr="0016655D">
              <w:t>Streamlined</w:t>
            </w:r>
          </w:p>
        </w:tc>
      </w:tr>
      <w:tr w:rsidR="0016655D" w:rsidRPr="0016655D" w14:paraId="4FCD363A"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D91BEA8" w14:textId="77777777" w:rsidR="0016655D" w:rsidRPr="0016655D" w:rsidRDefault="0016655D" w:rsidP="0016655D">
            <w:pPr>
              <w:pStyle w:val="TableText"/>
              <w:keepNext w:val="0"/>
              <w:rPr>
                <w:i/>
              </w:rPr>
            </w:pPr>
          </w:p>
        </w:tc>
        <w:tc>
          <w:tcPr>
            <w:tcW w:w="4452" w:type="pct"/>
            <w:tcBorders>
              <w:top w:val="single" w:sz="4" w:space="0" w:color="auto"/>
              <w:left w:val="single" w:sz="4" w:space="0" w:color="auto"/>
              <w:bottom w:val="single" w:sz="4" w:space="0" w:color="auto"/>
              <w:right w:val="single" w:sz="4" w:space="0" w:color="auto"/>
            </w:tcBorders>
          </w:tcPr>
          <w:p w14:paraId="1B4C0E4C" w14:textId="77777777" w:rsidR="0016655D" w:rsidRPr="0016655D" w:rsidRDefault="0016655D" w:rsidP="0016655D">
            <w:pPr>
              <w:pStyle w:val="TableText"/>
              <w:keepNext w:val="0"/>
              <w:rPr>
                <w:b/>
              </w:rPr>
            </w:pPr>
          </w:p>
        </w:tc>
      </w:tr>
      <w:tr w:rsidR="0016655D" w:rsidRPr="0016655D" w14:paraId="73E885C4"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EA626E4" w14:textId="00BA4710" w:rsidR="0016655D" w:rsidRPr="00FC0641" w:rsidRDefault="0016655D" w:rsidP="00FC0641">
            <w:pPr>
              <w:pStyle w:val="TableText"/>
              <w:keepNext w:val="0"/>
              <w:jc w:val="center"/>
              <w:rPr>
                <w:iCs/>
              </w:rPr>
            </w:pPr>
          </w:p>
        </w:tc>
        <w:tc>
          <w:tcPr>
            <w:tcW w:w="4452" w:type="pct"/>
            <w:tcBorders>
              <w:top w:val="single" w:sz="4" w:space="0" w:color="auto"/>
              <w:left w:val="single" w:sz="4" w:space="0" w:color="auto"/>
              <w:bottom w:val="single" w:sz="4" w:space="0" w:color="auto"/>
              <w:right w:val="single" w:sz="4" w:space="0" w:color="auto"/>
            </w:tcBorders>
          </w:tcPr>
          <w:p w14:paraId="172EA7D0" w14:textId="77777777" w:rsidR="0016655D" w:rsidRPr="0016655D" w:rsidRDefault="0016655D" w:rsidP="0016655D">
            <w:pPr>
              <w:pStyle w:val="TableText"/>
              <w:keepNext w:val="0"/>
              <w:rPr>
                <w:b/>
              </w:rPr>
            </w:pPr>
            <w:r w:rsidRPr="0016655D">
              <w:rPr>
                <w:b/>
              </w:rPr>
              <w:t>Clinical criteria:</w:t>
            </w:r>
          </w:p>
        </w:tc>
      </w:tr>
      <w:tr w:rsidR="0016655D" w:rsidRPr="0016655D" w14:paraId="47D2C21C"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A609AAD" w14:textId="0544EEEF"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271ABD09" w14:textId="58311DDA" w:rsidR="0016655D" w:rsidRPr="0016655D" w:rsidRDefault="0016655D" w:rsidP="0016655D">
            <w:pPr>
              <w:pStyle w:val="TableText"/>
              <w:rPr>
                <w:rFonts w:cs="Arial"/>
              </w:rPr>
            </w:pPr>
            <w:r w:rsidRPr="0016655D">
              <w:rPr>
                <w:rFonts w:cs="Arial"/>
              </w:rPr>
              <w:t xml:space="preserve">Patient must have </w:t>
            </w:r>
            <w:r w:rsidR="00FC0641">
              <w:rPr>
                <w:rFonts w:cs="Arial"/>
              </w:rPr>
              <w:t xml:space="preserve">previously </w:t>
            </w:r>
            <w:r w:rsidRPr="0016655D">
              <w:rPr>
                <w:rFonts w:cs="Arial"/>
              </w:rPr>
              <w:t>received PBS</w:t>
            </w:r>
            <w:r w:rsidR="00FC0641">
              <w:rPr>
                <w:rFonts w:cs="Arial"/>
              </w:rPr>
              <w:t>-</w:t>
            </w:r>
            <w:r w:rsidRPr="0016655D">
              <w:rPr>
                <w:rFonts w:cs="Arial"/>
              </w:rPr>
              <w:t xml:space="preserve">subsidised treatment with this drug for this condition; </w:t>
            </w:r>
          </w:p>
        </w:tc>
      </w:tr>
      <w:tr w:rsidR="0016655D" w:rsidRPr="0016655D" w14:paraId="3BE4B1F0"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7B6D7CB7"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325682CD" w14:textId="77777777" w:rsidR="0016655D" w:rsidRPr="0016655D" w:rsidRDefault="0016655D" w:rsidP="0016655D">
            <w:pPr>
              <w:pStyle w:val="TableText"/>
              <w:rPr>
                <w:rFonts w:cs="Arial"/>
                <w:b/>
                <w:bCs w:val="0"/>
              </w:rPr>
            </w:pPr>
            <w:r w:rsidRPr="0016655D">
              <w:rPr>
                <w:rFonts w:cs="Arial"/>
                <w:b/>
                <w:bCs w:val="0"/>
              </w:rPr>
              <w:t>AND</w:t>
            </w:r>
          </w:p>
        </w:tc>
      </w:tr>
      <w:tr w:rsidR="0016655D" w:rsidRPr="0016655D" w14:paraId="5E4571CA"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4F8B1842"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262E6E2D" w14:textId="77777777" w:rsidR="0016655D" w:rsidRPr="0016655D" w:rsidRDefault="0016655D" w:rsidP="0016655D">
            <w:pPr>
              <w:pStyle w:val="TableText"/>
              <w:rPr>
                <w:rFonts w:cs="Arial"/>
              </w:rPr>
            </w:pPr>
            <w:r w:rsidRPr="0016655D">
              <w:rPr>
                <w:b/>
              </w:rPr>
              <w:t>Clinical criteria:</w:t>
            </w:r>
          </w:p>
        </w:tc>
      </w:tr>
      <w:tr w:rsidR="0016655D" w:rsidRPr="0016655D" w14:paraId="1433C5B1"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292B2A20" w14:textId="45BB34F2"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77FBDBFF" w14:textId="2EB759CC" w:rsidR="0016655D" w:rsidRPr="0016655D" w:rsidRDefault="0016655D" w:rsidP="0016655D">
            <w:pPr>
              <w:pStyle w:val="TableText"/>
              <w:rPr>
                <w:rFonts w:cs="Arial"/>
              </w:rPr>
            </w:pPr>
            <w:r w:rsidRPr="0016655D">
              <w:rPr>
                <w:rFonts w:cs="Arial"/>
              </w:rPr>
              <w:t xml:space="preserve">Patient must have responding disease </w:t>
            </w:r>
            <w:r w:rsidR="00FC0641" w:rsidRPr="0016655D">
              <w:rPr>
                <w:rFonts w:cs="Arial"/>
              </w:rPr>
              <w:t xml:space="preserve">compared with baseline after 14 days of treatment </w:t>
            </w:r>
            <w:r w:rsidRPr="0016655D">
              <w:rPr>
                <w:rFonts w:cs="Arial"/>
              </w:rPr>
              <w:t>demonstrated by either a</w:t>
            </w:r>
            <w:r w:rsidR="00FC0641">
              <w:rPr>
                <w:rFonts w:cs="Arial"/>
              </w:rPr>
              <w:t>:</w:t>
            </w:r>
            <w:r w:rsidRPr="0016655D">
              <w:rPr>
                <w:rFonts w:cs="Arial"/>
              </w:rPr>
              <w:t xml:space="preserve"> (i) partial response (ii) complete response </w:t>
            </w:r>
          </w:p>
        </w:tc>
      </w:tr>
      <w:tr w:rsidR="0016655D" w:rsidRPr="0016655D" w14:paraId="39A2DA49"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2133DB1D"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5D69A9C5" w14:textId="77777777" w:rsidR="0016655D" w:rsidRPr="0016655D" w:rsidRDefault="0016655D" w:rsidP="0016655D">
            <w:pPr>
              <w:pStyle w:val="TableText"/>
              <w:rPr>
                <w:rFonts w:cs="Arial"/>
              </w:rPr>
            </w:pPr>
          </w:p>
        </w:tc>
      </w:tr>
      <w:tr w:rsidR="0016655D" w:rsidRPr="0016655D" w14:paraId="248FCCD7"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79CF5B1"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1B8A529B" w14:textId="77777777" w:rsidR="0016655D" w:rsidRPr="0016655D" w:rsidRDefault="0016655D" w:rsidP="0016655D">
            <w:pPr>
              <w:pStyle w:val="TableText"/>
              <w:keepNext w:val="0"/>
              <w:rPr>
                <w:rFonts w:cs="Arial"/>
              </w:rPr>
            </w:pPr>
            <w:r w:rsidRPr="0016655D">
              <w:rPr>
                <w:b/>
              </w:rPr>
              <w:t>Treatment criteria:</w:t>
            </w:r>
          </w:p>
        </w:tc>
      </w:tr>
      <w:tr w:rsidR="0016655D" w:rsidRPr="0016655D" w14:paraId="59FFE381"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BB2275A" w14:textId="39EB0C05"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3C9C79F8" w14:textId="3D75819E" w:rsidR="0016655D" w:rsidRPr="0016655D" w:rsidRDefault="0016655D" w:rsidP="0016655D">
            <w:pPr>
              <w:pStyle w:val="TableText"/>
              <w:keepNext w:val="0"/>
              <w:rPr>
                <w:rFonts w:cs="Arial"/>
              </w:rPr>
            </w:pPr>
            <w:r w:rsidRPr="0016655D">
              <w:rPr>
                <w:rFonts w:cs="Arial"/>
              </w:rPr>
              <w:t xml:space="preserve">Must be treated by </w:t>
            </w:r>
            <w:r w:rsidR="00FC0641">
              <w:rPr>
                <w:rFonts w:cs="Arial"/>
              </w:rPr>
              <w:t xml:space="preserve">a medical practitioner who is </w:t>
            </w:r>
            <w:r w:rsidRPr="0016655D">
              <w:rPr>
                <w:rFonts w:cs="Arial"/>
              </w:rPr>
              <w:t>either</w:t>
            </w:r>
            <w:r w:rsidR="00FC0641">
              <w:rPr>
                <w:rFonts w:cs="Arial"/>
              </w:rPr>
              <w:t>:</w:t>
            </w:r>
            <w:r w:rsidRPr="0016655D">
              <w:rPr>
                <w:rFonts w:cs="Arial"/>
              </w:rPr>
              <w:t xml:space="preserve"> (i) a haematologist, (ii) an oncologist with allogeneic bone marrow transplantation experience, (iii) a medical practitioner working under the direct supervision of one of the afore-mentioned specialist types</w:t>
            </w:r>
          </w:p>
        </w:tc>
      </w:tr>
      <w:tr w:rsidR="0016655D" w:rsidRPr="0016655D" w14:paraId="2E98C509"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B75D21C"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120A4228" w14:textId="77777777" w:rsidR="0016655D" w:rsidRPr="0016655D" w:rsidRDefault="0016655D" w:rsidP="0016655D">
            <w:pPr>
              <w:pStyle w:val="TableText"/>
              <w:keepNext w:val="0"/>
              <w:rPr>
                <w:rFonts w:cs="Arial"/>
              </w:rPr>
            </w:pPr>
          </w:p>
        </w:tc>
      </w:tr>
      <w:tr w:rsidR="0016655D" w:rsidRPr="0016655D" w14:paraId="4E9A2807"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5CBAF34" w14:textId="6752156E"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620D3BED" w14:textId="77777777" w:rsidR="0016655D" w:rsidRPr="0016655D" w:rsidRDefault="0016655D" w:rsidP="0016655D">
            <w:pPr>
              <w:pStyle w:val="TableText"/>
              <w:rPr>
                <w:b/>
              </w:rPr>
            </w:pPr>
            <w:r w:rsidRPr="0016655D">
              <w:rPr>
                <w:b/>
              </w:rPr>
              <w:t>Prescriber instructions:</w:t>
            </w:r>
          </w:p>
          <w:p w14:paraId="30C0CB5D" w14:textId="56E1BA17" w:rsidR="0016655D" w:rsidRPr="0016655D" w:rsidRDefault="0016655D" w:rsidP="0016655D">
            <w:pPr>
              <w:pStyle w:val="CommentText"/>
              <w:rPr>
                <w:rFonts w:ascii="Arial Narrow" w:hAnsi="Arial Narrow"/>
              </w:rPr>
            </w:pPr>
            <w:r w:rsidRPr="0016655D">
              <w:rPr>
                <w:rFonts w:ascii="Arial Narrow" w:hAnsi="Arial Narrow"/>
              </w:rPr>
              <w:t xml:space="preserve">Response is defined as attaining a complete or partial response as assessed by </w:t>
            </w:r>
            <w:r w:rsidR="00BA504B" w:rsidRPr="00B806F8">
              <w:rPr>
                <w:rFonts w:ascii="Arial Narrow" w:hAnsi="Arial Narrow"/>
              </w:rPr>
              <w:t>Mount Sinai Acute GVHD International Consortium</w:t>
            </w:r>
            <w:r w:rsidR="00BA504B" w:rsidRPr="00320844">
              <w:rPr>
                <w:rFonts w:ascii="Arial Narrow" w:hAnsi="Arial Narrow"/>
              </w:rPr>
              <w:t xml:space="preserve"> </w:t>
            </w:r>
            <w:r w:rsidRPr="00320844">
              <w:rPr>
                <w:rFonts w:ascii="Arial Narrow" w:hAnsi="Arial Narrow"/>
                <w:i/>
                <w:iCs/>
              </w:rPr>
              <w:t>(</w:t>
            </w:r>
            <w:r w:rsidRPr="00320844">
              <w:rPr>
                <w:rFonts w:ascii="Arial Narrow" w:hAnsi="Arial Narrow"/>
              </w:rPr>
              <w:t>MAGIC</w:t>
            </w:r>
            <w:r w:rsidRPr="00320844">
              <w:rPr>
                <w:rFonts w:ascii="Arial Narrow" w:hAnsi="Arial Narrow"/>
                <w:i/>
                <w:iCs/>
              </w:rPr>
              <w:t>)</w:t>
            </w:r>
            <w:r w:rsidRPr="00320844">
              <w:rPr>
                <w:rFonts w:ascii="Arial Narrow" w:hAnsi="Arial Narrow"/>
              </w:rPr>
              <w:t xml:space="preserve"> criteria</w:t>
            </w:r>
            <w:r w:rsidR="00FC0641" w:rsidRPr="00320844">
              <w:rPr>
                <w:rFonts w:ascii="Arial Narrow" w:hAnsi="Arial Narrow"/>
              </w:rPr>
              <w:t xml:space="preserve"> (Harris et al., 2016)</w:t>
            </w:r>
            <w:r w:rsidRPr="00320844">
              <w:rPr>
                <w:rFonts w:ascii="Arial Narrow" w:hAnsi="Arial Narrow"/>
              </w:rPr>
              <w:t xml:space="preserve">. Note that response </w:t>
            </w:r>
            <w:r w:rsidRPr="0016655D">
              <w:rPr>
                <w:rFonts w:ascii="Arial Narrow" w:hAnsi="Arial Narrow"/>
              </w:rPr>
              <w:t>is relative to the assessment of organ function affected by aGVHD prior to commencing initial treatment with ruxolitinib.</w:t>
            </w:r>
          </w:p>
          <w:p w14:paraId="6F468793" w14:textId="4CE7A780" w:rsidR="0016655D" w:rsidRPr="0016655D" w:rsidRDefault="0016655D" w:rsidP="0016655D">
            <w:pPr>
              <w:pStyle w:val="TableText"/>
              <w:rPr>
                <w:rFonts w:cs="Arial"/>
              </w:rPr>
            </w:pPr>
            <w:r w:rsidRPr="0016655D">
              <w:rPr>
                <w:rFonts w:cs="Arial"/>
              </w:rPr>
              <w:t xml:space="preserve">(a) Complete response </w:t>
            </w:r>
            <w:r w:rsidR="00FC0641">
              <w:rPr>
                <w:rFonts w:cs="Arial"/>
              </w:rPr>
              <w:t>i</w:t>
            </w:r>
            <w:r w:rsidRPr="0016655D">
              <w:rPr>
                <w:rFonts w:cs="Arial"/>
              </w:rPr>
              <w:t>s defined as a score of 0 for the aGVHD grading in all evaluable organs that indicates complete resolution of all signs and symptoms of aGVHD in all evaluable organs without administration of additional systemic therapies for any earlier progression, mixed response or non-response of aGVHD.</w:t>
            </w:r>
          </w:p>
          <w:p w14:paraId="637AC9E4" w14:textId="6E11B655" w:rsidR="0016655D" w:rsidRDefault="0016655D" w:rsidP="0016655D">
            <w:pPr>
              <w:pStyle w:val="TableText"/>
              <w:keepNext w:val="0"/>
              <w:rPr>
                <w:rFonts w:cs="Arial"/>
              </w:rPr>
            </w:pPr>
            <w:r w:rsidRPr="0016655D">
              <w:rPr>
                <w:rFonts w:cs="Arial"/>
              </w:rPr>
              <w:t xml:space="preserve">(b) Partial response </w:t>
            </w:r>
            <w:r w:rsidR="00FC0641">
              <w:rPr>
                <w:rFonts w:cs="Arial"/>
              </w:rPr>
              <w:t>i</w:t>
            </w:r>
            <w:r w:rsidRPr="0016655D">
              <w:rPr>
                <w:rFonts w:cs="Arial"/>
              </w:rPr>
              <w:t>s defined as improvement of one stage in one or more organs involved with aGVHD signs or symptoms without progression in other organs or sites without administration of additional systemic therapies for an earlier progression, mixed response, or non-response of aGVHD.</w:t>
            </w:r>
          </w:p>
          <w:p w14:paraId="315197C2" w14:textId="77777777" w:rsidR="00FC0641" w:rsidRDefault="00FC0641" w:rsidP="0016655D">
            <w:pPr>
              <w:pStyle w:val="TableText"/>
              <w:keepNext w:val="0"/>
              <w:rPr>
                <w:rFonts w:cs="Arial"/>
              </w:rPr>
            </w:pPr>
          </w:p>
          <w:p w14:paraId="7FCBF59B" w14:textId="2237A90C" w:rsidR="00FC0641" w:rsidRPr="0016655D" w:rsidRDefault="00FC0641" w:rsidP="0016655D">
            <w:pPr>
              <w:pStyle w:val="TableText"/>
              <w:keepNext w:val="0"/>
              <w:rPr>
                <w:rFonts w:cs="Arial"/>
              </w:rPr>
            </w:pPr>
            <w:r>
              <w:rPr>
                <w:bCs w:val="0"/>
              </w:rPr>
              <w:t>The assessment of response must be documented in the patient’s medical records</w:t>
            </w:r>
          </w:p>
        </w:tc>
      </w:tr>
      <w:tr w:rsidR="0016655D" w:rsidRPr="0016655D" w14:paraId="1C022DEA"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AFE83F7" w14:textId="3398A5D1" w:rsidR="0016655D" w:rsidRPr="0016655D" w:rsidRDefault="0016655D" w:rsidP="0016655D">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61195207" w14:textId="77777777" w:rsidR="0016655D" w:rsidRPr="0016655D" w:rsidRDefault="0016655D" w:rsidP="0016655D">
            <w:pPr>
              <w:pStyle w:val="TableText"/>
              <w:rPr>
                <w:b/>
              </w:rPr>
            </w:pPr>
            <w:r w:rsidRPr="0016655D">
              <w:rPr>
                <w:b/>
              </w:rPr>
              <w:t>Prescriber instructions:</w:t>
            </w:r>
          </w:p>
          <w:p w14:paraId="236CB255" w14:textId="0F0B22F6" w:rsidR="0016655D" w:rsidRPr="0016655D" w:rsidRDefault="0016655D" w:rsidP="0016655D">
            <w:pPr>
              <w:pStyle w:val="TableText"/>
              <w:rPr>
                <w:bCs w:val="0"/>
              </w:rPr>
            </w:pPr>
            <w:r w:rsidRPr="0016655D">
              <w:rPr>
                <w:bCs w:val="0"/>
              </w:rPr>
              <w:t>Tapering the dose of corticosteroids should be considered in patients</w:t>
            </w:r>
            <w:r w:rsidR="004E35DB">
              <w:rPr>
                <w:bCs w:val="0"/>
              </w:rPr>
              <w:t xml:space="preserve"> with responding disease</w:t>
            </w:r>
            <w:r w:rsidRPr="0016655D">
              <w:rPr>
                <w:bCs w:val="0"/>
              </w:rPr>
              <w:t>. Following successful taper</w:t>
            </w:r>
            <w:r w:rsidR="004E35DB">
              <w:rPr>
                <w:bCs w:val="0"/>
              </w:rPr>
              <w:t>ing</w:t>
            </w:r>
            <w:r w:rsidRPr="0016655D">
              <w:rPr>
                <w:bCs w:val="0"/>
              </w:rPr>
              <w:t xml:space="preserve"> of corticosteroids, tapering the dose of ruxolitinib can be initiated.</w:t>
            </w:r>
          </w:p>
        </w:tc>
      </w:tr>
      <w:tr w:rsidR="0016655D" w:rsidRPr="0016655D" w14:paraId="609D9C4C"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AA824FB"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3F9F62C9" w14:textId="77777777" w:rsidR="0016655D" w:rsidRPr="0016655D" w:rsidRDefault="0016655D" w:rsidP="0016655D">
            <w:pPr>
              <w:pStyle w:val="TableText"/>
              <w:rPr>
                <w:b/>
              </w:rPr>
            </w:pPr>
          </w:p>
        </w:tc>
      </w:tr>
      <w:tr w:rsidR="0016655D" w:rsidRPr="0016655D" w14:paraId="4EE07372"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982034D" w14:textId="021E1EDE"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2BC565D5" w14:textId="77777777" w:rsidR="0016655D" w:rsidRPr="0016655D" w:rsidRDefault="0016655D" w:rsidP="0016655D">
            <w:pPr>
              <w:pStyle w:val="TableText"/>
              <w:rPr>
                <w:b/>
              </w:rPr>
            </w:pPr>
            <w:r w:rsidRPr="0016655D">
              <w:rPr>
                <w:b/>
              </w:rPr>
              <w:t xml:space="preserve">Administrative advice: </w:t>
            </w:r>
            <w:r w:rsidRPr="0016655D">
              <w:rPr>
                <w:bCs w:val="0"/>
              </w:rPr>
              <w:t>This drug is not PBS-subsidised if it is prescribed to an in-patient in a public hospital setting</w:t>
            </w:r>
          </w:p>
        </w:tc>
      </w:tr>
      <w:tr w:rsidR="0016655D" w:rsidRPr="0016655D" w14:paraId="530BB331"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3B9B8CE" w14:textId="5892D941"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56F368E3" w14:textId="77777777" w:rsidR="0016655D" w:rsidRPr="0016655D" w:rsidRDefault="0016655D" w:rsidP="0016655D">
            <w:pPr>
              <w:pStyle w:val="TableText"/>
              <w:rPr>
                <w:b/>
              </w:rPr>
            </w:pPr>
            <w:r w:rsidRPr="0016655D">
              <w:rPr>
                <w:b/>
              </w:rPr>
              <w:t xml:space="preserve">Administrative advice: </w:t>
            </w:r>
            <w:r w:rsidRPr="0016655D">
              <w:rPr>
                <w:bCs w:val="0"/>
              </w:rPr>
              <w:t>Special Pricing Arrangements apply</w:t>
            </w:r>
          </w:p>
        </w:tc>
      </w:tr>
    </w:tbl>
    <w:p w14:paraId="02E639C5" w14:textId="77777777" w:rsidR="0016655D" w:rsidRPr="0016655D" w:rsidRDefault="0016655D" w:rsidP="0016655D"/>
    <w:p w14:paraId="5542DB4F" w14:textId="77777777" w:rsidR="0016655D" w:rsidRPr="0016655D" w:rsidRDefault="0016655D" w:rsidP="0016655D"/>
    <w:tbl>
      <w:tblPr>
        <w:tblW w:w="5000" w:type="pct"/>
        <w:tblLook w:val="0000" w:firstRow="0" w:lastRow="0" w:firstColumn="0" w:lastColumn="0" w:noHBand="0" w:noVBand="0"/>
      </w:tblPr>
      <w:tblGrid>
        <w:gridCol w:w="988"/>
        <w:gridCol w:w="8029"/>
      </w:tblGrid>
      <w:tr w:rsidR="0016655D" w:rsidRPr="0016655D" w14:paraId="4C719F6C"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0E44E02"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519140D9" w14:textId="77777777" w:rsidR="0016655D" w:rsidRPr="0016655D" w:rsidRDefault="0016655D" w:rsidP="0016655D">
            <w:pPr>
              <w:pStyle w:val="TableText"/>
              <w:keepNext w:val="0"/>
            </w:pPr>
            <w:r w:rsidRPr="0016655D">
              <w:rPr>
                <w:b/>
              </w:rPr>
              <w:t xml:space="preserve">Category / Program: </w:t>
            </w:r>
            <w:r w:rsidRPr="0016655D">
              <w:t>Section 100 – Highly Specialised Drugs Program</w:t>
            </w:r>
          </w:p>
        </w:tc>
      </w:tr>
      <w:tr w:rsidR="0016655D" w:rsidRPr="0016655D" w14:paraId="465265D5"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DFDC854"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79302041" w14:textId="06912BB2" w:rsidR="0016655D" w:rsidRPr="0016655D" w:rsidRDefault="0016655D" w:rsidP="0016655D">
            <w:pPr>
              <w:pStyle w:val="TableText"/>
              <w:keepNext w:val="0"/>
            </w:pPr>
            <w:r w:rsidRPr="0016655D">
              <w:rPr>
                <w:b/>
              </w:rPr>
              <w:t xml:space="preserve">Prescriber type: </w:t>
            </w:r>
            <w:r w:rsidRPr="0016655D">
              <w:fldChar w:fldCharType="begin" w:fldLock="1">
                <w:ffData>
                  <w:name w:val="Check1"/>
                  <w:enabled/>
                  <w:calcOnExit w:val="0"/>
                  <w:checkBox>
                    <w:sizeAuto/>
                    <w:default w:val="0"/>
                  </w:checkBox>
                </w:ffData>
              </w:fldChar>
            </w:r>
            <w:r w:rsidRPr="0016655D">
              <w:instrText xml:space="preserve"> FORMCHECKBOX </w:instrText>
            </w:r>
            <w:r w:rsidR="00BD1016">
              <w:fldChar w:fldCharType="separate"/>
            </w:r>
            <w:r w:rsidRPr="0016655D">
              <w:fldChar w:fldCharType="end"/>
            </w:r>
            <w:r w:rsidRPr="0016655D">
              <w:t xml:space="preserve">Dental  </w:t>
            </w:r>
            <w:r w:rsidRPr="0016655D">
              <w:fldChar w:fldCharType="begin" w:fldLock="1">
                <w:ffData>
                  <w:name w:val="Check1"/>
                  <w:enabled/>
                  <w:calcOnExit w:val="0"/>
                  <w:checkBox>
                    <w:sizeAuto/>
                    <w:default w:val="1"/>
                  </w:checkBox>
                </w:ffData>
              </w:fldChar>
            </w:r>
            <w:r w:rsidRPr="0016655D">
              <w:instrText xml:space="preserve"> FORMCHECKBOX </w:instrText>
            </w:r>
            <w:r w:rsidR="00BD1016">
              <w:fldChar w:fldCharType="separate"/>
            </w:r>
            <w:r w:rsidRPr="0016655D">
              <w:fldChar w:fldCharType="end"/>
            </w:r>
            <w:r w:rsidRPr="0016655D">
              <w:t xml:space="preserve">Medical Practitioners  </w:t>
            </w:r>
            <w:r w:rsidRPr="0016655D">
              <w:fldChar w:fldCharType="begin" w:fldLock="1">
                <w:ffData>
                  <w:name w:val="Check1"/>
                  <w:enabled/>
                  <w:calcOnExit w:val="0"/>
                  <w:checkBox>
                    <w:sizeAuto/>
                    <w:default w:val="0"/>
                  </w:checkBox>
                </w:ffData>
              </w:fldChar>
            </w:r>
            <w:r w:rsidRPr="0016655D">
              <w:instrText xml:space="preserve"> FORMCHECKBOX </w:instrText>
            </w:r>
            <w:r w:rsidR="00BD1016">
              <w:fldChar w:fldCharType="separate"/>
            </w:r>
            <w:r w:rsidRPr="0016655D">
              <w:fldChar w:fldCharType="end"/>
            </w:r>
            <w:r w:rsidRPr="0016655D">
              <w:t xml:space="preserve">Nurse practitioners </w:t>
            </w:r>
            <w:r w:rsidRPr="0016655D">
              <w:fldChar w:fldCharType="begin" w:fldLock="1">
                <w:ffData>
                  <w:name w:val="Check1"/>
                  <w:enabled/>
                  <w:calcOnExit w:val="0"/>
                  <w:checkBox>
                    <w:sizeAuto/>
                    <w:default w:val="0"/>
                  </w:checkBox>
                </w:ffData>
              </w:fldChar>
            </w:r>
            <w:r w:rsidRPr="0016655D">
              <w:instrText xml:space="preserve"> FORMCHECKBOX </w:instrText>
            </w:r>
            <w:r w:rsidR="00BD1016">
              <w:fldChar w:fldCharType="separate"/>
            </w:r>
            <w:r w:rsidRPr="0016655D">
              <w:fldChar w:fldCharType="end"/>
            </w:r>
            <w:r w:rsidRPr="0016655D">
              <w:t xml:space="preserve">Optometrists </w:t>
            </w:r>
            <w:r w:rsidRPr="0016655D">
              <w:fldChar w:fldCharType="begin" w:fldLock="1">
                <w:ffData>
                  <w:name w:val="Check1"/>
                  <w:enabled/>
                  <w:calcOnExit w:val="0"/>
                  <w:checkBox>
                    <w:sizeAuto/>
                    <w:default w:val="0"/>
                  </w:checkBox>
                </w:ffData>
              </w:fldChar>
            </w:r>
            <w:r w:rsidRPr="0016655D">
              <w:instrText xml:space="preserve"> FORMCHECKBOX </w:instrText>
            </w:r>
            <w:r w:rsidR="00BD1016">
              <w:fldChar w:fldCharType="separate"/>
            </w:r>
            <w:r w:rsidRPr="0016655D">
              <w:fldChar w:fldCharType="end"/>
            </w:r>
            <w:r w:rsidRPr="0016655D">
              <w:t>Midwives</w:t>
            </w:r>
          </w:p>
        </w:tc>
      </w:tr>
      <w:tr w:rsidR="0016655D" w:rsidRPr="0016655D" w14:paraId="6BC9B228"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62197EE8"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07268505" w14:textId="77777777" w:rsidR="0016655D" w:rsidRPr="0016655D" w:rsidRDefault="0016655D" w:rsidP="0016655D">
            <w:pPr>
              <w:pStyle w:val="TableText"/>
              <w:keepNext w:val="0"/>
            </w:pPr>
            <w:r w:rsidRPr="0016655D">
              <w:rPr>
                <w:b/>
              </w:rPr>
              <w:t xml:space="preserve">Condition: </w:t>
            </w:r>
            <w:r w:rsidRPr="0016655D">
              <w:t>Acute graft versus host disease (aGVHD)</w:t>
            </w:r>
          </w:p>
        </w:tc>
      </w:tr>
      <w:tr w:rsidR="0016655D" w:rsidRPr="0016655D" w14:paraId="4225D7FF"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3C4A237"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198FF139" w14:textId="77777777" w:rsidR="0016655D" w:rsidRPr="0016655D" w:rsidRDefault="0016655D" w:rsidP="0016655D">
            <w:pPr>
              <w:pStyle w:val="TableText"/>
              <w:keepNext w:val="0"/>
            </w:pPr>
            <w:r w:rsidRPr="0016655D">
              <w:rPr>
                <w:b/>
              </w:rPr>
              <w:t xml:space="preserve">Severity: </w:t>
            </w:r>
            <w:r w:rsidRPr="0016655D">
              <w:t>Grade II to IV</w:t>
            </w:r>
          </w:p>
        </w:tc>
      </w:tr>
      <w:tr w:rsidR="0016655D" w:rsidRPr="0016655D" w14:paraId="075D7E32"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40DC25A2" w14:textId="14A56BB5" w:rsidR="0016655D" w:rsidRPr="0016655D" w:rsidRDefault="0016655D" w:rsidP="0016655D">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589C8314" w14:textId="77777777" w:rsidR="0016655D" w:rsidRPr="0016655D" w:rsidRDefault="0016655D" w:rsidP="0016655D">
            <w:pPr>
              <w:pStyle w:val="TableText"/>
              <w:keepNext w:val="0"/>
            </w:pPr>
            <w:r w:rsidRPr="0016655D">
              <w:rPr>
                <w:b/>
              </w:rPr>
              <w:t xml:space="preserve">PBS Indication: </w:t>
            </w:r>
            <w:r w:rsidRPr="0016655D">
              <w:t>Grade II to IV acute graft versus host disease</w:t>
            </w:r>
          </w:p>
        </w:tc>
      </w:tr>
      <w:tr w:rsidR="0016655D" w:rsidRPr="0016655D" w14:paraId="10E16A40"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28BEF52B"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40D04485" w14:textId="77777777" w:rsidR="0016655D" w:rsidRPr="0016655D" w:rsidRDefault="0016655D" w:rsidP="0016655D">
            <w:pPr>
              <w:pStyle w:val="TableText"/>
              <w:keepNext w:val="0"/>
            </w:pPr>
            <w:r w:rsidRPr="0016655D">
              <w:rPr>
                <w:b/>
              </w:rPr>
              <w:t xml:space="preserve">Treatment phase: </w:t>
            </w:r>
            <w:r w:rsidRPr="0016655D">
              <w:t>Grandfather</w:t>
            </w:r>
          </w:p>
        </w:tc>
      </w:tr>
      <w:tr w:rsidR="0016655D" w:rsidRPr="0016655D" w14:paraId="4A35B22A"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2B5DB1D" w14:textId="77777777" w:rsidR="0016655D" w:rsidRPr="0016655D" w:rsidRDefault="0016655D" w:rsidP="0016655D">
            <w:pPr>
              <w:pStyle w:val="TableText"/>
              <w:keepNext w:val="0"/>
              <w:rPr>
                <w:i/>
              </w:rPr>
            </w:pPr>
          </w:p>
        </w:tc>
        <w:tc>
          <w:tcPr>
            <w:tcW w:w="4452" w:type="pct"/>
            <w:tcBorders>
              <w:top w:val="single" w:sz="4" w:space="0" w:color="auto"/>
              <w:left w:val="single" w:sz="4" w:space="0" w:color="auto"/>
              <w:bottom w:val="single" w:sz="4" w:space="0" w:color="auto"/>
              <w:right w:val="single" w:sz="4" w:space="0" w:color="auto"/>
            </w:tcBorders>
          </w:tcPr>
          <w:p w14:paraId="744D07EB" w14:textId="39DE3F50" w:rsidR="0016655D" w:rsidRPr="0016655D" w:rsidRDefault="0016655D" w:rsidP="0016655D">
            <w:pPr>
              <w:pStyle w:val="TableText"/>
              <w:keepNext w:val="0"/>
            </w:pPr>
            <w:r w:rsidRPr="0016655D">
              <w:rPr>
                <w:b/>
              </w:rPr>
              <w:t xml:space="preserve">Restriction type: </w:t>
            </w:r>
            <w:r w:rsidRPr="0016655D">
              <w:fldChar w:fldCharType="begin" w:fldLock="1">
                <w:ffData>
                  <w:name w:val="Check5"/>
                  <w:enabled/>
                  <w:calcOnExit w:val="0"/>
                  <w:checkBox>
                    <w:sizeAuto/>
                    <w:default w:val="1"/>
                  </w:checkBox>
                </w:ffData>
              </w:fldChar>
            </w:r>
            <w:r w:rsidRPr="0016655D">
              <w:instrText xml:space="preserve"> FORMCHECKBOX </w:instrText>
            </w:r>
            <w:r w:rsidR="00BD1016">
              <w:fldChar w:fldCharType="separate"/>
            </w:r>
            <w:r w:rsidRPr="0016655D">
              <w:fldChar w:fldCharType="end"/>
            </w:r>
            <w:r w:rsidRPr="0016655D">
              <w:t>Streamlined</w:t>
            </w:r>
          </w:p>
        </w:tc>
      </w:tr>
      <w:tr w:rsidR="0016655D" w:rsidRPr="0016655D" w14:paraId="3A1D4411"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900CF66"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7F21433C" w14:textId="77777777" w:rsidR="0016655D" w:rsidRPr="0016655D" w:rsidRDefault="0016655D" w:rsidP="0016655D">
            <w:pPr>
              <w:pStyle w:val="TableText"/>
              <w:rPr>
                <w:rFonts w:cs="Arial"/>
              </w:rPr>
            </w:pPr>
          </w:p>
        </w:tc>
      </w:tr>
      <w:tr w:rsidR="0016655D" w:rsidRPr="0016655D" w14:paraId="770F80AA"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FC90FFA"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2F76AE75" w14:textId="77777777" w:rsidR="0016655D" w:rsidRPr="0016655D" w:rsidRDefault="0016655D" w:rsidP="0016655D">
            <w:pPr>
              <w:pStyle w:val="TableText"/>
              <w:rPr>
                <w:rFonts w:cs="Arial"/>
              </w:rPr>
            </w:pPr>
            <w:r w:rsidRPr="0016655D">
              <w:rPr>
                <w:b/>
              </w:rPr>
              <w:t>Clinical criteria:</w:t>
            </w:r>
          </w:p>
        </w:tc>
      </w:tr>
      <w:tr w:rsidR="0016655D" w:rsidRPr="0016655D" w14:paraId="76DAB4FC"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28C7E282" w14:textId="1006AD58"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17496CAC" w14:textId="77777777" w:rsidR="0016655D" w:rsidRPr="0016655D" w:rsidRDefault="0016655D" w:rsidP="0016655D">
            <w:pPr>
              <w:pStyle w:val="TableText"/>
              <w:rPr>
                <w:rFonts w:cs="Arial"/>
              </w:rPr>
            </w:pPr>
            <w:r w:rsidRPr="0016655D">
              <w:rPr>
                <w:rFonts w:cs="Arial"/>
              </w:rPr>
              <w:t>Patient must have received non-PBS-subsidised treatment with this drug for this PBS-indication prior to [insert date of PBS listing]</w:t>
            </w:r>
          </w:p>
        </w:tc>
      </w:tr>
      <w:tr w:rsidR="0016655D" w:rsidRPr="0016655D" w14:paraId="5D7FC6A3"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F5E11B8"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16DAA885" w14:textId="77777777" w:rsidR="0016655D" w:rsidRPr="0016655D" w:rsidRDefault="0016655D" w:rsidP="0016655D">
            <w:pPr>
              <w:pStyle w:val="TableText"/>
              <w:rPr>
                <w:rFonts w:cs="Arial"/>
              </w:rPr>
            </w:pPr>
            <w:r w:rsidRPr="0016655D">
              <w:rPr>
                <w:rFonts w:cs="Arial"/>
                <w:b/>
                <w:bCs w:val="0"/>
              </w:rPr>
              <w:t>AND</w:t>
            </w:r>
          </w:p>
        </w:tc>
      </w:tr>
      <w:tr w:rsidR="0016655D" w:rsidRPr="0016655D" w14:paraId="5267C2A1"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9F450A2"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7CC5FC2A" w14:textId="77777777" w:rsidR="0016655D" w:rsidRPr="0016655D" w:rsidRDefault="0016655D" w:rsidP="0016655D">
            <w:pPr>
              <w:pStyle w:val="TableText"/>
              <w:rPr>
                <w:rFonts w:cs="Arial"/>
              </w:rPr>
            </w:pPr>
            <w:r w:rsidRPr="0016655D">
              <w:rPr>
                <w:b/>
              </w:rPr>
              <w:t>Clinical criteria:</w:t>
            </w:r>
          </w:p>
        </w:tc>
      </w:tr>
      <w:tr w:rsidR="0016655D" w:rsidRPr="0016655D" w14:paraId="0A31F26E"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71A27F90" w14:textId="64C049F5"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0204B8CB" w14:textId="77777777" w:rsidR="0016655D" w:rsidRPr="0016655D" w:rsidRDefault="0016655D" w:rsidP="0016655D">
            <w:pPr>
              <w:pStyle w:val="TableText"/>
              <w:rPr>
                <w:rFonts w:cs="Arial"/>
              </w:rPr>
            </w:pPr>
            <w:r w:rsidRPr="0016655D">
              <w:rPr>
                <w:rFonts w:cs="Arial"/>
              </w:rPr>
              <w:t xml:space="preserve">Patient must have received prior systemic steroid treatment prior to initiation of this drug for this condition </w:t>
            </w:r>
          </w:p>
        </w:tc>
      </w:tr>
      <w:tr w:rsidR="0016655D" w:rsidRPr="0016655D" w14:paraId="32A4A706"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92E1FA9" w14:textId="77777777"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39815B9F" w14:textId="77777777" w:rsidR="0016655D" w:rsidRPr="0016655D" w:rsidRDefault="0016655D" w:rsidP="0016655D">
            <w:pPr>
              <w:pStyle w:val="TableText"/>
              <w:rPr>
                <w:rFonts w:cs="Arial"/>
              </w:rPr>
            </w:pPr>
            <w:r w:rsidRPr="0016655D">
              <w:rPr>
                <w:rFonts w:cs="Arial"/>
                <w:b/>
                <w:bCs w:val="0"/>
              </w:rPr>
              <w:t>AND</w:t>
            </w:r>
          </w:p>
        </w:tc>
      </w:tr>
      <w:tr w:rsidR="0016655D" w:rsidRPr="0016655D" w14:paraId="7BD10048"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71A856DC" w14:textId="77777777"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62193346" w14:textId="77777777" w:rsidR="0016655D" w:rsidRPr="0016655D" w:rsidRDefault="0016655D" w:rsidP="0016655D">
            <w:pPr>
              <w:pStyle w:val="TableText"/>
              <w:rPr>
                <w:rFonts w:cs="Arial"/>
              </w:rPr>
            </w:pPr>
            <w:r w:rsidRPr="0016655D">
              <w:rPr>
                <w:rFonts w:cs="Arial"/>
                <w:b/>
                <w:bCs w:val="0"/>
              </w:rPr>
              <w:t>Clinical criteria:</w:t>
            </w:r>
          </w:p>
        </w:tc>
      </w:tr>
      <w:tr w:rsidR="0016655D" w:rsidRPr="0016655D" w14:paraId="371CB701"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C04D407" w14:textId="3FE2359D"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0046CC6A" w14:textId="68D21BB6" w:rsidR="0016655D" w:rsidRPr="0016655D" w:rsidRDefault="0016655D" w:rsidP="0016655D">
            <w:pPr>
              <w:pStyle w:val="TableText"/>
              <w:rPr>
                <w:rFonts w:cs="Arial"/>
              </w:rPr>
            </w:pPr>
            <w:r w:rsidRPr="0016655D">
              <w:rPr>
                <w:rFonts w:cs="Arial"/>
              </w:rPr>
              <w:t>Patient must be one of the following</w:t>
            </w:r>
            <w:r w:rsidR="004E35DB">
              <w:rPr>
                <w:rFonts w:cs="Arial"/>
              </w:rPr>
              <w:t>:</w:t>
            </w:r>
            <w:r w:rsidRPr="0016655D">
              <w:rPr>
                <w:rFonts w:cs="Arial"/>
              </w:rPr>
              <w:t xml:space="preserve"> (i) refractory to steroid treatment, (ii) dependent on steroid treatment, (iii) intolerant to steroid treatment</w:t>
            </w:r>
          </w:p>
        </w:tc>
      </w:tr>
      <w:tr w:rsidR="003D6A75" w:rsidRPr="0016655D" w14:paraId="78A64C4F"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4711CA5" w14:textId="77777777" w:rsidR="003D6A75" w:rsidRPr="0016655D" w:rsidRDefault="003D6A75" w:rsidP="003D6A75">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52649B4A" w14:textId="385F4729" w:rsidR="003D6A75" w:rsidRPr="0016655D" w:rsidRDefault="003D6A75" w:rsidP="003D6A75">
            <w:pPr>
              <w:pStyle w:val="TableText"/>
              <w:rPr>
                <w:rFonts w:cs="Arial"/>
              </w:rPr>
            </w:pPr>
            <w:r w:rsidRPr="0016655D">
              <w:rPr>
                <w:rFonts w:cs="Arial"/>
                <w:b/>
                <w:bCs w:val="0"/>
              </w:rPr>
              <w:t>AND</w:t>
            </w:r>
          </w:p>
        </w:tc>
      </w:tr>
      <w:tr w:rsidR="003D6A75" w:rsidRPr="0016655D" w14:paraId="78835809"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6ECA6404" w14:textId="77777777" w:rsidR="003D6A75" w:rsidRPr="0016655D" w:rsidRDefault="003D6A75" w:rsidP="003D6A75">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656BED81" w14:textId="3A39BD12" w:rsidR="003D6A75" w:rsidRPr="0016655D" w:rsidRDefault="003D6A75" w:rsidP="003D6A75">
            <w:pPr>
              <w:pStyle w:val="TableText"/>
              <w:rPr>
                <w:rFonts w:cs="Arial"/>
              </w:rPr>
            </w:pPr>
            <w:r w:rsidRPr="0016655D">
              <w:rPr>
                <w:rFonts w:cs="Arial"/>
                <w:b/>
                <w:bCs w:val="0"/>
              </w:rPr>
              <w:t>Clinical criteria:</w:t>
            </w:r>
          </w:p>
        </w:tc>
      </w:tr>
      <w:tr w:rsidR="003D6A75" w:rsidRPr="0016655D" w14:paraId="6EFA803F"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91A8E52" w14:textId="642F9A4E" w:rsidR="003D6A75" w:rsidRPr="0016655D" w:rsidRDefault="003D6A75" w:rsidP="003D6A75">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2AD2AB18" w14:textId="19EBD5F7" w:rsidR="003D6A75" w:rsidRPr="0016655D" w:rsidRDefault="003D6A75" w:rsidP="003D6A75">
            <w:pPr>
              <w:pStyle w:val="TableText"/>
              <w:rPr>
                <w:rFonts w:cs="Arial"/>
              </w:rPr>
            </w:pPr>
            <w:r>
              <w:rPr>
                <w:rFonts w:cs="Arial"/>
              </w:rPr>
              <w:t>The treatment must be commenced no more than 100 days after receiving an allogenic haematopoietic stem cell transplantation</w:t>
            </w:r>
          </w:p>
        </w:tc>
      </w:tr>
      <w:tr w:rsidR="003D6A75" w:rsidRPr="0016655D" w14:paraId="369E7A47"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63A5798E" w14:textId="77777777" w:rsidR="003D6A75" w:rsidRPr="0016655D" w:rsidRDefault="003D6A75" w:rsidP="003D6A75">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5E351CCB" w14:textId="77777777" w:rsidR="003D6A75" w:rsidRPr="0016655D" w:rsidRDefault="003D6A75" w:rsidP="003D6A75">
            <w:pPr>
              <w:pStyle w:val="TableText"/>
              <w:rPr>
                <w:rFonts w:cs="Arial"/>
                <w:b/>
                <w:bCs w:val="0"/>
              </w:rPr>
            </w:pPr>
            <w:r w:rsidRPr="0016655D">
              <w:rPr>
                <w:rFonts w:cs="Arial"/>
                <w:b/>
                <w:bCs w:val="0"/>
              </w:rPr>
              <w:t>AND</w:t>
            </w:r>
          </w:p>
        </w:tc>
      </w:tr>
      <w:tr w:rsidR="003D6A75" w:rsidRPr="0016655D" w14:paraId="5538FB20"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78C5CA29" w14:textId="77777777" w:rsidR="003D6A75" w:rsidRPr="0016655D" w:rsidRDefault="003D6A75" w:rsidP="003D6A75">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56E974F7" w14:textId="77777777" w:rsidR="003D6A75" w:rsidRPr="0016655D" w:rsidRDefault="003D6A75" w:rsidP="003D6A75">
            <w:pPr>
              <w:pStyle w:val="TableText"/>
              <w:rPr>
                <w:rFonts w:cs="Arial"/>
              </w:rPr>
            </w:pPr>
            <w:r w:rsidRPr="0016655D">
              <w:rPr>
                <w:b/>
              </w:rPr>
              <w:t>Clinical criteria:</w:t>
            </w:r>
          </w:p>
        </w:tc>
      </w:tr>
      <w:tr w:rsidR="003D6A75" w:rsidRPr="0016655D" w14:paraId="11376204"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606DAD6" w14:textId="4E153ECB" w:rsidR="003D6A75" w:rsidRPr="0016655D" w:rsidRDefault="003D6A75" w:rsidP="003D6A75">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5005FFE9" w14:textId="15F6F0A9" w:rsidR="003D6A75" w:rsidRPr="0016655D" w:rsidRDefault="003D6A75" w:rsidP="003D6A75">
            <w:pPr>
              <w:pStyle w:val="TableText"/>
              <w:rPr>
                <w:rFonts w:cs="Arial"/>
              </w:rPr>
            </w:pPr>
            <w:r w:rsidRPr="0016655D">
              <w:rPr>
                <w:rFonts w:cs="Arial"/>
              </w:rPr>
              <w:t>Patient must have responding disease compared with baseline after 14 days of treatment demonstrated by either a</w:t>
            </w:r>
            <w:r>
              <w:rPr>
                <w:rFonts w:cs="Arial"/>
              </w:rPr>
              <w:t>:</w:t>
            </w:r>
            <w:r w:rsidRPr="0016655D">
              <w:rPr>
                <w:rFonts w:cs="Arial"/>
              </w:rPr>
              <w:t xml:space="preserve"> (i) partial response (ii) complete response </w:t>
            </w:r>
          </w:p>
        </w:tc>
      </w:tr>
      <w:tr w:rsidR="003D6A75" w:rsidRPr="0016655D" w14:paraId="1F8C4239"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4B7FB2A" w14:textId="77777777" w:rsidR="003D6A75" w:rsidRPr="0016655D" w:rsidRDefault="003D6A75" w:rsidP="003D6A75">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712B2736" w14:textId="77777777" w:rsidR="003D6A75" w:rsidRPr="0016655D" w:rsidRDefault="003D6A75" w:rsidP="003D6A75">
            <w:pPr>
              <w:pStyle w:val="TableText"/>
              <w:rPr>
                <w:rFonts w:cs="Arial"/>
              </w:rPr>
            </w:pPr>
          </w:p>
        </w:tc>
      </w:tr>
      <w:tr w:rsidR="003D6A75" w:rsidRPr="0016655D" w14:paraId="471881F8"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62D54512" w14:textId="77777777" w:rsidR="003D6A75" w:rsidRPr="0016655D" w:rsidRDefault="003D6A75" w:rsidP="003D6A75">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2AC79E81" w14:textId="77777777" w:rsidR="003D6A75" w:rsidRPr="0016655D" w:rsidRDefault="003D6A75" w:rsidP="003D6A75">
            <w:pPr>
              <w:pStyle w:val="TableText"/>
              <w:keepNext w:val="0"/>
              <w:rPr>
                <w:rFonts w:cs="Arial"/>
              </w:rPr>
            </w:pPr>
            <w:r w:rsidRPr="0016655D">
              <w:rPr>
                <w:b/>
              </w:rPr>
              <w:t>Treatment criteria:</w:t>
            </w:r>
          </w:p>
        </w:tc>
      </w:tr>
      <w:tr w:rsidR="003D6A75" w:rsidRPr="0016655D" w14:paraId="35AA706D"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23EEF66" w14:textId="2016C07F" w:rsidR="003D6A75" w:rsidRPr="0016655D" w:rsidRDefault="003D6A75" w:rsidP="003D6A75">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1372C98A" w14:textId="2DAD3795" w:rsidR="003D6A75" w:rsidRPr="0016655D" w:rsidRDefault="003D6A75" w:rsidP="003D6A75">
            <w:pPr>
              <w:pStyle w:val="TableText"/>
              <w:keepNext w:val="0"/>
              <w:rPr>
                <w:rFonts w:cs="Arial"/>
              </w:rPr>
            </w:pPr>
            <w:r w:rsidRPr="0016655D">
              <w:rPr>
                <w:rFonts w:cs="Arial"/>
              </w:rPr>
              <w:t xml:space="preserve">Must be treated by </w:t>
            </w:r>
            <w:r>
              <w:rPr>
                <w:rFonts w:cs="Arial"/>
              </w:rPr>
              <w:t xml:space="preserve">a medical practitioner who is </w:t>
            </w:r>
            <w:r w:rsidRPr="0016655D">
              <w:rPr>
                <w:rFonts w:cs="Arial"/>
              </w:rPr>
              <w:t>either</w:t>
            </w:r>
            <w:r>
              <w:rPr>
                <w:rFonts w:cs="Arial"/>
              </w:rPr>
              <w:t>:</w:t>
            </w:r>
            <w:r w:rsidRPr="0016655D">
              <w:rPr>
                <w:rFonts w:cs="Arial"/>
              </w:rPr>
              <w:t xml:space="preserve"> (i) a haematologist, (ii) an oncologist with allogeneic bone marrow transplantation experience, (iii) a medical practitioner working under the direct supervision of one of the afore-mentioned specialist types</w:t>
            </w:r>
          </w:p>
        </w:tc>
      </w:tr>
      <w:tr w:rsidR="003D6A75" w:rsidRPr="0016655D" w14:paraId="0B32B6CA"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D1A6AAB" w14:textId="77777777" w:rsidR="003D6A75" w:rsidRPr="0016655D" w:rsidRDefault="003D6A75" w:rsidP="003D6A75">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497AE868" w14:textId="77777777" w:rsidR="003D6A75" w:rsidRPr="0016655D" w:rsidRDefault="003D6A75" w:rsidP="003D6A75">
            <w:pPr>
              <w:pStyle w:val="TableText"/>
              <w:keepNext w:val="0"/>
              <w:rPr>
                <w:rFonts w:cs="Arial"/>
              </w:rPr>
            </w:pPr>
          </w:p>
        </w:tc>
      </w:tr>
      <w:tr w:rsidR="003D6A75" w:rsidRPr="0016655D" w14:paraId="4D22F2CC"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49DE4CCF" w14:textId="6E3CEBD4" w:rsidR="003D6A75" w:rsidRPr="0016655D" w:rsidRDefault="003D6A75" w:rsidP="003D6A75">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19CEF370" w14:textId="77777777" w:rsidR="003D6A75" w:rsidRPr="0016655D" w:rsidRDefault="003D6A75" w:rsidP="003D6A75">
            <w:pPr>
              <w:pStyle w:val="TableText"/>
              <w:keepNext w:val="0"/>
              <w:rPr>
                <w:b/>
              </w:rPr>
            </w:pPr>
            <w:r w:rsidRPr="0016655D">
              <w:rPr>
                <w:b/>
              </w:rPr>
              <w:t>Prescriber instructions:</w:t>
            </w:r>
          </w:p>
          <w:p w14:paraId="335DD226" w14:textId="77777777" w:rsidR="003D6A75" w:rsidRPr="0016655D" w:rsidRDefault="003D6A75" w:rsidP="003D6A75">
            <w:pPr>
              <w:pStyle w:val="TableText"/>
              <w:keepNext w:val="0"/>
              <w:rPr>
                <w:rFonts w:cs="Arial"/>
              </w:rPr>
            </w:pPr>
            <w:r w:rsidRPr="0016655D">
              <w:rPr>
                <w:rFonts w:cs="Arial"/>
              </w:rPr>
              <w:t>Steroid-refractory disease is defined as:</w:t>
            </w:r>
          </w:p>
          <w:p w14:paraId="3153DA11" w14:textId="77777777" w:rsidR="003D6A75" w:rsidRPr="0016655D" w:rsidRDefault="003D6A75" w:rsidP="003D6A75">
            <w:pPr>
              <w:pStyle w:val="TableText"/>
              <w:keepNext w:val="0"/>
              <w:rPr>
                <w:rFonts w:cs="Arial"/>
              </w:rPr>
            </w:pPr>
            <w:r w:rsidRPr="0016655D">
              <w:rPr>
                <w:rFonts w:cs="Arial"/>
              </w:rPr>
              <w:t>(a) Progression after at least 3 days of high-dose systemic corticosteroid (methylprednisolone 2 mg/kg/day [or equivalent prednisone dose 2.5 mg/kg/day]) with or without calcineurin inhibitors for the treatment of Grade II-IV aGVHD, OR</w:t>
            </w:r>
          </w:p>
          <w:p w14:paraId="78E184FB" w14:textId="00845D55" w:rsidR="003D6A75" w:rsidRDefault="003D6A75" w:rsidP="003D6A75">
            <w:pPr>
              <w:pStyle w:val="TableText"/>
              <w:keepNext w:val="0"/>
              <w:rPr>
                <w:rFonts w:cs="Arial"/>
              </w:rPr>
            </w:pPr>
            <w:r w:rsidRPr="0016655D">
              <w:rPr>
                <w:rFonts w:cs="Arial"/>
              </w:rPr>
              <w:t>(b) Failure to achieve a partial response after 5 days at the time of initiation of high-dose systemic corticosteroid (methylprednisolone 2 mg/kg/day [or equivalent prednisone dose 2.5 mg/kg/day]) with or without calcineurin inhibitors for the treatment of Grade II-IV aGVHD</w:t>
            </w:r>
          </w:p>
          <w:p w14:paraId="70FD2A37" w14:textId="77777777" w:rsidR="003D6A75" w:rsidRPr="0016655D" w:rsidRDefault="003D6A75" w:rsidP="003D6A75">
            <w:pPr>
              <w:pStyle w:val="TableText"/>
              <w:keepNext w:val="0"/>
              <w:rPr>
                <w:rFonts w:cs="Arial"/>
              </w:rPr>
            </w:pPr>
          </w:p>
          <w:p w14:paraId="7EB783F8" w14:textId="77777777" w:rsidR="003D6A75" w:rsidRPr="0016655D" w:rsidRDefault="003D6A75" w:rsidP="003D6A75">
            <w:pPr>
              <w:pStyle w:val="TableText"/>
              <w:keepNext w:val="0"/>
              <w:rPr>
                <w:rFonts w:cs="Arial"/>
              </w:rPr>
            </w:pPr>
            <w:r w:rsidRPr="0016655D">
              <w:rPr>
                <w:rFonts w:cs="Arial"/>
              </w:rPr>
              <w:t>Steroid-dependent disease is defined as</w:t>
            </w:r>
            <w:r>
              <w:rPr>
                <w:rFonts w:cs="Arial"/>
              </w:rPr>
              <w:t xml:space="preserve"> f</w:t>
            </w:r>
            <w:r w:rsidRPr="0016655D">
              <w:rPr>
                <w:rFonts w:cs="Arial"/>
              </w:rPr>
              <w:t>ailed corticosteroid taper involving</w:t>
            </w:r>
            <w:r w:rsidRPr="0016655D">
              <w:rPr>
                <w:rFonts w:cs="Arial"/>
                <w:i/>
                <w:iCs/>
              </w:rPr>
              <w:t xml:space="preserve"> </w:t>
            </w:r>
            <w:r w:rsidRPr="0016655D">
              <w:rPr>
                <w:rFonts w:cs="Arial"/>
              </w:rPr>
              <w:t>either one of the following criteria:</w:t>
            </w:r>
          </w:p>
          <w:p w14:paraId="614ECBC9" w14:textId="77777777" w:rsidR="003D6A75" w:rsidRPr="0016655D" w:rsidRDefault="003D6A75" w:rsidP="003D6A75">
            <w:pPr>
              <w:pStyle w:val="TableText"/>
              <w:keepNext w:val="0"/>
              <w:rPr>
                <w:rFonts w:cs="Arial"/>
              </w:rPr>
            </w:pPr>
            <w:r w:rsidRPr="0016655D">
              <w:rPr>
                <w:rFonts w:cs="Arial"/>
              </w:rPr>
              <w:t>(</w:t>
            </w:r>
            <w:r>
              <w:rPr>
                <w:rFonts w:cs="Arial"/>
              </w:rPr>
              <w:t>a</w:t>
            </w:r>
            <w:r w:rsidRPr="0016655D">
              <w:rPr>
                <w:rFonts w:cs="Arial"/>
              </w:rPr>
              <w:t>) an increase in the corticosteroid dose to methylprednisolone ≥ 2 mg/kg/day (or equivalent prednisone dose ≥ 2.5 mg/kg/day) OR</w:t>
            </w:r>
          </w:p>
          <w:p w14:paraId="26ECC041" w14:textId="5172D580" w:rsidR="003D6A75" w:rsidRDefault="003D6A75" w:rsidP="003D6A75">
            <w:pPr>
              <w:pStyle w:val="TableText"/>
              <w:keepNext w:val="0"/>
              <w:rPr>
                <w:rFonts w:cs="Arial"/>
              </w:rPr>
            </w:pPr>
            <w:r w:rsidRPr="0016655D">
              <w:rPr>
                <w:rFonts w:cs="Arial"/>
              </w:rPr>
              <w:t>(</w:t>
            </w:r>
            <w:r>
              <w:rPr>
                <w:rFonts w:cs="Arial"/>
              </w:rPr>
              <w:t>b</w:t>
            </w:r>
            <w:r w:rsidRPr="0016655D">
              <w:rPr>
                <w:rFonts w:cs="Arial"/>
              </w:rPr>
              <w:t>)</w:t>
            </w:r>
            <w:r>
              <w:rPr>
                <w:rFonts w:cs="Arial"/>
              </w:rPr>
              <w:t xml:space="preserve"> f</w:t>
            </w:r>
            <w:r w:rsidRPr="0016655D">
              <w:rPr>
                <w:rFonts w:cs="Arial"/>
              </w:rPr>
              <w:t>ailure to taper the methylprednisolone dose to &lt;0.5 mg/kg/day (or equivalent prednisone dose &lt;0.6 mg/kg/day) for a minimum 7 days</w:t>
            </w:r>
          </w:p>
          <w:p w14:paraId="6398361B" w14:textId="77777777" w:rsidR="003D6A75" w:rsidRPr="0016655D" w:rsidRDefault="003D6A75" w:rsidP="003D6A75">
            <w:pPr>
              <w:pStyle w:val="TableText"/>
              <w:keepNext w:val="0"/>
              <w:rPr>
                <w:rFonts w:cs="Arial"/>
              </w:rPr>
            </w:pPr>
          </w:p>
          <w:p w14:paraId="6160A85C" w14:textId="77777777" w:rsidR="003D6A75" w:rsidRDefault="003D6A75" w:rsidP="003D6A75">
            <w:pPr>
              <w:pStyle w:val="TableText"/>
              <w:keepNext w:val="0"/>
              <w:rPr>
                <w:rFonts w:cs="Arial"/>
              </w:rPr>
            </w:pPr>
            <w:r w:rsidRPr="0016655D">
              <w:rPr>
                <w:rFonts w:cs="Arial"/>
              </w:rPr>
              <w:t xml:space="preserve">Steroid intolerance is defined as </w:t>
            </w:r>
            <w:r>
              <w:rPr>
                <w:rFonts w:cs="Arial"/>
              </w:rPr>
              <w:t xml:space="preserve">a </w:t>
            </w:r>
            <w:r w:rsidRPr="0016655D">
              <w:rPr>
                <w:rFonts w:cs="Arial"/>
              </w:rPr>
              <w:t>patient develop</w:t>
            </w:r>
            <w:r>
              <w:rPr>
                <w:rFonts w:cs="Arial"/>
              </w:rPr>
              <w:t>ing</w:t>
            </w:r>
            <w:r w:rsidRPr="0016655D">
              <w:rPr>
                <w:rFonts w:cs="Arial"/>
              </w:rPr>
              <w:t xml:space="preserve"> an intolerance of a severity necessitating treatment withdrawal.</w:t>
            </w:r>
          </w:p>
          <w:p w14:paraId="5427C99B" w14:textId="77777777" w:rsidR="003D6A75" w:rsidRDefault="003D6A75" w:rsidP="003D6A75">
            <w:pPr>
              <w:pStyle w:val="TableText"/>
              <w:keepNext w:val="0"/>
              <w:rPr>
                <w:rFonts w:cs="Arial"/>
              </w:rPr>
            </w:pPr>
          </w:p>
          <w:p w14:paraId="70357052" w14:textId="156E26A3" w:rsidR="003D6A75" w:rsidRPr="0016655D" w:rsidRDefault="003D6A75" w:rsidP="003D6A75">
            <w:pPr>
              <w:pStyle w:val="TableText"/>
              <w:rPr>
                <w:b/>
              </w:rPr>
            </w:pPr>
            <w:r>
              <w:rPr>
                <w:rFonts w:cs="Arial"/>
              </w:rPr>
              <w:t>Details of prior steroid use should be documented in the patient’s medical records</w:t>
            </w:r>
          </w:p>
        </w:tc>
      </w:tr>
      <w:tr w:rsidR="003D6A75" w:rsidRPr="0016655D" w14:paraId="7E25F3F6"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39B25D8" w14:textId="779D5B8B" w:rsidR="003D6A75" w:rsidRPr="0016655D" w:rsidRDefault="003D6A75" w:rsidP="003D6A75">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6207ADBA" w14:textId="7F363C71" w:rsidR="003D6A75" w:rsidRPr="0016655D" w:rsidRDefault="003D6A75" w:rsidP="003D6A75">
            <w:pPr>
              <w:pStyle w:val="TableText"/>
              <w:rPr>
                <w:b/>
              </w:rPr>
            </w:pPr>
            <w:r w:rsidRPr="0016655D">
              <w:rPr>
                <w:b/>
              </w:rPr>
              <w:t>Prescriber instructions:</w:t>
            </w:r>
          </w:p>
          <w:p w14:paraId="5BA0A5BD" w14:textId="122CC309" w:rsidR="003D6A75" w:rsidRPr="0016655D" w:rsidRDefault="003D6A75" w:rsidP="003D6A75">
            <w:pPr>
              <w:pStyle w:val="CommentText"/>
              <w:rPr>
                <w:rFonts w:ascii="Arial Narrow" w:hAnsi="Arial Narrow"/>
              </w:rPr>
            </w:pPr>
            <w:r w:rsidRPr="0016655D">
              <w:rPr>
                <w:rFonts w:ascii="Arial Narrow" w:hAnsi="Arial Narrow"/>
              </w:rPr>
              <w:t xml:space="preserve">Response is defined as attaining a complete or partial response as </w:t>
            </w:r>
            <w:r w:rsidRPr="00320844">
              <w:rPr>
                <w:rFonts w:ascii="Arial Narrow" w:hAnsi="Arial Narrow"/>
              </w:rPr>
              <w:t xml:space="preserve">assessed by </w:t>
            </w:r>
            <w:r w:rsidR="00BA504B" w:rsidRPr="00B806F8">
              <w:rPr>
                <w:rFonts w:ascii="Arial Narrow" w:hAnsi="Arial Narrow"/>
              </w:rPr>
              <w:t>Mount Sinai Acute GVHD International Consortium</w:t>
            </w:r>
            <w:r w:rsidR="00BA504B" w:rsidRPr="00320844">
              <w:rPr>
                <w:rFonts w:ascii="Arial Narrow" w:hAnsi="Arial Narrow"/>
              </w:rPr>
              <w:t xml:space="preserve"> </w:t>
            </w:r>
            <w:r w:rsidRPr="00320844">
              <w:rPr>
                <w:rFonts w:ascii="Arial Narrow" w:hAnsi="Arial Narrow"/>
                <w:i/>
                <w:iCs/>
              </w:rPr>
              <w:t>(</w:t>
            </w:r>
            <w:r w:rsidRPr="00320844">
              <w:rPr>
                <w:rFonts w:ascii="Arial Narrow" w:hAnsi="Arial Narrow"/>
              </w:rPr>
              <w:t>MAGIC</w:t>
            </w:r>
            <w:r w:rsidRPr="00320844">
              <w:rPr>
                <w:rFonts w:ascii="Arial Narrow" w:hAnsi="Arial Narrow"/>
                <w:i/>
                <w:iCs/>
              </w:rPr>
              <w:t>)</w:t>
            </w:r>
            <w:r w:rsidRPr="00320844">
              <w:rPr>
                <w:rFonts w:ascii="Arial Narrow" w:hAnsi="Arial Narrow"/>
              </w:rPr>
              <w:t xml:space="preserve"> criteria (Harris et al., 2016). </w:t>
            </w:r>
            <w:r w:rsidRPr="0016655D">
              <w:rPr>
                <w:rFonts w:ascii="Arial Narrow" w:hAnsi="Arial Narrow"/>
              </w:rPr>
              <w:t>Note that response is relative to the assessment of organ function affected by aGVHD prior to commencing initial treatment with ruxolitinib.</w:t>
            </w:r>
          </w:p>
          <w:p w14:paraId="3D033673" w14:textId="4C89225C" w:rsidR="003D6A75" w:rsidRPr="0016655D" w:rsidRDefault="003D6A75" w:rsidP="003D6A75">
            <w:pPr>
              <w:pStyle w:val="TableText"/>
              <w:rPr>
                <w:rFonts w:cs="Arial"/>
              </w:rPr>
            </w:pPr>
            <w:r w:rsidRPr="0016655D">
              <w:rPr>
                <w:rFonts w:cs="Arial"/>
              </w:rPr>
              <w:t xml:space="preserve">(a) Complete response </w:t>
            </w:r>
            <w:r>
              <w:rPr>
                <w:rFonts w:cs="Arial"/>
              </w:rPr>
              <w:t>i</w:t>
            </w:r>
            <w:r w:rsidRPr="0016655D">
              <w:rPr>
                <w:rFonts w:cs="Arial"/>
              </w:rPr>
              <w:t>s defined as a score of 0 for the aGVHD grading in all evaluable organs that indicates complete resolution of all signs and symptoms of aGVHD in all evaluable organs without administration of additional systemic therapies for any earlier progression, mixed response or non-response of aGVHD.</w:t>
            </w:r>
          </w:p>
          <w:p w14:paraId="5DCCAB52" w14:textId="43F81191" w:rsidR="003D6A75" w:rsidRDefault="003D6A75" w:rsidP="003D6A75">
            <w:pPr>
              <w:pStyle w:val="TableText"/>
              <w:keepNext w:val="0"/>
              <w:rPr>
                <w:rFonts w:cs="Arial"/>
              </w:rPr>
            </w:pPr>
            <w:r w:rsidRPr="0016655D">
              <w:rPr>
                <w:rFonts w:cs="Arial"/>
              </w:rPr>
              <w:t xml:space="preserve">(b) Partial response </w:t>
            </w:r>
            <w:r>
              <w:rPr>
                <w:rFonts w:cs="Arial"/>
              </w:rPr>
              <w:t>i</w:t>
            </w:r>
            <w:r w:rsidRPr="0016655D">
              <w:rPr>
                <w:rFonts w:cs="Arial"/>
              </w:rPr>
              <w:t>s defined as improvement of one stage in one or more organs involved with aGVHD signs or symptoms without progression in other organs or sites without administration of additional systemic therapies for an earlier progression, mixed response, or non-response of aGVHD.</w:t>
            </w:r>
          </w:p>
          <w:p w14:paraId="039AC9F7" w14:textId="77777777" w:rsidR="003D6A75" w:rsidRDefault="003D6A75" w:rsidP="003D6A75">
            <w:pPr>
              <w:pStyle w:val="TableText"/>
              <w:keepNext w:val="0"/>
              <w:rPr>
                <w:rFonts w:cs="Arial"/>
              </w:rPr>
            </w:pPr>
          </w:p>
          <w:p w14:paraId="3F4CBE1B" w14:textId="6442C26C" w:rsidR="003D6A75" w:rsidRPr="0016655D" w:rsidRDefault="003D6A75" w:rsidP="003D6A75">
            <w:pPr>
              <w:pStyle w:val="TableText"/>
              <w:keepNext w:val="0"/>
              <w:rPr>
                <w:rFonts w:cs="Arial"/>
              </w:rPr>
            </w:pPr>
            <w:r>
              <w:rPr>
                <w:bCs w:val="0"/>
              </w:rPr>
              <w:t>The assessment of response must be documented in the patient’s medical records</w:t>
            </w:r>
          </w:p>
        </w:tc>
      </w:tr>
      <w:tr w:rsidR="003D6A75" w:rsidRPr="0016655D" w14:paraId="04DD4713"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10D22A0" w14:textId="7865B32E" w:rsidR="003D6A75" w:rsidRPr="0016655D" w:rsidRDefault="003D6A75" w:rsidP="003D6A75">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3FF60A26" w14:textId="77777777" w:rsidR="003D6A75" w:rsidRPr="0016655D" w:rsidRDefault="003D6A75" w:rsidP="003D6A75">
            <w:pPr>
              <w:pStyle w:val="TableText"/>
              <w:rPr>
                <w:b/>
              </w:rPr>
            </w:pPr>
            <w:r w:rsidRPr="0016655D">
              <w:rPr>
                <w:b/>
              </w:rPr>
              <w:t>Prescriber instructions:</w:t>
            </w:r>
          </w:p>
          <w:p w14:paraId="5CF02C38" w14:textId="47E36CDC" w:rsidR="003D6A75" w:rsidRPr="0016655D" w:rsidRDefault="003D6A75" w:rsidP="003D6A75">
            <w:pPr>
              <w:pStyle w:val="TableText"/>
              <w:rPr>
                <w:b/>
              </w:rPr>
            </w:pPr>
            <w:r w:rsidRPr="0016655D">
              <w:rPr>
                <w:bCs w:val="0"/>
              </w:rPr>
              <w:t>Tapering the dose of corticosteroids should be considered in patients</w:t>
            </w:r>
            <w:r>
              <w:rPr>
                <w:bCs w:val="0"/>
              </w:rPr>
              <w:t xml:space="preserve"> with responding disease</w:t>
            </w:r>
            <w:r w:rsidRPr="0016655D">
              <w:rPr>
                <w:bCs w:val="0"/>
              </w:rPr>
              <w:t>. Following successful taper</w:t>
            </w:r>
            <w:r>
              <w:rPr>
                <w:bCs w:val="0"/>
              </w:rPr>
              <w:t>ing</w:t>
            </w:r>
            <w:r w:rsidRPr="0016655D">
              <w:rPr>
                <w:bCs w:val="0"/>
              </w:rPr>
              <w:t xml:space="preserve"> of corticosteroids, tapering the dose of ruxolitinib can be initiated.</w:t>
            </w:r>
          </w:p>
        </w:tc>
      </w:tr>
      <w:tr w:rsidR="003D6A75" w:rsidRPr="0016655D" w14:paraId="23F6F965"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7FC5881" w14:textId="77777777" w:rsidR="003D6A75" w:rsidRPr="0016655D" w:rsidRDefault="003D6A75" w:rsidP="003D6A75">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66DC13F8" w14:textId="77777777" w:rsidR="003D6A75" w:rsidRPr="0016655D" w:rsidRDefault="003D6A75" w:rsidP="003D6A75">
            <w:pPr>
              <w:pStyle w:val="TableText"/>
              <w:rPr>
                <w:b/>
              </w:rPr>
            </w:pPr>
          </w:p>
        </w:tc>
      </w:tr>
      <w:tr w:rsidR="003D6A75" w:rsidRPr="0016655D" w14:paraId="45100167"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54CA6B89" w14:textId="7097F1E8" w:rsidR="003D6A75" w:rsidRPr="0016655D" w:rsidRDefault="003D6A75" w:rsidP="003D6A75">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748C4A6C" w14:textId="77777777" w:rsidR="003D6A75" w:rsidRPr="0016655D" w:rsidRDefault="003D6A75" w:rsidP="003D6A75">
            <w:pPr>
              <w:pStyle w:val="TableText"/>
              <w:rPr>
                <w:b/>
              </w:rPr>
            </w:pPr>
            <w:r w:rsidRPr="0016655D">
              <w:rPr>
                <w:b/>
              </w:rPr>
              <w:t xml:space="preserve">Administrative advice: </w:t>
            </w:r>
            <w:r w:rsidRPr="0016655D">
              <w:rPr>
                <w:bCs w:val="0"/>
              </w:rPr>
              <w:t>This drug is not PBS-subsidised if it is prescribed to an in-patient in a public hospital setting</w:t>
            </w:r>
          </w:p>
        </w:tc>
      </w:tr>
      <w:tr w:rsidR="003D6A75" w:rsidRPr="0016655D" w14:paraId="08E8714A"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212A31D" w14:textId="10283769" w:rsidR="003D6A75" w:rsidRPr="0016655D" w:rsidRDefault="003D6A75" w:rsidP="003D6A75">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70084914" w14:textId="77777777" w:rsidR="003D6A75" w:rsidRPr="0016655D" w:rsidRDefault="003D6A75" w:rsidP="003D6A75">
            <w:pPr>
              <w:pStyle w:val="TableText"/>
              <w:rPr>
                <w:b/>
              </w:rPr>
            </w:pPr>
            <w:r w:rsidRPr="0016655D">
              <w:rPr>
                <w:b/>
              </w:rPr>
              <w:t xml:space="preserve">Administrative advice: </w:t>
            </w:r>
            <w:r w:rsidRPr="0016655D">
              <w:rPr>
                <w:bCs w:val="0"/>
              </w:rPr>
              <w:t>Special Pricing Arrangements apply</w:t>
            </w:r>
          </w:p>
        </w:tc>
      </w:tr>
      <w:tr w:rsidR="003D6A75" w:rsidRPr="0016655D" w14:paraId="1B13C7EE" w14:textId="77777777" w:rsidTr="0016655D">
        <w:tc>
          <w:tcPr>
            <w:tcW w:w="548" w:type="pct"/>
            <w:tcBorders>
              <w:top w:val="single" w:sz="4" w:space="0" w:color="auto"/>
              <w:left w:val="single" w:sz="4" w:space="0" w:color="auto"/>
              <w:bottom w:val="single" w:sz="4" w:space="0" w:color="auto"/>
              <w:right w:val="single" w:sz="4" w:space="0" w:color="auto"/>
            </w:tcBorders>
          </w:tcPr>
          <w:p w14:paraId="584EE272" w14:textId="71E280CC" w:rsidR="003D6A75" w:rsidRPr="0016655D" w:rsidRDefault="003D6A75" w:rsidP="003D6A75">
            <w:pPr>
              <w:pStyle w:val="TableText"/>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655222F4" w14:textId="77777777" w:rsidR="003D6A75" w:rsidRPr="0016655D" w:rsidRDefault="003D6A75" w:rsidP="003D6A75">
            <w:pPr>
              <w:pStyle w:val="TableText"/>
              <w:rPr>
                <w:b/>
              </w:rPr>
            </w:pPr>
            <w:r w:rsidRPr="0016655D">
              <w:rPr>
                <w:b/>
              </w:rPr>
              <w:t xml:space="preserve">Administrative Advice: </w:t>
            </w:r>
            <w:r w:rsidRPr="0016655D">
              <w:rPr>
                <w:bCs w:val="0"/>
              </w:rPr>
              <w:t>This grandfather restriction will cease to operate from 12 months after the date specified in the clinical criteria.</w:t>
            </w:r>
          </w:p>
        </w:tc>
      </w:tr>
      <w:tr w:rsidR="003D6A75" w:rsidRPr="0016655D" w14:paraId="2CC6A716" w14:textId="77777777" w:rsidTr="0016655D">
        <w:tc>
          <w:tcPr>
            <w:tcW w:w="548" w:type="pct"/>
            <w:tcBorders>
              <w:top w:val="single" w:sz="4" w:space="0" w:color="auto"/>
              <w:left w:val="single" w:sz="4" w:space="0" w:color="auto"/>
              <w:bottom w:val="single" w:sz="4" w:space="0" w:color="auto"/>
              <w:right w:val="single" w:sz="4" w:space="0" w:color="auto"/>
            </w:tcBorders>
          </w:tcPr>
          <w:p w14:paraId="0A5B5AFB" w14:textId="19740128" w:rsidR="003D6A75" w:rsidRPr="0016655D" w:rsidRDefault="003D6A75" w:rsidP="003D6A75">
            <w:pPr>
              <w:pStyle w:val="TableText"/>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6DBDFE03" w14:textId="350CAB0A" w:rsidR="003D6A75" w:rsidRPr="0016655D" w:rsidRDefault="003D6A75" w:rsidP="003D6A75">
            <w:pPr>
              <w:pStyle w:val="TableText"/>
              <w:rPr>
                <w:b/>
              </w:rPr>
            </w:pPr>
            <w:r w:rsidRPr="0016655D">
              <w:rPr>
                <w:b/>
              </w:rPr>
              <w:t>Administrative Advice:</w:t>
            </w:r>
            <w:r>
              <w:rPr>
                <w:b/>
              </w:rPr>
              <w:t xml:space="preserve"> </w:t>
            </w:r>
            <w:r>
              <w:rPr>
                <w:bCs w:val="0"/>
              </w:rPr>
              <w:t>Patients may qualify for PBS-subsidised treatment under this restriction once only. For continuing PBS-subsidised treatment, a ‘Grandfathered’ patient must qualify under the ‘Continuing treatment’ criteria</w:t>
            </w:r>
          </w:p>
        </w:tc>
      </w:tr>
    </w:tbl>
    <w:p w14:paraId="5CE561D7" w14:textId="12BBB903" w:rsidR="00A6154D" w:rsidRDefault="00A6154D" w:rsidP="0016655D">
      <w:pPr>
        <w:widowControl w:val="0"/>
        <w:rPr>
          <w:rFonts w:asciiTheme="minorHAnsi" w:hAnsiTheme="minorHAnsi"/>
          <w:bCs/>
          <w:snapToGrid w:val="0"/>
        </w:rPr>
      </w:pPr>
    </w:p>
    <w:p w14:paraId="51EC6763" w14:textId="7E6B699D" w:rsidR="0016655D" w:rsidRDefault="0016655D" w:rsidP="0016655D">
      <w:r w:rsidRPr="00CA76F0">
        <w:rPr>
          <w:b/>
          <w:i/>
        </w:rPr>
        <w:t>This restriction may be subject to further review. Should there be any changes made to the restriction the sponsor will be informed</w:t>
      </w:r>
      <w:r w:rsidRPr="007F262A">
        <w:t>.</w:t>
      </w:r>
      <w:bookmarkEnd w:id="85"/>
      <w:bookmarkEnd w:id="86"/>
    </w:p>
    <w:p w14:paraId="1F960D8B" w14:textId="77777777" w:rsidR="0047021A" w:rsidRDefault="0047021A" w:rsidP="00B806F8">
      <w:pPr>
        <w:rPr>
          <w:rFonts w:asciiTheme="minorHAnsi" w:hAnsiTheme="minorHAnsi"/>
          <w:b/>
          <w:sz w:val="32"/>
        </w:rPr>
      </w:pPr>
    </w:p>
    <w:p w14:paraId="550B6909" w14:textId="3B14FCA0" w:rsidR="0047021A" w:rsidRDefault="0047021A" w:rsidP="00B806F8">
      <w:pPr>
        <w:pStyle w:val="2-SectionHeading"/>
        <w:spacing w:before="0"/>
        <w:rPr>
          <w:bCs/>
          <w:lang w:val="en-GB"/>
        </w:rPr>
      </w:pPr>
      <w:r w:rsidRPr="00C07617">
        <w:t>Context for Decision</w:t>
      </w:r>
    </w:p>
    <w:p w14:paraId="31C9554D" w14:textId="77777777" w:rsidR="0047021A" w:rsidRPr="007129F2" w:rsidRDefault="0047021A" w:rsidP="0047021A">
      <w:pPr>
        <w:spacing w:after="120"/>
        <w:ind w:left="426"/>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3DA30A9" w14:textId="5FB381FD" w:rsidR="0047021A" w:rsidRPr="00C07617" w:rsidRDefault="0047021A" w:rsidP="00B806F8">
      <w:pPr>
        <w:pStyle w:val="2-SectionHeading"/>
      </w:pPr>
      <w:r>
        <w:t>Sponsor’s Comment</w:t>
      </w:r>
    </w:p>
    <w:p w14:paraId="443FB296" w14:textId="09EA6613" w:rsidR="00BA504B" w:rsidRDefault="00945407" w:rsidP="0016655D">
      <w:pPr>
        <w:rPr>
          <w:rFonts w:asciiTheme="minorHAnsi" w:hAnsiTheme="minorHAnsi"/>
          <w:bCs/>
          <w:lang w:val="en-GB"/>
        </w:rPr>
      </w:pPr>
      <w:r w:rsidRPr="00945407">
        <w:rPr>
          <w:rFonts w:asciiTheme="minorHAnsi" w:hAnsiTheme="minorHAnsi"/>
          <w:bCs/>
          <w:lang w:val="en-GB"/>
        </w:rPr>
        <w:t>Novartis are committed to working with the PBAC to achieve</w:t>
      </w:r>
      <w:r>
        <w:rPr>
          <w:rFonts w:asciiTheme="minorHAnsi" w:hAnsiTheme="minorHAnsi"/>
          <w:bCs/>
          <w:lang w:val="en-GB"/>
        </w:rPr>
        <w:t xml:space="preserve"> </w:t>
      </w:r>
      <w:r w:rsidRPr="00945407">
        <w:rPr>
          <w:rFonts w:asciiTheme="minorHAnsi" w:hAnsiTheme="minorHAnsi"/>
          <w:bCs/>
          <w:lang w:val="en-GB"/>
        </w:rPr>
        <w:t xml:space="preserve">PBS listing </w:t>
      </w:r>
      <w:r>
        <w:rPr>
          <w:rFonts w:asciiTheme="minorHAnsi" w:hAnsiTheme="minorHAnsi"/>
          <w:bCs/>
          <w:lang w:val="en-GB"/>
        </w:rPr>
        <w:t xml:space="preserve">for </w:t>
      </w:r>
      <w:r w:rsidRPr="00945407">
        <w:rPr>
          <w:rFonts w:asciiTheme="minorHAnsi" w:hAnsiTheme="minorHAnsi"/>
          <w:bCs/>
          <w:lang w:val="en-GB"/>
        </w:rPr>
        <w:t xml:space="preserve">Jakavi® (ruxolitinib) </w:t>
      </w:r>
      <w:r>
        <w:rPr>
          <w:rFonts w:asciiTheme="minorHAnsi" w:hAnsiTheme="minorHAnsi"/>
          <w:bCs/>
          <w:lang w:val="en-GB"/>
        </w:rPr>
        <w:t>in</w:t>
      </w:r>
      <w:r w:rsidRPr="00945407">
        <w:rPr>
          <w:rFonts w:asciiTheme="minorHAnsi" w:hAnsiTheme="minorHAnsi"/>
          <w:bCs/>
          <w:lang w:val="en-GB"/>
        </w:rPr>
        <w:t xml:space="preserve"> patients with graft vs host disease.</w:t>
      </w:r>
    </w:p>
    <w:p w14:paraId="005A8EB2" w14:textId="2D20E116" w:rsidR="00E00F4A" w:rsidRDefault="00E00F4A" w:rsidP="0016655D">
      <w:pPr>
        <w:rPr>
          <w:rFonts w:asciiTheme="minorHAnsi" w:hAnsiTheme="minorHAnsi"/>
          <w:bCs/>
          <w:lang w:val="en-GB"/>
        </w:rPr>
      </w:pPr>
    </w:p>
    <w:p w14:paraId="6167D917" w14:textId="6800363F" w:rsidR="00E00F4A" w:rsidRDefault="00E00F4A" w:rsidP="0016655D">
      <w:pPr>
        <w:rPr>
          <w:rFonts w:asciiTheme="minorHAnsi" w:hAnsiTheme="minorHAnsi"/>
          <w:bCs/>
          <w:lang w:val="en-GB"/>
        </w:rPr>
      </w:pPr>
    </w:p>
    <w:p w14:paraId="6B2E087E" w14:textId="6008C268" w:rsidR="00E00F4A" w:rsidRDefault="00E00F4A" w:rsidP="0016655D">
      <w:pPr>
        <w:rPr>
          <w:rFonts w:asciiTheme="minorHAnsi" w:hAnsiTheme="minorHAnsi"/>
          <w:bCs/>
          <w:lang w:val="en-GB"/>
        </w:rPr>
      </w:pPr>
    </w:p>
    <w:p w14:paraId="4B16FAB4" w14:textId="4B9CACF2" w:rsidR="00E00F4A" w:rsidRDefault="00E00F4A" w:rsidP="0016655D">
      <w:pPr>
        <w:rPr>
          <w:rFonts w:asciiTheme="minorHAnsi" w:hAnsiTheme="minorHAnsi"/>
          <w:bCs/>
          <w:lang w:val="en-GB"/>
        </w:rPr>
      </w:pPr>
    </w:p>
    <w:p w14:paraId="54A3ACC9" w14:textId="262871F0" w:rsidR="00E00F4A" w:rsidRDefault="00E00F4A" w:rsidP="0016655D">
      <w:pPr>
        <w:rPr>
          <w:rFonts w:asciiTheme="minorHAnsi" w:hAnsiTheme="minorHAnsi"/>
          <w:bCs/>
          <w:lang w:val="en-GB"/>
        </w:rPr>
      </w:pPr>
    </w:p>
    <w:p w14:paraId="78A7D2A2" w14:textId="594897DF" w:rsidR="00E00F4A" w:rsidRDefault="00E00F4A" w:rsidP="0016655D">
      <w:pPr>
        <w:rPr>
          <w:rFonts w:asciiTheme="minorHAnsi" w:hAnsiTheme="minorHAnsi"/>
          <w:bCs/>
          <w:lang w:val="en-GB"/>
        </w:rPr>
      </w:pPr>
    </w:p>
    <w:p w14:paraId="50F72C23" w14:textId="35652AA9" w:rsidR="00E00F4A" w:rsidRDefault="00E00F4A" w:rsidP="0016655D">
      <w:pPr>
        <w:rPr>
          <w:rFonts w:asciiTheme="minorHAnsi" w:hAnsiTheme="minorHAnsi"/>
          <w:bCs/>
          <w:lang w:val="en-GB"/>
        </w:rPr>
      </w:pPr>
    </w:p>
    <w:p w14:paraId="0522571C" w14:textId="11748C1D" w:rsidR="00E00F4A" w:rsidRDefault="00E00F4A" w:rsidP="0016655D">
      <w:pPr>
        <w:rPr>
          <w:rFonts w:asciiTheme="minorHAnsi" w:hAnsiTheme="minorHAnsi"/>
          <w:bCs/>
          <w:lang w:val="en-GB"/>
        </w:rPr>
      </w:pPr>
    </w:p>
    <w:p w14:paraId="3F2FFE31" w14:textId="2F37667C" w:rsidR="00E00F4A" w:rsidRDefault="00E00F4A" w:rsidP="0016655D">
      <w:pPr>
        <w:rPr>
          <w:rFonts w:asciiTheme="minorHAnsi" w:hAnsiTheme="minorHAnsi"/>
          <w:bCs/>
          <w:lang w:val="en-GB"/>
        </w:rPr>
      </w:pPr>
    </w:p>
    <w:p w14:paraId="7B635DDD" w14:textId="2E14D7AE" w:rsidR="00E00F4A" w:rsidRDefault="00E00F4A" w:rsidP="0016655D">
      <w:pPr>
        <w:rPr>
          <w:rFonts w:asciiTheme="minorHAnsi" w:hAnsiTheme="minorHAnsi"/>
          <w:bCs/>
          <w:lang w:val="en-GB"/>
        </w:rPr>
      </w:pPr>
    </w:p>
    <w:p w14:paraId="70A2F35E" w14:textId="365F5017" w:rsidR="00E00F4A" w:rsidRDefault="00E00F4A" w:rsidP="0016655D">
      <w:pPr>
        <w:rPr>
          <w:rFonts w:asciiTheme="minorHAnsi" w:hAnsiTheme="minorHAnsi"/>
          <w:bCs/>
          <w:lang w:val="en-GB"/>
        </w:rPr>
      </w:pPr>
    </w:p>
    <w:p w14:paraId="01904E69" w14:textId="181CD3A2" w:rsidR="00E00F4A" w:rsidRDefault="00E00F4A" w:rsidP="0016655D">
      <w:pPr>
        <w:rPr>
          <w:rFonts w:asciiTheme="minorHAnsi" w:hAnsiTheme="minorHAnsi"/>
          <w:bCs/>
          <w:lang w:val="en-GB"/>
        </w:rPr>
      </w:pPr>
    </w:p>
    <w:p w14:paraId="24EFBE41" w14:textId="1C627EC6" w:rsidR="00E00F4A" w:rsidRDefault="00E00F4A" w:rsidP="0016655D">
      <w:pPr>
        <w:rPr>
          <w:rFonts w:asciiTheme="minorHAnsi" w:hAnsiTheme="minorHAnsi"/>
          <w:bCs/>
          <w:lang w:val="en-GB"/>
        </w:rPr>
      </w:pPr>
    </w:p>
    <w:p w14:paraId="09A621C6" w14:textId="456A6EBA" w:rsidR="00E00F4A" w:rsidRDefault="00E00F4A" w:rsidP="0016655D">
      <w:pPr>
        <w:rPr>
          <w:rFonts w:asciiTheme="minorHAnsi" w:hAnsiTheme="minorHAnsi"/>
          <w:bCs/>
          <w:lang w:val="en-GB"/>
        </w:rPr>
      </w:pPr>
    </w:p>
    <w:p w14:paraId="1F26A3D6" w14:textId="286804D6" w:rsidR="00E00F4A" w:rsidRDefault="00E00F4A" w:rsidP="0016655D">
      <w:pPr>
        <w:rPr>
          <w:rFonts w:asciiTheme="minorHAnsi" w:hAnsiTheme="minorHAnsi"/>
          <w:bCs/>
          <w:lang w:val="en-GB"/>
        </w:rPr>
      </w:pPr>
    </w:p>
    <w:p w14:paraId="398E5325" w14:textId="24187E45" w:rsidR="00E00F4A" w:rsidRDefault="00E00F4A" w:rsidP="0016655D">
      <w:pPr>
        <w:rPr>
          <w:rFonts w:asciiTheme="minorHAnsi" w:hAnsiTheme="minorHAnsi"/>
          <w:bCs/>
          <w:lang w:val="en-GB"/>
        </w:rPr>
      </w:pPr>
    </w:p>
    <w:p w14:paraId="5AB0F003" w14:textId="50F47FDA" w:rsidR="00E00F4A" w:rsidRDefault="00E00F4A" w:rsidP="0016655D">
      <w:pPr>
        <w:rPr>
          <w:rFonts w:asciiTheme="minorHAnsi" w:hAnsiTheme="minorHAnsi"/>
          <w:bCs/>
          <w:lang w:val="en-GB"/>
        </w:rPr>
      </w:pPr>
    </w:p>
    <w:p w14:paraId="4ED9A317" w14:textId="0E527B7B" w:rsidR="00E00F4A" w:rsidRDefault="00E00F4A" w:rsidP="0016655D">
      <w:pPr>
        <w:rPr>
          <w:rFonts w:asciiTheme="minorHAnsi" w:hAnsiTheme="minorHAnsi"/>
          <w:bCs/>
          <w:lang w:val="en-GB"/>
        </w:rPr>
      </w:pPr>
    </w:p>
    <w:p w14:paraId="0D57D429" w14:textId="7D72DE64" w:rsidR="00E00F4A" w:rsidRDefault="00E00F4A" w:rsidP="0016655D">
      <w:pPr>
        <w:rPr>
          <w:rFonts w:asciiTheme="minorHAnsi" w:hAnsiTheme="minorHAnsi"/>
          <w:bCs/>
          <w:lang w:val="en-GB"/>
        </w:rPr>
      </w:pPr>
    </w:p>
    <w:p w14:paraId="3ACA96B1" w14:textId="0903E197" w:rsidR="00E00F4A" w:rsidRDefault="00E00F4A" w:rsidP="0016655D">
      <w:pPr>
        <w:rPr>
          <w:rFonts w:asciiTheme="minorHAnsi" w:hAnsiTheme="minorHAnsi"/>
          <w:bCs/>
          <w:lang w:val="en-GB"/>
        </w:rPr>
      </w:pPr>
    </w:p>
    <w:p w14:paraId="5308E3D8" w14:textId="77777777" w:rsidR="00F67D26" w:rsidRDefault="00F67D26">
      <w:pPr>
        <w:jc w:val="left"/>
        <w:rPr>
          <w:rFonts w:asciiTheme="minorHAnsi" w:eastAsia="Calibri" w:hAnsiTheme="minorHAnsi" w:cstheme="majorBidi"/>
          <w:b/>
          <w:color w:val="FF0000"/>
          <w:spacing w:val="5"/>
          <w:kern w:val="28"/>
          <w:sz w:val="28"/>
          <w:szCs w:val="28"/>
          <w:lang w:eastAsia="en-US"/>
        </w:rPr>
      </w:pPr>
      <w:bookmarkStart w:id="91" w:name="_Hlk113001493"/>
      <w:r>
        <w:rPr>
          <w:rFonts w:eastAsia="Calibri"/>
          <w:color w:val="FF0000"/>
          <w:sz w:val="28"/>
          <w:szCs w:val="28"/>
        </w:rPr>
        <w:br w:type="page"/>
      </w:r>
    </w:p>
    <w:p w14:paraId="51133947" w14:textId="51EED908" w:rsidR="00E00F4A" w:rsidRDefault="00E00F4A" w:rsidP="00123032">
      <w:pPr>
        <w:pStyle w:val="1MainTitle"/>
        <w:ind w:left="1134" w:hanging="1134"/>
        <w:jc w:val="left"/>
      </w:pPr>
      <w:r w:rsidRPr="009C4137">
        <w:rPr>
          <w:rFonts w:eastAsia="Calibri"/>
          <w:color w:val="FF0000"/>
          <w:sz w:val="28"/>
          <w:szCs w:val="28"/>
        </w:rPr>
        <w:t xml:space="preserve">Addendum to the </w:t>
      </w:r>
      <w:r>
        <w:rPr>
          <w:rFonts w:eastAsia="Calibri"/>
          <w:color w:val="FF0000"/>
          <w:sz w:val="28"/>
          <w:szCs w:val="28"/>
        </w:rPr>
        <w:t>July 2022</w:t>
      </w:r>
      <w:r w:rsidRPr="009C4137">
        <w:rPr>
          <w:rFonts w:eastAsia="Calibri"/>
          <w:color w:val="FF0000"/>
          <w:sz w:val="28"/>
          <w:szCs w:val="28"/>
        </w:rPr>
        <w:t xml:space="preserve"> PBAC </w:t>
      </w:r>
      <w:r w:rsidR="006E7317">
        <w:rPr>
          <w:rFonts w:eastAsia="Calibri"/>
          <w:color w:val="FF0000"/>
          <w:sz w:val="28"/>
          <w:szCs w:val="28"/>
        </w:rPr>
        <w:t>PSD</w:t>
      </w:r>
      <w:r w:rsidRPr="009C4137">
        <w:rPr>
          <w:rFonts w:eastAsia="Calibri"/>
          <w:color w:val="FF0000"/>
          <w:sz w:val="28"/>
          <w:szCs w:val="28"/>
        </w:rPr>
        <w:t>:</w:t>
      </w:r>
    </w:p>
    <w:p w14:paraId="69894703" w14:textId="77777777" w:rsidR="00E00F4A" w:rsidRPr="004A6040" w:rsidRDefault="00E00F4A" w:rsidP="00E00F4A">
      <w:pPr>
        <w:pStyle w:val="1-MainHeading"/>
      </w:pPr>
      <w:r>
        <w:t>7.04</w:t>
      </w:r>
      <w:r>
        <w:tab/>
        <w:t>RUXOLITINIB,</w:t>
      </w:r>
      <w:r>
        <w:br/>
        <w:t>Tablet 5 mg, Tablet 10 mg,</w:t>
      </w:r>
      <w:r>
        <w:br/>
        <w:t>Jakavi</w:t>
      </w:r>
      <w:r w:rsidRPr="004A6040">
        <w:rPr>
          <w:vertAlign w:val="superscript"/>
        </w:rPr>
        <w:t>®</w:t>
      </w:r>
      <w:r w:rsidRPr="004A6040">
        <w:t>,</w:t>
      </w:r>
      <w:r w:rsidRPr="004A6040">
        <w:br/>
      </w:r>
      <w:r>
        <w:t>Novartis Pharmaceuticals Australia Pty Limited.</w:t>
      </w:r>
    </w:p>
    <w:p w14:paraId="52761F59" w14:textId="77777777" w:rsidR="00E00F4A" w:rsidRPr="0046360F" w:rsidRDefault="00E00F4A" w:rsidP="00E00F4A">
      <w:pPr>
        <w:pStyle w:val="2-SectionHeading"/>
        <w:numPr>
          <w:ilvl w:val="0"/>
          <w:numId w:val="1"/>
        </w:numPr>
      </w:pPr>
      <w:r>
        <w:t>Background</w:t>
      </w:r>
    </w:p>
    <w:p w14:paraId="189D6A55" w14:textId="77777777" w:rsidR="00E00F4A" w:rsidRPr="009D0CFA" w:rsidRDefault="00E00F4A" w:rsidP="00E00F4A">
      <w:pPr>
        <w:pStyle w:val="ExecSumBodyText"/>
        <w:numPr>
          <w:ilvl w:val="1"/>
          <w:numId w:val="1"/>
        </w:numPr>
      </w:pPr>
      <w:r>
        <w:t xml:space="preserve">The resubmission </w:t>
      </w:r>
      <w:r w:rsidRPr="009D0CFA">
        <w:t xml:space="preserve">requested a General Schedule Authority Required (STREAMLINED) listing for the treatment of patients </w:t>
      </w:r>
      <w:r>
        <w:t xml:space="preserve">with </w:t>
      </w:r>
      <w:r w:rsidRPr="009D0CFA">
        <w:t xml:space="preserve">moderate to severe </w:t>
      </w:r>
      <w:r>
        <w:t>chronic graft versus host disease (c</w:t>
      </w:r>
      <w:r w:rsidRPr="009D0CFA">
        <w:t>GVHD</w:t>
      </w:r>
      <w:r>
        <w:t>)</w:t>
      </w:r>
      <w:r w:rsidRPr="009D0CFA">
        <w:t xml:space="preserve"> who are refractory to, dependent on or intolerant of corticosteroids.</w:t>
      </w:r>
    </w:p>
    <w:p w14:paraId="6A04FFEA" w14:textId="77777777" w:rsidR="00E00F4A" w:rsidRPr="009D0CFA" w:rsidRDefault="00E00F4A" w:rsidP="00E00F4A">
      <w:pPr>
        <w:pStyle w:val="ExecSumBodyText"/>
        <w:numPr>
          <w:ilvl w:val="1"/>
          <w:numId w:val="1"/>
        </w:numPr>
      </w:pPr>
      <w:r w:rsidRPr="009D0CFA">
        <w:t>A</w:t>
      </w:r>
      <w:r>
        <w:t>t the July 2022 PBAC meeting, ruxolitinib</w:t>
      </w:r>
      <w:r w:rsidRPr="00F86A61">
        <w:rPr>
          <w:lang w:val="en-GB"/>
        </w:rPr>
        <w:t xml:space="preserve"> was recommended for the treatment of acute graft versus host disease (aGVHD)</w:t>
      </w:r>
      <w:r>
        <w:t xml:space="preserve">, but not for the treatment of cGVHD. </w:t>
      </w:r>
      <w:r w:rsidRPr="009D0CFA">
        <w:t xml:space="preserve">The resubmission for cGVHD was made under the early resolution pathway and sought to address the PBAC’s concerns from its July 2022 meeting. </w:t>
      </w:r>
    </w:p>
    <w:p w14:paraId="5CDAA752" w14:textId="77777777" w:rsidR="00E00F4A" w:rsidRPr="00B6677F" w:rsidRDefault="00E00F4A" w:rsidP="00E00F4A">
      <w:pPr>
        <w:pStyle w:val="2-SectionHeading"/>
        <w:numPr>
          <w:ilvl w:val="0"/>
          <w:numId w:val="1"/>
        </w:numPr>
      </w:pPr>
      <w:r w:rsidRPr="00B6677F">
        <w:t>Consideration of the evidence</w:t>
      </w:r>
    </w:p>
    <w:p w14:paraId="4B51E388" w14:textId="77777777" w:rsidR="00E00F4A" w:rsidRPr="00F86A61" w:rsidRDefault="00E00F4A" w:rsidP="00E00F4A">
      <w:pPr>
        <w:pStyle w:val="3-BodyText"/>
        <w:numPr>
          <w:ilvl w:val="1"/>
          <w:numId w:val="1"/>
        </w:numPr>
      </w:pPr>
      <w:r>
        <w:t>In July 2022 t</w:t>
      </w:r>
      <w:r w:rsidRPr="005E4194">
        <w:rPr>
          <w:lang w:eastAsia="en-US"/>
        </w:rPr>
        <w:t xml:space="preserve">he PBAC </w:t>
      </w:r>
      <w:r w:rsidRPr="00380CDB">
        <w:rPr>
          <w:rFonts w:ascii="Calibri" w:hAnsi="Calibri"/>
          <w:bCs/>
          <w:snapToGrid/>
          <w:lang w:eastAsia="en-US"/>
        </w:rPr>
        <w:t xml:space="preserve">considered the outstanding issues could be resolved in a simple resubmission </w:t>
      </w:r>
      <w:r>
        <w:rPr>
          <w:lang w:val="en-GB"/>
        </w:rPr>
        <w:t xml:space="preserve">and that </w:t>
      </w:r>
      <w:r w:rsidRPr="00674C0F">
        <w:rPr>
          <w:lang w:val="en-GB"/>
        </w:rPr>
        <w:t>the following changes may address the outstanding issues without requiring re-evaluation</w:t>
      </w:r>
      <w:r>
        <w:rPr>
          <w:lang w:val="en-GB"/>
        </w:rPr>
        <w:t>:</w:t>
      </w:r>
    </w:p>
    <w:p w14:paraId="1F92C415" w14:textId="77777777" w:rsidR="00E00F4A" w:rsidRPr="00891B30" w:rsidRDefault="00E00F4A" w:rsidP="00A2582A">
      <w:pPr>
        <w:pStyle w:val="ListParagraph"/>
        <w:numPr>
          <w:ilvl w:val="0"/>
          <w:numId w:val="17"/>
        </w:numPr>
        <w:spacing w:after="120"/>
        <w:ind w:left="1134" w:hanging="357"/>
        <w:contextualSpacing w:val="0"/>
        <w:rPr>
          <w:snapToGrid w:val="0"/>
          <w:lang w:val="en-GB"/>
        </w:rPr>
      </w:pPr>
      <w:r>
        <w:rPr>
          <w:snapToGrid w:val="0"/>
          <w:lang w:val="en-GB"/>
        </w:rPr>
        <w:t xml:space="preserve">A revised economic model that incorporates the changes outlined in paragraph </w:t>
      </w:r>
      <w:r>
        <w:rPr>
          <w:snapToGrid w:val="0"/>
          <w:lang w:val="en-GB"/>
        </w:rPr>
        <w:fldChar w:fldCharType="begin" w:fldLock="1"/>
      </w:r>
      <w:r>
        <w:rPr>
          <w:snapToGrid w:val="0"/>
          <w:lang w:val="en-GB"/>
        </w:rPr>
        <w:instrText xml:space="preserve"> REF _Ref109395412 \r \h </w:instrText>
      </w:r>
      <w:r>
        <w:rPr>
          <w:snapToGrid w:val="0"/>
          <w:lang w:val="en-GB"/>
        </w:rPr>
      </w:r>
      <w:r>
        <w:rPr>
          <w:snapToGrid w:val="0"/>
          <w:lang w:val="en-GB"/>
        </w:rPr>
        <w:fldChar w:fldCharType="separate"/>
      </w:r>
      <w:r>
        <w:rPr>
          <w:snapToGrid w:val="0"/>
          <w:lang w:val="en-GB"/>
        </w:rPr>
        <w:t>7.26</w:t>
      </w:r>
      <w:r>
        <w:rPr>
          <w:snapToGrid w:val="0"/>
          <w:lang w:val="en-GB"/>
        </w:rPr>
        <w:fldChar w:fldCharType="end"/>
      </w:r>
      <w:r>
        <w:rPr>
          <w:snapToGrid w:val="0"/>
          <w:lang w:val="en-GB"/>
        </w:rPr>
        <w:t>; and</w:t>
      </w:r>
    </w:p>
    <w:p w14:paraId="5C790DC7" w14:textId="77777777" w:rsidR="00E00F4A" w:rsidRPr="003770D6" w:rsidRDefault="00E00F4A" w:rsidP="00A2582A">
      <w:pPr>
        <w:pStyle w:val="ListParagraph"/>
        <w:numPr>
          <w:ilvl w:val="0"/>
          <w:numId w:val="17"/>
        </w:numPr>
        <w:spacing w:after="120"/>
        <w:ind w:left="1134" w:hanging="357"/>
        <w:contextualSpacing w:val="0"/>
        <w:rPr>
          <w:snapToGrid w:val="0"/>
          <w:lang w:val="en-GB"/>
        </w:rPr>
      </w:pPr>
      <w:r>
        <w:rPr>
          <w:snapToGrid w:val="0"/>
          <w:lang w:val="en-GB"/>
        </w:rPr>
        <w:t>An</w:t>
      </w:r>
      <w:r w:rsidRPr="003770D6">
        <w:rPr>
          <w:snapToGrid w:val="0"/>
          <w:lang w:val="en-GB"/>
        </w:rPr>
        <w:t xml:space="preserve"> RSA with expenditure caps based on the advice provided in paragraph</w:t>
      </w:r>
      <w:r>
        <w:rPr>
          <w:snapToGrid w:val="0"/>
          <w:lang w:val="en-GB"/>
        </w:rPr>
        <w:t>s</w:t>
      </w:r>
      <w:r w:rsidRPr="003770D6">
        <w:rPr>
          <w:snapToGrid w:val="0"/>
          <w:lang w:val="en-GB"/>
        </w:rPr>
        <w:t xml:space="preserve"> </w:t>
      </w:r>
      <w:r>
        <w:rPr>
          <w:snapToGrid w:val="0"/>
          <w:lang w:val="en-GB"/>
        </w:rPr>
        <w:fldChar w:fldCharType="begin" w:fldLock="1"/>
      </w:r>
      <w:r>
        <w:rPr>
          <w:snapToGrid w:val="0"/>
          <w:lang w:val="en-GB"/>
        </w:rPr>
        <w:instrText xml:space="preserve"> REF _Ref109395412 \r \h </w:instrText>
      </w:r>
      <w:r>
        <w:rPr>
          <w:snapToGrid w:val="0"/>
          <w:lang w:val="en-GB"/>
        </w:rPr>
      </w:r>
      <w:r>
        <w:rPr>
          <w:snapToGrid w:val="0"/>
          <w:lang w:val="en-GB"/>
        </w:rPr>
        <w:fldChar w:fldCharType="separate"/>
      </w:r>
      <w:r>
        <w:rPr>
          <w:snapToGrid w:val="0"/>
          <w:lang w:val="en-GB"/>
        </w:rPr>
        <w:t>7.26</w:t>
      </w:r>
      <w:r>
        <w:rPr>
          <w:snapToGrid w:val="0"/>
          <w:lang w:val="en-GB"/>
        </w:rPr>
        <w:fldChar w:fldCharType="end"/>
      </w:r>
      <w:r>
        <w:rPr>
          <w:snapToGrid w:val="0"/>
          <w:lang w:val="en-GB"/>
        </w:rPr>
        <w:t xml:space="preserve">, </w:t>
      </w:r>
      <w:r>
        <w:rPr>
          <w:snapToGrid w:val="0"/>
          <w:lang w:val="en-GB"/>
        </w:rPr>
        <w:fldChar w:fldCharType="begin" w:fldLock="1"/>
      </w:r>
      <w:r>
        <w:rPr>
          <w:snapToGrid w:val="0"/>
          <w:lang w:val="en-GB"/>
        </w:rPr>
        <w:instrText xml:space="preserve"> REF _Ref109395424 \r \h </w:instrText>
      </w:r>
      <w:r>
        <w:rPr>
          <w:snapToGrid w:val="0"/>
          <w:lang w:val="en-GB"/>
        </w:rPr>
      </w:r>
      <w:r>
        <w:rPr>
          <w:snapToGrid w:val="0"/>
          <w:lang w:val="en-GB"/>
        </w:rPr>
        <w:fldChar w:fldCharType="separate"/>
      </w:r>
      <w:r>
        <w:rPr>
          <w:snapToGrid w:val="0"/>
          <w:lang w:val="en-GB"/>
        </w:rPr>
        <w:t>7.27</w:t>
      </w:r>
      <w:r>
        <w:rPr>
          <w:snapToGrid w:val="0"/>
          <w:lang w:val="en-GB"/>
        </w:rPr>
        <w:fldChar w:fldCharType="end"/>
      </w:r>
      <w:r>
        <w:rPr>
          <w:snapToGrid w:val="0"/>
          <w:lang w:val="en-GB"/>
        </w:rPr>
        <w:t xml:space="preserve"> and </w:t>
      </w:r>
      <w:r>
        <w:rPr>
          <w:snapToGrid w:val="0"/>
          <w:lang w:val="en-GB"/>
        </w:rPr>
        <w:fldChar w:fldCharType="begin" w:fldLock="1"/>
      </w:r>
      <w:r>
        <w:rPr>
          <w:snapToGrid w:val="0"/>
          <w:lang w:val="en-GB"/>
        </w:rPr>
        <w:instrText xml:space="preserve"> REF _Ref109987223 \r \h </w:instrText>
      </w:r>
      <w:r>
        <w:rPr>
          <w:snapToGrid w:val="0"/>
          <w:lang w:val="en-GB"/>
        </w:rPr>
      </w:r>
      <w:r>
        <w:rPr>
          <w:snapToGrid w:val="0"/>
          <w:lang w:val="en-GB"/>
        </w:rPr>
        <w:fldChar w:fldCharType="separate"/>
      </w:r>
      <w:r>
        <w:rPr>
          <w:snapToGrid w:val="0"/>
          <w:lang w:val="en-GB"/>
        </w:rPr>
        <w:t>7.28</w:t>
      </w:r>
      <w:r>
        <w:rPr>
          <w:snapToGrid w:val="0"/>
          <w:lang w:val="en-GB"/>
        </w:rPr>
        <w:fldChar w:fldCharType="end"/>
      </w:r>
      <w:r>
        <w:rPr>
          <w:snapToGrid w:val="0"/>
          <w:lang w:val="en-GB"/>
        </w:rPr>
        <w:t>, with</w:t>
      </w:r>
      <w:r w:rsidRPr="003770D6">
        <w:rPr>
          <w:snapToGrid w:val="0"/>
          <w:lang w:val="en-GB"/>
        </w:rPr>
        <w:t xml:space="preserve"> a reduced price as derived from revised model outlined above.</w:t>
      </w:r>
    </w:p>
    <w:p w14:paraId="2B127551" w14:textId="77777777" w:rsidR="00E00F4A" w:rsidRDefault="00E00F4A" w:rsidP="00E00F4A">
      <w:pPr>
        <w:widowControl w:val="0"/>
        <w:numPr>
          <w:ilvl w:val="1"/>
          <w:numId w:val="1"/>
        </w:numPr>
        <w:spacing w:after="120"/>
        <w:ind w:left="720" w:hanging="720"/>
        <w:rPr>
          <w:lang w:eastAsia="en-US"/>
        </w:rPr>
      </w:pPr>
      <w:r>
        <w:rPr>
          <w:lang w:eastAsia="en-US"/>
        </w:rPr>
        <w:fldChar w:fldCharType="begin" w:fldLock="1"/>
      </w:r>
      <w:r>
        <w:rPr>
          <w:lang w:eastAsia="en-US"/>
        </w:rPr>
        <w:instrText xml:space="preserve"> REF _Ref114060860 \h  \* MERGEFORMAT </w:instrText>
      </w:r>
      <w:r>
        <w:rPr>
          <w:lang w:eastAsia="en-US"/>
        </w:rPr>
      </w:r>
      <w:r>
        <w:rPr>
          <w:lang w:eastAsia="en-US"/>
        </w:rPr>
        <w:fldChar w:fldCharType="separate"/>
      </w:r>
      <w:r w:rsidRPr="006067D3">
        <w:rPr>
          <w:lang w:eastAsia="en-US"/>
        </w:rPr>
        <w:t>Table 25</w:t>
      </w:r>
      <w:r>
        <w:rPr>
          <w:lang w:eastAsia="en-US"/>
        </w:rPr>
        <w:fldChar w:fldCharType="end"/>
      </w:r>
      <w:r>
        <w:rPr>
          <w:lang w:eastAsia="en-US"/>
        </w:rPr>
        <w:t xml:space="preserve"> summarises how the resubmission addressed each of these issues. </w:t>
      </w:r>
    </w:p>
    <w:p w14:paraId="7E2B7F16" w14:textId="77777777" w:rsidR="00E00F4A" w:rsidRPr="00CE6785" w:rsidRDefault="00E00F4A" w:rsidP="00E00F4A">
      <w:pPr>
        <w:pStyle w:val="Caption"/>
        <w:keepLines/>
        <w:spacing w:line="240" w:lineRule="auto"/>
        <w:rPr>
          <w:rFonts w:ascii="Arial Narrow" w:eastAsia="Calibri" w:hAnsi="Arial Narrow" w:cs="Calibri"/>
          <w:b w:val="0"/>
          <w:bCs w:val="0"/>
          <w:sz w:val="20"/>
          <w:szCs w:val="20"/>
        </w:rPr>
      </w:pPr>
      <w:bookmarkStart w:id="92" w:name="_Ref114060860"/>
      <w:bookmarkEnd w:id="91"/>
      <w:r w:rsidRPr="006067D3">
        <w:rPr>
          <w:rFonts w:ascii="Arial Narrow" w:eastAsia="Calibri" w:hAnsi="Arial Narrow" w:cs="Calibri"/>
          <w:sz w:val="20"/>
          <w:szCs w:val="20"/>
        </w:rPr>
        <w:t xml:space="preserve">Table </w:t>
      </w:r>
      <w:r w:rsidRPr="006067D3">
        <w:rPr>
          <w:rFonts w:ascii="Arial Narrow" w:eastAsia="Calibri" w:hAnsi="Arial Narrow" w:cs="Calibri"/>
          <w:sz w:val="20"/>
          <w:szCs w:val="20"/>
        </w:rPr>
        <w:fldChar w:fldCharType="begin" w:fldLock="1"/>
      </w:r>
      <w:r w:rsidRPr="006067D3">
        <w:rPr>
          <w:rFonts w:ascii="Arial Narrow" w:eastAsia="Calibri" w:hAnsi="Arial Narrow" w:cs="Calibri"/>
          <w:sz w:val="20"/>
          <w:szCs w:val="20"/>
        </w:rPr>
        <w:instrText xml:space="preserve"> SEQ Table \* ARABIC </w:instrText>
      </w:r>
      <w:r w:rsidRPr="006067D3">
        <w:rPr>
          <w:rFonts w:ascii="Arial Narrow" w:eastAsia="Calibri" w:hAnsi="Arial Narrow" w:cs="Calibri"/>
          <w:sz w:val="20"/>
          <w:szCs w:val="20"/>
        </w:rPr>
        <w:fldChar w:fldCharType="separate"/>
      </w:r>
      <w:r>
        <w:rPr>
          <w:rFonts w:ascii="Arial Narrow" w:eastAsia="Calibri" w:hAnsi="Arial Narrow" w:cs="Calibri"/>
          <w:noProof/>
          <w:sz w:val="20"/>
          <w:szCs w:val="20"/>
        </w:rPr>
        <w:t>25</w:t>
      </w:r>
      <w:r w:rsidRPr="006067D3">
        <w:rPr>
          <w:rFonts w:ascii="Arial Narrow" w:eastAsia="Calibri" w:hAnsi="Arial Narrow" w:cs="Calibri"/>
          <w:sz w:val="20"/>
          <w:szCs w:val="20"/>
        </w:rPr>
        <w:fldChar w:fldCharType="end"/>
      </w:r>
      <w:bookmarkEnd w:id="92"/>
      <w:r w:rsidRPr="006067D3">
        <w:rPr>
          <w:rFonts w:ascii="Arial Narrow" w:eastAsia="Calibri" w:hAnsi="Arial Narrow" w:cs="Calibri"/>
          <w:sz w:val="20"/>
          <w:szCs w:val="20"/>
        </w:rPr>
        <w:t xml:space="preserve">: </w:t>
      </w:r>
      <w:r w:rsidRPr="00CE6785">
        <w:rPr>
          <w:rFonts w:ascii="Arial Narrow" w:eastAsia="Calibri" w:hAnsi="Arial Narrow" w:cs="Calibri"/>
          <w:sz w:val="20"/>
          <w:szCs w:val="20"/>
        </w:rPr>
        <w:t xml:space="preserve">Summary of changes made in the resubmission </w:t>
      </w:r>
    </w:p>
    <w:tbl>
      <w:tblPr>
        <w:tblStyle w:val="Tabellengitternetz9pt1"/>
        <w:tblW w:w="0" w:type="auto"/>
        <w:tblInd w:w="0" w:type="dxa"/>
        <w:tblLook w:val="04A0" w:firstRow="1" w:lastRow="0" w:firstColumn="1" w:lastColumn="0" w:noHBand="0" w:noVBand="1"/>
      </w:tblPr>
      <w:tblGrid>
        <w:gridCol w:w="3681"/>
        <w:gridCol w:w="5335"/>
      </w:tblGrid>
      <w:tr w:rsidR="00E00F4A" w:rsidRPr="00CE6785" w14:paraId="2E022508" w14:textId="77777777" w:rsidTr="00EC502C">
        <w:trPr>
          <w:cantSplit/>
          <w:tblHeader/>
        </w:trPr>
        <w:tc>
          <w:tcPr>
            <w:tcW w:w="3681" w:type="dxa"/>
            <w:tcBorders>
              <w:top w:val="single" w:sz="4" w:space="0" w:color="auto"/>
              <w:left w:val="single" w:sz="4" w:space="0" w:color="auto"/>
              <w:bottom w:val="single" w:sz="4" w:space="0" w:color="auto"/>
              <w:right w:val="single" w:sz="4" w:space="0" w:color="auto"/>
            </w:tcBorders>
            <w:hideMark/>
          </w:tcPr>
          <w:p w14:paraId="65B766F3" w14:textId="29DA9E24" w:rsidR="00E00F4A" w:rsidRPr="00CE6785" w:rsidRDefault="00E00F4A" w:rsidP="00EC502C">
            <w:pPr>
              <w:keepNext/>
              <w:keepLines/>
              <w:jc w:val="center"/>
              <w:rPr>
                <w:rFonts w:ascii="Arial Narrow" w:hAnsi="Arial Narrow" w:cs="Times New Roman"/>
                <w:b/>
                <w:bCs/>
                <w:sz w:val="20"/>
                <w:szCs w:val="20"/>
              </w:rPr>
            </w:pPr>
            <w:r w:rsidRPr="00CE6785">
              <w:rPr>
                <w:rFonts w:ascii="Arial Narrow" w:hAnsi="Arial Narrow" w:cs="Times New Roman"/>
                <w:b/>
                <w:bCs/>
                <w:sz w:val="20"/>
                <w:szCs w:val="20"/>
              </w:rPr>
              <w:t xml:space="preserve">PBAC </w:t>
            </w:r>
            <w:r w:rsidR="006E7317">
              <w:rPr>
                <w:rFonts w:ascii="Arial Narrow" w:hAnsi="Arial Narrow" w:cs="Times New Roman"/>
                <w:b/>
                <w:bCs/>
                <w:sz w:val="20"/>
                <w:szCs w:val="20"/>
              </w:rPr>
              <w:t>PSD</w:t>
            </w:r>
            <w:r w:rsidR="006E7317" w:rsidRPr="00CE6785">
              <w:rPr>
                <w:rFonts w:ascii="Arial Narrow" w:hAnsi="Arial Narrow" w:cs="Times New Roman"/>
                <w:b/>
                <w:bCs/>
                <w:sz w:val="20"/>
                <w:szCs w:val="20"/>
              </w:rPr>
              <w:t xml:space="preserve"> </w:t>
            </w:r>
            <w:r w:rsidRPr="00CE6785">
              <w:rPr>
                <w:rFonts w:ascii="Arial Narrow" w:hAnsi="Arial Narrow" w:cs="Times New Roman"/>
                <w:b/>
                <w:bCs/>
                <w:sz w:val="20"/>
                <w:szCs w:val="20"/>
              </w:rPr>
              <w:t>recommended change</w:t>
            </w:r>
          </w:p>
        </w:tc>
        <w:tc>
          <w:tcPr>
            <w:tcW w:w="5335" w:type="dxa"/>
            <w:tcBorders>
              <w:top w:val="single" w:sz="4" w:space="0" w:color="auto"/>
              <w:left w:val="single" w:sz="4" w:space="0" w:color="auto"/>
              <w:bottom w:val="single" w:sz="4" w:space="0" w:color="auto"/>
              <w:right w:val="single" w:sz="4" w:space="0" w:color="auto"/>
            </w:tcBorders>
            <w:hideMark/>
          </w:tcPr>
          <w:p w14:paraId="47F57123" w14:textId="77777777" w:rsidR="00E00F4A" w:rsidRPr="00CE6785" w:rsidRDefault="00E00F4A" w:rsidP="00EC502C">
            <w:pPr>
              <w:keepNext/>
              <w:keepLines/>
              <w:jc w:val="center"/>
              <w:rPr>
                <w:rFonts w:ascii="Arial Narrow" w:hAnsi="Arial Narrow" w:cs="Times New Roman"/>
                <w:b/>
                <w:bCs/>
                <w:sz w:val="20"/>
                <w:szCs w:val="20"/>
              </w:rPr>
            </w:pPr>
            <w:r w:rsidRPr="00CE6785">
              <w:rPr>
                <w:rFonts w:ascii="Arial Narrow" w:hAnsi="Arial Narrow" w:cs="Times New Roman"/>
                <w:b/>
                <w:bCs/>
                <w:sz w:val="20"/>
                <w:szCs w:val="20"/>
              </w:rPr>
              <w:t>Early resolution resubmission</w:t>
            </w:r>
            <w:r>
              <w:rPr>
                <w:rFonts w:ascii="Arial Narrow" w:hAnsi="Arial Narrow" w:cs="Times New Roman"/>
                <w:b/>
                <w:bCs/>
                <w:sz w:val="20"/>
                <w:szCs w:val="20"/>
              </w:rPr>
              <w:t xml:space="preserve"> changes</w:t>
            </w:r>
          </w:p>
        </w:tc>
      </w:tr>
      <w:tr w:rsidR="00E00F4A" w:rsidRPr="00CE6785" w14:paraId="5242FA21" w14:textId="77777777" w:rsidTr="00EC502C">
        <w:trPr>
          <w:cantSplit/>
        </w:trPr>
        <w:tc>
          <w:tcPr>
            <w:tcW w:w="9016" w:type="dxa"/>
            <w:gridSpan w:val="2"/>
            <w:tcBorders>
              <w:top w:val="single" w:sz="4" w:space="0" w:color="auto"/>
              <w:left w:val="single" w:sz="4" w:space="0" w:color="auto"/>
              <w:bottom w:val="single" w:sz="4" w:space="0" w:color="auto"/>
              <w:right w:val="single" w:sz="4" w:space="0" w:color="auto"/>
            </w:tcBorders>
            <w:hideMark/>
          </w:tcPr>
          <w:p w14:paraId="23536B2A" w14:textId="77777777" w:rsidR="00E00F4A" w:rsidRPr="00CE6785" w:rsidRDefault="00E00F4A" w:rsidP="00EC502C">
            <w:pPr>
              <w:keepNext/>
              <w:keepLines/>
              <w:rPr>
                <w:rFonts w:ascii="Arial Narrow" w:hAnsi="Arial Narrow" w:cs="Times New Roman"/>
                <w:b/>
                <w:bCs/>
                <w:sz w:val="20"/>
                <w:szCs w:val="20"/>
              </w:rPr>
            </w:pPr>
            <w:r w:rsidRPr="00CE6785">
              <w:rPr>
                <w:rFonts w:ascii="Arial Narrow" w:hAnsi="Arial Narrow" w:cs="Times New Roman"/>
                <w:b/>
                <w:bCs/>
                <w:sz w:val="20"/>
                <w:szCs w:val="20"/>
              </w:rPr>
              <w:t>Economic model</w:t>
            </w:r>
            <w:r>
              <w:rPr>
                <w:rFonts w:ascii="Arial Narrow" w:hAnsi="Arial Narrow" w:cs="Times New Roman"/>
                <w:b/>
                <w:bCs/>
                <w:sz w:val="20"/>
                <w:szCs w:val="20"/>
              </w:rPr>
              <w:t xml:space="preserve"> </w:t>
            </w:r>
          </w:p>
        </w:tc>
      </w:tr>
      <w:tr w:rsidR="00E00F4A" w:rsidRPr="00CE6785" w14:paraId="22A52D1F" w14:textId="77777777" w:rsidTr="00EC502C">
        <w:trPr>
          <w:cantSplit/>
        </w:trPr>
        <w:tc>
          <w:tcPr>
            <w:tcW w:w="3681" w:type="dxa"/>
            <w:tcBorders>
              <w:top w:val="single" w:sz="4" w:space="0" w:color="auto"/>
              <w:left w:val="single" w:sz="4" w:space="0" w:color="auto"/>
              <w:bottom w:val="single" w:sz="4" w:space="0" w:color="auto"/>
              <w:right w:val="single" w:sz="4" w:space="0" w:color="auto"/>
            </w:tcBorders>
            <w:hideMark/>
          </w:tcPr>
          <w:p w14:paraId="6E82B5F4" w14:textId="77777777" w:rsidR="00E00F4A" w:rsidRPr="00CE6785" w:rsidRDefault="00E00F4A" w:rsidP="00EC502C">
            <w:pPr>
              <w:keepNext/>
              <w:keepLines/>
              <w:rPr>
                <w:rFonts w:ascii="Arial Narrow" w:hAnsi="Arial Narrow" w:cs="Times New Roman"/>
                <w:sz w:val="20"/>
                <w:szCs w:val="20"/>
              </w:rPr>
            </w:pPr>
            <w:r w:rsidRPr="00CE6785">
              <w:rPr>
                <w:rFonts w:ascii="Arial Narrow" w:hAnsi="Arial Narrow" w:cs="Calibri"/>
                <w:sz w:val="20"/>
                <w:szCs w:val="20"/>
              </w:rPr>
              <w:t>Time horizon: 10 years (versus 30 years in July 2022 base case)</w:t>
            </w:r>
            <w:r>
              <w:rPr>
                <w:rFonts w:ascii="Arial Narrow" w:hAnsi="Arial Narrow" w:cs="Calibri"/>
                <w:sz w:val="20"/>
                <w:szCs w:val="20"/>
              </w:rPr>
              <w:t xml:space="preserve"> (para 7.26).</w:t>
            </w:r>
          </w:p>
        </w:tc>
        <w:tc>
          <w:tcPr>
            <w:tcW w:w="5335" w:type="dxa"/>
            <w:tcBorders>
              <w:top w:val="single" w:sz="4" w:space="0" w:color="auto"/>
              <w:left w:val="single" w:sz="4" w:space="0" w:color="auto"/>
              <w:bottom w:val="single" w:sz="4" w:space="0" w:color="auto"/>
              <w:right w:val="single" w:sz="4" w:space="0" w:color="auto"/>
            </w:tcBorders>
            <w:hideMark/>
          </w:tcPr>
          <w:p w14:paraId="278B360C" w14:textId="77777777" w:rsidR="00E00F4A" w:rsidRPr="00CE6785" w:rsidRDefault="00E00F4A" w:rsidP="00EC502C">
            <w:pPr>
              <w:keepNext/>
              <w:keepLines/>
              <w:rPr>
                <w:rFonts w:ascii="Arial Narrow" w:hAnsi="Arial Narrow" w:cs="Calibri"/>
                <w:sz w:val="20"/>
                <w:szCs w:val="20"/>
              </w:rPr>
            </w:pPr>
            <w:r w:rsidRPr="00CE6785">
              <w:rPr>
                <w:rFonts w:ascii="Arial Narrow" w:hAnsi="Arial Narrow" w:cs="Calibri"/>
                <w:sz w:val="20"/>
                <w:szCs w:val="20"/>
              </w:rPr>
              <w:t xml:space="preserve">Time horizon </w:t>
            </w:r>
            <w:r>
              <w:rPr>
                <w:rFonts w:ascii="Arial Narrow" w:hAnsi="Arial Narrow" w:cs="Calibri"/>
                <w:sz w:val="20"/>
                <w:szCs w:val="20"/>
              </w:rPr>
              <w:t xml:space="preserve">was reduced to </w:t>
            </w:r>
            <w:r w:rsidRPr="00CE6785">
              <w:rPr>
                <w:rFonts w:ascii="Arial Narrow" w:hAnsi="Arial Narrow" w:cs="Calibri"/>
                <w:sz w:val="20"/>
                <w:szCs w:val="20"/>
              </w:rPr>
              <w:t>15 years</w:t>
            </w:r>
            <w:r>
              <w:rPr>
                <w:rFonts w:ascii="Arial Narrow" w:hAnsi="Arial Narrow" w:cs="Calibri"/>
                <w:sz w:val="20"/>
                <w:szCs w:val="20"/>
              </w:rPr>
              <w:t>.</w:t>
            </w:r>
            <w:r w:rsidRPr="00CE6785">
              <w:rPr>
                <w:rFonts w:ascii="Arial Narrow" w:hAnsi="Arial Narrow" w:cs="Calibri"/>
                <w:sz w:val="20"/>
                <w:szCs w:val="20"/>
              </w:rPr>
              <w:t xml:space="preserve"> </w:t>
            </w:r>
          </w:p>
        </w:tc>
      </w:tr>
      <w:tr w:rsidR="00E00F4A" w:rsidRPr="00CE6785" w14:paraId="01130D0A" w14:textId="77777777" w:rsidTr="00EC502C">
        <w:trPr>
          <w:cantSplit/>
        </w:trPr>
        <w:tc>
          <w:tcPr>
            <w:tcW w:w="3681" w:type="dxa"/>
            <w:tcBorders>
              <w:top w:val="single" w:sz="4" w:space="0" w:color="auto"/>
              <w:left w:val="single" w:sz="4" w:space="0" w:color="auto"/>
              <w:bottom w:val="single" w:sz="4" w:space="0" w:color="auto"/>
              <w:right w:val="single" w:sz="4" w:space="0" w:color="auto"/>
            </w:tcBorders>
            <w:hideMark/>
          </w:tcPr>
          <w:p w14:paraId="35C0D208" w14:textId="4839126F" w:rsidR="00E00F4A" w:rsidRPr="00CE6785" w:rsidRDefault="00E00F4A" w:rsidP="00EC502C">
            <w:pPr>
              <w:keepNext/>
              <w:keepLines/>
              <w:rPr>
                <w:rFonts w:ascii="Arial Narrow" w:hAnsi="Arial Narrow" w:cs="Times New Roman"/>
                <w:sz w:val="20"/>
                <w:szCs w:val="20"/>
              </w:rPr>
            </w:pPr>
            <w:r w:rsidRPr="00CE6785">
              <w:rPr>
                <w:rFonts w:ascii="Arial Narrow" w:hAnsi="Arial Narrow" w:cs="Calibri"/>
                <w:sz w:val="20"/>
                <w:szCs w:val="20"/>
              </w:rPr>
              <w:t>Provide a reduction in the price to result in an ICER similar to the ICER accepted for aGVHD ($</w:t>
            </w:r>
            <w:r w:rsidR="00D46576" w:rsidRPr="00D46576">
              <w:rPr>
                <w:rFonts w:ascii="Arial Narrow" w:hAnsi="Arial Narrow" w:cs="Calibri"/>
                <w:color w:val="000000"/>
                <w:spacing w:val="19"/>
                <w:sz w:val="20"/>
                <w:szCs w:val="20"/>
                <w:shd w:val="solid" w:color="000000" w:fill="000000"/>
                <w:fitText w:val="480" w:id="-1404819967"/>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67"/>
                <w14:textFill>
                  <w14:solidFill>
                    <w14:srgbClr w14:val="000000">
                      <w14:alpha w14:val="100000"/>
                    </w14:srgbClr>
                  </w14:solidFill>
                </w14:textFill>
              </w:rPr>
              <w:t>|</w:t>
            </w:r>
            <w:r w:rsidR="00C526F3">
              <w:rPr>
                <w:rFonts w:ascii="Arial Narrow" w:hAnsi="Arial Narrow" w:cs="Calibri"/>
                <w:sz w:val="20"/>
                <w:szCs w:val="20"/>
                <w:vertAlign w:val="superscript"/>
              </w:rPr>
              <w:t>1</w:t>
            </w:r>
            <w:r w:rsidRPr="00CE6785">
              <w:rPr>
                <w:rFonts w:ascii="Arial Narrow" w:hAnsi="Arial Narrow" w:cs="Calibri"/>
                <w:sz w:val="20"/>
                <w:szCs w:val="20"/>
              </w:rPr>
              <w:t>/QALY)</w:t>
            </w:r>
            <w:r>
              <w:rPr>
                <w:rFonts w:ascii="Arial Narrow" w:hAnsi="Arial Narrow" w:cs="Calibri"/>
                <w:sz w:val="20"/>
                <w:szCs w:val="20"/>
              </w:rPr>
              <w:t xml:space="preserve"> (para 7.26).</w:t>
            </w:r>
          </w:p>
        </w:tc>
        <w:tc>
          <w:tcPr>
            <w:tcW w:w="5335" w:type="dxa"/>
            <w:tcBorders>
              <w:top w:val="single" w:sz="4" w:space="0" w:color="auto"/>
              <w:left w:val="single" w:sz="4" w:space="0" w:color="auto"/>
              <w:bottom w:val="single" w:sz="4" w:space="0" w:color="auto"/>
              <w:right w:val="single" w:sz="4" w:space="0" w:color="auto"/>
            </w:tcBorders>
            <w:hideMark/>
          </w:tcPr>
          <w:p w14:paraId="41465998" w14:textId="77777777" w:rsidR="00E00F4A" w:rsidRPr="00CE6785" w:rsidRDefault="00E00F4A" w:rsidP="00EC502C">
            <w:pPr>
              <w:keepNext/>
              <w:keepLines/>
              <w:rPr>
                <w:rFonts w:ascii="Arial Narrow" w:hAnsi="Arial Narrow" w:cs="Calibri"/>
                <w:sz w:val="20"/>
                <w:szCs w:val="20"/>
              </w:rPr>
            </w:pPr>
            <w:r w:rsidRPr="00CE6785">
              <w:rPr>
                <w:rFonts w:ascii="Arial Narrow" w:hAnsi="Arial Narrow" w:cs="Calibri"/>
                <w:sz w:val="20"/>
                <w:szCs w:val="20"/>
              </w:rPr>
              <w:t xml:space="preserve">Price of 5 mg tablets </w:t>
            </w:r>
            <w:r>
              <w:rPr>
                <w:rFonts w:ascii="Arial Narrow" w:hAnsi="Arial Narrow" w:cs="Calibri"/>
                <w:sz w:val="20"/>
                <w:szCs w:val="20"/>
              </w:rPr>
              <w:t xml:space="preserve">was </w:t>
            </w:r>
            <w:r w:rsidRPr="00CE6785">
              <w:rPr>
                <w:rFonts w:ascii="Arial Narrow" w:hAnsi="Arial Narrow" w:cs="Calibri"/>
                <w:sz w:val="20"/>
                <w:szCs w:val="20"/>
              </w:rPr>
              <w:t xml:space="preserve">reduced to be the same as the existing price in myelofibrosis. </w:t>
            </w:r>
          </w:p>
          <w:p w14:paraId="42E7EA25" w14:textId="77777777" w:rsidR="00E00F4A" w:rsidRDefault="00E00F4A" w:rsidP="00EC502C">
            <w:pPr>
              <w:keepNext/>
              <w:keepLines/>
              <w:rPr>
                <w:rFonts w:ascii="Arial Narrow" w:hAnsi="Arial Narrow" w:cs="Calibri"/>
                <w:sz w:val="20"/>
                <w:szCs w:val="20"/>
              </w:rPr>
            </w:pPr>
            <w:r w:rsidRPr="00CE6785">
              <w:rPr>
                <w:rFonts w:ascii="Arial Narrow" w:hAnsi="Arial Narrow" w:cs="Calibri"/>
                <w:sz w:val="20"/>
                <w:szCs w:val="20"/>
              </w:rPr>
              <w:t xml:space="preserve">No change </w:t>
            </w:r>
            <w:r>
              <w:rPr>
                <w:rFonts w:ascii="Arial Narrow" w:hAnsi="Arial Narrow" w:cs="Calibri"/>
                <w:sz w:val="20"/>
                <w:szCs w:val="20"/>
              </w:rPr>
              <w:t>was made to the</w:t>
            </w:r>
            <w:r w:rsidRPr="00CE6785">
              <w:rPr>
                <w:rFonts w:ascii="Arial Narrow" w:hAnsi="Arial Narrow" w:cs="Calibri"/>
                <w:sz w:val="20"/>
                <w:szCs w:val="20"/>
              </w:rPr>
              <w:t xml:space="preserve"> price of 10 mg tablets. </w:t>
            </w:r>
          </w:p>
          <w:p w14:paraId="560E63AF" w14:textId="6B191029" w:rsidR="00E00F4A" w:rsidRPr="00CE6785" w:rsidRDefault="00E00F4A" w:rsidP="00EC502C">
            <w:pPr>
              <w:keepNext/>
              <w:keepLines/>
              <w:rPr>
                <w:rFonts w:ascii="Arial Narrow" w:hAnsi="Arial Narrow" w:cs="Calibri"/>
                <w:sz w:val="20"/>
                <w:szCs w:val="20"/>
              </w:rPr>
            </w:pPr>
            <w:r>
              <w:rPr>
                <w:rFonts w:ascii="Arial Narrow" w:hAnsi="Arial Narrow" w:cs="Calibri"/>
                <w:sz w:val="20"/>
                <w:szCs w:val="20"/>
              </w:rPr>
              <w:t xml:space="preserve">The resubmission stated that the resultant ICER was </w:t>
            </w:r>
            <w:r w:rsidRPr="00CE6785">
              <w:rPr>
                <w:rFonts w:ascii="Arial Narrow" w:hAnsi="Arial Narrow" w:cs="Calibri"/>
                <w:sz w:val="20"/>
                <w:szCs w:val="20"/>
              </w:rPr>
              <w:t>$</w:t>
            </w:r>
            <w:r w:rsidR="00D46576" w:rsidRPr="00D46576">
              <w:rPr>
                <w:rFonts w:ascii="Arial Narrow" w:hAnsi="Arial Narrow" w:cs="Calibri"/>
                <w:color w:val="000000"/>
                <w:spacing w:val="19"/>
                <w:sz w:val="20"/>
                <w:szCs w:val="20"/>
                <w:shd w:val="solid" w:color="000000" w:fill="000000"/>
                <w:fitText w:val="480" w:id="-1404819966"/>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66"/>
                <w14:textFill>
                  <w14:solidFill>
                    <w14:srgbClr w14:val="000000">
                      <w14:alpha w14:val="100000"/>
                    </w14:srgbClr>
                  </w14:solidFill>
                </w14:textFill>
              </w:rPr>
              <w:t>|</w:t>
            </w:r>
            <w:r w:rsidR="00C526F3">
              <w:rPr>
                <w:rFonts w:ascii="Arial Narrow" w:hAnsi="Arial Narrow" w:cs="Calibri"/>
                <w:sz w:val="20"/>
                <w:szCs w:val="20"/>
                <w:vertAlign w:val="superscript"/>
              </w:rPr>
              <w:t>2</w:t>
            </w:r>
            <w:r w:rsidRPr="00CE6785">
              <w:rPr>
                <w:rFonts w:ascii="Arial Narrow" w:hAnsi="Arial Narrow" w:cs="Calibri"/>
                <w:sz w:val="20"/>
                <w:szCs w:val="20"/>
              </w:rPr>
              <w:t>/QALY</w:t>
            </w:r>
            <w:r>
              <w:rPr>
                <w:rFonts w:ascii="Arial Narrow" w:hAnsi="Arial Narrow" w:cs="Calibri"/>
                <w:sz w:val="20"/>
                <w:szCs w:val="20"/>
              </w:rPr>
              <w:t xml:space="preserve"> </w:t>
            </w:r>
          </w:p>
        </w:tc>
      </w:tr>
      <w:tr w:rsidR="00E00F4A" w:rsidRPr="00CE6785" w14:paraId="272E7647" w14:textId="77777777" w:rsidTr="00EC502C">
        <w:trPr>
          <w:cantSplit/>
        </w:trPr>
        <w:tc>
          <w:tcPr>
            <w:tcW w:w="9016" w:type="dxa"/>
            <w:gridSpan w:val="2"/>
            <w:tcBorders>
              <w:top w:val="single" w:sz="4" w:space="0" w:color="auto"/>
              <w:left w:val="single" w:sz="4" w:space="0" w:color="auto"/>
              <w:bottom w:val="single" w:sz="4" w:space="0" w:color="auto"/>
              <w:right w:val="single" w:sz="4" w:space="0" w:color="auto"/>
            </w:tcBorders>
            <w:hideMark/>
          </w:tcPr>
          <w:p w14:paraId="52E7F1A7" w14:textId="77777777" w:rsidR="00E00F4A" w:rsidRPr="00CE6785" w:rsidRDefault="00E00F4A" w:rsidP="00EC502C">
            <w:pPr>
              <w:keepNext/>
              <w:keepLines/>
              <w:rPr>
                <w:rFonts w:ascii="Arial Narrow" w:hAnsi="Arial Narrow" w:cs="Times New Roman"/>
                <w:b/>
                <w:bCs/>
                <w:sz w:val="20"/>
                <w:szCs w:val="20"/>
              </w:rPr>
            </w:pPr>
            <w:r w:rsidRPr="00CE6785">
              <w:rPr>
                <w:rFonts w:ascii="Arial Narrow" w:hAnsi="Arial Narrow" w:cs="Times New Roman"/>
                <w:b/>
                <w:bCs/>
                <w:sz w:val="20"/>
                <w:szCs w:val="20"/>
              </w:rPr>
              <w:t>Financial estimates</w:t>
            </w:r>
          </w:p>
        </w:tc>
      </w:tr>
      <w:tr w:rsidR="00E00F4A" w:rsidRPr="00CE6785" w14:paraId="38FC19DE" w14:textId="77777777" w:rsidTr="00EC502C">
        <w:trPr>
          <w:cantSplit/>
        </w:trPr>
        <w:tc>
          <w:tcPr>
            <w:tcW w:w="3681" w:type="dxa"/>
            <w:tcBorders>
              <w:top w:val="single" w:sz="4" w:space="0" w:color="auto"/>
              <w:left w:val="single" w:sz="4" w:space="0" w:color="auto"/>
              <w:bottom w:val="single" w:sz="4" w:space="0" w:color="auto"/>
              <w:right w:val="single" w:sz="4" w:space="0" w:color="auto"/>
            </w:tcBorders>
            <w:hideMark/>
          </w:tcPr>
          <w:p w14:paraId="3C7C423B" w14:textId="77777777" w:rsidR="00E00F4A" w:rsidRPr="00CE6785" w:rsidRDefault="00E00F4A" w:rsidP="00EC502C">
            <w:pPr>
              <w:keepNext/>
              <w:keepLines/>
              <w:widowControl w:val="0"/>
              <w:rPr>
                <w:rFonts w:ascii="Arial Narrow" w:hAnsi="Arial Narrow" w:cs="Calibri"/>
                <w:sz w:val="20"/>
                <w:szCs w:val="20"/>
              </w:rPr>
            </w:pPr>
            <w:r w:rsidRPr="00CE6785">
              <w:rPr>
                <w:rFonts w:ascii="Arial Narrow" w:hAnsi="Arial Narrow" w:cs="Calibri"/>
                <w:sz w:val="20"/>
                <w:szCs w:val="20"/>
              </w:rPr>
              <w:t>The proportion of patients with moderate cGVHD who are assumed to be steroid refractory/dependent/intolerant should be 22.2% (per the submission’s estimate, noting this was increased to 60% in the pre-PBAC response) (</w:t>
            </w:r>
            <w:r>
              <w:rPr>
                <w:rFonts w:ascii="Arial Narrow" w:hAnsi="Arial Narrow" w:cs="Calibri"/>
                <w:sz w:val="20"/>
                <w:szCs w:val="20"/>
              </w:rPr>
              <w:t>p</w:t>
            </w:r>
            <w:r w:rsidRPr="00CE6785">
              <w:rPr>
                <w:rFonts w:ascii="Arial Narrow" w:hAnsi="Arial Narrow" w:cs="Calibri"/>
                <w:sz w:val="20"/>
                <w:szCs w:val="20"/>
              </w:rPr>
              <w:t>ara 7.27)</w:t>
            </w:r>
            <w:r>
              <w:rPr>
                <w:rFonts w:ascii="Arial Narrow" w:hAnsi="Arial Narrow" w:cs="Calibri"/>
                <w:sz w:val="20"/>
                <w:szCs w:val="20"/>
              </w:rPr>
              <w:t>.</w:t>
            </w:r>
          </w:p>
        </w:tc>
        <w:tc>
          <w:tcPr>
            <w:tcW w:w="5335" w:type="dxa"/>
            <w:tcBorders>
              <w:top w:val="single" w:sz="4" w:space="0" w:color="auto"/>
              <w:left w:val="single" w:sz="4" w:space="0" w:color="auto"/>
              <w:bottom w:val="single" w:sz="4" w:space="0" w:color="auto"/>
              <w:right w:val="single" w:sz="4" w:space="0" w:color="auto"/>
            </w:tcBorders>
            <w:hideMark/>
          </w:tcPr>
          <w:p w14:paraId="0605B35E" w14:textId="77777777" w:rsidR="00E00F4A" w:rsidRPr="00CE6785" w:rsidRDefault="00E00F4A" w:rsidP="00EC502C">
            <w:pPr>
              <w:keepNext/>
              <w:keepLines/>
              <w:contextualSpacing/>
              <w:rPr>
                <w:rFonts w:ascii="Arial Narrow" w:hAnsi="Arial Narrow" w:cs="Calibri"/>
                <w:sz w:val="20"/>
                <w:szCs w:val="20"/>
              </w:rPr>
            </w:pPr>
            <w:r>
              <w:rPr>
                <w:rFonts w:ascii="Arial Narrow" w:hAnsi="Arial Narrow" w:cs="Calibri"/>
                <w:sz w:val="20"/>
                <w:szCs w:val="20"/>
              </w:rPr>
              <w:t>The resubmission assumed that 22.2% of incident patients with moderate cGVHD were steroid refractory/dependent/intolerant.</w:t>
            </w:r>
            <w:r w:rsidRPr="00CE6785">
              <w:rPr>
                <w:rFonts w:ascii="Arial Narrow" w:hAnsi="Arial Narrow" w:cs="Calibri"/>
                <w:sz w:val="20"/>
                <w:szCs w:val="20"/>
              </w:rPr>
              <w:t xml:space="preserve"> </w:t>
            </w:r>
          </w:p>
          <w:p w14:paraId="23BEE023" w14:textId="77777777" w:rsidR="00E00F4A" w:rsidRDefault="00E00F4A" w:rsidP="00EC502C">
            <w:pPr>
              <w:keepNext/>
              <w:keepLines/>
              <w:contextualSpacing/>
              <w:rPr>
                <w:rFonts w:ascii="Arial Narrow" w:hAnsi="Arial Narrow" w:cs="Calibri"/>
                <w:sz w:val="20"/>
                <w:szCs w:val="20"/>
              </w:rPr>
            </w:pPr>
          </w:p>
          <w:p w14:paraId="6CA96106" w14:textId="77777777" w:rsidR="00E00F4A" w:rsidRPr="00CE6785" w:rsidRDefault="00E00F4A" w:rsidP="00EC502C">
            <w:pPr>
              <w:keepNext/>
              <w:keepLines/>
              <w:contextualSpacing/>
              <w:rPr>
                <w:rFonts w:ascii="Arial Narrow" w:hAnsi="Arial Narrow" w:cs="Calibri"/>
                <w:sz w:val="20"/>
                <w:szCs w:val="20"/>
              </w:rPr>
            </w:pPr>
            <w:r>
              <w:rPr>
                <w:rFonts w:ascii="Arial Narrow" w:hAnsi="Arial Narrow" w:cs="Calibri"/>
                <w:sz w:val="20"/>
                <w:szCs w:val="20"/>
              </w:rPr>
              <w:t xml:space="preserve">The resubmission assumed that </w:t>
            </w:r>
            <w:r w:rsidRPr="00CE6785">
              <w:rPr>
                <w:rFonts w:ascii="Arial Narrow" w:hAnsi="Arial Narrow" w:cs="Calibri"/>
                <w:sz w:val="20"/>
                <w:szCs w:val="20"/>
              </w:rPr>
              <w:t xml:space="preserve">40% </w:t>
            </w:r>
            <w:r w:rsidRPr="00283B06">
              <w:rPr>
                <w:rFonts w:ascii="Arial Narrow" w:hAnsi="Arial Narrow" w:cs="Calibri"/>
                <w:sz w:val="20"/>
                <w:szCs w:val="20"/>
              </w:rPr>
              <w:t xml:space="preserve">of </w:t>
            </w:r>
            <w:r>
              <w:rPr>
                <w:rFonts w:ascii="Arial Narrow" w:hAnsi="Arial Narrow" w:cs="Calibri"/>
                <w:sz w:val="20"/>
                <w:szCs w:val="20"/>
              </w:rPr>
              <w:t xml:space="preserve">prevalent </w:t>
            </w:r>
            <w:r w:rsidRPr="00283B06">
              <w:rPr>
                <w:rFonts w:ascii="Arial Narrow" w:hAnsi="Arial Narrow" w:cs="Calibri"/>
                <w:sz w:val="20"/>
                <w:szCs w:val="20"/>
              </w:rPr>
              <w:t xml:space="preserve">patients with moderate </w:t>
            </w:r>
            <w:r>
              <w:rPr>
                <w:rFonts w:ascii="Arial Narrow" w:hAnsi="Arial Narrow" w:cs="Calibri"/>
                <w:sz w:val="20"/>
                <w:szCs w:val="20"/>
              </w:rPr>
              <w:t xml:space="preserve">and severe </w:t>
            </w:r>
            <w:r w:rsidRPr="00283B06">
              <w:rPr>
                <w:rFonts w:ascii="Arial Narrow" w:hAnsi="Arial Narrow" w:cs="Calibri"/>
                <w:sz w:val="20"/>
                <w:szCs w:val="20"/>
              </w:rPr>
              <w:t xml:space="preserve">cGVHD </w:t>
            </w:r>
            <w:r>
              <w:rPr>
                <w:rFonts w:ascii="Arial Narrow" w:hAnsi="Arial Narrow" w:cs="Calibri"/>
                <w:sz w:val="20"/>
                <w:szCs w:val="20"/>
              </w:rPr>
              <w:t>we</w:t>
            </w:r>
            <w:r w:rsidRPr="00283B06">
              <w:rPr>
                <w:rFonts w:ascii="Arial Narrow" w:hAnsi="Arial Narrow" w:cs="Calibri"/>
                <w:sz w:val="20"/>
                <w:szCs w:val="20"/>
              </w:rPr>
              <w:t>re steroid refractory/dependent /intolerant</w:t>
            </w:r>
            <w:r>
              <w:rPr>
                <w:rFonts w:ascii="Arial Narrow" w:hAnsi="Arial Narrow" w:cs="Calibri"/>
                <w:sz w:val="20"/>
                <w:szCs w:val="20"/>
              </w:rPr>
              <w:t xml:space="preserve">. </w:t>
            </w:r>
            <w:r w:rsidRPr="00283B06">
              <w:rPr>
                <w:rFonts w:ascii="Arial Narrow" w:hAnsi="Arial Narrow" w:cs="Calibri"/>
                <w:sz w:val="20"/>
                <w:szCs w:val="20"/>
              </w:rPr>
              <w:t>The resubmission argued “the proportion of cGVHD patients who are steroid refractory ha</w:t>
            </w:r>
            <w:r>
              <w:rPr>
                <w:rFonts w:ascii="Arial Narrow" w:hAnsi="Arial Narrow" w:cs="Calibri"/>
                <w:sz w:val="20"/>
                <w:szCs w:val="20"/>
              </w:rPr>
              <w:t>s</w:t>
            </w:r>
            <w:r w:rsidRPr="00283B06">
              <w:rPr>
                <w:rFonts w:ascii="Arial Narrow" w:hAnsi="Arial Narrow" w:cs="Calibri"/>
                <w:sz w:val="20"/>
                <w:szCs w:val="20"/>
              </w:rPr>
              <w:t xml:space="preserve"> reduced due to the recent advances in HSCT techniques and prophylaxis methodology. However, these techniques have only come into place over the last couple of years. For the prevalent pool of patients, roughly half of the patients treated with corticosteroids are refractory, dependent or intolerant as cited multiple literature sources”.</w:t>
            </w:r>
          </w:p>
        </w:tc>
      </w:tr>
      <w:tr w:rsidR="00E00F4A" w:rsidRPr="00CE6785" w14:paraId="0DA8B2C4" w14:textId="77777777" w:rsidTr="00EC502C">
        <w:trPr>
          <w:cantSplit/>
        </w:trPr>
        <w:tc>
          <w:tcPr>
            <w:tcW w:w="3681" w:type="dxa"/>
            <w:tcBorders>
              <w:top w:val="single" w:sz="4" w:space="0" w:color="auto"/>
              <w:left w:val="single" w:sz="4" w:space="0" w:color="auto"/>
              <w:bottom w:val="single" w:sz="4" w:space="0" w:color="auto"/>
              <w:right w:val="single" w:sz="4" w:space="0" w:color="auto"/>
            </w:tcBorders>
          </w:tcPr>
          <w:p w14:paraId="3A7928B3" w14:textId="77777777" w:rsidR="00E00F4A" w:rsidRPr="00CE6785" w:rsidRDefault="00E00F4A" w:rsidP="00EC502C">
            <w:pPr>
              <w:keepNext/>
              <w:keepLines/>
              <w:widowControl w:val="0"/>
              <w:rPr>
                <w:rFonts w:ascii="Arial Narrow" w:hAnsi="Arial Narrow" w:cs="Calibri"/>
                <w:sz w:val="20"/>
                <w:szCs w:val="20"/>
              </w:rPr>
            </w:pPr>
            <w:r w:rsidRPr="00CE6785">
              <w:rPr>
                <w:rFonts w:ascii="Arial Narrow" w:hAnsi="Arial Narrow" w:cs="Calibri"/>
                <w:sz w:val="20"/>
                <w:szCs w:val="20"/>
              </w:rPr>
              <w:t>The PBAC recommended that the restriction be silent with respect to the age of the patient (</w:t>
            </w:r>
            <w:r>
              <w:rPr>
                <w:rFonts w:ascii="Arial Narrow" w:hAnsi="Arial Narrow" w:cs="Calibri"/>
                <w:sz w:val="20"/>
                <w:szCs w:val="20"/>
              </w:rPr>
              <w:t>p</w:t>
            </w:r>
            <w:r w:rsidRPr="00CE6785">
              <w:rPr>
                <w:rFonts w:ascii="Arial Narrow" w:hAnsi="Arial Narrow" w:cs="Calibri"/>
                <w:sz w:val="20"/>
                <w:szCs w:val="20"/>
              </w:rPr>
              <w:t>ara 7.29)</w:t>
            </w:r>
            <w:r>
              <w:rPr>
                <w:rFonts w:ascii="Arial Narrow" w:hAnsi="Arial Narrow" w:cs="Calibri"/>
                <w:sz w:val="20"/>
                <w:szCs w:val="20"/>
              </w:rPr>
              <w:t>.</w:t>
            </w:r>
          </w:p>
        </w:tc>
        <w:tc>
          <w:tcPr>
            <w:tcW w:w="5335" w:type="dxa"/>
            <w:tcBorders>
              <w:top w:val="single" w:sz="4" w:space="0" w:color="auto"/>
              <w:left w:val="single" w:sz="4" w:space="0" w:color="auto"/>
              <w:bottom w:val="single" w:sz="4" w:space="0" w:color="auto"/>
              <w:right w:val="single" w:sz="4" w:space="0" w:color="auto"/>
            </w:tcBorders>
            <w:hideMark/>
          </w:tcPr>
          <w:p w14:paraId="551B26B4" w14:textId="77777777" w:rsidR="00E00F4A" w:rsidRPr="00CE6785" w:rsidRDefault="00E00F4A" w:rsidP="00EC502C">
            <w:pPr>
              <w:keepNext/>
              <w:keepLines/>
              <w:contextualSpacing/>
              <w:rPr>
                <w:rFonts w:ascii="Arial Narrow" w:hAnsi="Arial Narrow" w:cs="Calibri"/>
                <w:sz w:val="20"/>
                <w:szCs w:val="20"/>
              </w:rPr>
            </w:pPr>
            <w:r>
              <w:rPr>
                <w:rFonts w:ascii="Arial Narrow" w:hAnsi="Arial Narrow" w:cs="Calibri"/>
                <w:sz w:val="20"/>
                <w:szCs w:val="20"/>
              </w:rPr>
              <w:t>The resubmission i</w:t>
            </w:r>
            <w:r w:rsidRPr="00CE6785">
              <w:rPr>
                <w:rFonts w:ascii="Arial Narrow" w:hAnsi="Arial Narrow" w:cs="Calibri"/>
                <w:sz w:val="20"/>
                <w:szCs w:val="20"/>
              </w:rPr>
              <w:t xml:space="preserve">ncluded patients under the age of 12 who </w:t>
            </w:r>
            <w:r>
              <w:rPr>
                <w:rFonts w:ascii="Arial Narrow" w:hAnsi="Arial Narrow" w:cs="Calibri"/>
                <w:sz w:val="20"/>
                <w:szCs w:val="20"/>
              </w:rPr>
              <w:t xml:space="preserve">had </w:t>
            </w:r>
            <w:r w:rsidRPr="00CE6785">
              <w:rPr>
                <w:rFonts w:ascii="Arial Narrow" w:hAnsi="Arial Narrow" w:cs="Calibri"/>
                <w:sz w:val="20"/>
                <w:szCs w:val="20"/>
              </w:rPr>
              <w:t>undergo</w:t>
            </w:r>
            <w:r>
              <w:rPr>
                <w:rFonts w:ascii="Arial Narrow" w:hAnsi="Arial Narrow" w:cs="Calibri"/>
                <w:sz w:val="20"/>
                <w:szCs w:val="20"/>
              </w:rPr>
              <w:t>ne</w:t>
            </w:r>
            <w:r w:rsidRPr="00CE6785">
              <w:rPr>
                <w:rFonts w:ascii="Arial Narrow" w:hAnsi="Arial Narrow" w:cs="Calibri"/>
                <w:sz w:val="20"/>
                <w:szCs w:val="20"/>
              </w:rPr>
              <w:t xml:space="preserve"> HSCT</w:t>
            </w:r>
            <w:r w:rsidRPr="00CE6785">
              <w:rPr>
                <w:rFonts w:ascii="Arial Narrow" w:hAnsi="Arial Narrow" w:cs="Calibri"/>
                <w:i/>
                <w:iCs/>
                <w:sz w:val="20"/>
                <w:szCs w:val="20"/>
              </w:rPr>
              <w:t>.</w:t>
            </w:r>
          </w:p>
        </w:tc>
      </w:tr>
      <w:tr w:rsidR="00E00F4A" w:rsidRPr="00CE6785" w14:paraId="4CE95B26" w14:textId="77777777" w:rsidTr="00EC502C">
        <w:trPr>
          <w:cantSplit/>
        </w:trPr>
        <w:tc>
          <w:tcPr>
            <w:tcW w:w="3681" w:type="dxa"/>
            <w:tcBorders>
              <w:top w:val="single" w:sz="4" w:space="0" w:color="auto"/>
              <w:left w:val="single" w:sz="4" w:space="0" w:color="auto"/>
              <w:bottom w:val="single" w:sz="4" w:space="0" w:color="auto"/>
              <w:right w:val="single" w:sz="4" w:space="0" w:color="auto"/>
            </w:tcBorders>
          </w:tcPr>
          <w:p w14:paraId="1BDEC7D9" w14:textId="77777777" w:rsidR="00E00F4A" w:rsidRPr="00CE6785" w:rsidRDefault="00E00F4A" w:rsidP="00EC502C">
            <w:pPr>
              <w:keepNext/>
              <w:keepLines/>
              <w:widowControl w:val="0"/>
              <w:rPr>
                <w:rFonts w:ascii="Arial Narrow" w:hAnsi="Arial Narrow" w:cs="Calibri"/>
                <w:sz w:val="20"/>
                <w:szCs w:val="20"/>
              </w:rPr>
            </w:pPr>
            <w:r w:rsidRPr="00CE6785">
              <w:rPr>
                <w:rFonts w:ascii="Arial Narrow" w:hAnsi="Arial Narrow" w:cs="Calibri"/>
                <w:sz w:val="20"/>
                <w:szCs w:val="20"/>
              </w:rPr>
              <w:t>The PBAC considered that the other financial impact inputs were reasonable (</w:t>
            </w:r>
            <w:r>
              <w:rPr>
                <w:rFonts w:ascii="Arial Narrow" w:hAnsi="Arial Narrow" w:cs="Calibri"/>
                <w:sz w:val="20"/>
                <w:szCs w:val="20"/>
              </w:rPr>
              <w:t>p</w:t>
            </w:r>
            <w:r w:rsidRPr="00CE6785">
              <w:rPr>
                <w:rFonts w:ascii="Arial Narrow" w:hAnsi="Arial Narrow" w:cs="Calibri"/>
                <w:sz w:val="20"/>
                <w:szCs w:val="20"/>
              </w:rPr>
              <w:t>ara 7.27)</w:t>
            </w:r>
            <w:r>
              <w:rPr>
                <w:rFonts w:ascii="Arial Narrow" w:hAnsi="Arial Narrow" w:cs="Calibri"/>
                <w:sz w:val="20"/>
                <w:szCs w:val="20"/>
              </w:rPr>
              <w:t>.</w:t>
            </w:r>
          </w:p>
        </w:tc>
        <w:tc>
          <w:tcPr>
            <w:tcW w:w="5335" w:type="dxa"/>
            <w:tcBorders>
              <w:top w:val="single" w:sz="4" w:space="0" w:color="auto"/>
              <w:left w:val="single" w:sz="4" w:space="0" w:color="auto"/>
              <w:bottom w:val="single" w:sz="4" w:space="0" w:color="auto"/>
              <w:right w:val="single" w:sz="4" w:space="0" w:color="auto"/>
            </w:tcBorders>
          </w:tcPr>
          <w:p w14:paraId="4CA57D9D" w14:textId="77777777" w:rsidR="00E00F4A" w:rsidRDefault="00E00F4A" w:rsidP="00EC502C">
            <w:pPr>
              <w:keepNext/>
              <w:keepLines/>
              <w:contextualSpacing/>
              <w:rPr>
                <w:rFonts w:ascii="Arial Narrow" w:hAnsi="Arial Narrow" w:cs="Calibri"/>
                <w:sz w:val="20"/>
                <w:szCs w:val="20"/>
              </w:rPr>
            </w:pPr>
            <w:r>
              <w:rPr>
                <w:rFonts w:ascii="Arial Narrow" w:hAnsi="Arial Narrow" w:cs="Calibri"/>
                <w:sz w:val="20"/>
                <w:szCs w:val="20"/>
              </w:rPr>
              <w:t>The resubmission also made the following changes:</w:t>
            </w:r>
          </w:p>
          <w:p w14:paraId="03D0C934" w14:textId="77777777" w:rsidR="00E00F4A" w:rsidRPr="00CE6785" w:rsidRDefault="00E00F4A" w:rsidP="00EC502C">
            <w:pPr>
              <w:keepNext/>
              <w:keepLines/>
              <w:contextualSpacing/>
              <w:rPr>
                <w:rFonts w:ascii="Arial Narrow" w:hAnsi="Arial Narrow" w:cs="Calibri"/>
                <w:sz w:val="20"/>
                <w:szCs w:val="20"/>
              </w:rPr>
            </w:pPr>
            <w:r>
              <w:rPr>
                <w:rFonts w:ascii="Arial Narrow" w:hAnsi="Arial Narrow" w:cs="Calibri"/>
                <w:sz w:val="20"/>
                <w:szCs w:val="20"/>
              </w:rPr>
              <w:t xml:space="preserve">- </w:t>
            </w:r>
            <w:r w:rsidRPr="00CE6785">
              <w:rPr>
                <w:rFonts w:ascii="Arial Narrow" w:hAnsi="Arial Narrow" w:cs="Calibri"/>
                <w:sz w:val="20"/>
                <w:szCs w:val="20"/>
              </w:rPr>
              <w:t>The proportion of survivors following an allogenic SCT was increased from 55% (based on patients &gt;</w:t>
            </w:r>
            <w:r>
              <w:rPr>
                <w:rFonts w:ascii="Arial Narrow" w:hAnsi="Arial Narrow" w:cs="Calibri"/>
                <w:sz w:val="20"/>
                <w:szCs w:val="20"/>
              </w:rPr>
              <w:t xml:space="preserve"> </w:t>
            </w:r>
            <w:r w:rsidRPr="00CE6785">
              <w:rPr>
                <w:rFonts w:ascii="Arial Narrow" w:hAnsi="Arial Narrow" w:cs="Calibri"/>
                <w:sz w:val="20"/>
                <w:szCs w:val="20"/>
              </w:rPr>
              <w:t>16 years</w:t>
            </w:r>
            <w:r>
              <w:rPr>
                <w:rFonts w:ascii="Arial Narrow" w:hAnsi="Arial Narrow" w:cs="Calibri"/>
                <w:sz w:val="20"/>
                <w:szCs w:val="20"/>
              </w:rPr>
              <w:t xml:space="preserve"> of age</w:t>
            </w:r>
            <w:r w:rsidRPr="00CE6785">
              <w:rPr>
                <w:rFonts w:ascii="Arial Narrow" w:hAnsi="Arial Narrow" w:cs="Calibri"/>
                <w:sz w:val="20"/>
                <w:szCs w:val="20"/>
              </w:rPr>
              <w:t xml:space="preserve">) to 58% to represent patients of all ages. </w:t>
            </w:r>
          </w:p>
          <w:p w14:paraId="7BC38935" w14:textId="77777777" w:rsidR="00E00F4A" w:rsidRPr="00CE6785" w:rsidRDefault="00E00F4A" w:rsidP="00EC502C">
            <w:pPr>
              <w:keepNext/>
              <w:keepLines/>
              <w:contextualSpacing/>
              <w:rPr>
                <w:rFonts w:ascii="Arial Narrow" w:hAnsi="Arial Narrow" w:cs="Calibri"/>
                <w:sz w:val="20"/>
                <w:szCs w:val="20"/>
              </w:rPr>
            </w:pPr>
            <w:r>
              <w:rPr>
                <w:rFonts w:ascii="Arial Narrow" w:hAnsi="Arial Narrow" w:cs="Calibri"/>
                <w:sz w:val="20"/>
                <w:szCs w:val="20"/>
              </w:rPr>
              <w:t>- The p</w:t>
            </w:r>
            <w:r w:rsidRPr="00CE6785">
              <w:rPr>
                <w:rFonts w:ascii="Arial Narrow" w:hAnsi="Arial Narrow" w:cs="Calibri"/>
                <w:sz w:val="20"/>
                <w:szCs w:val="20"/>
              </w:rPr>
              <w:t xml:space="preserve">revalent pool of patients was spread over 4 years (rather than all commencing in Year 1): 57% of the prevalent pool of patients were </w:t>
            </w:r>
            <w:r>
              <w:rPr>
                <w:rFonts w:ascii="Arial Narrow" w:hAnsi="Arial Narrow" w:cs="Calibri"/>
                <w:sz w:val="20"/>
                <w:szCs w:val="20"/>
              </w:rPr>
              <w:t>assum</w:t>
            </w:r>
            <w:r w:rsidRPr="00CE6785">
              <w:rPr>
                <w:rFonts w:ascii="Arial Narrow" w:hAnsi="Arial Narrow" w:cs="Calibri"/>
                <w:sz w:val="20"/>
                <w:szCs w:val="20"/>
              </w:rPr>
              <w:t>ed to start treatment in Year 1, followed by 23%, 15% and 5% in Years 2, 3 and 4 respectively</w:t>
            </w:r>
            <w:r>
              <w:rPr>
                <w:rFonts w:ascii="Arial Narrow" w:hAnsi="Arial Narrow" w:cs="Calibri"/>
                <w:sz w:val="20"/>
                <w:szCs w:val="20"/>
              </w:rPr>
              <w:t>.</w:t>
            </w:r>
          </w:p>
          <w:p w14:paraId="1773B4BC" w14:textId="77777777" w:rsidR="00E00F4A" w:rsidRPr="00CE6785" w:rsidRDefault="00E00F4A" w:rsidP="00EC502C">
            <w:pPr>
              <w:keepNext/>
              <w:keepLines/>
              <w:contextualSpacing/>
              <w:rPr>
                <w:rFonts w:ascii="Arial Narrow" w:hAnsi="Arial Narrow" w:cs="Calibri"/>
                <w:sz w:val="20"/>
                <w:szCs w:val="20"/>
              </w:rPr>
            </w:pPr>
            <w:r>
              <w:rPr>
                <w:rFonts w:ascii="Arial Narrow" w:hAnsi="Arial Narrow" w:cs="Calibri"/>
                <w:sz w:val="20"/>
                <w:szCs w:val="20"/>
              </w:rPr>
              <w:t xml:space="preserve">- </w:t>
            </w:r>
            <w:r w:rsidRPr="00CE6785">
              <w:rPr>
                <w:rFonts w:ascii="Arial Narrow" w:hAnsi="Arial Narrow" w:cs="Calibri"/>
                <w:sz w:val="20"/>
                <w:szCs w:val="20"/>
              </w:rPr>
              <w:t xml:space="preserve">Uptake rate </w:t>
            </w:r>
            <w:r>
              <w:rPr>
                <w:rFonts w:ascii="Arial Narrow" w:hAnsi="Arial Narrow" w:cs="Calibri"/>
                <w:sz w:val="20"/>
                <w:szCs w:val="20"/>
              </w:rPr>
              <w:t xml:space="preserve">was </w:t>
            </w:r>
            <w:r w:rsidRPr="00CE6785">
              <w:rPr>
                <w:rFonts w:ascii="Arial Narrow" w:hAnsi="Arial Narrow" w:cs="Calibri"/>
                <w:sz w:val="20"/>
                <w:szCs w:val="20"/>
              </w:rPr>
              <w:t>increased from 90% to 100%</w:t>
            </w:r>
            <w:r>
              <w:rPr>
                <w:rFonts w:ascii="Arial Narrow" w:hAnsi="Arial Narrow" w:cs="Calibri"/>
                <w:sz w:val="20"/>
                <w:szCs w:val="20"/>
              </w:rPr>
              <w:t>.</w:t>
            </w:r>
          </w:p>
        </w:tc>
      </w:tr>
      <w:tr w:rsidR="00E00F4A" w:rsidRPr="00CE6785" w14:paraId="6515D32A" w14:textId="77777777" w:rsidTr="00EC502C">
        <w:trPr>
          <w:cantSplit/>
        </w:trPr>
        <w:tc>
          <w:tcPr>
            <w:tcW w:w="3681" w:type="dxa"/>
            <w:tcBorders>
              <w:top w:val="single" w:sz="4" w:space="0" w:color="auto"/>
              <w:left w:val="single" w:sz="4" w:space="0" w:color="auto"/>
              <w:bottom w:val="single" w:sz="4" w:space="0" w:color="auto"/>
              <w:right w:val="single" w:sz="4" w:space="0" w:color="auto"/>
            </w:tcBorders>
          </w:tcPr>
          <w:p w14:paraId="2F5AAC41" w14:textId="77777777" w:rsidR="00E00F4A" w:rsidRPr="00CE6785" w:rsidRDefault="00E00F4A" w:rsidP="00EC502C">
            <w:pPr>
              <w:keepNext/>
              <w:keepLines/>
              <w:rPr>
                <w:rFonts w:ascii="Arial Narrow" w:hAnsi="Arial Narrow" w:cs="Calibri"/>
                <w:b/>
                <w:bCs/>
                <w:sz w:val="20"/>
                <w:szCs w:val="20"/>
              </w:rPr>
            </w:pPr>
            <w:r w:rsidRPr="00CE6785">
              <w:rPr>
                <w:rFonts w:ascii="Arial Narrow" w:hAnsi="Arial Narrow" w:cs="Calibri"/>
                <w:b/>
                <w:bCs/>
                <w:sz w:val="20"/>
                <w:szCs w:val="20"/>
              </w:rPr>
              <w:t>Total financial impact</w:t>
            </w:r>
          </w:p>
          <w:p w14:paraId="448EFF39" w14:textId="6803A5E9" w:rsidR="00E00F4A" w:rsidRPr="00CE6785" w:rsidRDefault="00E00F4A" w:rsidP="00EC502C">
            <w:pPr>
              <w:keepNext/>
              <w:keepLines/>
              <w:rPr>
                <w:rFonts w:ascii="Arial Narrow" w:hAnsi="Arial Narrow" w:cs="Calibri"/>
                <w:sz w:val="20"/>
                <w:szCs w:val="20"/>
              </w:rPr>
            </w:pPr>
            <w:r w:rsidRPr="00CE6785">
              <w:rPr>
                <w:rFonts w:ascii="Arial Narrow" w:hAnsi="Arial Narrow" w:cs="Calibri"/>
                <w:sz w:val="20"/>
                <w:szCs w:val="20"/>
              </w:rPr>
              <w:t>Total scripts:</w:t>
            </w:r>
            <w:r>
              <w:rPr>
                <w:rFonts w:ascii="Arial Narrow" w:hAnsi="Arial Narrow" w:cs="Calibri"/>
                <w:sz w:val="20"/>
                <w:szCs w:val="20"/>
              </w:rPr>
              <w:t xml:space="preserve"> </w:t>
            </w:r>
            <w:r w:rsidR="00D46576" w:rsidRPr="00D46576">
              <w:rPr>
                <w:rFonts w:ascii="Arial Narrow" w:hAnsi="Arial Narrow" w:cs="Calibri"/>
                <w:color w:val="000000"/>
                <w:spacing w:val="19"/>
                <w:sz w:val="20"/>
                <w:szCs w:val="20"/>
                <w:shd w:val="solid" w:color="000000" w:fill="000000"/>
                <w:fitText w:val="480" w:id="-1404819965"/>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65"/>
                <w14:textFill>
                  <w14:solidFill>
                    <w14:srgbClr w14:val="000000">
                      <w14:alpha w14:val="100000"/>
                    </w14:srgbClr>
                  </w14:solidFill>
                </w14:textFill>
              </w:rPr>
              <w:t>|</w:t>
            </w:r>
            <w:r w:rsidR="005265E2" w:rsidRPr="00123032">
              <w:rPr>
                <w:rFonts w:ascii="Arial Narrow" w:hAnsi="Arial Narrow" w:cs="Calibri"/>
                <w:sz w:val="20"/>
                <w:szCs w:val="20"/>
                <w:vertAlign w:val="superscript"/>
              </w:rPr>
              <w:t>3</w:t>
            </w:r>
            <w:r w:rsidRPr="00CE6785">
              <w:rPr>
                <w:rFonts w:ascii="Arial Narrow" w:hAnsi="Arial Narrow" w:cs="Calibri"/>
                <w:sz w:val="20"/>
                <w:szCs w:val="20"/>
              </w:rPr>
              <w:t xml:space="preserve"> over 6 years proposed in submission </w:t>
            </w:r>
          </w:p>
          <w:p w14:paraId="3CE1FDBB" w14:textId="6A6E2C2E" w:rsidR="00E00F4A" w:rsidRPr="00CE6785" w:rsidRDefault="00E00F4A" w:rsidP="00EC502C">
            <w:pPr>
              <w:keepNext/>
              <w:keepLines/>
              <w:rPr>
                <w:rFonts w:ascii="Arial Narrow" w:hAnsi="Arial Narrow" w:cs="Calibri"/>
                <w:sz w:val="20"/>
                <w:szCs w:val="20"/>
              </w:rPr>
            </w:pPr>
            <w:r>
              <w:rPr>
                <w:rFonts w:ascii="Arial Narrow" w:hAnsi="Arial Narrow" w:cs="Calibri"/>
                <w:sz w:val="20"/>
                <w:szCs w:val="20"/>
              </w:rPr>
              <w:t xml:space="preserve">The </w:t>
            </w:r>
            <w:r w:rsidRPr="00CE6785">
              <w:rPr>
                <w:rFonts w:ascii="Arial Narrow" w:hAnsi="Arial Narrow" w:cs="Calibri"/>
                <w:sz w:val="20"/>
                <w:szCs w:val="20"/>
              </w:rPr>
              <w:t xml:space="preserve">PBAC revised scenario would have resulted in </w:t>
            </w:r>
            <w:r>
              <w:rPr>
                <w:rFonts w:ascii="Arial Narrow" w:hAnsi="Arial Narrow" w:cs="Calibri"/>
                <w:sz w:val="20"/>
                <w:szCs w:val="20"/>
              </w:rPr>
              <w:t xml:space="preserve">around </w:t>
            </w:r>
            <w:r w:rsidR="00D46576" w:rsidRPr="00D46576">
              <w:rPr>
                <w:rFonts w:ascii="Arial Narrow" w:hAnsi="Arial Narrow" w:cs="Calibri"/>
                <w:color w:val="000000"/>
                <w:spacing w:val="19"/>
                <w:sz w:val="20"/>
                <w:szCs w:val="20"/>
                <w:shd w:val="solid" w:color="000000" w:fill="000000"/>
                <w:fitText w:val="480" w:id="-1404819964"/>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64"/>
                <w14:textFill>
                  <w14:solidFill>
                    <w14:srgbClr w14:val="000000">
                      <w14:alpha w14:val="100000"/>
                    </w14:srgbClr>
                  </w14:solidFill>
                </w14:textFill>
              </w:rPr>
              <w:t>|</w:t>
            </w:r>
            <w:r w:rsidR="005265E2" w:rsidRPr="00123032">
              <w:rPr>
                <w:rFonts w:ascii="Arial Narrow" w:hAnsi="Arial Narrow" w:cs="Calibri"/>
                <w:sz w:val="20"/>
                <w:szCs w:val="20"/>
                <w:vertAlign w:val="superscript"/>
              </w:rPr>
              <w:t>3</w:t>
            </w:r>
            <w:r w:rsidRPr="00CE6785">
              <w:rPr>
                <w:rFonts w:ascii="Arial Narrow" w:hAnsi="Arial Narrow" w:cs="Calibri"/>
                <w:sz w:val="20"/>
                <w:szCs w:val="20"/>
              </w:rPr>
              <w:t xml:space="preserve"> scripts over 6 years. </w:t>
            </w:r>
          </w:p>
          <w:p w14:paraId="44CFC879" w14:textId="77777777" w:rsidR="00E00F4A" w:rsidRPr="00CE6785" w:rsidRDefault="00E00F4A" w:rsidP="00EC502C">
            <w:pPr>
              <w:keepNext/>
              <w:keepLines/>
              <w:rPr>
                <w:rFonts w:ascii="Arial Narrow" w:hAnsi="Arial Narrow" w:cs="Calibri"/>
                <w:sz w:val="20"/>
                <w:szCs w:val="20"/>
              </w:rPr>
            </w:pPr>
          </w:p>
          <w:p w14:paraId="724AA61E" w14:textId="7361DBC1" w:rsidR="00E00F4A" w:rsidRPr="00CE6785" w:rsidRDefault="00E00F4A" w:rsidP="00EC502C">
            <w:pPr>
              <w:keepNext/>
              <w:keepLines/>
              <w:rPr>
                <w:rFonts w:ascii="Arial Narrow" w:hAnsi="Arial Narrow" w:cs="Calibri"/>
                <w:sz w:val="20"/>
                <w:szCs w:val="20"/>
              </w:rPr>
            </w:pPr>
            <w:r w:rsidRPr="00CE6785">
              <w:rPr>
                <w:rFonts w:ascii="Arial Narrow" w:hAnsi="Arial Narrow" w:cs="Calibri"/>
                <w:sz w:val="20"/>
                <w:szCs w:val="20"/>
              </w:rPr>
              <w:t>July 2022 submission estimated a cost to R/PBS of ruxolitinib: $</w:t>
            </w:r>
            <w:r w:rsidR="00D46576" w:rsidRPr="00D46576">
              <w:rPr>
                <w:rFonts w:ascii="Arial Narrow" w:hAnsi="Arial Narrow" w:cs="Calibri"/>
                <w:color w:val="000000"/>
                <w:spacing w:val="19"/>
                <w:sz w:val="20"/>
                <w:szCs w:val="20"/>
                <w:shd w:val="solid" w:color="000000" w:fill="000000"/>
                <w:fitText w:val="480" w:id="-1404819963"/>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63"/>
                <w14:textFill>
                  <w14:solidFill>
                    <w14:srgbClr w14:val="000000">
                      <w14:alpha w14:val="100000"/>
                    </w14:srgbClr>
                  </w14:solidFill>
                </w14:textFill>
              </w:rPr>
              <w:t>|</w:t>
            </w:r>
            <w:r w:rsidR="00D46576" w:rsidRPr="00D46576">
              <w:rPr>
                <w:rFonts w:ascii="Arial Narrow" w:hAnsi="Arial Narrow" w:cs="Calibri"/>
                <w:sz w:val="20"/>
                <w:szCs w:val="20"/>
              </w:rPr>
              <w:t xml:space="preserve"> </w:t>
            </w:r>
            <w:r w:rsidR="00D46576" w:rsidRPr="00D46576">
              <w:rPr>
                <w:rFonts w:ascii="Arial Narrow" w:hAnsi="Arial Narrow" w:cs="Calibri"/>
                <w:color w:val="000000"/>
                <w:spacing w:val="19"/>
                <w:sz w:val="20"/>
                <w:szCs w:val="20"/>
                <w:shd w:val="solid" w:color="000000" w:fill="000000"/>
                <w:fitText w:val="480" w:id="-1404819962"/>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62"/>
                <w14:textFill>
                  <w14:solidFill>
                    <w14:srgbClr w14:val="000000">
                      <w14:alpha w14:val="100000"/>
                    </w14:srgbClr>
                  </w14:solidFill>
                </w14:textFill>
              </w:rPr>
              <w:t>|</w:t>
            </w:r>
            <w:r w:rsidR="005265E2">
              <w:rPr>
                <w:rFonts w:ascii="Arial Narrow" w:hAnsi="Arial Narrow" w:cs="Calibri"/>
                <w:sz w:val="20"/>
                <w:szCs w:val="20"/>
                <w:vertAlign w:val="superscript"/>
              </w:rPr>
              <w:t>4</w:t>
            </w:r>
            <w:r w:rsidRPr="00CE6785">
              <w:rPr>
                <w:rFonts w:ascii="Arial Narrow" w:hAnsi="Arial Narrow" w:cs="Calibri"/>
                <w:sz w:val="20"/>
                <w:szCs w:val="20"/>
              </w:rPr>
              <w:t xml:space="preserve"> over 6 years</w:t>
            </w:r>
          </w:p>
        </w:tc>
        <w:tc>
          <w:tcPr>
            <w:tcW w:w="5335" w:type="dxa"/>
            <w:tcBorders>
              <w:top w:val="single" w:sz="4" w:space="0" w:color="auto"/>
              <w:left w:val="single" w:sz="4" w:space="0" w:color="auto"/>
              <w:bottom w:val="single" w:sz="4" w:space="0" w:color="auto"/>
              <w:right w:val="single" w:sz="4" w:space="0" w:color="auto"/>
            </w:tcBorders>
          </w:tcPr>
          <w:p w14:paraId="34D3B6C6" w14:textId="77777777" w:rsidR="00E00F4A" w:rsidRPr="00CE6785" w:rsidRDefault="00E00F4A" w:rsidP="00EC502C">
            <w:pPr>
              <w:keepNext/>
              <w:keepLines/>
              <w:rPr>
                <w:rFonts w:ascii="Arial Narrow" w:hAnsi="Arial Narrow" w:cs="Calibri"/>
                <w:sz w:val="20"/>
                <w:szCs w:val="20"/>
              </w:rPr>
            </w:pPr>
          </w:p>
          <w:p w14:paraId="391796BB" w14:textId="1F1AF500" w:rsidR="00E00F4A" w:rsidRPr="00CE6785" w:rsidRDefault="00E00F4A" w:rsidP="00EC502C">
            <w:pPr>
              <w:keepNext/>
              <w:keepLines/>
              <w:rPr>
                <w:rFonts w:ascii="Arial Narrow" w:hAnsi="Arial Narrow" w:cs="Calibri"/>
                <w:sz w:val="20"/>
                <w:szCs w:val="20"/>
              </w:rPr>
            </w:pPr>
            <w:r w:rsidRPr="00CE6785">
              <w:rPr>
                <w:rFonts w:ascii="Arial Narrow" w:hAnsi="Arial Narrow" w:cs="Calibri"/>
                <w:sz w:val="20"/>
                <w:szCs w:val="20"/>
              </w:rPr>
              <w:t>Total scripts:</w:t>
            </w:r>
            <w:r w:rsidR="00D46576" w:rsidRPr="00D46576">
              <w:rPr>
                <w:rFonts w:ascii="Arial Narrow" w:hAnsi="Arial Narrow" w:cs="Calibri"/>
                <w:color w:val="000000"/>
                <w:spacing w:val="19"/>
                <w:sz w:val="20"/>
                <w:szCs w:val="20"/>
                <w:shd w:val="solid" w:color="000000" w:fill="000000"/>
                <w:fitText w:val="480" w:id="-1404819961"/>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61"/>
                <w14:textFill>
                  <w14:solidFill>
                    <w14:srgbClr w14:val="000000">
                      <w14:alpha w14:val="100000"/>
                    </w14:srgbClr>
                  </w14:solidFill>
                </w14:textFill>
              </w:rPr>
              <w:t>|</w:t>
            </w:r>
            <w:r w:rsidR="005265E2">
              <w:rPr>
                <w:rFonts w:ascii="Arial Narrow" w:hAnsi="Arial Narrow" w:cs="Calibri"/>
                <w:sz w:val="20"/>
                <w:szCs w:val="20"/>
                <w:vertAlign w:val="superscript"/>
              </w:rPr>
              <w:t>5</w:t>
            </w:r>
            <w:r w:rsidRPr="00CE6785">
              <w:rPr>
                <w:rFonts w:ascii="Arial Narrow" w:hAnsi="Arial Narrow" w:cs="Calibri"/>
                <w:sz w:val="20"/>
                <w:szCs w:val="20"/>
              </w:rPr>
              <w:t xml:space="preserve"> over 6 y</w:t>
            </w:r>
            <w:r>
              <w:rPr>
                <w:rFonts w:ascii="Arial Narrow" w:hAnsi="Arial Narrow" w:cs="Calibri"/>
                <w:sz w:val="20"/>
                <w:szCs w:val="20"/>
              </w:rPr>
              <w:t>ea</w:t>
            </w:r>
            <w:r w:rsidRPr="00CE6785">
              <w:rPr>
                <w:rFonts w:ascii="Arial Narrow" w:hAnsi="Arial Narrow" w:cs="Calibri"/>
                <w:sz w:val="20"/>
                <w:szCs w:val="20"/>
              </w:rPr>
              <w:t xml:space="preserve">rs (an increase of </w:t>
            </w:r>
            <w:r>
              <w:rPr>
                <w:rFonts w:ascii="Arial Narrow" w:hAnsi="Arial Narrow" w:cs="Calibri"/>
                <w:sz w:val="20"/>
                <w:szCs w:val="20"/>
              </w:rPr>
              <w:t xml:space="preserve">around </w:t>
            </w:r>
            <w:r w:rsidRPr="00CE6785">
              <w:rPr>
                <w:rFonts w:ascii="Arial Narrow" w:hAnsi="Arial Narrow" w:cs="Calibri"/>
                <w:sz w:val="20"/>
                <w:szCs w:val="20"/>
              </w:rPr>
              <w:t>48% vs PBAC scenario)</w:t>
            </w:r>
          </w:p>
          <w:p w14:paraId="58FE64BD" w14:textId="202AD8C2" w:rsidR="00E00F4A" w:rsidRPr="00CE6785" w:rsidRDefault="00E00F4A" w:rsidP="00EC502C">
            <w:pPr>
              <w:keepNext/>
              <w:keepLines/>
              <w:rPr>
                <w:rFonts w:ascii="Arial Narrow" w:hAnsi="Arial Narrow" w:cs="Calibri"/>
                <w:sz w:val="20"/>
                <w:szCs w:val="20"/>
              </w:rPr>
            </w:pPr>
            <w:r w:rsidRPr="00CE6785">
              <w:rPr>
                <w:rFonts w:ascii="Arial Narrow" w:hAnsi="Arial Narrow" w:cs="Calibri"/>
                <w:sz w:val="20"/>
                <w:szCs w:val="20"/>
              </w:rPr>
              <w:t>Cost to R/PBS of ruxolitinib: $</w:t>
            </w:r>
            <w:r w:rsidR="00D46576" w:rsidRPr="00D46576">
              <w:rPr>
                <w:rFonts w:ascii="Arial Narrow" w:hAnsi="Arial Narrow" w:cs="Calibri"/>
                <w:color w:val="000000"/>
                <w:spacing w:val="19"/>
                <w:sz w:val="20"/>
                <w:szCs w:val="20"/>
                <w:shd w:val="solid" w:color="000000" w:fill="000000"/>
                <w:fitText w:val="480" w:id="-1404819960"/>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60"/>
                <w14:textFill>
                  <w14:solidFill>
                    <w14:srgbClr w14:val="000000">
                      <w14:alpha w14:val="100000"/>
                    </w14:srgbClr>
                  </w14:solidFill>
                </w14:textFill>
              </w:rPr>
              <w:t>|</w:t>
            </w:r>
            <w:r w:rsidR="00D46576" w:rsidRPr="00D46576">
              <w:rPr>
                <w:rFonts w:ascii="Arial Narrow" w:hAnsi="Arial Narrow" w:cs="Calibri"/>
                <w:sz w:val="20"/>
                <w:szCs w:val="20"/>
              </w:rPr>
              <w:t xml:space="preserve"> </w:t>
            </w:r>
            <w:r w:rsidR="00D46576" w:rsidRPr="00D46576">
              <w:rPr>
                <w:rFonts w:ascii="Arial Narrow" w:hAnsi="Arial Narrow" w:cs="Calibri"/>
                <w:color w:val="000000"/>
                <w:spacing w:val="19"/>
                <w:sz w:val="20"/>
                <w:szCs w:val="20"/>
                <w:shd w:val="solid" w:color="000000" w:fill="000000"/>
                <w:fitText w:val="480" w:id="-1404819959"/>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59"/>
                <w14:textFill>
                  <w14:solidFill>
                    <w14:srgbClr w14:val="000000">
                      <w14:alpha w14:val="100000"/>
                    </w14:srgbClr>
                  </w14:solidFill>
                </w14:textFill>
              </w:rPr>
              <w:t>|</w:t>
            </w:r>
            <w:r w:rsidR="005265E2">
              <w:rPr>
                <w:rFonts w:ascii="Arial Narrow" w:hAnsi="Arial Narrow" w:cs="Calibri"/>
                <w:sz w:val="20"/>
                <w:szCs w:val="20"/>
                <w:vertAlign w:val="superscript"/>
              </w:rPr>
              <w:t>4</w:t>
            </w:r>
            <w:r w:rsidRPr="00CE6785">
              <w:rPr>
                <w:rFonts w:ascii="Arial Narrow" w:hAnsi="Arial Narrow" w:cs="Calibri"/>
                <w:sz w:val="20"/>
                <w:szCs w:val="20"/>
              </w:rPr>
              <w:t xml:space="preserve"> over 6 years (increase of 43% v</w:t>
            </w:r>
            <w:r>
              <w:rPr>
                <w:rFonts w:ascii="Arial Narrow" w:hAnsi="Arial Narrow" w:cs="Calibri"/>
                <w:sz w:val="20"/>
                <w:szCs w:val="20"/>
              </w:rPr>
              <w:t>ersus the July 2022</w:t>
            </w:r>
            <w:r w:rsidRPr="00CE6785">
              <w:rPr>
                <w:rFonts w:ascii="Arial Narrow" w:hAnsi="Arial Narrow" w:cs="Calibri"/>
                <w:sz w:val="20"/>
                <w:szCs w:val="20"/>
              </w:rPr>
              <w:t xml:space="preserve"> submission)</w:t>
            </w:r>
          </w:p>
          <w:p w14:paraId="326B9A93" w14:textId="7290FF52" w:rsidR="00E00F4A" w:rsidRPr="00CE6785" w:rsidRDefault="00E00F4A" w:rsidP="00EC502C">
            <w:pPr>
              <w:keepNext/>
              <w:keepLines/>
              <w:rPr>
                <w:rFonts w:ascii="Arial Narrow" w:hAnsi="Arial Narrow" w:cs="Calibri"/>
                <w:sz w:val="20"/>
                <w:szCs w:val="20"/>
              </w:rPr>
            </w:pPr>
            <w:r w:rsidRPr="00CE6785">
              <w:rPr>
                <w:rFonts w:ascii="Arial Narrow" w:hAnsi="Arial Narrow" w:cs="Calibri"/>
                <w:sz w:val="20"/>
                <w:szCs w:val="20"/>
              </w:rPr>
              <w:t>Net impact to R/PBS and MBS: $</w:t>
            </w:r>
            <w:r w:rsidR="00D46576" w:rsidRPr="00D46576">
              <w:rPr>
                <w:rFonts w:ascii="Arial Narrow" w:hAnsi="Arial Narrow" w:cs="Calibri"/>
                <w:color w:val="000000"/>
                <w:spacing w:val="19"/>
                <w:sz w:val="20"/>
                <w:szCs w:val="20"/>
                <w:shd w:val="solid" w:color="000000" w:fill="000000"/>
                <w:fitText w:val="480" w:id="-1404819958"/>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58"/>
                <w14:textFill>
                  <w14:solidFill>
                    <w14:srgbClr w14:val="000000">
                      <w14:alpha w14:val="100000"/>
                    </w14:srgbClr>
                  </w14:solidFill>
                </w14:textFill>
              </w:rPr>
              <w:t>|</w:t>
            </w:r>
            <w:r w:rsidR="00D46576" w:rsidRPr="00D46576">
              <w:rPr>
                <w:rFonts w:ascii="Arial Narrow" w:hAnsi="Arial Narrow" w:cs="Calibri"/>
                <w:sz w:val="20"/>
                <w:szCs w:val="20"/>
              </w:rPr>
              <w:t xml:space="preserve"> </w:t>
            </w:r>
            <w:r w:rsidR="00D46576" w:rsidRPr="00D46576">
              <w:rPr>
                <w:rFonts w:ascii="Arial Narrow" w:hAnsi="Arial Narrow" w:cs="Calibri"/>
                <w:color w:val="000000"/>
                <w:spacing w:val="19"/>
                <w:sz w:val="20"/>
                <w:szCs w:val="20"/>
                <w:shd w:val="solid" w:color="000000" w:fill="000000"/>
                <w:fitText w:val="480" w:id="-1404819957"/>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57"/>
                <w14:textFill>
                  <w14:solidFill>
                    <w14:srgbClr w14:val="000000">
                      <w14:alpha w14:val="100000"/>
                    </w14:srgbClr>
                  </w14:solidFill>
                </w14:textFill>
              </w:rPr>
              <w:t>|</w:t>
            </w:r>
            <w:r w:rsidR="005265E2">
              <w:rPr>
                <w:rFonts w:ascii="Arial Narrow" w:hAnsi="Arial Narrow" w:cs="Calibri"/>
                <w:sz w:val="20"/>
                <w:szCs w:val="20"/>
                <w:vertAlign w:val="superscript"/>
              </w:rPr>
              <w:t>6</w:t>
            </w:r>
            <w:r w:rsidRPr="00CE6785">
              <w:rPr>
                <w:rFonts w:ascii="Arial Narrow" w:hAnsi="Arial Narrow" w:cs="Calibri"/>
                <w:sz w:val="20"/>
                <w:szCs w:val="20"/>
              </w:rPr>
              <w:t xml:space="preserve"> over 6 years</w:t>
            </w:r>
          </w:p>
        </w:tc>
      </w:tr>
      <w:tr w:rsidR="00E00F4A" w:rsidRPr="00CE6785" w14:paraId="33E7C4AA" w14:textId="77777777" w:rsidTr="00EC502C">
        <w:trPr>
          <w:cantSplit/>
        </w:trPr>
        <w:tc>
          <w:tcPr>
            <w:tcW w:w="9016" w:type="dxa"/>
            <w:gridSpan w:val="2"/>
            <w:tcBorders>
              <w:top w:val="single" w:sz="4" w:space="0" w:color="auto"/>
              <w:left w:val="single" w:sz="4" w:space="0" w:color="auto"/>
              <w:bottom w:val="single" w:sz="4" w:space="0" w:color="auto"/>
              <w:right w:val="single" w:sz="4" w:space="0" w:color="auto"/>
            </w:tcBorders>
            <w:hideMark/>
          </w:tcPr>
          <w:p w14:paraId="1152E354" w14:textId="77777777" w:rsidR="00E00F4A" w:rsidRPr="00CE6785" w:rsidRDefault="00E00F4A" w:rsidP="00EC502C">
            <w:pPr>
              <w:keepNext/>
              <w:keepLines/>
              <w:rPr>
                <w:rFonts w:ascii="Arial Narrow" w:hAnsi="Arial Narrow" w:cs="Calibri"/>
                <w:b/>
                <w:bCs/>
                <w:sz w:val="20"/>
                <w:szCs w:val="20"/>
              </w:rPr>
            </w:pPr>
            <w:r w:rsidRPr="00CE6785">
              <w:rPr>
                <w:rFonts w:ascii="Arial Narrow" w:hAnsi="Arial Narrow" w:cs="Calibri"/>
                <w:b/>
                <w:bCs/>
                <w:sz w:val="20"/>
                <w:szCs w:val="20"/>
              </w:rPr>
              <w:t>RSA</w:t>
            </w:r>
          </w:p>
        </w:tc>
      </w:tr>
      <w:tr w:rsidR="00E00F4A" w:rsidRPr="00CE6785" w14:paraId="036FCA80" w14:textId="77777777" w:rsidTr="00EC502C">
        <w:trPr>
          <w:cantSplit/>
        </w:trPr>
        <w:tc>
          <w:tcPr>
            <w:tcW w:w="3681" w:type="dxa"/>
            <w:tcBorders>
              <w:top w:val="single" w:sz="4" w:space="0" w:color="auto"/>
              <w:left w:val="single" w:sz="4" w:space="0" w:color="auto"/>
              <w:bottom w:val="single" w:sz="4" w:space="0" w:color="auto"/>
              <w:right w:val="single" w:sz="4" w:space="0" w:color="auto"/>
            </w:tcBorders>
            <w:hideMark/>
          </w:tcPr>
          <w:p w14:paraId="5D707B9B" w14:textId="1459F868" w:rsidR="00E00F4A" w:rsidRPr="00CE6785" w:rsidRDefault="00E00F4A" w:rsidP="00EC502C">
            <w:pPr>
              <w:keepNext/>
              <w:keepLines/>
              <w:rPr>
                <w:rFonts w:ascii="Arial Narrow" w:hAnsi="Arial Narrow" w:cs="Times New Roman"/>
                <w:sz w:val="20"/>
                <w:szCs w:val="20"/>
              </w:rPr>
            </w:pPr>
            <w:r w:rsidRPr="00CE6785">
              <w:rPr>
                <w:rFonts w:ascii="Arial Narrow" w:hAnsi="Arial Narrow" w:cs="Calibri"/>
                <w:sz w:val="20"/>
                <w:szCs w:val="20"/>
              </w:rPr>
              <w:t xml:space="preserve">RSA with </w:t>
            </w:r>
            <w:r w:rsidR="00D46576" w:rsidRPr="00D46576">
              <w:rPr>
                <w:rFonts w:ascii="Arial Narrow" w:hAnsi="Arial Narrow" w:cs="Calibri"/>
                <w:color w:val="000000"/>
                <w:spacing w:val="19"/>
                <w:sz w:val="20"/>
                <w:szCs w:val="20"/>
                <w:shd w:val="solid" w:color="000000" w:fill="000000"/>
                <w:fitText w:val="480" w:id="-1404819956"/>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56"/>
                <w14:textFill>
                  <w14:solidFill>
                    <w14:srgbClr w14:val="000000">
                      <w14:alpha w14:val="100000"/>
                    </w14:srgbClr>
                  </w14:solidFill>
                </w14:textFill>
              </w:rPr>
              <w:t>|</w:t>
            </w:r>
            <w:r w:rsidRPr="00CE6785">
              <w:rPr>
                <w:rFonts w:ascii="Arial Narrow" w:hAnsi="Arial Narrow" w:cs="Calibri"/>
                <w:sz w:val="20"/>
                <w:szCs w:val="20"/>
              </w:rPr>
              <w:t xml:space="preserve">% rebate for any expenditure above the cap would be required to manage the risk associated with the uncertainties in the number of eligible patients and the duration of ruxolitinib treatment </w:t>
            </w:r>
            <w:r>
              <w:rPr>
                <w:rFonts w:ascii="Arial Narrow" w:hAnsi="Arial Narrow" w:cs="Calibri"/>
                <w:sz w:val="20"/>
                <w:szCs w:val="20"/>
              </w:rPr>
              <w:t>(p</w:t>
            </w:r>
            <w:r w:rsidRPr="00CE6785">
              <w:rPr>
                <w:rFonts w:ascii="Arial Narrow" w:hAnsi="Arial Narrow" w:cs="Calibri"/>
                <w:sz w:val="20"/>
                <w:szCs w:val="20"/>
              </w:rPr>
              <w:t>ara 7.28</w:t>
            </w:r>
            <w:r>
              <w:rPr>
                <w:rFonts w:ascii="Arial Narrow" w:hAnsi="Arial Narrow" w:cs="Calibri"/>
                <w:sz w:val="20"/>
                <w:szCs w:val="20"/>
              </w:rPr>
              <w:t>).</w:t>
            </w:r>
          </w:p>
        </w:tc>
        <w:tc>
          <w:tcPr>
            <w:tcW w:w="5335" w:type="dxa"/>
            <w:tcBorders>
              <w:top w:val="single" w:sz="4" w:space="0" w:color="auto"/>
              <w:left w:val="single" w:sz="4" w:space="0" w:color="auto"/>
              <w:bottom w:val="single" w:sz="4" w:space="0" w:color="auto"/>
              <w:right w:val="single" w:sz="4" w:space="0" w:color="auto"/>
            </w:tcBorders>
            <w:hideMark/>
          </w:tcPr>
          <w:p w14:paraId="3F42DEF2" w14:textId="1CBCBA40" w:rsidR="00E00F4A" w:rsidRPr="00CE6785" w:rsidRDefault="00E00F4A" w:rsidP="00EC502C">
            <w:pPr>
              <w:keepNext/>
              <w:keepLines/>
              <w:rPr>
                <w:rFonts w:ascii="Arial Narrow" w:hAnsi="Arial Narrow" w:cs="Times New Roman"/>
                <w:sz w:val="20"/>
                <w:szCs w:val="20"/>
              </w:rPr>
            </w:pPr>
            <w:r>
              <w:rPr>
                <w:rFonts w:ascii="Arial Narrow" w:hAnsi="Arial Narrow" w:cs="Times New Roman"/>
                <w:sz w:val="20"/>
                <w:szCs w:val="20"/>
              </w:rPr>
              <w:t xml:space="preserve">The resubmission proposed a </w:t>
            </w:r>
            <w:r w:rsidR="00D46576" w:rsidRPr="00D46576">
              <w:rPr>
                <w:rFonts w:ascii="Arial Narrow" w:hAnsi="Arial Narrow" w:cs="Times New Roman"/>
                <w:color w:val="000000"/>
                <w:spacing w:val="19"/>
                <w:sz w:val="20"/>
                <w:szCs w:val="20"/>
                <w:shd w:val="solid" w:color="000000" w:fill="000000"/>
                <w:fitText w:val="480" w:id="-1404819955"/>
                <w14:textFill>
                  <w14:solidFill>
                    <w14:srgbClr w14:val="000000">
                      <w14:alpha w14:val="100000"/>
                    </w14:srgbClr>
                  </w14:solidFill>
                </w14:textFill>
              </w:rPr>
              <w:t>|||  ||</w:t>
            </w:r>
            <w:r w:rsidR="00D46576" w:rsidRPr="00D46576">
              <w:rPr>
                <w:rFonts w:ascii="Arial Narrow" w:hAnsi="Arial Narrow" w:cs="Times New Roman"/>
                <w:color w:val="000000"/>
                <w:spacing w:val="1"/>
                <w:sz w:val="20"/>
                <w:szCs w:val="20"/>
                <w:shd w:val="solid" w:color="000000" w:fill="000000"/>
                <w:fitText w:val="480" w:id="-1404819955"/>
                <w14:textFill>
                  <w14:solidFill>
                    <w14:srgbClr w14:val="000000">
                      <w14:alpha w14:val="100000"/>
                    </w14:srgbClr>
                  </w14:solidFill>
                </w14:textFill>
              </w:rPr>
              <w:t>|</w:t>
            </w:r>
            <w:r w:rsidRPr="00CE6785">
              <w:rPr>
                <w:rFonts w:ascii="Arial Narrow" w:hAnsi="Arial Narrow" w:cs="Times New Roman"/>
                <w:sz w:val="20"/>
                <w:szCs w:val="20"/>
              </w:rPr>
              <w:t>% rebate</w:t>
            </w:r>
            <w:r>
              <w:rPr>
                <w:rFonts w:ascii="Arial Narrow" w:hAnsi="Arial Narrow" w:cs="Times New Roman"/>
                <w:sz w:val="20"/>
                <w:szCs w:val="20"/>
              </w:rPr>
              <w:t xml:space="preserve"> for use above the estimated expenditure cap.</w:t>
            </w:r>
          </w:p>
        </w:tc>
      </w:tr>
    </w:tbl>
    <w:p w14:paraId="72B84925" w14:textId="0065D256" w:rsidR="00E00F4A" w:rsidRDefault="00E00F4A" w:rsidP="00E00F4A">
      <w:pPr>
        <w:pStyle w:val="TableFooter"/>
        <w:rPr>
          <w:rFonts w:eastAsia="Calibri"/>
        </w:rPr>
      </w:pPr>
      <w:r>
        <w:rPr>
          <w:rFonts w:eastAsia="Calibri"/>
        </w:rPr>
        <w:t>aGVHD = acute graft versus host disease; cGVHD = chronic graft versus host disease; HSCT = haemopoietic stem cell transplant; ICER = incremental cost effectiveness ratio; QALY = quality adjusted life year; RSA = risk sharing arrangement; SCT = stem cell transplant</w:t>
      </w:r>
    </w:p>
    <w:p w14:paraId="5D42D52D" w14:textId="67F9186E" w:rsidR="00C526F3" w:rsidRDefault="00C526F3" w:rsidP="00E00F4A">
      <w:pPr>
        <w:pStyle w:val="TableFooter"/>
        <w:rPr>
          <w:rFonts w:eastAsia="Calibri"/>
        </w:rPr>
      </w:pPr>
    </w:p>
    <w:p w14:paraId="5A2B3091" w14:textId="0D708C82" w:rsidR="00C526F3" w:rsidRDefault="00C526F3" w:rsidP="00E00F4A">
      <w:pPr>
        <w:pStyle w:val="TableFooter"/>
        <w:rPr>
          <w:rFonts w:eastAsia="Calibri"/>
          <w:i/>
          <w:iCs/>
        </w:rPr>
      </w:pPr>
      <w:r w:rsidRPr="00C526F3">
        <w:rPr>
          <w:rFonts w:eastAsia="Calibri"/>
          <w:i/>
          <w:iCs/>
        </w:rPr>
        <w:t>The redacted values correspond to the following ranges:</w:t>
      </w:r>
    </w:p>
    <w:p w14:paraId="31CB2202" w14:textId="4D42AEC3" w:rsidR="00C526F3" w:rsidRDefault="00C526F3" w:rsidP="00E00F4A">
      <w:pPr>
        <w:pStyle w:val="TableFooter"/>
        <w:rPr>
          <w:rFonts w:eastAsia="Calibri"/>
          <w:i/>
          <w:iCs/>
        </w:rPr>
      </w:pPr>
      <w:r>
        <w:rPr>
          <w:rFonts w:eastAsia="Calibri"/>
          <w:i/>
          <w:iCs/>
          <w:vertAlign w:val="superscript"/>
        </w:rPr>
        <w:t>1</w:t>
      </w:r>
      <w:r w:rsidRPr="00123032">
        <w:rPr>
          <w:rFonts w:eastAsia="Calibri"/>
          <w:i/>
          <w:iCs/>
        </w:rPr>
        <w:t>$55,000 to &lt; $75,000</w:t>
      </w:r>
    </w:p>
    <w:p w14:paraId="58F382BE" w14:textId="5FB102FA" w:rsidR="00C526F3" w:rsidRDefault="00C526F3" w:rsidP="00E00F4A">
      <w:pPr>
        <w:pStyle w:val="TableFooter"/>
        <w:rPr>
          <w:rFonts w:eastAsia="Calibri"/>
          <w:i/>
          <w:iCs/>
        </w:rPr>
      </w:pPr>
      <w:r>
        <w:rPr>
          <w:rFonts w:eastAsia="Calibri"/>
          <w:i/>
          <w:iCs/>
          <w:vertAlign w:val="superscript"/>
        </w:rPr>
        <w:t>2</w:t>
      </w:r>
      <w:r w:rsidRPr="00C526F3">
        <w:rPr>
          <w:rFonts w:eastAsia="Calibri"/>
          <w:i/>
          <w:iCs/>
        </w:rPr>
        <w:t>$45,000 to &lt; $55,000</w:t>
      </w:r>
    </w:p>
    <w:p w14:paraId="24CC28DB" w14:textId="34060B60" w:rsidR="005265E2" w:rsidRDefault="005265E2" w:rsidP="00E00F4A">
      <w:pPr>
        <w:pStyle w:val="TableFooter"/>
        <w:rPr>
          <w:rFonts w:eastAsia="Calibri"/>
          <w:i/>
          <w:iCs/>
        </w:rPr>
      </w:pPr>
      <w:r>
        <w:rPr>
          <w:rFonts w:eastAsia="Calibri"/>
          <w:i/>
          <w:iCs/>
          <w:vertAlign w:val="superscript"/>
        </w:rPr>
        <w:t>3</w:t>
      </w:r>
      <w:r w:rsidRPr="00EC502C">
        <w:rPr>
          <w:rFonts w:eastAsia="Calibri"/>
          <w:i/>
          <w:iCs/>
        </w:rPr>
        <w:t>5,000 to &lt; 10,000</w:t>
      </w:r>
    </w:p>
    <w:p w14:paraId="7516C222" w14:textId="1DCE3977" w:rsidR="00C526F3" w:rsidRDefault="005265E2" w:rsidP="00E00F4A">
      <w:pPr>
        <w:pStyle w:val="TableFooter"/>
        <w:rPr>
          <w:rFonts w:eastAsia="Calibri"/>
          <w:i/>
          <w:iCs/>
        </w:rPr>
      </w:pPr>
      <w:r>
        <w:rPr>
          <w:rFonts w:eastAsia="Calibri"/>
          <w:i/>
          <w:iCs/>
          <w:vertAlign w:val="superscript"/>
        </w:rPr>
        <w:t>4</w:t>
      </w:r>
      <w:r w:rsidR="00C526F3" w:rsidRPr="00C526F3">
        <w:rPr>
          <w:rFonts w:eastAsia="Calibri"/>
          <w:i/>
          <w:iCs/>
        </w:rPr>
        <w:t>$20 million to &lt; $30 million</w:t>
      </w:r>
    </w:p>
    <w:p w14:paraId="7B9F32A0" w14:textId="695B70FE" w:rsidR="005265E2" w:rsidRDefault="005265E2" w:rsidP="00E00F4A">
      <w:pPr>
        <w:pStyle w:val="TableFooter"/>
        <w:rPr>
          <w:rFonts w:eastAsia="Calibri"/>
          <w:i/>
          <w:iCs/>
        </w:rPr>
      </w:pPr>
      <w:r>
        <w:rPr>
          <w:rFonts w:eastAsia="Calibri"/>
          <w:i/>
          <w:iCs/>
          <w:vertAlign w:val="superscript"/>
        </w:rPr>
        <w:t>5</w:t>
      </w:r>
      <w:r w:rsidRPr="005265E2">
        <w:rPr>
          <w:rFonts w:eastAsia="Calibri"/>
          <w:i/>
          <w:iCs/>
        </w:rPr>
        <w:t>10,000 to &lt; 20,000</w:t>
      </w:r>
    </w:p>
    <w:p w14:paraId="0B320E0B" w14:textId="218724E8" w:rsidR="00C526F3" w:rsidRPr="00123032" w:rsidRDefault="00C526F3" w:rsidP="00E00F4A">
      <w:pPr>
        <w:pStyle w:val="TableFooter"/>
        <w:rPr>
          <w:rFonts w:eastAsia="Calibri"/>
          <w:i/>
          <w:iCs/>
        </w:rPr>
      </w:pPr>
      <w:r>
        <w:rPr>
          <w:rFonts w:eastAsia="Calibri"/>
          <w:i/>
          <w:iCs/>
          <w:vertAlign w:val="superscript"/>
        </w:rPr>
        <w:t>4</w:t>
      </w:r>
      <w:r w:rsidRPr="00C526F3">
        <w:rPr>
          <w:rFonts w:eastAsia="Calibri"/>
          <w:i/>
          <w:iCs/>
        </w:rPr>
        <w:t>$10 million to &lt; $20 million</w:t>
      </w:r>
    </w:p>
    <w:p w14:paraId="22DAF692" w14:textId="77777777" w:rsidR="00E00F4A" w:rsidRPr="00C9624D" w:rsidRDefault="00E00F4A" w:rsidP="00E00F4A">
      <w:pPr>
        <w:pStyle w:val="3-SubsectionHeading"/>
      </w:pPr>
      <w:r w:rsidRPr="00220334">
        <w:t>Economic analysis</w:t>
      </w:r>
    </w:p>
    <w:p w14:paraId="453208B2" w14:textId="546FD42D" w:rsidR="00E00F4A" w:rsidRPr="00C80083" w:rsidRDefault="00E00F4A" w:rsidP="00E00F4A">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In July 2022, the PBAC advised that the time horizon applied to the economic model should be reduced from 30 years to 10 years and that the price of ruxolitinib should be reduced to result in an incremental cost effectiveness ratio (ICER) that was similar to that which was accepted in the aGVHD setting (i.e. approximately </w:t>
      </w:r>
      <w:r w:rsidR="00C526F3" w:rsidRPr="00C526F3">
        <w:rPr>
          <w:rFonts w:asciiTheme="minorHAnsi" w:hAnsiTheme="minorHAnsi"/>
          <w:snapToGrid w:val="0"/>
          <w:lang w:val="en-GB"/>
        </w:rPr>
        <w:t>$55,000 to &lt;</w:t>
      </w:r>
      <w:r w:rsidR="00123032">
        <w:rPr>
          <w:rFonts w:asciiTheme="minorHAnsi" w:hAnsiTheme="minorHAnsi"/>
          <w:snapToGrid w:val="0"/>
          <w:lang w:val="en-GB"/>
        </w:rPr>
        <w:t> </w:t>
      </w:r>
      <w:r w:rsidR="00C526F3" w:rsidRPr="00C526F3">
        <w:rPr>
          <w:rFonts w:asciiTheme="minorHAnsi" w:hAnsiTheme="minorHAnsi"/>
          <w:snapToGrid w:val="0"/>
          <w:lang w:val="en-GB"/>
        </w:rPr>
        <w:t xml:space="preserve">$75,000 </w:t>
      </w:r>
      <w:r>
        <w:rPr>
          <w:rFonts w:asciiTheme="minorHAnsi" w:hAnsiTheme="minorHAnsi"/>
          <w:snapToGrid w:val="0"/>
          <w:lang w:val="en-GB"/>
        </w:rPr>
        <w:t>per quality adjusted life year (QALY); paragraph 7.26).</w:t>
      </w:r>
    </w:p>
    <w:p w14:paraId="2B845D59" w14:textId="77777777" w:rsidR="00E00F4A" w:rsidRDefault="00E00F4A" w:rsidP="00E00F4A">
      <w:pPr>
        <w:widowControl w:val="0"/>
        <w:numPr>
          <w:ilvl w:val="1"/>
          <w:numId w:val="1"/>
        </w:numPr>
        <w:spacing w:after="120"/>
        <w:ind w:left="720" w:hanging="720"/>
        <w:rPr>
          <w:rFonts w:asciiTheme="minorHAnsi" w:hAnsiTheme="minorHAnsi"/>
          <w:snapToGrid w:val="0"/>
          <w:lang w:val="en-GB"/>
        </w:rPr>
      </w:pPr>
      <w:r w:rsidRPr="00FD636A">
        <w:t xml:space="preserve">The </w:t>
      </w:r>
      <w:r>
        <w:t>re</w:t>
      </w:r>
      <w:r w:rsidRPr="00FD636A">
        <w:t>submission</w:t>
      </w:r>
      <w:r>
        <w:t xml:space="preserve"> </w:t>
      </w:r>
      <w:r>
        <w:rPr>
          <w:rFonts w:asciiTheme="minorHAnsi" w:hAnsiTheme="minorHAnsi"/>
          <w:snapToGrid w:val="0"/>
          <w:lang w:val="en-GB"/>
        </w:rPr>
        <w:t>applied a time horizon of 15 years, rather than 10 years as advised by PBAC, stating this was “</w:t>
      </w:r>
      <w:r w:rsidRPr="00A415B6">
        <w:rPr>
          <w:rFonts w:asciiTheme="minorHAnsi" w:hAnsiTheme="minorHAnsi"/>
          <w:snapToGrid w:val="0"/>
          <w:lang w:val="en-GB"/>
        </w:rPr>
        <w:t>a reasonable compromise between addressing the PBAC’s concerns about the long time horizon while allowing for sufficient time to capture the benefits in a chronic disease such as cGVHD.</w:t>
      </w:r>
      <w:r>
        <w:rPr>
          <w:rFonts w:asciiTheme="minorHAnsi" w:hAnsiTheme="minorHAnsi"/>
          <w:snapToGrid w:val="0"/>
          <w:lang w:val="en-GB"/>
        </w:rPr>
        <w:t>”</w:t>
      </w:r>
    </w:p>
    <w:p w14:paraId="0FFDDA27" w14:textId="61CE86B4" w:rsidR="00E00F4A" w:rsidRDefault="00E00F4A" w:rsidP="00E00F4A">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resubmission stated that, with a 15 year time horizon and a reduction</w:t>
      </w:r>
      <w:r w:rsidRPr="00A415B6">
        <w:rPr>
          <w:rFonts w:asciiTheme="minorHAnsi" w:hAnsiTheme="minorHAnsi"/>
          <w:snapToGrid w:val="0"/>
          <w:lang w:val="en-GB"/>
        </w:rPr>
        <w:t xml:space="preserve"> to the </w:t>
      </w:r>
      <w:r>
        <w:rPr>
          <w:rFonts w:asciiTheme="minorHAnsi" w:hAnsiTheme="minorHAnsi"/>
          <w:snapToGrid w:val="0"/>
          <w:lang w:val="en-GB"/>
        </w:rPr>
        <w:t xml:space="preserve">price of the </w:t>
      </w:r>
      <w:r w:rsidRPr="00A415B6">
        <w:rPr>
          <w:rFonts w:asciiTheme="minorHAnsi" w:hAnsiTheme="minorHAnsi"/>
          <w:snapToGrid w:val="0"/>
          <w:lang w:val="en-GB"/>
        </w:rPr>
        <w:t>5</w:t>
      </w:r>
      <w:r>
        <w:rPr>
          <w:rFonts w:asciiTheme="minorHAnsi" w:hAnsiTheme="minorHAnsi"/>
          <w:snapToGrid w:val="0"/>
          <w:lang w:val="en-GB"/>
        </w:rPr>
        <w:t xml:space="preserve"> </w:t>
      </w:r>
      <w:r w:rsidRPr="00A415B6">
        <w:rPr>
          <w:rFonts w:asciiTheme="minorHAnsi" w:hAnsiTheme="minorHAnsi"/>
          <w:snapToGrid w:val="0"/>
          <w:lang w:val="en-GB"/>
        </w:rPr>
        <w:t xml:space="preserve">mg </w:t>
      </w:r>
      <w:r>
        <w:rPr>
          <w:rFonts w:asciiTheme="minorHAnsi" w:hAnsiTheme="minorHAnsi"/>
          <w:snapToGrid w:val="0"/>
          <w:lang w:val="en-GB"/>
        </w:rPr>
        <w:t xml:space="preserve">tablets (to </w:t>
      </w:r>
      <w:r w:rsidRPr="00A415B6">
        <w:rPr>
          <w:rFonts w:asciiTheme="minorHAnsi" w:hAnsiTheme="minorHAnsi"/>
          <w:snapToGrid w:val="0"/>
          <w:lang w:val="en-GB"/>
        </w:rPr>
        <w:t>the current myelofibrosis 5 mg tablet price</w:t>
      </w:r>
      <w:r>
        <w:rPr>
          <w:rFonts w:asciiTheme="minorHAnsi" w:hAnsiTheme="minorHAnsi"/>
          <w:snapToGrid w:val="0"/>
          <w:lang w:val="en-GB"/>
        </w:rPr>
        <w:t>), the</w:t>
      </w:r>
      <w:r w:rsidRPr="00A415B6">
        <w:rPr>
          <w:rFonts w:asciiTheme="minorHAnsi" w:hAnsiTheme="minorHAnsi"/>
          <w:snapToGrid w:val="0"/>
          <w:lang w:val="en-GB"/>
        </w:rPr>
        <w:t xml:space="preserve"> ICER </w:t>
      </w:r>
      <w:r>
        <w:rPr>
          <w:rFonts w:asciiTheme="minorHAnsi" w:hAnsiTheme="minorHAnsi"/>
          <w:snapToGrid w:val="0"/>
          <w:lang w:val="en-GB"/>
        </w:rPr>
        <w:t>would be</w:t>
      </w:r>
      <w:r w:rsidRPr="00A415B6">
        <w:rPr>
          <w:rFonts w:asciiTheme="minorHAnsi" w:hAnsiTheme="minorHAnsi"/>
          <w:snapToGrid w:val="0"/>
          <w:lang w:val="en-GB"/>
        </w:rPr>
        <w:t xml:space="preserve"> </w:t>
      </w:r>
      <w:r w:rsidR="00C526F3" w:rsidRPr="00C526F3">
        <w:rPr>
          <w:rFonts w:asciiTheme="minorHAnsi" w:hAnsiTheme="minorHAnsi"/>
          <w:snapToGrid w:val="0"/>
          <w:lang w:val="en-GB"/>
        </w:rPr>
        <w:t>$45,000 to &lt; $55,000</w:t>
      </w:r>
      <w:r w:rsidR="00C526F3">
        <w:rPr>
          <w:rFonts w:asciiTheme="minorHAnsi" w:hAnsiTheme="minorHAnsi"/>
          <w:snapToGrid w:val="0"/>
          <w:lang w:val="en-GB"/>
        </w:rPr>
        <w:t xml:space="preserve"> </w:t>
      </w:r>
      <w:r>
        <w:rPr>
          <w:rFonts w:asciiTheme="minorHAnsi" w:hAnsiTheme="minorHAnsi"/>
          <w:snapToGrid w:val="0"/>
          <w:lang w:val="en-GB"/>
        </w:rPr>
        <w:t xml:space="preserve">per </w:t>
      </w:r>
      <w:r w:rsidRPr="00A415B6">
        <w:rPr>
          <w:rFonts w:asciiTheme="minorHAnsi" w:hAnsiTheme="minorHAnsi"/>
          <w:snapToGrid w:val="0"/>
          <w:lang w:val="en-GB"/>
        </w:rPr>
        <w:t>QALY.</w:t>
      </w:r>
      <w:r>
        <w:rPr>
          <w:rFonts w:asciiTheme="minorHAnsi" w:hAnsiTheme="minorHAnsi"/>
          <w:snapToGrid w:val="0"/>
          <w:lang w:val="en-GB"/>
        </w:rPr>
        <w:t xml:space="preserve"> The changes to the economic model were not evaluated as the resubmission was made under the early resubmission pathway.</w:t>
      </w:r>
    </w:p>
    <w:p w14:paraId="18A6D433" w14:textId="77777777" w:rsidR="00E00F4A" w:rsidRPr="00A415B6" w:rsidRDefault="00E00F4A" w:rsidP="00E00F4A">
      <w:pPr>
        <w:pStyle w:val="3-SubsectionHeading"/>
      </w:pPr>
      <w:r w:rsidRPr="00A415B6">
        <w:t>Estimated PBS usage &amp; financial implications</w:t>
      </w:r>
    </w:p>
    <w:p w14:paraId="53276DAF" w14:textId="77777777" w:rsidR="00E00F4A" w:rsidRDefault="00E00F4A" w:rsidP="00E00F4A">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resubmission made a number of changes to the utilisation and financial impact estimates provided in the July 2022 submission.</w:t>
      </w:r>
    </w:p>
    <w:p w14:paraId="2AA7C584" w14:textId="77777777" w:rsidR="00E00F4A" w:rsidRDefault="00E00F4A" w:rsidP="00E00F4A">
      <w:pPr>
        <w:widowControl w:val="0"/>
        <w:numPr>
          <w:ilvl w:val="1"/>
          <w:numId w:val="1"/>
        </w:numPr>
        <w:spacing w:after="120"/>
        <w:ind w:left="720" w:hanging="720"/>
        <w:rPr>
          <w:rFonts w:asciiTheme="minorHAnsi" w:hAnsiTheme="minorHAnsi"/>
          <w:snapToGrid w:val="0"/>
          <w:lang w:val="en-GB"/>
        </w:rPr>
      </w:pPr>
      <w:bookmarkStart w:id="93" w:name="_Ref115167129"/>
      <w:r>
        <w:rPr>
          <w:rFonts w:asciiTheme="minorHAnsi" w:hAnsiTheme="minorHAnsi"/>
          <w:snapToGrid w:val="0"/>
          <w:lang w:val="en-GB"/>
        </w:rPr>
        <w:t>The changes recommended by the PBAC in July 2022 were that the resubmission:</w:t>
      </w:r>
      <w:bookmarkEnd w:id="93"/>
      <w:r>
        <w:rPr>
          <w:rFonts w:asciiTheme="minorHAnsi" w:hAnsiTheme="minorHAnsi"/>
          <w:snapToGrid w:val="0"/>
          <w:lang w:val="en-GB"/>
        </w:rPr>
        <w:t xml:space="preserve"> </w:t>
      </w:r>
    </w:p>
    <w:p w14:paraId="015124DC" w14:textId="77777777" w:rsidR="00E00F4A" w:rsidRPr="001E31F0" w:rsidRDefault="00E00F4A" w:rsidP="00A2582A">
      <w:pPr>
        <w:pStyle w:val="ListParagraph"/>
        <w:widowControl w:val="0"/>
        <w:numPr>
          <w:ilvl w:val="0"/>
          <w:numId w:val="27"/>
        </w:numPr>
        <w:spacing w:after="120"/>
        <w:ind w:left="1077" w:hanging="357"/>
        <w:contextualSpacing w:val="0"/>
        <w:rPr>
          <w:rFonts w:asciiTheme="minorHAnsi" w:hAnsiTheme="minorHAnsi"/>
          <w:snapToGrid w:val="0"/>
          <w:lang w:val="en-GB"/>
        </w:rPr>
      </w:pPr>
      <w:r>
        <w:rPr>
          <w:rFonts w:asciiTheme="minorHAnsi" w:hAnsiTheme="minorHAnsi"/>
          <w:snapToGrid w:val="0"/>
          <w:lang w:val="en-GB"/>
        </w:rPr>
        <w:t>included</w:t>
      </w:r>
      <w:r w:rsidRPr="001E31F0">
        <w:rPr>
          <w:rFonts w:asciiTheme="minorHAnsi" w:hAnsiTheme="minorHAnsi"/>
          <w:snapToGrid w:val="0"/>
          <w:lang w:val="en-GB"/>
        </w:rPr>
        <w:t xml:space="preserve"> patients under the age of 12</w:t>
      </w:r>
      <w:r>
        <w:rPr>
          <w:rFonts w:asciiTheme="minorHAnsi" w:hAnsiTheme="minorHAnsi"/>
          <w:snapToGrid w:val="0"/>
          <w:lang w:val="en-GB"/>
        </w:rPr>
        <w:t xml:space="preserve"> (paragraph 7.29)</w:t>
      </w:r>
      <w:r w:rsidRPr="001E31F0">
        <w:rPr>
          <w:rFonts w:asciiTheme="minorHAnsi" w:hAnsiTheme="minorHAnsi"/>
          <w:snapToGrid w:val="0"/>
          <w:lang w:val="en-GB"/>
        </w:rPr>
        <w:t xml:space="preserve">, and </w:t>
      </w:r>
    </w:p>
    <w:p w14:paraId="20FFBF7A" w14:textId="77777777" w:rsidR="00E00F4A" w:rsidRPr="001E31F0" w:rsidRDefault="00E00F4A" w:rsidP="00A2582A">
      <w:pPr>
        <w:pStyle w:val="ListParagraph"/>
        <w:widowControl w:val="0"/>
        <w:numPr>
          <w:ilvl w:val="0"/>
          <w:numId w:val="27"/>
        </w:numPr>
        <w:spacing w:after="120"/>
        <w:ind w:left="1077" w:hanging="357"/>
        <w:contextualSpacing w:val="0"/>
        <w:rPr>
          <w:rFonts w:asciiTheme="minorHAnsi" w:hAnsiTheme="minorHAnsi"/>
          <w:snapToGrid w:val="0"/>
          <w:lang w:val="en-GB"/>
        </w:rPr>
      </w:pPr>
      <w:r>
        <w:rPr>
          <w:rFonts w:asciiTheme="minorHAnsi" w:hAnsiTheme="minorHAnsi"/>
          <w:snapToGrid w:val="0"/>
          <w:lang w:val="en-GB"/>
        </w:rPr>
        <w:t>reduced</w:t>
      </w:r>
      <w:r w:rsidRPr="001E31F0">
        <w:rPr>
          <w:rFonts w:asciiTheme="minorHAnsi" w:hAnsiTheme="minorHAnsi"/>
          <w:snapToGrid w:val="0"/>
          <w:lang w:val="en-GB"/>
        </w:rPr>
        <w:t xml:space="preserve"> the proportion of incident patients assumed to be steroid refractory/dependent/intolerant from 60% (as applied in the pre-PBAC response) to 22.2% (as originally proposed in the July 2022 submission</w:t>
      </w:r>
      <w:r>
        <w:rPr>
          <w:rFonts w:asciiTheme="minorHAnsi" w:hAnsiTheme="minorHAnsi"/>
          <w:snapToGrid w:val="0"/>
          <w:lang w:val="en-GB"/>
        </w:rPr>
        <w:t>; paragraph 7.27)</w:t>
      </w:r>
      <w:r w:rsidRPr="001E31F0">
        <w:rPr>
          <w:rFonts w:asciiTheme="minorHAnsi" w:hAnsiTheme="minorHAnsi"/>
          <w:snapToGrid w:val="0"/>
          <w:lang w:val="en-GB"/>
        </w:rPr>
        <w:t>.</w:t>
      </w:r>
    </w:p>
    <w:p w14:paraId="0E615D9A" w14:textId="77777777" w:rsidR="00E00F4A" w:rsidRDefault="00E00F4A" w:rsidP="00E00F4A">
      <w:pPr>
        <w:widowControl w:val="0"/>
        <w:numPr>
          <w:ilvl w:val="1"/>
          <w:numId w:val="1"/>
        </w:numPr>
        <w:spacing w:after="120"/>
        <w:ind w:left="720" w:hanging="720"/>
        <w:rPr>
          <w:rFonts w:asciiTheme="minorHAnsi" w:hAnsiTheme="minorHAnsi"/>
          <w:snapToGrid w:val="0"/>
          <w:lang w:val="en-GB"/>
        </w:rPr>
      </w:pPr>
      <w:bookmarkStart w:id="94" w:name="_Ref115167157"/>
      <w:r>
        <w:rPr>
          <w:rFonts w:asciiTheme="minorHAnsi" w:hAnsiTheme="minorHAnsi"/>
          <w:snapToGrid w:val="0"/>
          <w:lang w:val="en-GB"/>
        </w:rPr>
        <w:t>Changes made in the resubmission which were not recommended by the PBAC in July 2022 were:</w:t>
      </w:r>
      <w:bookmarkEnd w:id="94"/>
    </w:p>
    <w:p w14:paraId="4850975A" w14:textId="77777777" w:rsidR="00E00F4A" w:rsidRPr="00B12EFB" w:rsidRDefault="00E00F4A" w:rsidP="00A2582A">
      <w:pPr>
        <w:widowControl w:val="0"/>
        <w:numPr>
          <w:ilvl w:val="1"/>
          <w:numId w:val="28"/>
        </w:numPr>
        <w:spacing w:after="120"/>
        <w:ind w:left="1077" w:hanging="357"/>
        <w:rPr>
          <w:rFonts w:asciiTheme="minorHAnsi" w:hAnsiTheme="minorHAnsi"/>
          <w:snapToGrid w:val="0"/>
          <w:lang w:val="en-GB"/>
        </w:rPr>
      </w:pPr>
      <w:r>
        <w:rPr>
          <w:rFonts w:asciiTheme="minorHAnsi" w:hAnsiTheme="minorHAnsi"/>
          <w:snapToGrid w:val="0"/>
          <w:lang w:val="en-GB"/>
        </w:rPr>
        <w:t>the proportion of prevalent patients with moderate and severe cGVHD who were assumed to be steroid refractory/</w:t>
      </w:r>
      <w:r w:rsidRPr="00B12EFB">
        <w:rPr>
          <w:rFonts w:asciiTheme="minorHAnsi" w:hAnsiTheme="minorHAnsi"/>
          <w:snapToGrid w:val="0"/>
          <w:lang w:val="en-GB"/>
        </w:rPr>
        <w:t>dependent/intolerant was changed to 40%</w:t>
      </w:r>
      <w:r>
        <w:rPr>
          <w:rFonts w:asciiTheme="minorHAnsi" w:hAnsiTheme="minorHAnsi"/>
          <w:snapToGrid w:val="0"/>
          <w:lang w:val="en-GB"/>
        </w:rPr>
        <w:t>.</w:t>
      </w:r>
      <w:r w:rsidRPr="00B12EFB">
        <w:rPr>
          <w:rFonts w:asciiTheme="minorHAnsi" w:hAnsiTheme="minorHAnsi"/>
          <w:snapToGrid w:val="0"/>
          <w:lang w:val="en-GB"/>
        </w:rPr>
        <w:t xml:space="preserve"> The resubmission stated that the proportion of prevalent patients who were steroid refractory/dependent/intolerant has reduced due to advancements in HSCT techniques and in prophylaxis methodology;</w:t>
      </w:r>
    </w:p>
    <w:p w14:paraId="56CB34F1" w14:textId="77777777" w:rsidR="00E00F4A" w:rsidRDefault="00E00F4A" w:rsidP="00A2582A">
      <w:pPr>
        <w:widowControl w:val="0"/>
        <w:numPr>
          <w:ilvl w:val="1"/>
          <w:numId w:val="28"/>
        </w:numPr>
        <w:spacing w:after="120"/>
        <w:ind w:left="1077" w:hanging="357"/>
        <w:rPr>
          <w:rFonts w:asciiTheme="minorHAnsi" w:hAnsiTheme="minorHAnsi"/>
          <w:snapToGrid w:val="0"/>
          <w:lang w:val="en-GB"/>
        </w:rPr>
      </w:pPr>
      <w:r>
        <w:rPr>
          <w:rFonts w:asciiTheme="minorHAnsi" w:hAnsiTheme="minorHAnsi"/>
          <w:snapToGrid w:val="0"/>
          <w:lang w:val="en-GB"/>
        </w:rPr>
        <w:t>the proportion of HSCT survivors was increased from 55% (in the July 2022 submission) to 58% to match the survival rate of all patients (i.e. to include patients less than 16 years);</w:t>
      </w:r>
    </w:p>
    <w:p w14:paraId="4CBAF098" w14:textId="77777777" w:rsidR="00E00F4A" w:rsidRDefault="00E00F4A" w:rsidP="00A2582A">
      <w:pPr>
        <w:widowControl w:val="0"/>
        <w:numPr>
          <w:ilvl w:val="1"/>
          <w:numId w:val="28"/>
        </w:numPr>
        <w:spacing w:after="120"/>
        <w:ind w:left="1077" w:hanging="357"/>
        <w:rPr>
          <w:rFonts w:asciiTheme="minorHAnsi" w:hAnsiTheme="minorHAnsi"/>
          <w:snapToGrid w:val="0"/>
          <w:lang w:val="en-GB"/>
        </w:rPr>
      </w:pPr>
      <w:r>
        <w:rPr>
          <w:rFonts w:asciiTheme="minorHAnsi" w:hAnsiTheme="minorHAnsi"/>
          <w:snapToGrid w:val="0"/>
          <w:lang w:val="en-GB"/>
        </w:rPr>
        <w:t>the commencement of treatment for the prevalent pool of patients was spread over the first 4 years of listing rather than all prevalent patients commencing in Year 1; and</w:t>
      </w:r>
    </w:p>
    <w:p w14:paraId="3AACD867" w14:textId="77777777" w:rsidR="00E00F4A" w:rsidRDefault="00E00F4A" w:rsidP="00A2582A">
      <w:pPr>
        <w:widowControl w:val="0"/>
        <w:numPr>
          <w:ilvl w:val="1"/>
          <w:numId w:val="28"/>
        </w:numPr>
        <w:spacing w:after="120"/>
        <w:ind w:left="1077" w:hanging="357"/>
        <w:rPr>
          <w:rFonts w:asciiTheme="minorHAnsi" w:hAnsiTheme="minorHAnsi"/>
          <w:snapToGrid w:val="0"/>
          <w:lang w:val="en-GB"/>
        </w:rPr>
      </w:pPr>
      <w:r>
        <w:rPr>
          <w:rFonts w:asciiTheme="minorHAnsi" w:hAnsiTheme="minorHAnsi"/>
          <w:snapToGrid w:val="0"/>
          <w:lang w:val="en-GB"/>
        </w:rPr>
        <w:t>the uptake rate was increased from 90% to 100%. The resubmission argued that ruxolitinib is the only oral treatment indicated for the treatment of steroid refractory/dependent/intolerant cGVHD.</w:t>
      </w:r>
    </w:p>
    <w:p w14:paraId="13F6B173" w14:textId="77777777" w:rsidR="00E00F4A" w:rsidRDefault="00E00F4A" w:rsidP="00E00F4A">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estimated use and financial implications from the resubmission are presented below.</w:t>
      </w:r>
    </w:p>
    <w:p w14:paraId="7A024DEF" w14:textId="77777777" w:rsidR="00E00F4A" w:rsidRPr="00CE6785" w:rsidRDefault="00E00F4A" w:rsidP="00E00F4A">
      <w:pPr>
        <w:pStyle w:val="Tableheadingrow"/>
        <w:rPr>
          <w:bCs/>
          <w:szCs w:val="20"/>
        </w:rPr>
      </w:pPr>
      <w:r w:rsidRPr="000617C0">
        <w:rPr>
          <w:rStyle w:val="TableHeadingChar"/>
          <w:b/>
          <w:bCs/>
        </w:rPr>
        <w:t xml:space="preserve">Table </w:t>
      </w:r>
      <w:r w:rsidRPr="000617C0">
        <w:rPr>
          <w:rStyle w:val="TableHeadingChar"/>
          <w:b/>
          <w:bCs/>
        </w:rPr>
        <w:fldChar w:fldCharType="begin" w:fldLock="1"/>
      </w:r>
      <w:r w:rsidRPr="000617C0">
        <w:rPr>
          <w:rStyle w:val="TableHeadingChar"/>
          <w:b/>
          <w:bCs/>
        </w:rPr>
        <w:instrText xml:space="preserve"> SEQ Table \* ARABIC </w:instrText>
      </w:r>
      <w:r w:rsidRPr="000617C0">
        <w:rPr>
          <w:rStyle w:val="TableHeadingChar"/>
          <w:b/>
          <w:bCs/>
        </w:rPr>
        <w:fldChar w:fldCharType="separate"/>
      </w:r>
      <w:r w:rsidRPr="000617C0">
        <w:rPr>
          <w:rStyle w:val="TableHeadingChar"/>
          <w:b/>
          <w:bCs/>
        </w:rPr>
        <w:t>26</w:t>
      </w:r>
      <w:r w:rsidRPr="000617C0">
        <w:rPr>
          <w:rStyle w:val="TableHeadingChar"/>
          <w:b/>
          <w:bCs/>
        </w:rPr>
        <w:fldChar w:fldCharType="end"/>
      </w:r>
      <w:r w:rsidRPr="00D90DE1">
        <w:rPr>
          <w:rStyle w:val="TableHeadingChar"/>
          <w:b/>
          <w:bCs/>
        </w:rPr>
        <w:t>:</w:t>
      </w:r>
      <w:r>
        <w:rPr>
          <w:bCs/>
          <w:szCs w:val="20"/>
        </w:rPr>
        <w:t xml:space="preserve"> </w:t>
      </w:r>
      <w:r w:rsidRPr="00CE6785">
        <w:rPr>
          <w:bCs/>
          <w:szCs w:val="20"/>
        </w:rPr>
        <w:t>Estimated use and financial implications for cGVHD</w:t>
      </w:r>
    </w:p>
    <w:tbl>
      <w:tblPr>
        <w:tblStyle w:val="Tabellengitternetz9pt1"/>
        <w:tblW w:w="5000" w:type="pct"/>
        <w:tblInd w:w="0" w:type="dxa"/>
        <w:tblLook w:val="04A0" w:firstRow="1" w:lastRow="0" w:firstColumn="1" w:lastColumn="0" w:noHBand="0" w:noVBand="1"/>
      </w:tblPr>
      <w:tblGrid>
        <w:gridCol w:w="3093"/>
        <w:gridCol w:w="1064"/>
        <w:gridCol w:w="972"/>
        <w:gridCol w:w="972"/>
        <w:gridCol w:w="972"/>
        <w:gridCol w:w="972"/>
        <w:gridCol w:w="972"/>
      </w:tblGrid>
      <w:tr w:rsidR="00E00F4A" w:rsidRPr="00CE6785" w14:paraId="49AFD9E6" w14:textId="77777777" w:rsidTr="00EC502C">
        <w:trPr>
          <w:trHeight w:val="143"/>
          <w:tblHeader/>
        </w:trPr>
        <w:tc>
          <w:tcPr>
            <w:tcW w:w="1715" w:type="pct"/>
            <w:tcBorders>
              <w:top w:val="single" w:sz="4" w:space="0" w:color="auto"/>
              <w:left w:val="single" w:sz="4" w:space="0" w:color="auto"/>
              <w:bottom w:val="single" w:sz="4" w:space="0" w:color="auto"/>
              <w:right w:val="single" w:sz="4" w:space="0" w:color="auto"/>
            </w:tcBorders>
            <w:vAlign w:val="center"/>
          </w:tcPr>
          <w:p w14:paraId="4574BCC4" w14:textId="77777777" w:rsidR="00E00F4A" w:rsidRPr="00CE6785" w:rsidRDefault="00E00F4A" w:rsidP="00EC502C">
            <w:pPr>
              <w:keepNext/>
              <w:keepLines/>
              <w:tabs>
                <w:tab w:val="right" w:pos="3513"/>
              </w:tabs>
              <w:ind w:right="-68"/>
              <w:rPr>
                <w:rFonts w:ascii="Arial Narrow" w:hAnsi="Arial Narrow" w:cs="Times New Roman"/>
                <w:sz w:val="20"/>
                <w:szCs w:val="20"/>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2A7A7742" w14:textId="77777777" w:rsidR="00E00F4A" w:rsidRPr="00CE6785" w:rsidRDefault="00E00F4A" w:rsidP="00EC502C">
            <w:pPr>
              <w:keepNext/>
              <w:keepLines/>
              <w:jc w:val="center"/>
              <w:rPr>
                <w:rFonts w:ascii="Arial Narrow" w:hAnsi="Arial Narrow" w:cs="Times New Roman"/>
                <w:b/>
                <w:bCs/>
                <w:sz w:val="20"/>
                <w:szCs w:val="20"/>
              </w:rPr>
            </w:pPr>
            <w:r w:rsidRPr="00CE6785">
              <w:rPr>
                <w:rFonts w:ascii="Arial Narrow" w:hAnsi="Arial Narrow" w:cs="Times New Roman"/>
                <w:b/>
                <w:bCs/>
                <w:sz w:val="20"/>
                <w:szCs w:val="20"/>
              </w:rPr>
              <w:t>Year 1</w:t>
            </w:r>
          </w:p>
        </w:tc>
        <w:tc>
          <w:tcPr>
            <w:tcW w:w="539" w:type="pct"/>
            <w:tcBorders>
              <w:top w:val="single" w:sz="4" w:space="0" w:color="auto"/>
              <w:left w:val="single" w:sz="4" w:space="0" w:color="auto"/>
              <w:bottom w:val="single" w:sz="4" w:space="0" w:color="auto"/>
              <w:right w:val="single" w:sz="4" w:space="0" w:color="auto"/>
            </w:tcBorders>
            <w:vAlign w:val="center"/>
            <w:hideMark/>
          </w:tcPr>
          <w:p w14:paraId="373DE077" w14:textId="77777777" w:rsidR="00E00F4A" w:rsidRPr="00CE6785" w:rsidRDefault="00E00F4A" w:rsidP="00EC502C">
            <w:pPr>
              <w:keepNext/>
              <w:keepLines/>
              <w:jc w:val="center"/>
              <w:rPr>
                <w:rFonts w:ascii="Arial Narrow" w:hAnsi="Arial Narrow" w:cs="Times New Roman"/>
                <w:b/>
                <w:bCs/>
                <w:sz w:val="20"/>
                <w:szCs w:val="20"/>
              </w:rPr>
            </w:pPr>
            <w:r w:rsidRPr="00CE6785">
              <w:rPr>
                <w:rFonts w:ascii="Arial Narrow" w:hAnsi="Arial Narrow" w:cs="Times New Roman"/>
                <w:b/>
                <w:bCs/>
                <w:sz w:val="20"/>
                <w:szCs w:val="20"/>
              </w:rPr>
              <w:t>Year 2</w:t>
            </w:r>
          </w:p>
        </w:tc>
        <w:tc>
          <w:tcPr>
            <w:tcW w:w="539" w:type="pct"/>
            <w:tcBorders>
              <w:top w:val="single" w:sz="4" w:space="0" w:color="auto"/>
              <w:left w:val="single" w:sz="4" w:space="0" w:color="auto"/>
              <w:bottom w:val="single" w:sz="4" w:space="0" w:color="auto"/>
              <w:right w:val="single" w:sz="4" w:space="0" w:color="auto"/>
            </w:tcBorders>
            <w:vAlign w:val="center"/>
            <w:hideMark/>
          </w:tcPr>
          <w:p w14:paraId="5BD905A1" w14:textId="77777777" w:rsidR="00E00F4A" w:rsidRPr="00CE6785" w:rsidRDefault="00E00F4A" w:rsidP="00EC502C">
            <w:pPr>
              <w:keepNext/>
              <w:keepLines/>
              <w:jc w:val="center"/>
              <w:rPr>
                <w:rFonts w:ascii="Arial Narrow" w:hAnsi="Arial Narrow" w:cs="Times New Roman"/>
                <w:b/>
                <w:bCs/>
                <w:sz w:val="20"/>
                <w:szCs w:val="20"/>
              </w:rPr>
            </w:pPr>
            <w:r w:rsidRPr="00CE6785">
              <w:rPr>
                <w:rFonts w:ascii="Arial Narrow" w:hAnsi="Arial Narrow" w:cs="Times New Roman"/>
                <w:b/>
                <w:bCs/>
                <w:sz w:val="20"/>
                <w:szCs w:val="20"/>
              </w:rPr>
              <w:t>Year 3</w:t>
            </w:r>
          </w:p>
        </w:tc>
        <w:tc>
          <w:tcPr>
            <w:tcW w:w="539" w:type="pct"/>
            <w:tcBorders>
              <w:top w:val="single" w:sz="4" w:space="0" w:color="auto"/>
              <w:left w:val="single" w:sz="4" w:space="0" w:color="auto"/>
              <w:bottom w:val="single" w:sz="4" w:space="0" w:color="auto"/>
              <w:right w:val="single" w:sz="4" w:space="0" w:color="auto"/>
            </w:tcBorders>
            <w:vAlign w:val="center"/>
            <w:hideMark/>
          </w:tcPr>
          <w:p w14:paraId="2FB9C782" w14:textId="77777777" w:rsidR="00E00F4A" w:rsidRPr="00CE6785" w:rsidRDefault="00E00F4A" w:rsidP="00EC502C">
            <w:pPr>
              <w:keepNext/>
              <w:keepLines/>
              <w:jc w:val="center"/>
              <w:rPr>
                <w:rFonts w:ascii="Arial Narrow" w:hAnsi="Arial Narrow" w:cs="Times New Roman"/>
                <w:b/>
                <w:bCs/>
                <w:sz w:val="20"/>
                <w:szCs w:val="20"/>
              </w:rPr>
            </w:pPr>
            <w:r w:rsidRPr="00CE6785">
              <w:rPr>
                <w:rFonts w:ascii="Arial Narrow" w:hAnsi="Arial Narrow" w:cs="Times New Roman"/>
                <w:b/>
                <w:bCs/>
                <w:sz w:val="20"/>
                <w:szCs w:val="20"/>
              </w:rPr>
              <w:t>Year 4</w:t>
            </w:r>
          </w:p>
        </w:tc>
        <w:tc>
          <w:tcPr>
            <w:tcW w:w="539" w:type="pct"/>
            <w:tcBorders>
              <w:top w:val="single" w:sz="4" w:space="0" w:color="auto"/>
              <w:left w:val="single" w:sz="4" w:space="0" w:color="auto"/>
              <w:bottom w:val="single" w:sz="4" w:space="0" w:color="auto"/>
              <w:right w:val="single" w:sz="4" w:space="0" w:color="auto"/>
            </w:tcBorders>
            <w:vAlign w:val="center"/>
            <w:hideMark/>
          </w:tcPr>
          <w:p w14:paraId="05278DC9" w14:textId="77777777" w:rsidR="00E00F4A" w:rsidRPr="00CE6785" w:rsidRDefault="00E00F4A" w:rsidP="00EC502C">
            <w:pPr>
              <w:keepNext/>
              <w:keepLines/>
              <w:jc w:val="center"/>
              <w:rPr>
                <w:rFonts w:ascii="Arial Narrow" w:hAnsi="Arial Narrow" w:cs="Times New Roman"/>
                <w:b/>
                <w:bCs/>
                <w:sz w:val="20"/>
                <w:szCs w:val="20"/>
              </w:rPr>
            </w:pPr>
            <w:r w:rsidRPr="00CE6785">
              <w:rPr>
                <w:rFonts w:ascii="Arial Narrow" w:hAnsi="Arial Narrow" w:cs="Times New Roman"/>
                <w:b/>
                <w:bCs/>
                <w:sz w:val="20"/>
                <w:szCs w:val="20"/>
              </w:rPr>
              <w:t>Year 5</w:t>
            </w:r>
          </w:p>
        </w:tc>
        <w:tc>
          <w:tcPr>
            <w:tcW w:w="539" w:type="pct"/>
            <w:tcBorders>
              <w:top w:val="single" w:sz="4" w:space="0" w:color="auto"/>
              <w:left w:val="single" w:sz="4" w:space="0" w:color="auto"/>
              <w:bottom w:val="single" w:sz="4" w:space="0" w:color="auto"/>
              <w:right w:val="single" w:sz="4" w:space="0" w:color="auto"/>
            </w:tcBorders>
            <w:vAlign w:val="center"/>
            <w:hideMark/>
          </w:tcPr>
          <w:p w14:paraId="59771D67" w14:textId="77777777" w:rsidR="00E00F4A" w:rsidRPr="00CE6785" w:rsidRDefault="00E00F4A" w:rsidP="00EC502C">
            <w:pPr>
              <w:keepNext/>
              <w:keepLines/>
              <w:jc w:val="center"/>
              <w:rPr>
                <w:rFonts w:ascii="Arial Narrow" w:hAnsi="Arial Narrow" w:cs="Times New Roman"/>
                <w:b/>
                <w:bCs/>
                <w:sz w:val="20"/>
                <w:szCs w:val="20"/>
              </w:rPr>
            </w:pPr>
            <w:r w:rsidRPr="00CE6785">
              <w:rPr>
                <w:rFonts w:ascii="Arial Narrow" w:hAnsi="Arial Narrow" w:cs="Times New Roman"/>
                <w:b/>
                <w:bCs/>
                <w:sz w:val="20"/>
                <w:szCs w:val="20"/>
              </w:rPr>
              <w:t>Year 6</w:t>
            </w:r>
          </w:p>
        </w:tc>
      </w:tr>
      <w:tr w:rsidR="00E00F4A" w:rsidRPr="00CE6785" w14:paraId="18678D8B" w14:textId="77777777" w:rsidTr="00EC502C">
        <w:tc>
          <w:tcPr>
            <w:tcW w:w="5000"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7A473274" w14:textId="77777777" w:rsidR="00E00F4A" w:rsidRPr="00CE6785" w:rsidRDefault="00E00F4A" w:rsidP="00EC502C">
            <w:pPr>
              <w:keepNext/>
              <w:keepLines/>
              <w:ind w:left="-65" w:right="-82"/>
              <w:jc w:val="left"/>
              <w:rPr>
                <w:rFonts w:ascii="Arial Narrow" w:hAnsi="Arial Narrow"/>
                <w:b/>
                <w:color w:val="000000"/>
                <w:sz w:val="20"/>
                <w:szCs w:val="20"/>
              </w:rPr>
            </w:pPr>
            <w:r w:rsidRPr="00CE6785">
              <w:rPr>
                <w:rFonts w:ascii="Arial Narrow" w:hAnsi="Arial Narrow"/>
                <w:b/>
                <w:color w:val="000000"/>
                <w:sz w:val="20"/>
                <w:szCs w:val="20"/>
              </w:rPr>
              <w:t xml:space="preserve">Early resolution resubmission </w:t>
            </w:r>
          </w:p>
        </w:tc>
      </w:tr>
      <w:tr w:rsidR="00E00F4A" w:rsidRPr="00CE6785" w14:paraId="690A5174"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FFFFFF"/>
            <w:hideMark/>
          </w:tcPr>
          <w:p w14:paraId="57ADDBA5"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Calibri"/>
                <w:bCs/>
                <w:sz w:val="20"/>
                <w:szCs w:val="20"/>
              </w:rPr>
              <w:t>Total scripts</w:t>
            </w: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D03417" w14:textId="46AB454A" w:rsidR="00E00F4A" w:rsidRPr="00CE6785" w:rsidRDefault="00D46576" w:rsidP="00EC502C">
            <w:pPr>
              <w:keepNext/>
              <w:keepLines/>
              <w:ind w:left="-65" w:right="-82"/>
              <w:jc w:val="center"/>
              <w:rPr>
                <w:rFonts w:ascii="Arial Narrow" w:hAnsi="Arial Narrow" w:cs="Calibri"/>
                <w:bCs/>
                <w:sz w:val="20"/>
                <w:szCs w:val="20"/>
              </w:rPr>
            </w:pPr>
            <w:r w:rsidRPr="00D46576">
              <w:rPr>
                <w:rFonts w:ascii="Arial Narrow" w:hAnsi="Arial Narrow"/>
                <w:bCs/>
                <w:color w:val="000000"/>
                <w:spacing w:val="34"/>
                <w:sz w:val="20"/>
                <w:szCs w:val="20"/>
                <w:shd w:val="solid" w:color="000000" w:fill="000000"/>
                <w:fitText w:val="430" w:id="-1404819954"/>
                <w14:textFill>
                  <w14:solidFill>
                    <w14:srgbClr w14:val="000000">
                      <w14:alpha w14:val="100000"/>
                    </w14:srgbClr>
                  </w14:solidFill>
                </w14:textFill>
              </w:rPr>
              <w:t>|||||</w:t>
            </w:r>
            <w:r w:rsidRPr="00D46576">
              <w:rPr>
                <w:rFonts w:ascii="Arial Narrow" w:hAnsi="Arial Narrow"/>
                <w:bCs/>
                <w:color w:val="000000"/>
                <w:spacing w:val="5"/>
                <w:sz w:val="20"/>
                <w:szCs w:val="20"/>
                <w:shd w:val="solid" w:color="000000" w:fill="000000"/>
                <w:fitText w:val="430" w:id="-1404819954"/>
                <w14:textFill>
                  <w14:solidFill>
                    <w14:srgbClr w14:val="000000">
                      <w14:alpha w14:val="100000"/>
                    </w14:srgbClr>
                  </w14:solidFill>
                </w14:textFill>
              </w:rPr>
              <w:t>|</w:t>
            </w:r>
            <w:r w:rsidR="004A5550">
              <w:rPr>
                <w:rFonts w:ascii="Arial Narrow" w:hAnsi="Arial Narrow"/>
                <w:bCs/>
                <w:sz w:val="20"/>
                <w:szCs w:val="20"/>
                <w:vertAlign w:val="superscript"/>
              </w:rPr>
              <w:t>1</w:t>
            </w:r>
            <w:r w:rsidR="00E00F4A" w:rsidRPr="00CE6785">
              <w:rPr>
                <w:rFonts w:ascii="Arial Narrow" w:hAnsi="Arial Narrow"/>
                <w:bCs/>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FFFFFF"/>
            <w:vAlign w:val="center"/>
            <w:hideMark/>
          </w:tcPr>
          <w:p w14:paraId="256B2675" w14:textId="165A2CC4" w:rsidR="00E00F4A" w:rsidRPr="00CE6785" w:rsidRDefault="00D46576" w:rsidP="00EC502C">
            <w:pPr>
              <w:keepNext/>
              <w:keepLines/>
              <w:ind w:left="-65" w:right="-82"/>
              <w:jc w:val="center"/>
              <w:rPr>
                <w:rFonts w:ascii="Arial Narrow" w:hAnsi="Arial Narrow" w:cs="Calibri"/>
                <w:bCs/>
                <w:sz w:val="20"/>
                <w:szCs w:val="20"/>
              </w:rPr>
            </w:pPr>
            <w:r w:rsidRPr="00D46576">
              <w:rPr>
                <w:rFonts w:ascii="Arial Narrow" w:hAnsi="Arial Narrow"/>
                <w:bCs/>
                <w:color w:val="000000"/>
                <w:spacing w:val="44"/>
                <w:sz w:val="20"/>
                <w:szCs w:val="20"/>
                <w:shd w:val="solid" w:color="000000" w:fill="000000"/>
                <w:fitText w:val="480" w:id="-1404819953"/>
                <w14:textFill>
                  <w14:solidFill>
                    <w14:srgbClr w14:val="000000">
                      <w14:alpha w14:val="100000"/>
                    </w14:srgbClr>
                  </w14:solidFill>
                </w14:textFill>
              </w:rPr>
              <w:t>|||||</w:t>
            </w:r>
            <w:r w:rsidRPr="00D46576">
              <w:rPr>
                <w:rFonts w:ascii="Arial Narrow" w:hAnsi="Arial Narrow"/>
                <w:bCs/>
                <w:color w:val="000000"/>
                <w:spacing w:val="5"/>
                <w:sz w:val="20"/>
                <w:szCs w:val="20"/>
                <w:shd w:val="solid" w:color="000000" w:fill="000000"/>
                <w:fitText w:val="480" w:id="-1404819953"/>
                <w14:textFill>
                  <w14:solidFill>
                    <w14:srgbClr w14:val="000000">
                      <w14:alpha w14:val="100000"/>
                    </w14:srgbClr>
                  </w14:solidFill>
                </w14:textFill>
              </w:rPr>
              <w:t>|</w:t>
            </w:r>
            <w:r w:rsidR="004A5550">
              <w:rPr>
                <w:rFonts w:ascii="Arial Narrow" w:hAnsi="Arial Narrow"/>
                <w:bCs/>
                <w:sz w:val="20"/>
                <w:szCs w:val="20"/>
                <w:vertAlign w:val="superscript"/>
              </w:rPr>
              <w:t>1</w:t>
            </w:r>
            <w:r w:rsidR="00E00F4A" w:rsidRPr="00CE6785">
              <w:rPr>
                <w:rFonts w:ascii="Arial Narrow" w:hAnsi="Arial Narrow"/>
                <w:bCs/>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FFFFFF"/>
            <w:vAlign w:val="center"/>
            <w:hideMark/>
          </w:tcPr>
          <w:p w14:paraId="1AAF10A7" w14:textId="141CED9C" w:rsidR="00E00F4A" w:rsidRPr="00CE6785" w:rsidRDefault="00D46576" w:rsidP="00EC502C">
            <w:pPr>
              <w:keepNext/>
              <w:keepLines/>
              <w:ind w:left="-65" w:right="-82"/>
              <w:jc w:val="center"/>
              <w:rPr>
                <w:rFonts w:ascii="Arial Narrow" w:hAnsi="Arial Narrow" w:cs="Calibri"/>
                <w:bCs/>
                <w:sz w:val="20"/>
                <w:szCs w:val="20"/>
              </w:rPr>
            </w:pPr>
            <w:r w:rsidRPr="00D46576">
              <w:rPr>
                <w:rFonts w:ascii="Arial Narrow" w:hAnsi="Arial Narrow"/>
                <w:bCs/>
                <w:color w:val="000000"/>
                <w:spacing w:val="44"/>
                <w:sz w:val="20"/>
                <w:szCs w:val="20"/>
                <w:shd w:val="solid" w:color="000000" w:fill="000000"/>
                <w:fitText w:val="480" w:id="-1404819952"/>
                <w14:textFill>
                  <w14:solidFill>
                    <w14:srgbClr w14:val="000000">
                      <w14:alpha w14:val="100000"/>
                    </w14:srgbClr>
                  </w14:solidFill>
                </w14:textFill>
              </w:rPr>
              <w:t>|||||</w:t>
            </w:r>
            <w:r w:rsidRPr="00D46576">
              <w:rPr>
                <w:rFonts w:ascii="Arial Narrow" w:hAnsi="Arial Narrow"/>
                <w:bCs/>
                <w:color w:val="000000"/>
                <w:spacing w:val="5"/>
                <w:sz w:val="20"/>
                <w:szCs w:val="20"/>
                <w:shd w:val="solid" w:color="000000" w:fill="000000"/>
                <w:fitText w:val="480" w:id="-1404819952"/>
                <w14:textFill>
                  <w14:solidFill>
                    <w14:srgbClr w14:val="000000">
                      <w14:alpha w14:val="100000"/>
                    </w14:srgbClr>
                  </w14:solidFill>
                </w14:textFill>
              </w:rPr>
              <w:t>|</w:t>
            </w:r>
            <w:r w:rsidR="004A5550">
              <w:rPr>
                <w:rFonts w:ascii="Arial Narrow" w:hAnsi="Arial Narrow"/>
                <w:bCs/>
                <w:sz w:val="20"/>
                <w:szCs w:val="20"/>
                <w:vertAlign w:val="superscript"/>
              </w:rPr>
              <w:t>1</w:t>
            </w:r>
            <w:r w:rsidR="00E00F4A" w:rsidRPr="00CE6785">
              <w:rPr>
                <w:rFonts w:ascii="Arial Narrow" w:hAnsi="Arial Narrow"/>
                <w:bCs/>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FFFFFF"/>
            <w:vAlign w:val="center"/>
            <w:hideMark/>
          </w:tcPr>
          <w:p w14:paraId="491E8858" w14:textId="0EA67723" w:rsidR="00E00F4A" w:rsidRPr="00CE6785" w:rsidRDefault="00D46576" w:rsidP="00EC502C">
            <w:pPr>
              <w:keepNext/>
              <w:keepLines/>
              <w:ind w:left="-65" w:right="-82"/>
              <w:jc w:val="center"/>
              <w:rPr>
                <w:rFonts w:ascii="Arial Narrow" w:hAnsi="Arial Narrow" w:cs="Calibri"/>
                <w:bCs/>
                <w:sz w:val="20"/>
                <w:szCs w:val="20"/>
              </w:rPr>
            </w:pPr>
            <w:r w:rsidRPr="00D46576">
              <w:rPr>
                <w:rFonts w:ascii="Arial Narrow" w:hAnsi="Arial Narrow"/>
                <w:bCs/>
                <w:color w:val="000000"/>
                <w:spacing w:val="44"/>
                <w:sz w:val="20"/>
                <w:szCs w:val="20"/>
                <w:shd w:val="solid" w:color="000000" w:fill="000000"/>
                <w:fitText w:val="480" w:id="-1404819968"/>
                <w14:textFill>
                  <w14:solidFill>
                    <w14:srgbClr w14:val="000000">
                      <w14:alpha w14:val="100000"/>
                    </w14:srgbClr>
                  </w14:solidFill>
                </w14:textFill>
              </w:rPr>
              <w:t>|||||</w:t>
            </w:r>
            <w:r w:rsidRPr="00D46576">
              <w:rPr>
                <w:rFonts w:ascii="Arial Narrow" w:hAnsi="Arial Narrow"/>
                <w:bCs/>
                <w:color w:val="000000"/>
                <w:spacing w:val="5"/>
                <w:sz w:val="20"/>
                <w:szCs w:val="20"/>
                <w:shd w:val="solid" w:color="000000" w:fill="000000"/>
                <w:fitText w:val="480" w:id="-1404819968"/>
                <w14:textFill>
                  <w14:solidFill>
                    <w14:srgbClr w14:val="000000">
                      <w14:alpha w14:val="100000"/>
                    </w14:srgbClr>
                  </w14:solidFill>
                </w14:textFill>
              </w:rPr>
              <w:t>|</w:t>
            </w:r>
            <w:r w:rsidR="004A5550">
              <w:rPr>
                <w:rFonts w:ascii="Arial Narrow" w:hAnsi="Arial Narrow"/>
                <w:bCs/>
                <w:sz w:val="20"/>
                <w:szCs w:val="20"/>
                <w:vertAlign w:val="superscript"/>
              </w:rPr>
              <w:t>1</w:t>
            </w:r>
            <w:r w:rsidR="00E00F4A" w:rsidRPr="00CE6785">
              <w:rPr>
                <w:rFonts w:ascii="Arial Narrow" w:hAnsi="Arial Narrow"/>
                <w:bCs/>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FFFFFF"/>
            <w:vAlign w:val="center"/>
            <w:hideMark/>
          </w:tcPr>
          <w:p w14:paraId="33618238" w14:textId="45D5843A" w:rsidR="00E00F4A" w:rsidRPr="00CE6785" w:rsidRDefault="00D46576" w:rsidP="00EC502C">
            <w:pPr>
              <w:keepNext/>
              <w:keepLines/>
              <w:ind w:left="-65" w:right="-82"/>
              <w:jc w:val="center"/>
              <w:rPr>
                <w:rFonts w:ascii="Arial Narrow" w:hAnsi="Arial Narrow" w:cs="Calibri"/>
                <w:bCs/>
                <w:sz w:val="20"/>
                <w:szCs w:val="20"/>
              </w:rPr>
            </w:pPr>
            <w:r w:rsidRPr="00D46576">
              <w:rPr>
                <w:rFonts w:ascii="Arial Narrow" w:hAnsi="Arial Narrow"/>
                <w:bCs/>
                <w:color w:val="000000"/>
                <w:spacing w:val="44"/>
                <w:sz w:val="20"/>
                <w:szCs w:val="20"/>
                <w:shd w:val="solid" w:color="000000" w:fill="000000"/>
                <w:fitText w:val="480" w:id="-1404819967"/>
                <w14:textFill>
                  <w14:solidFill>
                    <w14:srgbClr w14:val="000000">
                      <w14:alpha w14:val="100000"/>
                    </w14:srgbClr>
                  </w14:solidFill>
                </w14:textFill>
              </w:rPr>
              <w:t>|||||</w:t>
            </w:r>
            <w:r w:rsidRPr="00D46576">
              <w:rPr>
                <w:rFonts w:ascii="Arial Narrow" w:hAnsi="Arial Narrow"/>
                <w:bCs/>
                <w:color w:val="000000"/>
                <w:spacing w:val="5"/>
                <w:sz w:val="20"/>
                <w:szCs w:val="20"/>
                <w:shd w:val="solid" w:color="000000" w:fill="000000"/>
                <w:fitText w:val="480" w:id="-1404819967"/>
                <w14:textFill>
                  <w14:solidFill>
                    <w14:srgbClr w14:val="000000">
                      <w14:alpha w14:val="100000"/>
                    </w14:srgbClr>
                  </w14:solidFill>
                </w14:textFill>
              </w:rPr>
              <w:t>|</w:t>
            </w:r>
            <w:r w:rsidR="004A5550">
              <w:rPr>
                <w:rFonts w:ascii="Arial Narrow" w:hAnsi="Arial Narrow"/>
                <w:bCs/>
                <w:sz w:val="20"/>
                <w:szCs w:val="20"/>
                <w:vertAlign w:val="superscript"/>
              </w:rPr>
              <w:t>1</w:t>
            </w:r>
            <w:r w:rsidR="00E00F4A" w:rsidRPr="00CE6785">
              <w:rPr>
                <w:rFonts w:ascii="Arial Narrow" w:hAnsi="Arial Narrow"/>
                <w:bCs/>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FFFFFF"/>
            <w:vAlign w:val="center"/>
            <w:hideMark/>
          </w:tcPr>
          <w:p w14:paraId="3ECD678D" w14:textId="37105109" w:rsidR="00E00F4A" w:rsidRPr="00CE6785" w:rsidRDefault="00D46576" w:rsidP="00EC502C">
            <w:pPr>
              <w:keepNext/>
              <w:keepLines/>
              <w:ind w:left="-65" w:right="-82"/>
              <w:jc w:val="center"/>
              <w:rPr>
                <w:rFonts w:ascii="Arial Narrow" w:hAnsi="Arial Narrow"/>
                <w:bCs/>
                <w:sz w:val="20"/>
                <w:szCs w:val="20"/>
              </w:rPr>
            </w:pPr>
            <w:r w:rsidRPr="00D46576">
              <w:rPr>
                <w:rFonts w:ascii="Arial Narrow" w:hAnsi="Arial Narrow"/>
                <w:bCs/>
                <w:color w:val="000000"/>
                <w:spacing w:val="44"/>
                <w:sz w:val="20"/>
                <w:szCs w:val="20"/>
                <w:shd w:val="solid" w:color="000000" w:fill="000000"/>
                <w:fitText w:val="480" w:id="-1404819966"/>
                <w14:textFill>
                  <w14:solidFill>
                    <w14:srgbClr w14:val="000000">
                      <w14:alpha w14:val="100000"/>
                    </w14:srgbClr>
                  </w14:solidFill>
                </w14:textFill>
              </w:rPr>
              <w:t>|||||</w:t>
            </w:r>
            <w:r w:rsidRPr="00D46576">
              <w:rPr>
                <w:rFonts w:ascii="Arial Narrow" w:hAnsi="Arial Narrow"/>
                <w:bCs/>
                <w:color w:val="000000"/>
                <w:spacing w:val="5"/>
                <w:sz w:val="20"/>
                <w:szCs w:val="20"/>
                <w:shd w:val="solid" w:color="000000" w:fill="000000"/>
                <w:fitText w:val="480" w:id="-1404819966"/>
                <w14:textFill>
                  <w14:solidFill>
                    <w14:srgbClr w14:val="000000">
                      <w14:alpha w14:val="100000"/>
                    </w14:srgbClr>
                  </w14:solidFill>
                </w14:textFill>
              </w:rPr>
              <w:t>|</w:t>
            </w:r>
            <w:r w:rsidR="004A5550">
              <w:rPr>
                <w:rFonts w:ascii="Arial Narrow" w:hAnsi="Arial Narrow"/>
                <w:bCs/>
                <w:sz w:val="20"/>
                <w:szCs w:val="20"/>
                <w:vertAlign w:val="superscript"/>
              </w:rPr>
              <w:t>1</w:t>
            </w:r>
            <w:r w:rsidR="00E00F4A" w:rsidRPr="00CE6785">
              <w:rPr>
                <w:rFonts w:ascii="Arial Narrow" w:hAnsi="Arial Narrow"/>
                <w:bCs/>
                <w:sz w:val="20"/>
                <w:szCs w:val="20"/>
              </w:rPr>
              <w:t xml:space="preserve"> </w:t>
            </w:r>
          </w:p>
        </w:tc>
      </w:tr>
      <w:tr w:rsidR="00E00F4A" w:rsidRPr="00CE6785" w14:paraId="0A187175"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FFFFFF"/>
            <w:hideMark/>
          </w:tcPr>
          <w:p w14:paraId="4BE3C90C"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Times New Roman"/>
                <w:b/>
                <w:sz w:val="20"/>
                <w:szCs w:val="20"/>
              </w:rPr>
              <w:t xml:space="preserve">Total cost of ruxolitinib to the PBS/RPBS </w:t>
            </w:r>
            <w:r>
              <w:rPr>
                <w:rFonts w:ascii="Arial Narrow" w:hAnsi="Arial Narrow" w:cs="Times New Roman"/>
                <w:b/>
                <w:sz w:val="20"/>
                <w:szCs w:val="20"/>
              </w:rPr>
              <w:t>(less copayment)</w:t>
            </w: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A4BF80" w14:textId="02AE9C0E" w:rsidR="00E00F4A" w:rsidRPr="003F065B" w:rsidRDefault="00E00F4A" w:rsidP="00EC502C">
            <w:pPr>
              <w:keepNext/>
              <w:keepLines/>
              <w:ind w:left="-65" w:right="-82"/>
              <w:jc w:val="center"/>
              <w:rPr>
                <w:rFonts w:ascii="Arial Narrow" w:hAnsi="Arial Narrow"/>
                <w:sz w:val="20"/>
                <w:szCs w:val="20"/>
                <w:vertAlign w:val="superscript"/>
              </w:rPr>
            </w:pPr>
            <w:r w:rsidRPr="00CE6785">
              <w:rPr>
                <w:rFonts w:ascii="Arial Narrow" w:hAnsi="Arial Narrow" w:cs="Calibri"/>
                <w:b/>
                <w:bCs/>
                <w:sz w:val="20"/>
                <w:szCs w:val="20"/>
              </w:rPr>
              <w:t>$</w:t>
            </w:r>
            <w:r w:rsidR="00D46576" w:rsidRPr="00D46576">
              <w:rPr>
                <w:rFonts w:ascii="Arial Narrow" w:hAnsi="Arial Narrow" w:cs="Calibri"/>
                <w:b/>
                <w:bCs/>
                <w:color w:val="000000"/>
                <w:spacing w:val="32"/>
                <w:sz w:val="20"/>
                <w:szCs w:val="20"/>
                <w:shd w:val="solid" w:color="000000" w:fill="000000"/>
                <w:fitText w:val="440" w:id="-1404819965"/>
                <w14:textFill>
                  <w14:solidFill>
                    <w14:srgbClr w14:val="000000">
                      <w14:alpha w14:val="100000"/>
                    </w14:srgbClr>
                  </w14:solidFill>
                </w14:textFill>
              </w:rPr>
              <w:t>|||||</w:t>
            </w:r>
            <w:r w:rsidR="00D46576" w:rsidRPr="00D46576">
              <w:rPr>
                <w:rFonts w:ascii="Arial Narrow" w:hAnsi="Arial Narrow" w:cs="Calibri"/>
                <w:b/>
                <w:bCs/>
                <w:color w:val="000000"/>
                <w:spacing w:val="5"/>
                <w:sz w:val="20"/>
                <w:szCs w:val="20"/>
                <w:shd w:val="solid" w:color="000000" w:fill="000000"/>
                <w:fitText w:val="440" w:id="-1404819965"/>
                <w14:textFill>
                  <w14:solidFill>
                    <w14:srgbClr w14:val="000000">
                      <w14:alpha w14:val="100000"/>
                    </w14:srgbClr>
                  </w14:solidFill>
                </w14:textFill>
              </w:rPr>
              <w:t>|</w:t>
            </w:r>
            <w:r w:rsidR="004A5550">
              <w:rPr>
                <w:rFonts w:ascii="Arial Narrow" w:hAnsi="Arial Narrow" w:cs="Calibri"/>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539227" w14:textId="457CFA0B" w:rsidR="00E00F4A" w:rsidRPr="003F065B" w:rsidRDefault="00E00F4A" w:rsidP="00EC502C">
            <w:pPr>
              <w:keepNext/>
              <w:keepLines/>
              <w:ind w:left="-65" w:right="-82"/>
              <w:jc w:val="center"/>
              <w:rPr>
                <w:rFonts w:ascii="Arial Narrow" w:hAnsi="Arial Narrow"/>
                <w:sz w:val="20"/>
                <w:szCs w:val="20"/>
                <w:vertAlign w:val="superscript"/>
              </w:rPr>
            </w:pPr>
            <w:r w:rsidRPr="00CE6785">
              <w:rPr>
                <w:rFonts w:ascii="Arial Narrow" w:hAnsi="Arial Narrow" w:cs="Calibri"/>
                <w:b/>
                <w:bCs/>
                <w:sz w:val="20"/>
                <w:szCs w:val="20"/>
              </w:rPr>
              <w:t>$</w:t>
            </w:r>
            <w:r w:rsidR="00D46576" w:rsidRPr="00D46576">
              <w:rPr>
                <w:rFonts w:ascii="Arial Narrow" w:hAnsi="Arial Narrow" w:cs="Calibri"/>
                <w:b/>
                <w:bCs/>
                <w:color w:val="000000"/>
                <w:spacing w:val="42"/>
                <w:sz w:val="20"/>
                <w:szCs w:val="20"/>
                <w:shd w:val="solid" w:color="000000" w:fill="000000"/>
                <w:fitText w:val="490" w:id="-1404819964"/>
                <w14:textFill>
                  <w14:solidFill>
                    <w14:srgbClr w14:val="000000">
                      <w14:alpha w14:val="100000"/>
                    </w14:srgbClr>
                  </w14:solidFill>
                </w14:textFill>
              </w:rPr>
              <w:t>|||||</w:t>
            </w:r>
            <w:r w:rsidR="00D46576" w:rsidRPr="00D46576">
              <w:rPr>
                <w:rFonts w:ascii="Arial Narrow" w:hAnsi="Arial Narrow" w:cs="Calibri"/>
                <w:b/>
                <w:bCs/>
                <w:color w:val="000000"/>
                <w:spacing w:val="5"/>
                <w:sz w:val="20"/>
                <w:szCs w:val="20"/>
                <w:shd w:val="solid" w:color="000000" w:fill="000000"/>
                <w:fitText w:val="490" w:id="-1404819964"/>
                <w14:textFill>
                  <w14:solidFill>
                    <w14:srgbClr w14:val="000000">
                      <w14:alpha w14:val="100000"/>
                    </w14:srgbClr>
                  </w14:solidFill>
                </w14:textFill>
              </w:rPr>
              <w:t>|</w:t>
            </w:r>
            <w:r w:rsidR="003F065B">
              <w:rPr>
                <w:rFonts w:ascii="Arial Narrow" w:hAnsi="Arial Narrow" w:cs="Calibri"/>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1AB75D" w14:textId="6F5C6D1F" w:rsidR="00E00F4A" w:rsidRPr="003F065B" w:rsidRDefault="00E00F4A" w:rsidP="00EC502C">
            <w:pPr>
              <w:keepNext/>
              <w:keepLines/>
              <w:ind w:left="-65" w:right="-82"/>
              <w:jc w:val="center"/>
              <w:rPr>
                <w:rFonts w:ascii="Arial Narrow" w:hAnsi="Arial Narrow"/>
                <w:sz w:val="20"/>
                <w:szCs w:val="20"/>
                <w:vertAlign w:val="superscript"/>
              </w:rPr>
            </w:pPr>
            <w:r w:rsidRPr="00CE6785">
              <w:rPr>
                <w:rFonts w:ascii="Arial Narrow" w:hAnsi="Arial Narrow" w:cs="Calibri"/>
                <w:b/>
                <w:bCs/>
                <w:sz w:val="20"/>
                <w:szCs w:val="20"/>
              </w:rPr>
              <w:t>$</w:t>
            </w:r>
            <w:r w:rsidR="00D46576" w:rsidRPr="00D46576">
              <w:rPr>
                <w:rFonts w:ascii="Arial Narrow" w:hAnsi="Arial Narrow" w:cs="Calibri"/>
                <w:b/>
                <w:bCs/>
                <w:color w:val="000000"/>
                <w:spacing w:val="42"/>
                <w:sz w:val="20"/>
                <w:szCs w:val="20"/>
                <w:shd w:val="solid" w:color="000000" w:fill="000000"/>
                <w:fitText w:val="490" w:id="-1404819963"/>
                <w14:textFill>
                  <w14:solidFill>
                    <w14:srgbClr w14:val="000000">
                      <w14:alpha w14:val="100000"/>
                    </w14:srgbClr>
                  </w14:solidFill>
                </w14:textFill>
              </w:rPr>
              <w:t>|||||</w:t>
            </w:r>
            <w:r w:rsidR="00D46576" w:rsidRPr="00D46576">
              <w:rPr>
                <w:rFonts w:ascii="Arial Narrow" w:hAnsi="Arial Narrow" w:cs="Calibri"/>
                <w:b/>
                <w:bCs/>
                <w:color w:val="000000"/>
                <w:spacing w:val="5"/>
                <w:sz w:val="20"/>
                <w:szCs w:val="20"/>
                <w:shd w:val="solid" w:color="000000" w:fill="000000"/>
                <w:fitText w:val="490" w:id="-1404819963"/>
                <w14:textFill>
                  <w14:solidFill>
                    <w14:srgbClr w14:val="000000">
                      <w14:alpha w14:val="100000"/>
                    </w14:srgbClr>
                  </w14:solidFill>
                </w14:textFill>
              </w:rPr>
              <w:t>|</w:t>
            </w:r>
            <w:r w:rsidR="003F065B">
              <w:rPr>
                <w:rFonts w:ascii="Arial Narrow" w:hAnsi="Arial Narrow" w:cs="Calibri"/>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F9326A" w14:textId="45177993" w:rsidR="00E00F4A" w:rsidRPr="003F065B" w:rsidRDefault="00E00F4A" w:rsidP="00EC502C">
            <w:pPr>
              <w:keepNext/>
              <w:keepLines/>
              <w:ind w:left="-65" w:right="-82"/>
              <w:jc w:val="center"/>
              <w:rPr>
                <w:rFonts w:ascii="Arial Narrow" w:hAnsi="Arial Narrow"/>
                <w:sz w:val="20"/>
                <w:szCs w:val="20"/>
                <w:vertAlign w:val="superscript"/>
              </w:rPr>
            </w:pPr>
            <w:r w:rsidRPr="00CE6785">
              <w:rPr>
                <w:rFonts w:ascii="Arial Narrow" w:hAnsi="Arial Narrow" w:cs="Calibri"/>
                <w:b/>
                <w:bCs/>
                <w:sz w:val="20"/>
                <w:szCs w:val="20"/>
              </w:rPr>
              <w:t>$</w:t>
            </w:r>
            <w:r w:rsidR="00D46576" w:rsidRPr="00D46576">
              <w:rPr>
                <w:rFonts w:ascii="Arial Narrow" w:hAnsi="Arial Narrow" w:cs="Calibri"/>
                <w:b/>
                <w:bCs/>
                <w:color w:val="000000"/>
                <w:spacing w:val="42"/>
                <w:sz w:val="20"/>
                <w:szCs w:val="20"/>
                <w:shd w:val="solid" w:color="000000" w:fill="000000"/>
                <w:fitText w:val="490" w:id="-1404819712"/>
                <w14:textFill>
                  <w14:solidFill>
                    <w14:srgbClr w14:val="000000">
                      <w14:alpha w14:val="100000"/>
                    </w14:srgbClr>
                  </w14:solidFill>
                </w14:textFill>
              </w:rPr>
              <w:t>|||||</w:t>
            </w:r>
            <w:r w:rsidR="00D46576" w:rsidRPr="00D46576">
              <w:rPr>
                <w:rFonts w:ascii="Arial Narrow" w:hAnsi="Arial Narrow" w:cs="Calibri"/>
                <w:b/>
                <w:bCs/>
                <w:color w:val="000000"/>
                <w:spacing w:val="5"/>
                <w:sz w:val="20"/>
                <w:szCs w:val="20"/>
                <w:shd w:val="solid" w:color="000000" w:fill="000000"/>
                <w:fitText w:val="490" w:id="-1404819712"/>
                <w14:textFill>
                  <w14:solidFill>
                    <w14:srgbClr w14:val="000000">
                      <w14:alpha w14:val="100000"/>
                    </w14:srgbClr>
                  </w14:solidFill>
                </w14:textFill>
              </w:rPr>
              <w:t>|</w:t>
            </w:r>
            <w:r w:rsidR="003F065B">
              <w:rPr>
                <w:rFonts w:ascii="Arial Narrow" w:hAnsi="Arial Narrow" w:cs="Calibri"/>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0FFF39" w14:textId="19DD9B4D" w:rsidR="00E00F4A" w:rsidRPr="003F065B" w:rsidRDefault="00E00F4A" w:rsidP="00EC502C">
            <w:pPr>
              <w:keepNext/>
              <w:keepLines/>
              <w:ind w:left="-65" w:right="-82"/>
              <w:jc w:val="center"/>
              <w:rPr>
                <w:rFonts w:ascii="Arial Narrow" w:hAnsi="Arial Narrow"/>
                <w:sz w:val="20"/>
                <w:szCs w:val="20"/>
                <w:vertAlign w:val="superscript"/>
              </w:rPr>
            </w:pPr>
            <w:r w:rsidRPr="00CE6785">
              <w:rPr>
                <w:rFonts w:ascii="Arial Narrow" w:hAnsi="Arial Narrow" w:cs="Calibri"/>
                <w:b/>
                <w:bCs/>
                <w:sz w:val="20"/>
                <w:szCs w:val="20"/>
              </w:rPr>
              <w:t>$</w:t>
            </w:r>
            <w:r w:rsidR="00D46576" w:rsidRPr="00D46576">
              <w:rPr>
                <w:rFonts w:ascii="Arial Narrow" w:hAnsi="Arial Narrow" w:cs="Calibri"/>
                <w:b/>
                <w:bCs/>
                <w:color w:val="000000"/>
                <w:spacing w:val="42"/>
                <w:sz w:val="20"/>
                <w:szCs w:val="20"/>
                <w:shd w:val="solid" w:color="000000" w:fill="000000"/>
                <w:fitText w:val="490" w:id="-1404819711"/>
                <w14:textFill>
                  <w14:solidFill>
                    <w14:srgbClr w14:val="000000">
                      <w14:alpha w14:val="100000"/>
                    </w14:srgbClr>
                  </w14:solidFill>
                </w14:textFill>
              </w:rPr>
              <w:t>|||||</w:t>
            </w:r>
            <w:r w:rsidR="00D46576" w:rsidRPr="00D46576">
              <w:rPr>
                <w:rFonts w:ascii="Arial Narrow" w:hAnsi="Arial Narrow" w:cs="Calibri"/>
                <w:b/>
                <w:bCs/>
                <w:color w:val="000000"/>
                <w:spacing w:val="5"/>
                <w:sz w:val="20"/>
                <w:szCs w:val="20"/>
                <w:shd w:val="solid" w:color="000000" w:fill="000000"/>
                <w:fitText w:val="490" w:id="-1404819711"/>
                <w14:textFill>
                  <w14:solidFill>
                    <w14:srgbClr w14:val="000000">
                      <w14:alpha w14:val="100000"/>
                    </w14:srgbClr>
                  </w14:solidFill>
                </w14:textFill>
              </w:rPr>
              <w:t>|</w:t>
            </w:r>
            <w:r w:rsidR="003F065B">
              <w:rPr>
                <w:rFonts w:ascii="Arial Narrow" w:hAnsi="Arial Narrow" w:cs="Calibri"/>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BF0B12" w14:textId="45429469"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
                <w:sz w:val="20"/>
                <w:szCs w:val="20"/>
              </w:rPr>
              <w:t>$</w:t>
            </w:r>
            <w:r w:rsidR="00D46576" w:rsidRPr="00D46576">
              <w:rPr>
                <w:rFonts w:ascii="Arial Narrow" w:hAnsi="Arial Narrow"/>
                <w:b/>
                <w:color w:val="000000"/>
                <w:spacing w:val="42"/>
                <w:sz w:val="20"/>
                <w:szCs w:val="20"/>
                <w:shd w:val="solid" w:color="000000" w:fill="000000"/>
                <w:fitText w:val="490" w:id="-1404819710"/>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10"/>
                <w14:textFill>
                  <w14:solidFill>
                    <w14:srgbClr w14:val="000000">
                      <w14:alpha w14:val="100000"/>
                    </w14:srgbClr>
                  </w14:solidFill>
                </w14:textFill>
              </w:rPr>
              <w:t>|</w:t>
            </w:r>
            <w:r w:rsidR="003F065B">
              <w:rPr>
                <w:rFonts w:ascii="Arial Narrow" w:hAnsi="Arial Narrow"/>
                <w:bCs/>
                <w:sz w:val="20"/>
                <w:szCs w:val="20"/>
                <w:vertAlign w:val="superscript"/>
              </w:rPr>
              <w:t>2</w:t>
            </w:r>
          </w:p>
        </w:tc>
      </w:tr>
      <w:tr w:rsidR="00E00F4A" w:rsidRPr="00CE6785" w14:paraId="433EAE88"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FFFFFF"/>
            <w:hideMark/>
          </w:tcPr>
          <w:p w14:paraId="66C546A8"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Times New Roman"/>
                <w:bCs/>
                <w:sz w:val="20"/>
                <w:szCs w:val="20"/>
              </w:rPr>
              <w:t>Net cost to the PBS/RPBS (including offsets)</w:t>
            </w:r>
          </w:p>
        </w:tc>
        <w:tc>
          <w:tcPr>
            <w:tcW w:w="590" w:type="pct"/>
            <w:tcBorders>
              <w:top w:val="single" w:sz="4" w:space="0" w:color="auto"/>
              <w:left w:val="single" w:sz="4" w:space="0" w:color="auto"/>
              <w:bottom w:val="single" w:sz="4" w:space="0" w:color="auto"/>
              <w:right w:val="single" w:sz="4" w:space="0" w:color="auto"/>
            </w:tcBorders>
            <w:vAlign w:val="center"/>
            <w:hideMark/>
          </w:tcPr>
          <w:p w14:paraId="39347ADE" w14:textId="54ADA710"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44"/>
                <w:sz w:val="20"/>
                <w:szCs w:val="20"/>
                <w:shd w:val="solid" w:color="000000" w:fill="000000"/>
                <w:fitText w:val="480" w:id="-1404819709"/>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480" w:id="-1404819709"/>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nil"/>
              <w:bottom w:val="single" w:sz="4" w:space="0" w:color="auto"/>
              <w:right w:val="single" w:sz="4" w:space="0" w:color="auto"/>
            </w:tcBorders>
            <w:vAlign w:val="center"/>
            <w:hideMark/>
          </w:tcPr>
          <w:p w14:paraId="2D5A5657" w14:textId="02A67794"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52"/>
                <w:sz w:val="20"/>
                <w:szCs w:val="20"/>
                <w:shd w:val="solid" w:color="000000" w:fill="000000"/>
                <w:fitText w:val="520" w:id="-1404819708"/>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520" w:id="-1404819708"/>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nil"/>
              <w:bottom w:val="single" w:sz="4" w:space="0" w:color="auto"/>
              <w:right w:val="single" w:sz="4" w:space="0" w:color="auto"/>
            </w:tcBorders>
            <w:vAlign w:val="center"/>
            <w:hideMark/>
          </w:tcPr>
          <w:p w14:paraId="7DAF0A37" w14:textId="2CB170E0"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52"/>
                <w:sz w:val="20"/>
                <w:szCs w:val="20"/>
                <w:shd w:val="solid" w:color="000000" w:fill="000000"/>
                <w:fitText w:val="520" w:id="-1404819707"/>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520" w:id="-1404819707"/>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nil"/>
              <w:bottom w:val="single" w:sz="4" w:space="0" w:color="auto"/>
              <w:right w:val="single" w:sz="4" w:space="0" w:color="auto"/>
            </w:tcBorders>
            <w:vAlign w:val="center"/>
            <w:hideMark/>
          </w:tcPr>
          <w:p w14:paraId="3F27CC2D" w14:textId="0190D845"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52"/>
                <w:sz w:val="20"/>
                <w:szCs w:val="20"/>
                <w:shd w:val="solid" w:color="000000" w:fill="000000"/>
                <w:fitText w:val="520" w:id="-1404819706"/>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520" w:id="-1404819706"/>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nil"/>
              <w:bottom w:val="single" w:sz="4" w:space="0" w:color="auto"/>
              <w:right w:val="single" w:sz="4" w:space="0" w:color="auto"/>
            </w:tcBorders>
            <w:vAlign w:val="center"/>
            <w:hideMark/>
          </w:tcPr>
          <w:p w14:paraId="74D0BF46" w14:textId="5581FB51"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52"/>
                <w:sz w:val="20"/>
                <w:szCs w:val="20"/>
                <w:shd w:val="solid" w:color="000000" w:fill="000000"/>
                <w:fitText w:val="520" w:id="-1404819705"/>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520" w:id="-1404819705"/>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nil"/>
              <w:bottom w:val="single" w:sz="4" w:space="0" w:color="auto"/>
              <w:right w:val="single" w:sz="4" w:space="0" w:color="auto"/>
            </w:tcBorders>
            <w:vAlign w:val="center"/>
            <w:hideMark/>
          </w:tcPr>
          <w:p w14:paraId="0746D3F9" w14:textId="14B5E5A8"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52"/>
                <w:sz w:val="20"/>
                <w:szCs w:val="20"/>
                <w:shd w:val="solid" w:color="000000" w:fill="000000"/>
                <w:fitText w:val="520" w:id="-1404819704"/>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520" w:id="-1404819704"/>
                <w14:textFill>
                  <w14:solidFill>
                    <w14:srgbClr w14:val="000000">
                      <w14:alpha w14:val="100000"/>
                    </w14:srgbClr>
                  </w14:solidFill>
                </w14:textFill>
              </w:rPr>
              <w:t>|</w:t>
            </w:r>
            <w:r w:rsidR="003F065B">
              <w:rPr>
                <w:rFonts w:ascii="Arial Narrow" w:hAnsi="Arial Narrow"/>
                <w:bCs/>
                <w:sz w:val="20"/>
                <w:szCs w:val="20"/>
                <w:vertAlign w:val="superscript"/>
              </w:rPr>
              <w:t>2</w:t>
            </w:r>
          </w:p>
        </w:tc>
      </w:tr>
      <w:tr w:rsidR="00E00F4A" w:rsidRPr="00CE6785" w14:paraId="08300308"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FFFFFF"/>
            <w:hideMark/>
          </w:tcPr>
          <w:p w14:paraId="56BA5E4A"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Times New Roman"/>
                <w:bCs/>
                <w:sz w:val="20"/>
                <w:szCs w:val="20"/>
              </w:rPr>
              <w:t xml:space="preserve">Cost to MBS </w:t>
            </w:r>
          </w:p>
        </w:tc>
        <w:tc>
          <w:tcPr>
            <w:tcW w:w="590" w:type="pct"/>
            <w:tcBorders>
              <w:top w:val="single" w:sz="4" w:space="0" w:color="auto"/>
              <w:left w:val="nil"/>
              <w:bottom w:val="single" w:sz="4" w:space="0" w:color="auto"/>
              <w:right w:val="single" w:sz="4" w:space="0" w:color="auto"/>
            </w:tcBorders>
            <w:vAlign w:val="center"/>
            <w:hideMark/>
          </w:tcPr>
          <w:p w14:paraId="46C01047" w14:textId="6D165DEB" w:rsidR="00E00F4A" w:rsidRPr="003F065B"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46"/>
                <w:sz w:val="20"/>
                <w:szCs w:val="20"/>
                <w:shd w:val="solid" w:color="000000" w:fill="000000"/>
                <w:fitText w:val="490" w:id="-1404819703"/>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490" w:id="-1404819703"/>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513D5400" w14:textId="076E35B1" w:rsidR="00E00F4A" w:rsidRPr="003F065B"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29"/>
                <w:sz w:val="20"/>
                <w:szCs w:val="20"/>
                <w:shd w:val="solid" w:color="000000" w:fill="000000"/>
                <w:fitText w:val="550" w:id="-1404819702"/>
                <w14:textFill>
                  <w14:solidFill>
                    <w14:srgbClr w14:val="000000">
                      <w14:alpha w14:val="100000"/>
                    </w14:srgbClr>
                  </w14:solidFill>
                </w14:textFill>
              </w:rPr>
              <w:t>|||||||</w:t>
            </w:r>
            <w:r w:rsidR="00D46576" w:rsidRPr="00D46576">
              <w:rPr>
                <w:rFonts w:ascii="Arial Narrow" w:hAnsi="Arial Narrow"/>
                <w:bCs/>
                <w:color w:val="000000"/>
                <w:spacing w:val="7"/>
                <w:sz w:val="20"/>
                <w:szCs w:val="20"/>
                <w:shd w:val="solid" w:color="000000" w:fill="000000"/>
                <w:fitText w:val="550" w:id="-1404819702"/>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38CC6688" w14:textId="0CB4B44C" w:rsidR="00E00F4A" w:rsidRPr="003F065B"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29"/>
                <w:sz w:val="20"/>
                <w:szCs w:val="20"/>
                <w:shd w:val="solid" w:color="000000" w:fill="000000"/>
                <w:fitText w:val="550" w:id="-1404819701"/>
                <w14:textFill>
                  <w14:solidFill>
                    <w14:srgbClr w14:val="000000">
                      <w14:alpha w14:val="100000"/>
                    </w14:srgbClr>
                  </w14:solidFill>
                </w14:textFill>
              </w:rPr>
              <w:t>|||||||</w:t>
            </w:r>
            <w:r w:rsidR="00D46576" w:rsidRPr="00D46576">
              <w:rPr>
                <w:rFonts w:ascii="Arial Narrow" w:hAnsi="Arial Narrow"/>
                <w:bCs/>
                <w:color w:val="000000"/>
                <w:spacing w:val="7"/>
                <w:sz w:val="20"/>
                <w:szCs w:val="20"/>
                <w:shd w:val="solid" w:color="000000" w:fill="000000"/>
                <w:fitText w:val="550" w:id="-1404819701"/>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148643C7" w14:textId="74567B62" w:rsidR="00E00F4A" w:rsidRPr="003F065B"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29"/>
                <w:sz w:val="20"/>
                <w:szCs w:val="20"/>
                <w:shd w:val="solid" w:color="000000" w:fill="000000"/>
                <w:fitText w:val="550" w:id="-1404819700"/>
                <w14:textFill>
                  <w14:solidFill>
                    <w14:srgbClr w14:val="000000">
                      <w14:alpha w14:val="100000"/>
                    </w14:srgbClr>
                  </w14:solidFill>
                </w14:textFill>
              </w:rPr>
              <w:t>|||||||</w:t>
            </w:r>
            <w:r w:rsidR="00D46576" w:rsidRPr="00D46576">
              <w:rPr>
                <w:rFonts w:ascii="Arial Narrow" w:hAnsi="Arial Narrow"/>
                <w:bCs/>
                <w:color w:val="000000"/>
                <w:spacing w:val="7"/>
                <w:sz w:val="20"/>
                <w:szCs w:val="20"/>
                <w:shd w:val="solid" w:color="000000" w:fill="000000"/>
                <w:fitText w:val="550" w:id="-1404819700"/>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7DE2F0FF" w14:textId="20974517" w:rsidR="00E00F4A" w:rsidRPr="003F065B"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29"/>
                <w:sz w:val="20"/>
                <w:szCs w:val="20"/>
                <w:shd w:val="solid" w:color="000000" w:fill="000000"/>
                <w:fitText w:val="550" w:id="-1404819699"/>
                <w14:textFill>
                  <w14:solidFill>
                    <w14:srgbClr w14:val="000000">
                      <w14:alpha w14:val="100000"/>
                    </w14:srgbClr>
                  </w14:solidFill>
                </w14:textFill>
              </w:rPr>
              <w:t>|||||||</w:t>
            </w:r>
            <w:r w:rsidR="00D46576" w:rsidRPr="00D46576">
              <w:rPr>
                <w:rFonts w:ascii="Arial Narrow" w:hAnsi="Arial Narrow"/>
                <w:bCs/>
                <w:color w:val="000000"/>
                <w:spacing w:val="7"/>
                <w:sz w:val="20"/>
                <w:szCs w:val="20"/>
                <w:shd w:val="solid" w:color="000000" w:fill="000000"/>
                <w:fitText w:val="550" w:id="-1404819699"/>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06446053" w14:textId="7D557A8B" w:rsidR="00E00F4A" w:rsidRPr="003F065B"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29"/>
                <w:sz w:val="20"/>
                <w:szCs w:val="20"/>
                <w:shd w:val="solid" w:color="000000" w:fill="000000"/>
                <w:fitText w:val="550" w:id="-1404819698"/>
                <w14:textFill>
                  <w14:solidFill>
                    <w14:srgbClr w14:val="000000">
                      <w14:alpha w14:val="100000"/>
                    </w14:srgbClr>
                  </w14:solidFill>
                </w14:textFill>
              </w:rPr>
              <w:t>|||||||</w:t>
            </w:r>
            <w:r w:rsidR="00D46576" w:rsidRPr="00D46576">
              <w:rPr>
                <w:rFonts w:ascii="Arial Narrow" w:hAnsi="Arial Narrow"/>
                <w:bCs/>
                <w:color w:val="000000"/>
                <w:spacing w:val="7"/>
                <w:sz w:val="20"/>
                <w:szCs w:val="20"/>
                <w:shd w:val="solid" w:color="000000" w:fill="000000"/>
                <w:fitText w:val="550" w:id="-1404819698"/>
                <w14:textFill>
                  <w14:solidFill>
                    <w14:srgbClr w14:val="000000">
                      <w14:alpha w14:val="100000"/>
                    </w14:srgbClr>
                  </w14:solidFill>
                </w14:textFill>
              </w:rPr>
              <w:t>|</w:t>
            </w:r>
            <w:r w:rsidR="003F065B">
              <w:rPr>
                <w:rFonts w:ascii="Arial Narrow" w:hAnsi="Arial Narrow"/>
                <w:bCs/>
                <w:sz w:val="20"/>
                <w:szCs w:val="20"/>
                <w:vertAlign w:val="superscript"/>
              </w:rPr>
              <w:t>2</w:t>
            </w:r>
          </w:p>
        </w:tc>
      </w:tr>
      <w:tr w:rsidR="00E00F4A" w:rsidRPr="00CE6785" w14:paraId="19AB0680"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FFFFFF"/>
            <w:hideMark/>
          </w:tcPr>
          <w:p w14:paraId="34F10A32"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Times New Roman"/>
                <w:b/>
                <w:sz w:val="20"/>
                <w:szCs w:val="20"/>
              </w:rPr>
              <w:t>Total net cost to R/PBS + MBS</w:t>
            </w:r>
          </w:p>
        </w:tc>
        <w:tc>
          <w:tcPr>
            <w:tcW w:w="590" w:type="pct"/>
            <w:tcBorders>
              <w:top w:val="single" w:sz="4" w:space="0" w:color="auto"/>
              <w:left w:val="nil"/>
              <w:bottom w:val="single" w:sz="4" w:space="0" w:color="auto"/>
              <w:right w:val="single" w:sz="4" w:space="0" w:color="auto"/>
            </w:tcBorders>
            <w:vAlign w:val="center"/>
            <w:hideMark/>
          </w:tcPr>
          <w:p w14:paraId="1E20F429" w14:textId="3FFB653C" w:rsidR="00E00F4A" w:rsidRPr="003F065B"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
                <w:sz w:val="20"/>
                <w:szCs w:val="20"/>
              </w:rPr>
              <w:t>-$</w:t>
            </w:r>
            <w:r w:rsidR="00D46576" w:rsidRPr="00D46576">
              <w:rPr>
                <w:rFonts w:ascii="Arial Narrow" w:hAnsi="Arial Narrow"/>
                <w:b/>
                <w:color w:val="000000"/>
                <w:spacing w:val="38"/>
                <w:sz w:val="20"/>
                <w:szCs w:val="20"/>
                <w:shd w:val="solid" w:color="000000" w:fill="000000"/>
                <w:fitText w:val="470" w:id="-1404819697"/>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70" w:id="-1404819697"/>
                <w14:textFill>
                  <w14:solidFill>
                    <w14:srgbClr w14:val="000000">
                      <w14:alpha w14:val="100000"/>
                    </w14:srgbClr>
                  </w14:solidFill>
                </w14:textFill>
              </w:rPr>
              <w:t>|</w:t>
            </w:r>
            <w:r w:rsidR="003F065B" w:rsidRPr="003F065B">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7143941F" w14:textId="60DAB608"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
                <w:sz w:val="20"/>
                <w:szCs w:val="20"/>
              </w:rPr>
              <w:t>$</w:t>
            </w:r>
            <w:r w:rsidR="00D46576" w:rsidRPr="00D46576">
              <w:rPr>
                <w:rFonts w:ascii="Arial Narrow" w:hAnsi="Arial Narrow"/>
                <w:b/>
                <w:color w:val="000000"/>
                <w:spacing w:val="42"/>
                <w:sz w:val="20"/>
                <w:szCs w:val="20"/>
                <w:shd w:val="solid" w:color="000000" w:fill="000000"/>
                <w:fitText w:val="490" w:id="-1404819696"/>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696"/>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48965130" w14:textId="77FEBD5A"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
                <w:sz w:val="20"/>
                <w:szCs w:val="20"/>
              </w:rPr>
              <w:t>$</w:t>
            </w:r>
            <w:r w:rsidR="00D46576" w:rsidRPr="00D46576">
              <w:rPr>
                <w:rFonts w:ascii="Arial Narrow" w:hAnsi="Arial Narrow"/>
                <w:b/>
                <w:color w:val="000000"/>
                <w:spacing w:val="42"/>
                <w:sz w:val="20"/>
                <w:szCs w:val="20"/>
                <w:shd w:val="solid" w:color="000000" w:fill="000000"/>
                <w:fitText w:val="490" w:id="-1404819712"/>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12"/>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49B575E1" w14:textId="5D81958F"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
                <w:sz w:val="20"/>
                <w:szCs w:val="20"/>
              </w:rPr>
              <w:t>$</w:t>
            </w:r>
            <w:r w:rsidR="00D46576" w:rsidRPr="00D46576">
              <w:rPr>
                <w:rFonts w:ascii="Arial Narrow" w:hAnsi="Arial Narrow"/>
                <w:b/>
                <w:color w:val="000000"/>
                <w:spacing w:val="42"/>
                <w:sz w:val="20"/>
                <w:szCs w:val="20"/>
                <w:shd w:val="solid" w:color="000000" w:fill="000000"/>
                <w:fitText w:val="490" w:id="-1404819711"/>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11"/>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5178119A" w14:textId="78D31AA5"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
                <w:sz w:val="20"/>
                <w:szCs w:val="20"/>
              </w:rPr>
              <w:t>$</w:t>
            </w:r>
            <w:r w:rsidR="00D46576" w:rsidRPr="00D46576">
              <w:rPr>
                <w:rFonts w:ascii="Arial Narrow" w:hAnsi="Arial Narrow"/>
                <w:b/>
                <w:color w:val="000000"/>
                <w:spacing w:val="42"/>
                <w:sz w:val="20"/>
                <w:szCs w:val="20"/>
                <w:shd w:val="solid" w:color="000000" w:fill="000000"/>
                <w:fitText w:val="490" w:id="-1404819710"/>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10"/>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06482B1F" w14:textId="6F00BFD7"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
                <w:sz w:val="20"/>
                <w:szCs w:val="20"/>
              </w:rPr>
              <w:t>$</w:t>
            </w:r>
            <w:r w:rsidR="00D46576" w:rsidRPr="00D46576">
              <w:rPr>
                <w:rFonts w:ascii="Arial Narrow" w:hAnsi="Arial Narrow"/>
                <w:b/>
                <w:color w:val="000000"/>
                <w:spacing w:val="42"/>
                <w:sz w:val="20"/>
                <w:szCs w:val="20"/>
                <w:shd w:val="solid" w:color="000000" w:fill="000000"/>
                <w:fitText w:val="490" w:id="-1404819709"/>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9"/>
                <w14:textFill>
                  <w14:solidFill>
                    <w14:srgbClr w14:val="000000">
                      <w14:alpha w14:val="100000"/>
                    </w14:srgbClr>
                  </w14:solidFill>
                </w14:textFill>
              </w:rPr>
              <w:t>|</w:t>
            </w:r>
            <w:r w:rsidR="003F065B">
              <w:rPr>
                <w:rFonts w:ascii="Arial Narrow" w:hAnsi="Arial Narrow"/>
                <w:bCs/>
                <w:sz w:val="20"/>
                <w:szCs w:val="20"/>
                <w:vertAlign w:val="superscript"/>
              </w:rPr>
              <w:t>2</w:t>
            </w:r>
          </w:p>
        </w:tc>
      </w:tr>
      <w:tr w:rsidR="00E00F4A" w:rsidRPr="00CE6785" w14:paraId="192A15BB" w14:textId="77777777" w:rsidTr="00EC502C">
        <w:tc>
          <w:tcPr>
            <w:tcW w:w="5000"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2525DB" w14:textId="77777777" w:rsidR="00E00F4A" w:rsidRPr="00CE6785" w:rsidRDefault="00E00F4A" w:rsidP="00EC502C">
            <w:pPr>
              <w:keepNext/>
              <w:keepLines/>
              <w:ind w:left="-65" w:right="-82"/>
              <w:jc w:val="left"/>
              <w:rPr>
                <w:rFonts w:ascii="Arial Narrow" w:hAnsi="Arial Narrow"/>
                <w:b/>
                <w:sz w:val="20"/>
                <w:szCs w:val="20"/>
              </w:rPr>
            </w:pPr>
            <w:r>
              <w:rPr>
                <w:rFonts w:ascii="Arial Narrow" w:hAnsi="Arial Narrow" w:cs="Times New Roman"/>
                <w:b/>
                <w:sz w:val="20"/>
                <w:szCs w:val="20"/>
              </w:rPr>
              <w:t>July 2022 submission</w:t>
            </w:r>
          </w:p>
        </w:tc>
      </w:tr>
      <w:tr w:rsidR="00E00F4A" w:rsidRPr="00CE6785" w14:paraId="0AA6CC92"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E90723C" w14:textId="77777777" w:rsidR="00E00F4A" w:rsidRPr="00CE6785" w:rsidRDefault="00E00F4A" w:rsidP="00EC502C">
            <w:pPr>
              <w:keepNext/>
              <w:keepLines/>
              <w:tabs>
                <w:tab w:val="right" w:pos="3513"/>
              </w:tabs>
              <w:ind w:left="-57" w:right="-68"/>
              <w:jc w:val="left"/>
              <w:rPr>
                <w:rFonts w:ascii="Arial Narrow" w:hAnsi="Arial Narrow" w:cs="Calibri"/>
                <w:bCs/>
                <w:sz w:val="20"/>
                <w:szCs w:val="20"/>
              </w:rPr>
            </w:pPr>
            <w:r w:rsidRPr="00CE6785">
              <w:rPr>
                <w:rFonts w:ascii="Arial Narrow" w:hAnsi="Arial Narrow" w:cs="Calibri"/>
                <w:bCs/>
                <w:sz w:val="20"/>
                <w:szCs w:val="20"/>
              </w:rPr>
              <w:t xml:space="preserve">Total scripts </w:t>
            </w:r>
          </w:p>
        </w:tc>
        <w:tc>
          <w:tcPr>
            <w:tcW w:w="5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67B56B2" w14:textId="5DAE3910" w:rsidR="00E00F4A" w:rsidRPr="003F065B" w:rsidRDefault="00D46576" w:rsidP="00EC502C">
            <w:pPr>
              <w:keepNext/>
              <w:keepLines/>
              <w:ind w:left="-57"/>
              <w:jc w:val="center"/>
              <w:rPr>
                <w:rFonts w:ascii="Arial Narrow" w:hAnsi="Arial Narrow" w:cs="Calibri"/>
                <w:bCs/>
                <w:color w:val="000000"/>
                <w:sz w:val="20"/>
                <w:szCs w:val="20"/>
                <w:vertAlign w:val="superscript"/>
              </w:rPr>
            </w:pPr>
            <w:r w:rsidRPr="00D46576">
              <w:rPr>
                <w:rFonts w:ascii="Arial Narrow" w:hAnsi="Arial Narrow" w:cs="Calibri"/>
                <w:bCs/>
                <w:color w:val="000000"/>
                <w:spacing w:val="42"/>
                <w:sz w:val="20"/>
                <w:szCs w:val="20"/>
                <w:shd w:val="solid" w:color="000000" w:fill="000000"/>
                <w:fitText w:val="470" w:id="-1404819708"/>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470" w:id="-1404819708"/>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B9978C" w14:textId="6A0B6AFC" w:rsidR="00E00F4A" w:rsidRPr="003F065B" w:rsidRDefault="00D46576" w:rsidP="00EC502C">
            <w:pPr>
              <w:keepNext/>
              <w:keepLines/>
              <w:ind w:left="-57"/>
              <w:jc w:val="center"/>
              <w:rPr>
                <w:rFonts w:ascii="Arial Narrow" w:hAnsi="Arial Narrow" w:cs="Calibri"/>
                <w:bCs/>
                <w:color w:val="000000"/>
                <w:sz w:val="20"/>
                <w:szCs w:val="20"/>
                <w:vertAlign w:val="superscript"/>
              </w:rPr>
            </w:pPr>
            <w:r w:rsidRPr="00D46576">
              <w:rPr>
                <w:rFonts w:ascii="Arial Narrow" w:hAnsi="Arial Narrow" w:cs="Calibri"/>
                <w:bCs/>
                <w:color w:val="000000"/>
                <w:spacing w:val="50"/>
                <w:sz w:val="20"/>
                <w:szCs w:val="20"/>
                <w:shd w:val="solid" w:color="000000" w:fill="000000"/>
                <w:fitText w:val="510" w:id="-1404819707"/>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510" w:id="-1404819707"/>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EF7A822" w14:textId="44254551" w:rsidR="00E00F4A" w:rsidRPr="003F065B" w:rsidRDefault="00D46576" w:rsidP="00EC502C">
            <w:pPr>
              <w:keepNext/>
              <w:keepLines/>
              <w:ind w:left="-57"/>
              <w:jc w:val="center"/>
              <w:rPr>
                <w:rFonts w:ascii="Arial Narrow" w:hAnsi="Arial Narrow" w:cs="Calibri"/>
                <w:bCs/>
                <w:color w:val="000000"/>
                <w:sz w:val="20"/>
                <w:szCs w:val="20"/>
                <w:vertAlign w:val="superscript"/>
              </w:rPr>
            </w:pPr>
            <w:r w:rsidRPr="00D46576">
              <w:rPr>
                <w:rFonts w:ascii="Arial Narrow" w:hAnsi="Arial Narrow" w:cs="Calibri"/>
                <w:bCs/>
                <w:color w:val="000000"/>
                <w:spacing w:val="50"/>
                <w:sz w:val="20"/>
                <w:szCs w:val="20"/>
                <w:shd w:val="solid" w:color="000000" w:fill="000000"/>
                <w:fitText w:val="510" w:id="-1404819706"/>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510" w:id="-1404819706"/>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F9E4C3" w14:textId="6E896165" w:rsidR="00E00F4A" w:rsidRPr="003F065B" w:rsidRDefault="00D46576" w:rsidP="00EC502C">
            <w:pPr>
              <w:keepNext/>
              <w:keepLines/>
              <w:ind w:left="-57"/>
              <w:jc w:val="center"/>
              <w:rPr>
                <w:rFonts w:ascii="Arial Narrow" w:hAnsi="Arial Narrow" w:cs="Calibri"/>
                <w:bCs/>
                <w:color w:val="000000"/>
                <w:sz w:val="20"/>
                <w:szCs w:val="20"/>
                <w:vertAlign w:val="superscript"/>
              </w:rPr>
            </w:pPr>
            <w:r w:rsidRPr="00D46576">
              <w:rPr>
                <w:rFonts w:ascii="Arial Narrow" w:hAnsi="Arial Narrow" w:cs="Calibri"/>
                <w:bCs/>
                <w:color w:val="000000"/>
                <w:spacing w:val="50"/>
                <w:sz w:val="20"/>
                <w:szCs w:val="20"/>
                <w:shd w:val="solid" w:color="000000" w:fill="000000"/>
                <w:fitText w:val="510" w:id="-1404819705"/>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510" w:id="-1404819705"/>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6C9E076" w14:textId="6DBE9C7F" w:rsidR="00E00F4A" w:rsidRPr="003F065B" w:rsidRDefault="00D46576" w:rsidP="00EC502C">
            <w:pPr>
              <w:keepNext/>
              <w:keepLines/>
              <w:ind w:left="-57"/>
              <w:jc w:val="center"/>
              <w:rPr>
                <w:rFonts w:ascii="Arial Narrow" w:hAnsi="Arial Narrow" w:cs="Calibri"/>
                <w:bCs/>
                <w:color w:val="000000"/>
                <w:sz w:val="20"/>
                <w:szCs w:val="20"/>
                <w:vertAlign w:val="superscript"/>
              </w:rPr>
            </w:pPr>
            <w:r w:rsidRPr="00D46576">
              <w:rPr>
                <w:rFonts w:ascii="Arial Narrow" w:hAnsi="Arial Narrow" w:cs="Calibri"/>
                <w:bCs/>
                <w:color w:val="000000"/>
                <w:spacing w:val="50"/>
                <w:sz w:val="20"/>
                <w:szCs w:val="20"/>
                <w:shd w:val="solid" w:color="000000" w:fill="000000"/>
                <w:fitText w:val="510" w:id="-1404819704"/>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510" w:id="-1404819704"/>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B4DD9E" w14:textId="12D36A2B" w:rsidR="00E00F4A" w:rsidRPr="003F065B" w:rsidRDefault="00D46576" w:rsidP="00EC502C">
            <w:pPr>
              <w:keepNext/>
              <w:keepLines/>
              <w:ind w:left="-57"/>
              <w:jc w:val="center"/>
              <w:rPr>
                <w:rFonts w:ascii="Arial Narrow" w:hAnsi="Arial Narrow" w:cs="Calibri"/>
                <w:bCs/>
                <w:color w:val="000000"/>
                <w:sz w:val="20"/>
                <w:szCs w:val="20"/>
                <w:vertAlign w:val="superscript"/>
              </w:rPr>
            </w:pPr>
            <w:r w:rsidRPr="00D46576">
              <w:rPr>
                <w:rFonts w:ascii="Arial Narrow" w:hAnsi="Arial Narrow" w:cs="Calibri"/>
                <w:bCs/>
                <w:color w:val="000000"/>
                <w:spacing w:val="50"/>
                <w:sz w:val="20"/>
                <w:szCs w:val="20"/>
                <w:shd w:val="solid" w:color="000000" w:fill="000000"/>
                <w:fitText w:val="510" w:id="-1404819703"/>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510" w:id="-1404819703"/>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p>
        </w:tc>
      </w:tr>
      <w:tr w:rsidR="00E00F4A" w:rsidRPr="00CE6785" w14:paraId="7F1436C4"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C02AC2B"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Times New Roman"/>
                <w:b/>
                <w:sz w:val="20"/>
                <w:szCs w:val="20"/>
              </w:rPr>
              <w:t xml:space="preserve">Total cost of ruxolitinib to the PBS/RPBS </w:t>
            </w:r>
            <w:r>
              <w:rPr>
                <w:rFonts w:ascii="Arial Narrow" w:hAnsi="Arial Narrow" w:cs="Times New Roman"/>
                <w:b/>
                <w:sz w:val="20"/>
                <w:szCs w:val="20"/>
              </w:rPr>
              <w:t>(less copayment)</w:t>
            </w:r>
          </w:p>
        </w:tc>
        <w:tc>
          <w:tcPr>
            <w:tcW w:w="5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D93D120" w14:textId="0FEF0205"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32"/>
                <w:sz w:val="20"/>
                <w:szCs w:val="20"/>
                <w:shd w:val="solid" w:color="000000" w:fill="000000"/>
                <w:fitText w:val="440" w:id="-1404819702"/>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40" w:id="-1404819702"/>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CA9ADB" w14:textId="2150EE32"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42"/>
                <w:sz w:val="20"/>
                <w:szCs w:val="20"/>
                <w:shd w:val="solid" w:color="000000" w:fill="000000"/>
                <w:fitText w:val="490" w:id="-1404819701"/>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90" w:id="-1404819701"/>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9A3A26C" w14:textId="4202C4D7"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42"/>
                <w:sz w:val="20"/>
                <w:szCs w:val="20"/>
                <w:shd w:val="solid" w:color="000000" w:fill="000000"/>
                <w:fitText w:val="490" w:id="-1404819700"/>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90" w:id="-1404819700"/>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9ABB0F" w14:textId="31D00163"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42"/>
                <w:sz w:val="20"/>
                <w:szCs w:val="20"/>
                <w:shd w:val="solid" w:color="000000" w:fill="000000"/>
                <w:fitText w:val="490" w:id="-1404819699"/>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90" w:id="-1404819699"/>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0726A1" w14:textId="488E9918"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42"/>
                <w:sz w:val="20"/>
                <w:szCs w:val="20"/>
                <w:shd w:val="solid" w:color="000000" w:fill="000000"/>
                <w:fitText w:val="490" w:id="-1404819698"/>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90" w:id="-1404819698"/>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61FC2E" w14:textId="475945FF"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42"/>
                <w:sz w:val="20"/>
                <w:szCs w:val="20"/>
                <w:shd w:val="solid" w:color="000000" w:fill="000000"/>
                <w:fitText w:val="490" w:id="-1404819697"/>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90" w:id="-1404819697"/>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r>
      <w:tr w:rsidR="00E00F4A" w:rsidRPr="00CE6785" w14:paraId="4D1624C8"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85F709" w14:textId="77777777" w:rsidR="00E00F4A" w:rsidRPr="00CE6785" w:rsidRDefault="00E00F4A" w:rsidP="00EC502C">
            <w:pPr>
              <w:keepNext/>
              <w:keepLines/>
              <w:tabs>
                <w:tab w:val="right" w:pos="3513"/>
              </w:tabs>
              <w:ind w:left="-57" w:right="-68"/>
              <w:jc w:val="left"/>
              <w:rPr>
                <w:rFonts w:ascii="Arial Narrow" w:hAnsi="Arial Narrow" w:cs="Times New Roman"/>
                <w:bCs/>
                <w:sz w:val="20"/>
                <w:szCs w:val="20"/>
              </w:rPr>
            </w:pPr>
            <w:r w:rsidRPr="00CE6785">
              <w:rPr>
                <w:rFonts w:ascii="Arial Narrow" w:hAnsi="Arial Narrow" w:cs="Times New Roman"/>
                <w:bCs/>
                <w:sz w:val="20"/>
                <w:szCs w:val="20"/>
              </w:rPr>
              <w:t>Net cost to the PBS/RPBS (including offsets)</w:t>
            </w:r>
          </w:p>
        </w:tc>
        <w:tc>
          <w:tcPr>
            <w:tcW w:w="5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F62FB99" w14:textId="3303C6CE"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44"/>
                <w:sz w:val="20"/>
                <w:szCs w:val="20"/>
                <w:shd w:val="solid" w:color="000000" w:fill="000000"/>
                <w:fitText w:val="480" w:id="-1404819696"/>
                <w14:textFill>
                  <w14:solidFill>
                    <w14:srgbClr w14:val="000000">
                      <w14:alpha w14:val="100000"/>
                    </w14:srgbClr>
                  </w14:solidFill>
                </w14:textFill>
              </w:rPr>
              <w:t>|||||</w:t>
            </w:r>
            <w:r w:rsidR="00D46576" w:rsidRPr="00D46576">
              <w:rPr>
                <w:rFonts w:ascii="Arial Narrow" w:hAnsi="Arial Narrow" w:cs="Calibri"/>
                <w:bCs/>
                <w:color w:val="000000"/>
                <w:spacing w:val="5"/>
                <w:sz w:val="20"/>
                <w:szCs w:val="20"/>
                <w:shd w:val="solid" w:color="000000" w:fill="000000"/>
                <w:fitText w:val="480" w:id="-1404819696"/>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35AE290" w14:textId="302300DE"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52"/>
                <w:sz w:val="20"/>
                <w:szCs w:val="20"/>
                <w:shd w:val="solid" w:color="000000" w:fill="000000"/>
                <w:fitText w:val="520" w:id="-1404819712"/>
                <w14:textFill>
                  <w14:solidFill>
                    <w14:srgbClr w14:val="000000">
                      <w14:alpha w14:val="100000"/>
                    </w14:srgbClr>
                  </w14:solidFill>
                </w14:textFill>
              </w:rPr>
              <w:t>|||||</w:t>
            </w:r>
            <w:r w:rsidR="00D46576" w:rsidRPr="00D46576">
              <w:rPr>
                <w:rFonts w:ascii="Arial Narrow" w:hAnsi="Arial Narrow" w:cs="Calibri"/>
                <w:bCs/>
                <w:color w:val="000000"/>
                <w:spacing w:val="5"/>
                <w:sz w:val="20"/>
                <w:szCs w:val="20"/>
                <w:shd w:val="solid" w:color="000000" w:fill="000000"/>
                <w:fitText w:val="520" w:id="-1404819712"/>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0B2A12D" w14:textId="1A45FAA2"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52"/>
                <w:sz w:val="20"/>
                <w:szCs w:val="20"/>
                <w:shd w:val="solid" w:color="000000" w:fill="000000"/>
                <w:fitText w:val="520" w:id="-1404819711"/>
                <w14:textFill>
                  <w14:solidFill>
                    <w14:srgbClr w14:val="000000">
                      <w14:alpha w14:val="100000"/>
                    </w14:srgbClr>
                  </w14:solidFill>
                </w14:textFill>
              </w:rPr>
              <w:t>|||||</w:t>
            </w:r>
            <w:r w:rsidR="00D46576" w:rsidRPr="00D46576">
              <w:rPr>
                <w:rFonts w:ascii="Arial Narrow" w:hAnsi="Arial Narrow" w:cs="Calibri"/>
                <w:bCs/>
                <w:color w:val="000000"/>
                <w:spacing w:val="5"/>
                <w:sz w:val="20"/>
                <w:szCs w:val="20"/>
                <w:shd w:val="solid" w:color="000000" w:fill="000000"/>
                <w:fitText w:val="520" w:id="-1404819711"/>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FDE26A5" w14:textId="2C349CF4"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52"/>
                <w:sz w:val="20"/>
                <w:szCs w:val="20"/>
                <w:shd w:val="solid" w:color="000000" w:fill="000000"/>
                <w:fitText w:val="520" w:id="-1404819710"/>
                <w14:textFill>
                  <w14:solidFill>
                    <w14:srgbClr w14:val="000000">
                      <w14:alpha w14:val="100000"/>
                    </w14:srgbClr>
                  </w14:solidFill>
                </w14:textFill>
              </w:rPr>
              <w:t>|||||</w:t>
            </w:r>
            <w:r w:rsidR="00D46576" w:rsidRPr="00D46576">
              <w:rPr>
                <w:rFonts w:ascii="Arial Narrow" w:hAnsi="Arial Narrow" w:cs="Calibri"/>
                <w:bCs/>
                <w:color w:val="000000"/>
                <w:spacing w:val="5"/>
                <w:sz w:val="20"/>
                <w:szCs w:val="20"/>
                <w:shd w:val="solid" w:color="000000" w:fill="000000"/>
                <w:fitText w:val="520" w:id="-1404819710"/>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87D65FA" w14:textId="2C206C3C"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52"/>
                <w:sz w:val="20"/>
                <w:szCs w:val="20"/>
                <w:shd w:val="solid" w:color="000000" w:fill="000000"/>
                <w:fitText w:val="520" w:id="-1404819709"/>
                <w14:textFill>
                  <w14:solidFill>
                    <w14:srgbClr w14:val="000000">
                      <w14:alpha w14:val="100000"/>
                    </w14:srgbClr>
                  </w14:solidFill>
                </w14:textFill>
              </w:rPr>
              <w:t>|||||</w:t>
            </w:r>
            <w:r w:rsidR="00D46576" w:rsidRPr="00D46576">
              <w:rPr>
                <w:rFonts w:ascii="Arial Narrow" w:hAnsi="Arial Narrow" w:cs="Calibri"/>
                <w:bCs/>
                <w:color w:val="000000"/>
                <w:spacing w:val="5"/>
                <w:sz w:val="20"/>
                <w:szCs w:val="20"/>
                <w:shd w:val="solid" w:color="000000" w:fill="000000"/>
                <w:fitText w:val="520" w:id="-1404819709"/>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BE0017" w14:textId="21507B57"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52"/>
                <w:sz w:val="20"/>
                <w:szCs w:val="20"/>
                <w:shd w:val="solid" w:color="000000" w:fill="000000"/>
                <w:fitText w:val="520" w:id="-1404819708"/>
                <w14:textFill>
                  <w14:solidFill>
                    <w14:srgbClr w14:val="000000">
                      <w14:alpha w14:val="100000"/>
                    </w14:srgbClr>
                  </w14:solidFill>
                </w14:textFill>
              </w:rPr>
              <w:t>|||||</w:t>
            </w:r>
            <w:r w:rsidR="00D46576" w:rsidRPr="00D46576">
              <w:rPr>
                <w:rFonts w:ascii="Arial Narrow" w:hAnsi="Arial Narrow" w:cs="Calibri"/>
                <w:bCs/>
                <w:color w:val="000000"/>
                <w:spacing w:val="5"/>
                <w:sz w:val="20"/>
                <w:szCs w:val="20"/>
                <w:shd w:val="solid" w:color="000000" w:fill="000000"/>
                <w:fitText w:val="520" w:id="-1404819708"/>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r>
      <w:tr w:rsidR="00E00F4A" w:rsidRPr="00CE6785" w14:paraId="35DCB636"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8DEFDC" w14:textId="77777777" w:rsidR="00E00F4A" w:rsidRPr="00CE6785" w:rsidRDefault="00E00F4A" w:rsidP="00EC502C">
            <w:pPr>
              <w:keepNext/>
              <w:keepLines/>
              <w:tabs>
                <w:tab w:val="right" w:pos="3513"/>
              </w:tabs>
              <w:ind w:left="-57" w:right="-68"/>
              <w:jc w:val="left"/>
              <w:rPr>
                <w:rFonts w:ascii="Arial Narrow" w:hAnsi="Arial Narrow" w:cs="Times New Roman"/>
                <w:bCs/>
                <w:sz w:val="20"/>
                <w:szCs w:val="20"/>
              </w:rPr>
            </w:pPr>
            <w:r w:rsidRPr="00CE6785">
              <w:rPr>
                <w:rFonts w:ascii="Arial Narrow" w:hAnsi="Arial Narrow" w:cs="Calibri"/>
                <w:bCs/>
                <w:sz w:val="20"/>
                <w:szCs w:val="20"/>
              </w:rPr>
              <w:t xml:space="preserve">Cost to MBS </w:t>
            </w:r>
          </w:p>
        </w:tc>
        <w:tc>
          <w:tcPr>
            <w:tcW w:w="5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137B7A5" w14:textId="07275292"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46"/>
                <w:sz w:val="20"/>
                <w:szCs w:val="20"/>
                <w:shd w:val="solid" w:color="000000" w:fill="000000"/>
                <w:fitText w:val="490" w:id="-1404819707"/>
                <w14:textFill>
                  <w14:solidFill>
                    <w14:srgbClr w14:val="000000">
                      <w14:alpha w14:val="100000"/>
                    </w14:srgbClr>
                  </w14:solidFill>
                </w14:textFill>
              </w:rPr>
              <w:t>|||||</w:t>
            </w:r>
            <w:r w:rsidR="00D46576" w:rsidRPr="00D46576">
              <w:rPr>
                <w:rFonts w:ascii="Arial Narrow" w:hAnsi="Arial Narrow" w:cs="Calibri"/>
                <w:bCs/>
                <w:color w:val="000000"/>
                <w:spacing w:val="5"/>
                <w:sz w:val="20"/>
                <w:szCs w:val="20"/>
                <w:shd w:val="solid" w:color="000000" w:fill="000000"/>
                <w:fitText w:val="490" w:id="-1404819707"/>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18CFDEC" w14:textId="204BD9EF"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29"/>
                <w:sz w:val="20"/>
                <w:szCs w:val="20"/>
                <w:shd w:val="solid" w:color="000000" w:fill="000000"/>
                <w:fitText w:val="550" w:id="-1404819706"/>
                <w14:textFill>
                  <w14:solidFill>
                    <w14:srgbClr w14:val="000000">
                      <w14:alpha w14:val="100000"/>
                    </w14:srgbClr>
                  </w14:solidFill>
                </w14:textFill>
              </w:rPr>
              <w:t>|||||||</w:t>
            </w:r>
            <w:r w:rsidR="00D46576" w:rsidRPr="00D46576">
              <w:rPr>
                <w:rFonts w:ascii="Arial Narrow" w:hAnsi="Arial Narrow" w:cs="Calibri"/>
                <w:bCs/>
                <w:color w:val="000000"/>
                <w:spacing w:val="7"/>
                <w:sz w:val="20"/>
                <w:szCs w:val="20"/>
                <w:shd w:val="solid" w:color="000000" w:fill="000000"/>
                <w:fitText w:val="550" w:id="-1404819706"/>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8F61D6D" w14:textId="35D03F2C"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29"/>
                <w:sz w:val="20"/>
                <w:szCs w:val="20"/>
                <w:shd w:val="solid" w:color="000000" w:fill="000000"/>
                <w:fitText w:val="550" w:id="-1404819705"/>
                <w14:textFill>
                  <w14:solidFill>
                    <w14:srgbClr w14:val="000000">
                      <w14:alpha w14:val="100000"/>
                    </w14:srgbClr>
                  </w14:solidFill>
                </w14:textFill>
              </w:rPr>
              <w:t>|||||||</w:t>
            </w:r>
            <w:r w:rsidR="00D46576" w:rsidRPr="00D46576">
              <w:rPr>
                <w:rFonts w:ascii="Arial Narrow" w:hAnsi="Arial Narrow" w:cs="Calibri"/>
                <w:bCs/>
                <w:color w:val="000000"/>
                <w:spacing w:val="7"/>
                <w:sz w:val="20"/>
                <w:szCs w:val="20"/>
                <w:shd w:val="solid" w:color="000000" w:fill="000000"/>
                <w:fitText w:val="550" w:id="-1404819705"/>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D3BE81" w14:textId="2E5A567B"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29"/>
                <w:sz w:val="20"/>
                <w:szCs w:val="20"/>
                <w:shd w:val="solid" w:color="000000" w:fill="000000"/>
                <w:fitText w:val="550" w:id="-1404819704"/>
                <w14:textFill>
                  <w14:solidFill>
                    <w14:srgbClr w14:val="000000">
                      <w14:alpha w14:val="100000"/>
                    </w14:srgbClr>
                  </w14:solidFill>
                </w14:textFill>
              </w:rPr>
              <w:t>|||||||</w:t>
            </w:r>
            <w:r w:rsidR="00D46576" w:rsidRPr="00D46576">
              <w:rPr>
                <w:rFonts w:ascii="Arial Narrow" w:hAnsi="Arial Narrow" w:cs="Calibri"/>
                <w:bCs/>
                <w:color w:val="000000"/>
                <w:spacing w:val="7"/>
                <w:sz w:val="20"/>
                <w:szCs w:val="20"/>
                <w:shd w:val="solid" w:color="000000" w:fill="000000"/>
                <w:fitText w:val="550" w:id="-1404819704"/>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A4047E2" w14:textId="5E8744FF"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29"/>
                <w:sz w:val="20"/>
                <w:szCs w:val="20"/>
                <w:shd w:val="solid" w:color="000000" w:fill="000000"/>
                <w:fitText w:val="550" w:id="-1404819703"/>
                <w14:textFill>
                  <w14:solidFill>
                    <w14:srgbClr w14:val="000000">
                      <w14:alpha w14:val="100000"/>
                    </w14:srgbClr>
                  </w14:solidFill>
                </w14:textFill>
              </w:rPr>
              <w:t>|||||||</w:t>
            </w:r>
            <w:r w:rsidR="00D46576" w:rsidRPr="00D46576">
              <w:rPr>
                <w:rFonts w:ascii="Arial Narrow" w:hAnsi="Arial Narrow" w:cs="Calibri"/>
                <w:bCs/>
                <w:color w:val="000000"/>
                <w:spacing w:val="7"/>
                <w:sz w:val="20"/>
                <w:szCs w:val="20"/>
                <w:shd w:val="solid" w:color="000000" w:fill="000000"/>
                <w:fitText w:val="550" w:id="-1404819703"/>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128DF4" w14:textId="115C3132"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29"/>
                <w:sz w:val="20"/>
                <w:szCs w:val="20"/>
                <w:shd w:val="solid" w:color="000000" w:fill="000000"/>
                <w:fitText w:val="550" w:id="-1404819702"/>
                <w14:textFill>
                  <w14:solidFill>
                    <w14:srgbClr w14:val="000000">
                      <w14:alpha w14:val="100000"/>
                    </w14:srgbClr>
                  </w14:solidFill>
                </w14:textFill>
              </w:rPr>
              <w:t>|||||||</w:t>
            </w:r>
            <w:r w:rsidR="00D46576" w:rsidRPr="00D46576">
              <w:rPr>
                <w:rFonts w:ascii="Arial Narrow" w:hAnsi="Arial Narrow" w:cs="Calibri"/>
                <w:bCs/>
                <w:color w:val="000000"/>
                <w:spacing w:val="7"/>
                <w:sz w:val="20"/>
                <w:szCs w:val="20"/>
                <w:shd w:val="solid" w:color="000000" w:fill="000000"/>
                <w:fitText w:val="550" w:id="-1404819702"/>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r>
      <w:tr w:rsidR="00E00F4A" w:rsidRPr="00CE6785" w14:paraId="4EE11391"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F471719"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Times New Roman"/>
                <w:b/>
                <w:sz w:val="20"/>
                <w:szCs w:val="20"/>
              </w:rPr>
              <w:t>Total net cost to R/PBS + MBS</w:t>
            </w:r>
          </w:p>
        </w:tc>
        <w:tc>
          <w:tcPr>
            <w:tcW w:w="5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54DFFFD" w14:textId="3226FFB9"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32"/>
                <w:sz w:val="20"/>
                <w:szCs w:val="20"/>
                <w:shd w:val="solid" w:color="000000" w:fill="000000"/>
                <w:fitText w:val="440" w:id="-1404819701"/>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40" w:id="-1404819701"/>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624195" w14:textId="168370E9"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42"/>
                <w:sz w:val="20"/>
                <w:szCs w:val="20"/>
                <w:shd w:val="solid" w:color="000000" w:fill="000000"/>
                <w:fitText w:val="490" w:id="-1404819700"/>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90" w:id="-1404819700"/>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7AE592" w14:textId="1A6079CD"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42"/>
                <w:sz w:val="20"/>
                <w:szCs w:val="20"/>
                <w:shd w:val="solid" w:color="000000" w:fill="000000"/>
                <w:fitText w:val="490" w:id="-1404819699"/>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90" w:id="-1404819699"/>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5C5D001" w14:textId="2E3FD713"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42"/>
                <w:sz w:val="20"/>
                <w:szCs w:val="20"/>
                <w:shd w:val="solid" w:color="000000" w:fill="000000"/>
                <w:fitText w:val="490" w:id="-1404819698"/>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90" w:id="-1404819698"/>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C99886" w14:textId="1D0B3CD4"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42"/>
                <w:sz w:val="20"/>
                <w:szCs w:val="20"/>
                <w:shd w:val="solid" w:color="000000" w:fill="000000"/>
                <w:fitText w:val="490" w:id="-1404819697"/>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90" w:id="-1404819697"/>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0ECFE34" w14:textId="786A0FB7"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42"/>
                <w:sz w:val="20"/>
                <w:szCs w:val="20"/>
                <w:shd w:val="solid" w:color="000000" w:fill="000000"/>
                <w:fitText w:val="490" w:id="-1404819696"/>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90" w:id="-1404819696"/>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r>
      <w:tr w:rsidR="00E00F4A" w:rsidRPr="00CE6785" w14:paraId="5E25571C" w14:textId="77777777" w:rsidTr="00EC502C">
        <w:tc>
          <w:tcPr>
            <w:tcW w:w="5000"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BB87320" w14:textId="77777777" w:rsidR="00E00F4A" w:rsidRPr="00CE6785" w:rsidRDefault="00E00F4A" w:rsidP="00EC502C">
            <w:pPr>
              <w:keepNext/>
              <w:keepLines/>
              <w:ind w:left="-65" w:right="-82"/>
              <w:jc w:val="left"/>
              <w:rPr>
                <w:rFonts w:ascii="Arial Narrow" w:hAnsi="Arial Narrow" w:cs="Calibri"/>
                <w:b/>
                <w:color w:val="000000"/>
                <w:sz w:val="20"/>
                <w:szCs w:val="20"/>
              </w:rPr>
            </w:pPr>
            <w:r>
              <w:rPr>
                <w:rFonts w:ascii="Arial Narrow" w:hAnsi="Arial Narrow" w:cs="Calibri"/>
                <w:b/>
                <w:color w:val="000000"/>
                <w:sz w:val="20"/>
                <w:szCs w:val="20"/>
              </w:rPr>
              <w:t>July 2022 p</w:t>
            </w:r>
            <w:r w:rsidRPr="00CE6785">
              <w:rPr>
                <w:rFonts w:ascii="Arial Narrow" w:hAnsi="Arial Narrow" w:cs="Calibri"/>
                <w:b/>
                <w:color w:val="000000"/>
                <w:sz w:val="20"/>
                <w:szCs w:val="20"/>
              </w:rPr>
              <w:t>re-PBAC response</w:t>
            </w:r>
          </w:p>
        </w:tc>
      </w:tr>
      <w:tr w:rsidR="00E00F4A" w:rsidRPr="00CE6785" w14:paraId="360B8EF5"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8BA7C2"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Calibri"/>
                <w:bCs/>
                <w:sz w:val="20"/>
                <w:szCs w:val="20"/>
              </w:rPr>
              <w:t>Total scripts</w:t>
            </w:r>
          </w:p>
        </w:tc>
        <w:tc>
          <w:tcPr>
            <w:tcW w:w="5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DAFAE78" w14:textId="7E8B1AB7" w:rsidR="00E00F4A" w:rsidRPr="00CE6785" w:rsidRDefault="00D46576" w:rsidP="00EC502C">
            <w:pPr>
              <w:keepNext/>
              <w:keepLines/>
              <w:ind w:left="-65" w:right="-82"/>
              <w:jc w:val="center"/>
              <w:rPr>
                <w:rFonts w:ascii="Arial Narrow" w:hAnsi="Arial Narrow" w:cs="Calibri"/>
                <w:bCs/>
                <w:color w:val="000000"/>
                <w:sz w:val="20"/>
                <w:szCs w:val="20"/>
              </w:rPr>
            </w:pPr>
            <w:r w:rsidRPr="00D46576">
              <w:rPr>
                <w:rFonts w:ascii="Arial Narrow" w:hAnsi="Arial Narrow" w:cs="Calibri"/>
                <w:bCs/>
                <w:color w:val="000000"/>
                <w:spacing w:val="34"/>
                <w:sz w:val="20"/>
                <w:szCs w:val="20"/>
                <w:shd w:val="solid" w:color="000000" w:fill="000000"/>
                <w:fitText w:val="430" w:id="-1404819712"/>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430" w:id="-1404819712"/>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r w:rsidR="00E00F4A" w:rsidRPr="00CE6785">
              <w:rPr>
                <w:rFonts w:ascii="Arial Narrow" w:hAnsi="Arial Narrow" w:cs="Calibri"/>
                <w:bCs/>
                <w:color w:val="000000"/>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7C50823" w14:textId="0D06E7A6" w:rsidR="00E00F4A" w:rsidRPr="00CE6785" w:rsidRDefault="00D46576" w:rsidP="00EC502C">
            <w:pPr>
              <w:keepNext/>
              <w:keepLines/>
              <w:ind w:left="-65" w:right="-82"/>
              <w:jc w:val="center"/>
              <w:rPr>
                <w:rFonts w:ascii="Arial Narrow" w:hAnsi="Arial Narrow" w:cs="Calibri"/>
                <w:bCs/>
                <w:color w:val="000000"/>
                <w:sz w:val="20"/>
                <w:szCs w:val="20"/>
              </w:rPr>
            </w:pPr>
            <w:r w:rsidRPr="00D46576">
              <w:rPr>
                <w:rFonts w:ascii="Arial Narrow" w:hAnsi="Arial Narrow" w:cs="Calibri"/>
                <w:bCs/>
                <w:color w:val="000000"/>
                <w:spacing w:val="44"/>
                <w:sz w:val="20"/>
                <w:szCs w:val="20"/>
                <w:shd w:val="solid" w:color="000000" w:fill="000000"/>
                <w:fitText w:val="480" w:id="-1404819711"/>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480" w:id="-1404819711"/>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r w:rsidR="00E00F4A" w:rsidRPr="00CE6785">
              <w:rPr>
                <w:rFonts w:ascii="Arial Narrow" w:hAnsi="Arial Narrow" w:cs="Calibri"/>
                <w:bCs/>
                <w:color w:val="000000"/>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CD5F8B0" w14:textId="3CA524FD" w:rsidR="00E00F4A" w:rsidRPr="00CE6785" w:rsidRDefault="00D46576" w:rsidP="00EC502C">
            <w:pPr>
              <w:keepNext/>
              <w:keepLines/>
              <w:ind w:left="-65" w:right="-82"/>
              <w:jc w:val="center"/>
              <w:rPr>
                <w:rFonts w:ascii="Arial Narrow" w:hAnsi="Arial Narrow" w:cs="Calibri"/>
                <w:bCs/>
                <w:color w:val="000000"/>
                <w:sz w:val="20"/>
                <w:szCs w:val="20"/>
              </w:rPr>
            </w:pPr>
            <w:r w:rsidRPr="00D46576">
              <w:rPr>
                <w:rFonts w:ascii="Arial Narrow" w:hAnsi="Arial Narrow" w:cs="Calibri"/>
                <w:bCs/>
                <w:color w:val="000000"/>
                <w:spacing w:val="44"/>
                <w:sz w:val="20"/>
                <w:szCs w:val="20"/>
                <w:shd w:val="solid" w:color="000000" w:fill="000000"/>
                <w:fitText w:val="480" w:id="-1404819710"/>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480" w:id="-1404819710"/>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r w:rsidR="00E00F4A" w:rsidRPr="00CE6785">
              <w:rPr>
                <w:rFonts w:ascii="Arial Narrow" w:hAnsi="Arial Narrow" w:cs="Calibri"/>
                <w:bCs/>
                <w:color w:val="000000"/>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7B246D6" w14:textId="1310E653" w:rsidR="00E00F4A" w:rsidRPr="00CE6785" w:rsidRDefault="00D46576" w:rsidP="00EC502C">
            <w:pPr>
              <w:keepNext/>
              <w:keepLines/>
              <w:ind w:left="-65" w:right="-82"/>
              <w:jc w:val="center"/>
              <w:rPr>
                <w:rFonts w:ascii="Arial Narrow" w:hAnsi="Arial Narrow" w:cs="Calibri"/>
                <w:bCs/>
                <w:color w:val="000000"/>
                <w:sz w:val="20"/>
                <w:szCs w:val="20"/>
              </w:rPr>
            </w:pPr>
            <w:r w:rsidRPr="00D46576">
              <w:rPr>
                <w:rFonts w:ascii="Arial Narrow" w:hAnsi="Arial Narrow" w:cs="Calibri"/>
                <w:bCs/>
                <w:color w:val="000000"/>
                <w:spacing w:val="44"/>
                <w:sz w:val="20"/>
                <w:szCs w:val="20"/>
                <w:shd w:val="solid" w:color="000000" w:fill="000000"/>
                <w:fitText w:val="480" w:id="-1404819709"/>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480" w:id="-1404819709"/>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r w:rsidR="00E00F4A" w:rsidRPr="00CE6785">
              <w:rPr>
                <w:rFonts w:ascii="Arial Narrow" w:hAnsi="Arial Narrow" w:cs="Calibri"/>
                <w:bCs/>
                <w:color w:val="000000"/>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D5463D8" w14:textId="2229115F" w:rsidR="00E00F4A" w:rsidRPr="00CE6785" w:rsidRDefault="00D46576" w:rsidP="00EC502C">
            <w:pPr>
              <w:keepNext/>
              <w:keepLines/>
              <w:ind w:left="-65" w:right="-82"/>
              <w:jc w:val="center"/>
              <w:rPr>
                <w:rFonts w:ascii="Arial Narrow" w:hAnsi="Arial Narrow" w:cs="Calibri"/>
                <w:bCs/>
                <w:color w:val="000000"/>
                <w:sz w:val="20"/>
                <w:szCs w:val="20"/>
              </w:rPr>
            </w:pPr>
            <w:r w:rsidRPr="00D46576">
              <w:rPr>
                <w:rFonts w:ascii="Arial Narrow" w:hAnsi="Arial Narrow" w:cs="Calibri"/>
                <w:bCs/>
                <w:color w:val="000000"/>
                <w:spacing w:val="44"/>
                <w:sz w:val="20"/>
                <w:szCs w:val="20"/>
                <w:shd w:val="solid" w:color="000000" w:fill="000000"/>
                <w:fitText w:val="480" w:id="-1404819708"/>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480" w:id="-1404819708"/>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r w:rsidR="00E00F4A" w:rsidRPr="00CE6785">
              <w:rPr>
                <w:rFonts w:ascii="Arial Narrow" w:hAnsi="Arial Narrow" w:cs="Calibri"/>
                <w:bCs/>
                <w:color w:val="000000"/>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9874915" w14:textId="4F3FDF99" w:rsidR="00E00F4A" w:rsidRPr="00CE6785" w:rsidRDefault="00D46576" w:rsidP="00EC502C">
            <w:pPr>
              <w:keepNext/>
              <w:keepLines/>
              <w:ind w:left="-65" w:right="-82"/>
              <w:jc w:val="center"/>
              <w:rPr>
                <w:rFonts w:ascii="Arial Narrow" w:hAnsi="Arial Narrow" w:cs="Calibri"/>
                <w:bCs/>
                <w:color w:val="000000"/>
                <w:sz w:val="20"/>
                <w:szCs w:val="20"/>
              </w:rPr>
            </w:pPr>
            <w:r w:rsidRPr="00D46576">
              <w:rPr>
                <w:rFonts w:ascii="Arial Narrow" w:hAnsi="Arial Narrow" w:cs="Calibri"/>
                <w:bCs/>
                <w:color w:val="000000"/>
                <w:spacing w:val="44"/>
                <w:sz w:val="20"/>
                <w:szCs w:val="20"/>
                <w:shd w:val="solid" w:color="000000" w:fill="000000"/>
                <w:fitText w:val="480" w:id="-1404819707"/>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480" w:id="-1404819707"/>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r w:rsidR="00E00F4A" w:rsidRPr="00CE6785">
              <w:rPr>
                <w:rFonts w:ascii="Arial Narrow" w:hAnsi="Arial Narrow" w:cs="Calibri"/>
                <w:bCs/>
                <w:color w:val="000000"/>
                <w:sz w:val="20"/>
                <w:szCs w:val="20"/>
              </w:rPr>
              <w:t xml:space="preserve"> </w:t>
            </w:r>
          </w:p>
        </w:tc>
      </w:tr>
      <w:tr w:rsidR="00E00F4A" w:rsidRPr="00CE6785" w14:paraId="733150C6"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4782F28"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Times New Roman"/>
                <w:b/>
                <w:sz w:val="20"/>
                <w:szCs w:val="20"/>
              </w:rPr>
              <w:t xml:space="preserve">Total cost of ruxolitinib to the PBS/RPBS </w:t>
            </w:r>
            <w:r>
              <w:rPr>
                <w:rFonts w:ascii="Arial Narrow" w:hAnsi="Arial Narrow" w:cs="Times New Roman"/>
                <w:b/>
                <w:sz w:val="20"/>
                <w:szCs w:val="20"/>
              </w:rPr>
              <w:t>(less copayment)</w:t>
            </w:r>
          </w:p>
        </w:tc>
        <w:tc>
          <w:tcPr>
            <w:tcW w:w="5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B60FC9" w14:textId="32D39CC0"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32"/>
                <w:sz w:val="20"/>
                <w:szCs w:val="20"/>
                <w:shd w:val="solid" w:color="000000" w:fill="000000"/>
                <w:fitText w:val="440" w:id="-1404819706"/>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40" w:id="-1404819706"/>
                <w14:textFill>
                  <w14:solidFill>
                    <w14:srgbClr w14:val="000000">
                      <w14:alpha w14:val="100000"/>
                    </w14:srgbClr>
                  </w14:solidFill>
                </w14:textFill>
              </w:rPr>
              <w:t>|</w:t>
            </w:r>
            <w:r w:rsidR="006E7317">
              <w:rPr>
                <w:rFonts w:ascii="Arial Narrow" w:hAnsi="Arial Narrow"/>
                <w:bCs/>
                <w:color w:val="000000"/>
                <w:sz w:val="20"/>
                <w:szCs w:val="20"/>
                <w:vertAlign w:val="superscript"/>
              </w:rPr>
              <w:t>3</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0886E69" w14:textId="582861AD"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42"/>
                <w:sz w:val="20"/>
                <w:szCs w:val="20"/>
                <w:shd w:val="solid" w:color="000000" w:fill="000000"/>
                <w:fitText w:val="490" w:id="-1404819705"/>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5"/>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006433" w14:textId="1310F589"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42"/>
                <w:sz w:val="20"/>
                <w:szCs w:val="20"/>
                <w:shd w:val="solid" w:color="000000" w:fill="000000"/>
                <w:fitText w:val="490" w:id="-1404819704"/>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4"/>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310B8E4" w14:textId="4BF5BF45"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42"/>
                <w:sz w:val="20"/>
                <w:szCs w:val="20"/>
                <w:shd w:val="solid" w:color="000000" w:fill="000000"/>
                <w:fitText w:val="490" w:id="-1404819703"/>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3"/>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91E94C" w14:textId="339F37D4"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42"/>
                <w:sz w:val="20"/>
                <w:szCs w:val="20"/>
                <w:shd w:val="solid" w:color="000000" w:fill="000000"/>
                <w:fitText w:val="490" w:id="-1404819702"/>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2"/>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FAFB7F6" w14:textId="43CDFC09"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42"/>
                <w:sz w:val="20"/>
                <w:szCs w:val="20"/>
                <w:shd w:val="solid" w:color="000000" w:fill="000000"/>
                <w:fitText w:val="490" w:id="-1404819701"/>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1"/>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r>
      <w:tr w:rsidR="00E00F4A" w:rsidRPr="00CE6785" w14:paraId="0BFCCDBC"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F4B829" w14:textId="77777777" w:rsidR="00E00F4A" w:rsidRPr="00CE6785" w:rsidRDefault="00E00F4A" w:rsidP="00EC502C">
            <w:pPr>
              <w:keepNext/>
              <w:keepLines/>
              <w:tabs>
                <w:tab w:val="right" w:pos="3513"/>
              </w:tabs>
              <w:ind w:left="-57" w:right="-68"/>
              <w:jc w:val="left"/>
              <w:rPr>
                <w:rFonts w:ascii="Arial Narrow" w:hAnsi="Arial Narrow" w:cs="Times New Roman"/>
                <w:bCs/>
                <w:sz w:val="20"/>
                <w:szCs w:val="20"/>
              </w:rPr>
            </w:pPr>
            <w:r w:rsidRPr="00CE6785">
              <w:rPr>
                <w:rFonts w:ascii="Arial Narrow" w:hAnsi="Arial Narrow" w:cs="Times New Roman"/>
                <w:bCs/>
                <w:sz w:val="20"/>
                <w:szCs w:val="20"/>
              </w:rPr>
              <w:t>Net cost to the PBS/RPBS (including offsets)</w:t>
            </w:r>
          </w:p>
        </w:tc>
        <w:tc>
          <w:tcPr>
            <w:tcW w:w="5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849DD07" w14:textId="234009C3"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Cs/>
                <w:color w:val="000000"/>
                <w:sz w:val="20"/>
                <w:szCs w:val="20"/>
              </w:rPr>
              <w:t>$</w:t>
            </w:r>
            <w:r w:rsidR="00D46576" w:rsidRPr="00D46576">
              <w:rPr>
                <w:rFonts w:ascii="Arial Narrow" w:hAnsi="Arial Narrow"/>
                <w:bCs/>
                <w:color w:val="000000"/>
                <w:spacing w:val="44"/>
                <w:sz w:val="20"/>
                <w:szCs w:val="20"/>
                <w:shd w:val="solid" w:color="000000" w:fill="000000"/>
                <w:fitText w:val="480" w:id="-1404819700"/>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480" w:id="-1404819700"/>
                <w14:textFill>
                  <w14:solidFill>
                    <w14:srgbClr w14:val="000000">
                      <w14:alpha w14:val="100000"/>
                    </w14:srgbClr>
                  </w14:solidFill>
                </w14:textFill>
              </w:rPr>
              <w:t>|</w:t>
            </w:r>
            <w:r w:rsidR="006E7317">
              <w:rPr>
                <w:rFonts w:ascii="Arial Narrow" w:hAnsi="Arial Narrow"/>
                <w:bCs/>
                <w:color w:val="000000"/>
                <w:sz w:val="20"/>
                <w:szCs w:val="20"/>
                <w:vertAlign w:val="superscript"/>
              </w:rPr>
              <w:t>3</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4B1311B" w14:textId="1C816F24"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Cs/>
                <w:color w:val="000000"/>
                <w:sz w:val="20"/>
                <w:szCs w:val="20"/>
              </w:rPr>
              <w:t>$</w:t>
            </w:r>
            <w:r w:rsidR="00D46576" w:rsidRPr="00D46576">
              <w:rPr>
                <w:rFonts w:ascii="Arial Narrow" w:hAnsi="Arial Narrow"/>
                <w:bCs/>
                <w:color w:val="000000"/>
                <w:spacing w:val="52"/>
                <w:sz w:val="20"/>
                <w:szCs w:val="20"/>
                <w:shd w:val="solid" w:color="000000" w:fill="000000"/>
                <w:fitText w:val="520" w:id="-1404819699"/>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520" w:id="-1404819699"/>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CB5B14D" w14:textId="504AB837"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Cs/>
                <w:color w:val="000000"/>
                <w:sz w:val="20"/>
                <w:szCs w:val="20"/>
              </w:rPr>
              <w:t>$</w:t>
            </w:r>
            <w:r w:rsidR="00D46576" w:rsidRPr="00D46576">
              <w:rPr>
                <w:rFonts w:ascii="Arial Narrow" w:hAnsi="Arial Narrow"/>
                <w:bCs/>
                <w:color w:val="000000"/>
                <w:spacing w:val="52"/>
                <w:sz w:val="20"/>
                <w:szCs w:val="20"/>
                <w:shd w:val="solid" w:color="000000" w:fill="000000"/>
                <w:fitText w:val="520" w:id="-1404819698"/>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520" w:id="-1404819698"/>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15F9E4E" w14:textId="1A973E14"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Cs/>
                <w:color w:val="000000"/>
                <w:sz w:val="20"/>
                <w:szCs w:val="20"/>
              </w:rPr>
              <w:t>$</w:t>
            </w:r>
            <w:r w:rsidR="00D46576" w:rsidRPr="00D46576">
              <w:rPr>
                <w:rFonts w:ascii="Arial Narrow" w:hAnsi="Arial Narrow"/>
                <w:bCs/>
                <w:color w:val="000000"/>
                <w:spacing w:val="52"/>
                <w:sz w:val="20"/>
                <w:szCs w:val="20"/>
                <w:shd w:val="solid" w:color="000000" w:fill="000000"/>
                <w:fitText w:val="520" w:id="-1404819697"/>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520" w:id="-1404819697"/>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48ED2D" w14:textId="309F20EB"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Cs/>
                <w:color w:val="000000"/>
                <w:sz w:val="20"/>
                <w:szCs w:val="20"/>
              </w:rPr>
              <w:t>$</w:t>
            </w:r>
            <w:r w:rsidR="00D46576" w:rsidRPr="00D46576">
              <w:rPr>
                <w:rFonts w:ascii="Arial Narrow" w:hAnsi="Arial Narrow"/>
                <w:bCs/>
                <w:color w:val="000000"/>
                <w:spacing w:val="52"/>
                <w:sz w:val="20"/>
                <w:szCs w:val="20"/>
                <w:shd w:val="solid" w:color="000000" w:fill="000000"/>
                <w:fitText w:val="520" w:id="-1404819696"/>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520" w:id="-1404819696"/>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BFC531" w14:textId="0956B7A0"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Cs/>
                <w:color w:val="000000"/>
                <w:sz w:val="20"/>
                <w:szCs w:val="20"/>
              </w:rPr>
              <w:t>$</w:t>
            </w:r>
            <w:r w:rsidR="00D46576" w:rsidRPr="00D46576">
              <w:rPr>
                <w:rFonts w:ascii="Arial Narrow" w:hAnsi="Arial Narrow"/>
                <w:bCs/>
                <w:color w:val="000000"/>
                <w:spacing w:val="52"/>
                <w:sz w:val="20"/>
                <w:szCs w:val="20"/>
                <w:shd w:val="solid" w:color="000000" w:fill="000000"/>
                <w:fitText w:val="520" w:id="-1404819712"/>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520" w:id="-1404819712"/>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r>
      <w:tr w:rsidR="00E00F4A" w:rsidRPr="00CE6785" w14:paraId="0FA11472"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C6D4C1B"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Times New Roman"/>
                <w:bCs/>
                <w:sz w:val="20"/>
                <w:szCs w:val="20"/>
              </w:rPr>
              <w:t xml:space="preserve">Cost to MBS </w:t>
            </w:r>
          </w:p>
        </w:tc>
        <w:tc>
          <w:tcPr>
            <w:tcW w:w="5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80DAB76" w14:textId="5520576C" w:rsidR="00E00F4A" w:rsidRPr="00123032"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46"/>
                <w:sz w:val="20"/>
                <w:szCs w:val="20"/>
                <w:shd w:val="solid" w:color="000000" w:fill="000000"/>
                <w:fitText w:val="490" w:id="-1404819711"/>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490" w:id="-1404819711"/>
                <w14:textFill>
                  <w14:solidFill>
                    <w14:srgbClr w14:val="000000">
                      <w14:alpha w14:val="100000"/>
                    </w14:srgbClr>
                  </w14:solidFill>
                </w14:textFill>
              </w:rPr>
              <w:t>|</w:t>
            </w:r>
            <w:r w:rsidR="006E7317">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F7786E4" w14:textId="17E19F29" w:rsidR="00E00F4A" w:rsidRPr="00123032"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29"/>
                <w:sz w:val="20"/>
                <w:szCs w:val="20"/>
                <w:shd w:val="solid" w:color="000000" w:fill="000000"/>
                <w:fitText w:val="550" w:id="-1404819710"/>
                <w14:textFill>
                  <w14:solidFill>
                    <w14:srgbClr w14:val="000000">
                      <w14:alpha w14:val="100000"/>
                    </w14:srgbClr>
                  </w14:solidFill>
                </w14:textFill>
              </w:rPr>
              <w:t>|||||||</w:t>
            </w:r>
            <w:r w:rsidR="00D46576" w:rsidRPr="00D46576">
              <w:rPr>
                <w:rFonts w:ascii="Arial Narrow" w:hAnsi="Arial Narrow"/>
                <w:bCs/>
                <w:color w:val="000000"/>
                <w:spacing w:val="7"/>
                <w:sz w:val="20"/>
                <w:szCs w:val="20"/>
                <w:shd w:val="solid" w:color="000000" w:fill="000000"/>
                <w:fitText w:val="550" w:id="-1404819710"/>
                <w14:textFill>
                  <w14:solidFill>
                    <w14:srgbClr w14:val="000000">
                      <w14:alpha w14:val="100000"/>
                    </w14:srgbClr>
                  </w14:solidFill>
                </w14:textFill>
              </w:rPr>
              <w:t>|</w:t>
            </w:r>
            <w:r w:rsidR="006E7317">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7E9511" w14:textId="1E217DC7" w:rsidR="00E00F4A" w:rsidRPr="00123032"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29"/>
                <w:sz w:val="20"/>
                <w:szCs w:val="20"/>
                <w:shd w:val="solid" w:color="000000" w:fill="000000"/>
                <w:fitText w:val="550" w:id="-1404819709"/>
                <w14:textFill>
                  <w14:solidFill>
                    <w14:srgbClr w14:val="000000">
                      <w14:alpha w14:val="100000"/>
                    </w14:srgbClr>
                  </w14:solidFill>
                </w14:textFill>
              </w:rPr>
              <w:t>|||||||</w:t>
            </w:r>
            <w:r w:rsidR="00D46576" w:rsidRPr="00D46576">
              <w:rPr>
                <w:rFonts w:ascii="Arial Narrow" w:hAnsi="Arial Narrow"/>
                <w:bCs/>
                <w:color w:val="000000"/>
                <w:spacing w:val="7"/>
                <w:sz w:val="20"/>
                <w:szCs w:val="20"/>
                <w:shd w:val="solid" w:color="000000" w:fill="000000"/>
                <w:fitText w:val="550" w:id="-1404819709"/>
                <w14:textFill>
                  <w14:solidFill>
                    <w14:srgbClr w14:val="000000">
                      <w14:alpha w14:val="100000"/>
                    </w14:srgbClr>
                  </w14:solidFill>
                </w14:textFill>
              </w:rPr>
              <w:t>|</w:t>
            </w:r>
            <w:r w:rsidR="006E7317">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E29AEE0" w14:textId="420366D6" w:rsidR="00E00F4A" w:rsidRPr="00123032"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29"/>
                <w:sz w:val="20"/>
                <w:szCs w:val="20"/>
                <w:shd w:val="solid" w:color="000000" w:fill="000000"/>
                <w:fitText w:val="550" w:id="-1404819708"/>
                <w14:textFill>
                  <w14:solidFill>
                    <w14:srgbClr w14:val="000000">
                      <w14:alpha w14:val="100000"/>
                    </w14:srgbClr>
                  </w14:solidFill>
                </w14:textFill>
              </w:rPr>
              <w:t>|||||||</w:t>
            </w:r>
            <w:r w:rsidR="00D46576" w:rsidRPr="00D46576">
              <w:rPr>
                <w:rFonts w:ascii="Arial Narrow" w:hAnsi="Arial Narrow"/>
                <w:bCs/>
                <w:color w:val="000000"/>
                <w:spacing w:val="7"/>
                <w:sz w:val="20"/>
                <w:szCs w:val="20"/>
                <w:shd w:val="solid" w:color="000000" w:fill="000000"/>
                <w:fitText w:val="550" w:id="-1404819708"/>
                <w14:textFill>
                  <w14:solidFill>
                    <w14:srgbClr w14:val="000000">
                      <w14:alpha w14:val="100000"/>
                    </w14:srgbClr>
                  </w14:solidFill>
                </w14:textFill>
              </w:rPr>
              <w:t>|</w:t>
            </w:r>
            <w:r w:rsidR="006E7317">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026B166" w14:textId="35BF07C8" w:rsidR="00E00F4A" w:rsidRPr="00123032"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29"/>
                <w:sz w:val="20"/>
                <w:szCs w:val="20"/>
                <w:shd w:val="solid" w:color="000000" w:fill="000000"/>
                <w:fitText w:val="550" w:id="-1404819707"/>
                <w14:textFill>
                  <w14:solidFill>
                    <w14:srgbClr w14:val="000000">
                      <w14:alpha w14:val="100000"/>
                    </w14:srgbClr>
                  </w14:solidFill>
                </w14:textFill>
              </w:rPr>
              <w:t>|||||||</w:t>
            </w:r>
            <w:r w:rsidR="00D46576" w:rsidRPr="00D46576">
              <w:rPr>
                <w:rFonts w:ascii="Arial Narrow" w:hAnsi="Arial Narrow"/>
                <w:bCs/>
                <w:color w:val="000000"/>
                <w:spacing w:val="7"/>
                <w:sz w:val="20"/>
                <w:szCs w:val="20"/>
                <w:shd w:val="solid" w:color="000000" w:fill="000000"/>
                <w:fitText w:val="550" w:id="-1404819707"/>
                <w14:textFill>
                  <w14:solidFill>
                    <w14:srgbClr w14:val="000000">
                      <w14:alpha w14:val="100000"/>
                    </w14:srgbClr>
                  </w14:solidFill>
                </w14:textFill>
              </w:rPr>
              <w:t>|</w:t>
            </w:r>
            <w:r w:rsidR="006E7317">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77070B8" w14:textId="0DE54DA1" w:rsidR="00E00F4A" w:rsidRPr="00123032"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29"/>
                <w:sz w:val="20"/>
                <w:szCs w:val="20"/>
                <w:shd w:val="solid" w:color="000000" w:fill="000000"/>
                <w:fitText w:val="550" w:id="-1404819706"/>
                <w14:textFill>
                  <w14:solidFill>
                    <w14:srgbClr w14:val="000000">
                      <w14:alpha w14:val="100000"/>
                    </w14:srgbClr>
                  </w14:solidFill>
                </w14:textFill>
              </w:rPr>
              <w:t>|||||||</w:t>
            </w:r>
            <w:r w:rsidR="00D46576" w:rsidRPr="00D46576">
              <w:rPr>
                <w:rFonts w:ascii="Arial Narrow" w:hAnsi="Arial Narrow"/>
                <w:bCs/>
                <w:color w:val="000000"/>
                <w:spacing w:val="7"/>
                <w:sz w:val="20"/>
                <w:szCs w:val="20"/>
                <w:shd w:val="solid" w:color="000000" w:fill="000000"/>
                <w:fitText w:val="550" w:id="-1404819706"/>
                <w14:textFill>
                  <w14:solidFill>
                    <w14:srgbClr w14:val="000000">
                      <w14:alpha w14:val="100000"/>
                    </w14:srgbClr>
                  </w14:solidFill>
                </w14:textFill>
              </w:rPr>
              <w:t>|</w:t>
            </w:r>
            <w:r w:rsidR="006E7317">
              <w:rPr>
                <w:rFonts w:ascii="Arial Narrow" w:hAnsi="Arial Narrow"/>
                <w:bCs/>
                <w:sz w:val="20"/>
                <w:szCs w:val="20"/>
                <w:vertAlign w:val="superscript"/>
              </w:rPr>
              <w:t>2</w:t>
            </w:r>
          </w:p>
        </w:tc>
      </w:tr>
      <w:tr w:rsidR="00E00F4A" w:rsidRPr="00CE6785" w14:paraId="7511777A"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19A0579"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Times New Roman"/>
                <w:b/>
                <w:sz w:val="20"/>
                <w:szCs w:val="20"/>
              </w:rPr>
              <w:t>Total net cost to R/PBS + MBS</w:t>
            </w:r>
          </w:p>
        </w:tc>
        <w:tc>
          <w:tcPr>
            <w:tcW w:w="5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D0C54D" w14:textId="3AC2026C" w:rsidR="00E00F4A" w:rsidRPr="00123032" w:rsidRDefault="00E00F4A" w:rsidP="00EC502C">
            <w:pPr>
              <w:keepNext/>
              <w:keepLines/>
              <w:ind w:left="-65" w:right="-82"/>
              <w:jc w:val="center"/>
              <w:rPr>
                <w:rFonts w:ascii="Arial Narrow" w:hAnsi="Arial Narrow"/>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32"/>
                <w:sz w:val="20"/>
                <w:szCs w:val="20"/>
                <w:shd w:val="solid" w:color="000000" w:fill="000000"/>
                <w:fitText w:val="440" w:id="-1404819705"/>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40" w:id="-1404819705"/>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02E0CB6" w14:textId="360BCD83" w:rsidR="00E00F4A" w:rsidRPr="00123032" w:rsidRDefault="00E00F4A" w:rsidP="00EC502C">
            <w:pPr>
              <w:keepNext/>
              <w:keepLines/>
              <w:ind w:left="-65" w:right="-82"/>
              <w:jc w:val="center"/>
              <w:rPr>
                <w:rFonts w:ascii="Arial Narrow" w:hAnsi="Arial Narrow"/>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42"/>
                <w:sz w:val="20"/>
                <w:szCs w:val="20"/>
                <w:shd w:val="solid" w:color="000000" w:fill="000000"/>
                <w:fitText w:val="490" w:id="-1404819704"/>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4"/>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AA9821" w14:textId="2EBFB2E0" w:rsidR="00E00F4A" w:rsidRPr="00123032" w:rsidRDefault="00E00F4A" w:rsidP="00EC502C">
            <w:pPr>
              <w:keepNext/>
              <w:keepLines/>
              <w:ind w:left="-65" w:right="-82"/>
              <w:jc w:val="center"/>
              <w:rPr>
                <w:rFonts w:ascii="Arial Narrow" w:hAnsi="Arial Narrow"/>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42"/>
                <w:sz w:val="20"/>
                <w:szCs w:val="20"/>
                <w:shd w:val="solid" w:color="000000" w:fill="000000"/>
                <w:fitText w:val="490" w:id="-1404819703"/>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3"/>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89B071F" w14:textId="3B384F78" w:rsidR="00E00F4A" w:rsidRPr="00123032" w:rsidRDefault="00E00F4A" w:rsidP="00EC502C">
            <w:pPr>
              <w:keepNext/>
              <w:keepLines/>
              <w:ind w:left="-65" w:right="-82"/>
              <w:jc w:val="center"/>
              <w:rPr>
                <w:rFonts w:ascii="Arial Narrow" w:hAnsi="Arial Narrow"/>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42"/>
                <w:sz w:val="20"/>
                <w:szCs w:val="20"/>
                <w:shd w:val="solid" w:color="000000" w:fill="000000"/>
                <w:fitText w:val="490" w:id="-1404819702"/>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2"/>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E6D27FF" w14:textId="0F5BAA97" w:rsidR="00E00F4A" w:rsidRPr="00123032" w:rsidRDefault="00E00F4A" w:rsidP="00EC502C">
            <w:pPr>
              <w:keepNext/>
              <w:keepLines/>
              <w:ind w:left="-65" w:right="-82"/>
              <w:jc w:val="center"/>
              <w:rPr>
                <w:rFonts w:ascii="Arial Narrow" w:hAnsi="Arial Narrow"/>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42"/>
                <w:sz w:val="20"/>
                <w:szCs w:val="20"/>
                <w:shd w:val="solid" w:color="000000" w:fill="000000"/>
                <w:fitText w:val="490" w:id="-1404819701"/>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1"/>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A445AA" w14:textId="01E4252F" w:rsidR="00E00F4A" w:rsidRPr="00123032" w:rsidRDefault="00E00F4A" w:rsidP="00EC502C">
            <w:pPr>
              <w:keepNext/>
              <w:keepLines/>
              <w:ind w:left="-65" w:right="-82"/>
              <w:jc w:val="center"/>
              <w:rPr>
                <w:rFonts w:ascii="Arial Narrow" w:hAnsi="Arial Narrow"/>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42"/>
                <w:sz w:val="20"/>
                <w:szCs w:val="20"/>
                <w:shd w:val="solid" w:color="000000" w:fill="000000"/>
                <w:fitText w:val="490" w:id="-1404819700"/>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0"/>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r>
    </w:tbl>
    <w:p w14:paraId="3A2172BD" w14:textId="4B128174" w:rsidR="00E00F4A" w:rsidRPr="00CE6785" w:rsidRDefault="00E00F4A" w:rsidP="00E00F4A">
      <w:pPr>
        <w:keepNext/>
        <w:keepLines/>
        <w:snapToGrid w:val="0"/>
        <w:spacing w:after="120"/>
        <w:contextualSpacing/>
        <w:rPr>
          <w:rFonts w:ascii="Arial Narrow" w:hAnsi="Arial Narrow"/>
          <w:sz w:val="18"/>
          <w:szCs w:val="22"/>
        </w:rPr>
      </w:pPr>
      <w:r w:rsidRPr="00CE6785">
        <w:rPr>
          <w:rFonts w:ascii="Arial Narrow" w:hAnsi="Arial Narrow"/>
          <w:sz w:val="18"/>
          <w:szCs w:val="22"/>
        </w:rPr>
        <w:t xml:space="preserve">Source: Table 22 of July 2022 </w:t>
      </w:r>
      <w:r w:rsidR="006E7317">
        <w:rPr>
          <w:rFonts w:ascii="Arial Narrow" w:hAnsi="Arial Narrow"/>
          <w:sz w:val="18"/>
          <w:szCs w:val="22"/>
        </w:rPr>
        <w:t>PSD</w:t>
      </w:r>
      <w:r w:rsidRPr="00CE6785">
        <w:rPr>
          <w:rFonts w:ascii="Arial Narrow" w:hAnsi="Arial Narrow"/>
          <w:sz w:val="18"/>
          <w:szCs w:val="22"/>
        </w:rPr>
        <w:t>; worksheet ‘SR-cGVHD – UCM – Post PBAC – Aug 2022.xlsx’</w:t>
      </w:r>
    </w:p>
    <w:p w14:paraId="303B9A66" w14:textId="3CD8CA68" w:rsidR="00E00F4A" w:rsidRDefault="00E00F4A" w:rsidP="00E00F4A">
      <w:pPr>
        <w:keepNext/>
        <w:keepLines/>
        <w:snapToGrid w:val="0"/>
        <w:spacing w:after="120"/>
        <w:contextualSpacing/>
        <w:rPr>
          <w:rFonts w:ascii="Arial Narrow" w:hAnsi="Arial Narrow"/>
          <w:sz w:val="18"/>
          <w:szCs w:val="22"/>
        </w:rPr>
      </w:pPr>
      <w:r w:rsidRPr="00CE6785">
        <w:rPr>
          <w:rFonts w:ascii="Arial Narrow" w:hAnsi="Arial Narrow"/>
          <w:sz w:val="18"/>
          <w:szCs w:val="22"/>
        </w:rPr>
        <w:t>Abbreviations: cGVHD, chronic graft versus host disease.</w:t>
      </w:r>
    </w:p>
    <w:p w14:paraId="63D9CCE6" w14:textId="35967A95" w:rsidR="004A5550" w:rsidRDefault="004A5550" w:rsidP="00E00F4A">
      <w:pPr>
        <w:keepNext/>
        <w:keepLines/>
        <w:snapToGrid w:val="0"/>
        <w:spacing w:after="120"/>
        <w:contextualSpacing/>
        <w:rPr>
          <w:rFonts w:ascii="Arial Narrow" w:hAnsi="Arial Narrow"/>
          <w:sz w:val="18"/>
          <w:szCs w:val="22"/>
        </w:rPr>
      </w:pPr>
    </w:p>
    <w:p w14:paraId="68E9769A" w14:textId="37E9670B" w:rsidR="004A5550" w:rsidRDefault="004A5550" w:rsidP="00E00F4A">
      <w:pPr>
        <w:keepNext/>
        <w:keepLines/>
        <w:snapToGrid w:val="0"/>
        <w:spacing w:after="120"/>
        <w:contextualSpacing/>
        <w:rPr>
          <w:rFonts w:ascii="Arial Narrow" w:hAnsi="Arial Narrow"/>
          <w:i/>
          <w:sz w:val="18"/>
          <w:szCs w:val="18"/>
        </w:rPr>
      </w:pPr>
      <w:r w:rsidRPr="009A6D58">
        <w:rPr>
          <w:rFonts w:ascii="Arial Narrow" w:hAnsi="Arial Narrow"/>
          <w:i/>
          <w:sz w:val="18"/>
          <w:szCs w:val="18"/>
        </w:rPr>
        <w:t>The redacted values correspond to the following ranges:</w:t>
      </w:r>
    </w:p>
    <w:p w14:paraId="1022E24C" w14:textId="0F47CD83" w:rsidR="004A5550" w:rsidRDefault="004A5550" w:rsidP="00E00F4A">
      <w:pPr>
        <w:keepNext/>
        <w:keepLines/>
        <w:snapToGrid w:val="0"/>
        <w:spacing w:after="120"/>
        <w:contextualSpacing/>
        <w:rPr>
          <w:rFonts w:ascii="Arial Narrow" w:eastAsia="Calibri" w:hAnsi="Arial Narrow" w:cs="Times New Roman"/>
          <w:sz w:val="18"/>
          <w:szCs w:val="18"/>
          <w:lang w:eastAsia="en-US"/>
        </w:rPr>
      </w:pPr>
      <w:r>
        <w:rPr>
          <w:rFonts w:ascii="Arial Narrow" w:eastAsia="Calibri" w:hAnsi="Arial Narrow" w:cs="Times New Roman"/>
          <w:sz w:val="18"/>
          <w:szCs w:val="18"/>
          <w:vertAlign w:val="superscript"/>
          <w:lang w:eastAsia="en-US"/>
        </w:rPr>
        <w:t>1</w:t>
      </w:r>
      <w:r w:rsidRPr="00123032">
        <w:rPr>
          <w:rFonts w:ascii="Arial Narrow" w:eastAsia="Calibri" w:hAnsi="Arial Narrow" w:cs="Times New Roman"/>
          <w:sz w:val="18"/>
          <w:szCs w:val="18"/>
          <w:lang w:eastAsia="en-US"/>
        </w:rPr>
        <w:t>500 to &lt; 5,000</w:t>
      </w:r>
    </w:p>
    <w:p w14:paraId="50A3CB71" w14:textId="16E54596" w:rsidR="004A5550" w:rsidRDefault="004A5550" w:rsidP="00E00F4A">
      <w:pPr>
        <w:keepNext/>
        <w:keepLines/>
        <w:snapToGrid w:val="0"/>
        <w:spacing w:after="120"/>
        <w:contextualSpacing/>
        <w:rPr>
          <w:rFonts w:ascii="Arial Narrow" w:eastAsia="Calibri" w:hAnsi="Arial Narrow" w:cs="Times New Roman"/>
          <w:sz w:val="18"/>
          <w:szCs w:val="18"/>
          <w:lang w:eastAsia="en-US"/>
        </w:rPr>
      </w:pPr>
      <w:r>
        <w:rPr>
          <w:rFonts w:ascii="Arial Narrow" w:eastAsia="Calibri" w:hAnsi="Arial Narrow" w:cs="Times New Roman"/>
          <w:sz w:val="18"/>
          <w:szCs w:val="18"/>
          <w:vertAlign w:val="superscript"/>
          <w:lang w:eastAsia="en-US"/>
        </w:rPr>
        <w:t>2</w:t>
      </w:r>
      <w:r w:rsidRPr="004A5550">
        <w:rPr>
          <w:rFonts w:ascii="Arial Narrow" w:eastAsia="Calibri" w:hAnsi="Arial Narrow" w:cs="Times New Roman"/>
          <w:sz w:val="18"/>
          <w:szCs w:val="18"/>
          <w:lang w:eastAsia="en-US"/>
        </w:rPr>
        <w:t>$0 to &lt; $10 million</w:t>
      </w:r>
    </w:p>
    <w:p w14:paraId="74AB3CCB" w14:textId="34F0D6E8" w:rsidR="006E7317" w:rsidRPr="00123032" w:rsidRDefault="006E7317" w:rsidP="00E00F4A">
      <w:pPr>
        <w:keepNext/>
        <w:keepLines/>
        <w:snapToGrid w:val="0"/>
        <w:spacing w:after="120"/>
        <w:contextualSpacing/>
        <w:rPr>
          <w:rFonts w:ascii="Arial Narrow" w:eastAsia="Calibri" w:hAnsi="Arial Narrow" w:cs="Times New Roman"/>
          <w:sz w:val="18"/>
          <w:szCs w:val="18"/>
          <w:lang w:eastAsia="en-US"/>
        </w:rPr>
      </w:pPr>
      <w:r>
        <w:rPr>
          <w:rFonts w:ascii="Arial Narrow" w:eastAsia="Calibri" w:hAnsi="Arial Narrow" w:cs="Times New Roman"/>
          <w:sz w:val="18"/>
          <w:szCs w:val="18"/>
          <w:vertAlign w:val="superscript"/>
          <w:lang w:eastAsia="en-US"/>
        </w:rPr>
        <w:t>3</w:t>
      </w:r>
      <w:r w:rsidRPr="006E7317">
        <w:rPr>
          <w:rFonts w:ascii="Arial Narrow" w:eastAsia="Calibri" w:hAnsi="Arial Narrow" w:cs="Times New Roman"/>
          <w:sz w:val="18"/>
          <w:szCs w:val="18"/>
          <w:lang w:eastAsia="en-US"/>
        </w:rPr>
        <w:t>$10 million to &lt; $20 million</w:t>
      </w:r>
    </w:p>
    <w:p w14:paraId="799EF772" w14:textId="77777777" w:rsidR="00E00F4A" w:rsidRPr="00C9624D" w:rsidRDefault="00E00F4A" w:rsidP="00E00F4A">
      <w:pPr>
        <w:pStyle w:val="3-SubsectionHeading"/>
      </w:pPr>
      <w:r w:rsidRPr="00C9624D">
        <w:t>Financial Management – Risk Sharing Arrangements</w:t>
      </w:r>
    </w:p>
    <w:p w14:paraId="6287B9B0" w14:textId="76827AEF" w:rsidR="00E00F4A" w:rsidRPr="008C2353" w:rsidRDefault="00E00F4A" w:rsidP="00E00F4A">
      <w:pPr>
        <w:widowControl w:val="0"/>
        <w:numPr>
          <w:ilvl w:val="1"/>
          <w:numId w:val="1"/>
        </w:numPr>
        <w:spacing w:after="120"/>
        <w:ind w:left="720" w:hanging="720"/>
        <w:contextualSpacing/>
        <w:rPr>
          <w:rFonts w:eastAsia="Calibri" w:cs="Times New Roman"/>
          <w:sz w:val="22"/>
          <w:szCs w:val="22"/>
          <w:lang w:eastAsia="en-US"/>
        </w:rPr>
      </w:pPr>
      <w:r w:rsidRPr="00FD636A">
        <w:t xml:space="preserve">The </w:t>
      </w:r>
      <w:r>
        <w:t>re</w:t>
      </w:r>
      <w:r w:rsidRPr="00FD636A">
        <w:t>submission</w:t>
      </w:r>
      <w:r>
        <w:t xml:space="preserve"> acknowledged that there were uncertainties about the duration of ruxolitinib treatment in clinical practice, stating that patients would only remain on treatment whilst they were benefiting, and thus any extension of use compared to the submission would not constitute inappropriate use. The resubmission stated that a </w:t>
      </w:r>
      <w:r w:rsidR="00D46576" w:rsidRPr="00F67D26">
        <w:rPr>
          <w:color w:val="000000"/>
          <w:spacing w:val="-130"/>
          <w:w w:val="15"/>
          <w:shd w:val="solid" w:color="000000" w:fill="000000"/>
          <w14:textFill>
            <w14:solidFill>
              <w14:srgbClr w14:val="000000">
                <w14:alpha w14:val="100000"/>
              </w14:srgbClr>
            </w14:solidFill>
          </w14:textFill>
        </w:rPr>
        <w:t>|</w:t>
      </w:r>
      <w:r w:rsidR="00D46576" w:rsidRPr="005B2072">
        <w:rPr>
          <w:color w:val="000000"/>
          <w:w w:val="15"/>
          <w:shd w:val="solid" w:color="000000" w:fill="000000"/>
          <w14:textFill>
            <w14:solidFill>
              <w14:srgbClr w14:val="000000">
                <w14:alpha w14:val="100000"/>
              </w14:srgbClr>
            </w14:solidFill>
          </w14:textFill>
        </w:rPr>
        <w:t xml:space="preserve">  </w:t>
      </w:r>
      <w:r w:rsidR="00D46576" w:rsidRPr="00F67D26">
        <w:rPr>
          <w:color w:val="000000"/>
          <w:spacing w:val="-69"/>
          <w:w w:val="15"/>
          <w:shd w:val="solid" w:color="000000" w:fill="000000"/>
          <w14:textFill>
            <w14:solidFill>
              <w14:srgbClr w14:val="000000">
                <w14:alpha w14:val="100000"/>
              </w14:srgbClr>
            </w14:solidFill>
          </w14:textFill>
        </w:rPr>
        <w:t>|</w:t>
      </w:r>
      <w:r>
        <w:t xml:space="preserve">% rebate for use over the financial impact estimates implied that these patients were obtaining no further benefit of treatment. The resubmission therefore proposed a rebate of </w:t>
      </w:r>
      <w:r w:rsidR="00D46576" w:rsidRPr="00F67D26">
        <w:rPr>
          <w:color w:val="000000"/>
          <w:spacing w:val="-130"/>
          <w:w w:val="15"/>
          <w:shd w:val="solid" w:color="000000" w:fill="000000"/>
          <w14:textFill>
            <w14:solidFill>
              <w14:srgbClr w14:val="000000">
                <w14:alpha w14:val="100000"/>
              </w14:srgbClr>
            </w14:solidFill>
          </w14:textFill>
        </w:rPr>
        <w:t>|</w:t>
      </w:r>
      <w:r w:rsidR="00D46576" w:rsidRPr="005B2072">
        <w:rPr>
          <w:color w:val="000000"/>
          <w:w w:val="15"/>
          <w:shd w:val="solid" w:color="000000" w:fill="000000"/>
          <w14:textFill>
            <w14:solidFill>
              <w14:srgbClr w14:val="000000">
                <w14:alpha w14:val="100000"/>
              </w14:srgbClr>
            </w14:solidFill>
          </w14:textFill>
        </w:rPr>
        <w:t xml:space="preserve">  </w:t>
      </w:r>
      <w:r w:rsidR="00D46576" w:rsidRPr="00F67D26">
        <w:rPr>
          <w:color w:val="000000"/>
          <w:spacing w:val="-69"/>
          <w:w w:val="15"/>
          <w:shd w:val="solid" w:color="000000" w:fill="000000"/>
          <w14:textFill>
            <w14:solidFill>
              <w14:srgbClr w14:val="000000">
                <w14:alpha w14:val="100000"/>
              </w14:srgbClr>
            </w14:solidFill>
          </w14:textFill>
        </w:rPr>
        <w:t>|</w:t>
      </w:r>
      <w:r>
        <w:t>%.</w:t>
      </w:r>
    </w:p>
    <w:p w14:paraId="0BEB76B9" w14:textId="77777777" w:rsidR="00E00F4A" w:rsidRPr="0090150D" w:rsidRDefault="00E00F4A" w:rsidP="00E00F4A">
      <w:pPr>
        <w:pStyle w:val="2-SectionHeading"/>
        <w:numPr>
          <w:ilvl w:val="0"/>
          <w:numId w:val="1"/>
        </w:numPr>
      </w:pPr>
      <w:r w:rsidRPr="0090150D">
        <w:t>PBAC Outcome</w:t>
      </w:r>
    </w:p>
    <w:p w14:paraId="63364C41" w14:textId="77777777" w:rsidR="00E00F4A" w:rsidRDefault="00E00F4A" w:rsidP="00E00F4A">
      <w:pPr>
        <w:widowControl w:val="0"/>
        <w:numPr>
          <w:ilvl w:val="1"/>
          <w:numId w:val="1"/>
        </w:numPr>
        <w:spacing w:after="120"/>
        <w:ind w:left="720" w:hanging="720"/>
        <w:rPr>
          <w:rFonts w:asciiTheme="minorHAnsi" w:hAnsiTheme="minorHAnsi"/>
          <w:snapToGrid w:val="0"/>
          <w:lang w:val="en-GB"/>
        </w:rPr>
      </w:pPr>
      <w:r w:rsidRPr="007E1BD7">
        <w:rPr>
          <w:rFonts w:asciiTheme="minorHAnsi" w:hAnsiTheme="minorHAnsi"/>
          <w:snapToGrid w:val="0"/>
          <w:lang w:val="en-GB"/>
        </w:rPr>
        <w:t xml:space="preserve">The PBAC did not recommend </w:t>
      </w:r>
      <w:r>
        <w:rPr>
          <w:rFonts w:asciiTheme="minorHAnsi" w:hAnsiTheme="minorHAnsi"/>
          <w:snapToGrid w:val="0"/>
          <w:lang w:val="en-GB"/>
        </w:rPr>
        <w:t xml:space="preserve">ruxolitinib </w:t>
      </w:r>
      <w:r w:rsidRPr="007E1BD7">
        <w:rPr>
          <w:rFonts w:asciiTheme="minorHAnsi" w:hAnsiTheme="minorHAnsi"/>
          <w:snapToGrid w:val="0"/>
          <w:lang w:val="en-GB"/>
        </w:rPr>
        <w:t xml:space="preserve">for the treatment of patients with </w:t>
      </w:r>
      <w:r>
        <w:rPr>
          <w:rFonts w:asciiTheme="minorHAnsi" w:hAnsiTheme="minorHAnsi"/>
          <w:snapToGrid w:val="0"/>
          <w:lang w:val="en-GB"/>
        </w:rPr>
        <w:t>chronic graft versus host disease (cGVHD)</w:t>
      </w:r>
      <w:r w:rsidRPr="007E1BD7">
        <w:rPr>
          <w:rFonts w:asciiTheme="minorHAnsi" w:hAnsiTheme="minorHAnsi"/>
          <w:snapToGrid w:val="0"/>
          <w:lang w:val="en-GB"/>
        </w:rPr>
        <w:t>. The PBAC considered that the</w:t>
      </w:r>
      <w:r>
        <w:rPr>
          <w:rFonts w:asciiTheme="minorHAnsi" w:hAnsiTheme="minorHAnsi"/>
          <w:snapToGrid w:val="0"/>
          <w:lang w:val="en-GB"/>
        </w:rPr>
        <w:t xml:space="preserve"> </w:t>
      </w:r>
      <w:r w:rsidRPr="007E1BD7">
        <w:rPr>
          <w:rFonts w:asciiTheme="minorHAnsi" w:hAnsiTheme="minorHAnsi"/>
          <w:snapToGrid w:val="0"/>
          <w:lang w:val="en-GB"/>
        </w:rPr>
        <w:t xml:space="preserve">changes made in the resubmission did not sufficiently address the Committee’s previous advice regarding the requirements of a simple resubmission. </w:t>
      </w:r>
      <w:r>
        <w:rPr>
          <w:rFonts w:asciiTheme="minorHAnsi" w:hAnsiTheme="minorHAnsi"/>
          <w:snapToGrid w:val="0"/>
          <w:lang w:val="en-GB"/>
        </w:rPr>
        <w:t xml:space="preserve">Overall, the PBAC considered that ruxolitinib was not acceptably cost-effective at the price proposed noting that the economic model was not revised as requested, the financial implications were increased compared with the previous submission and the proposed risk sharing arrangement (RSA) would not adequately manage the risk associated with the uncertain treatment duration. </w:t>
      </w:r>
    </w:p>
    <w:p w14:paraId="35184A88" w14:textId="77777777" w:rsidR="00E00F4A" w:rsidRDefault="00E00F4A" w:rsidP="00E00F4A">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reiterated its July 2022 advice that ruxolitinib provides, for some patients, a significant improvement in efficacy, including an improvement in overall response rate (ORR), compared with best available therapy (BAT). The PBAC considered that the claims </w:t>
      </w:r>
      <w:r w:rsidRPr="001C47F4">
        <w:rPr>
          <w:szCs w:val="20"/>
        </w:rPr>
        <w:t xml:space="preserve">of superior effectiveness </w:t>
      </w:r>
      <w:r>
        <w:rPr>
          <w:szCs w:val="20"/>
        </w:rPr>
        <w:t xml:space="preserve">and </w:t>
      </w:r>
      <w:r>
        <w:rPr>
          <w:rFonts w:asciiTheme="minorHAnsi" w:hAnsiTheme="minorHAnsi"/>
          <w:snapToGrid w:val="0"/>
          <w:lang w:val="en-GB"/>
        </w:rPr>
        <w:t xml:space="preserve">non-inferior safety compared with BAT were reasonable. </w:t>
      </w:r>
    </w:p>
    <w:p w14:paraId="7FF012FA" w14:textId="1FFD25B8" w:rsidR="00E00F4A" w:rsidRPr="002A692F" w:rsidRDefault="00E00F4A" w:rsidP="00E00F4A">
      <w:pPr>
        <w:pStyle w:val="ExecSumBodyText"/>
        <w:numPr>
          <w:ilvl w:val="1"/>
          <w:numId w:val="1"/>
        </w:numPr>
        <w:rPr>
          <w:lang w:val="en-GB"/>
        </w:rPr>
      </w:pPr>
      <w:r w:rsidRPr="002A692F">
        <w:rPr>
          <w:lang w:val="en-GB"/>
        </w:rPr>
        <w:t xml:space="preserve">In terms of the economic evaluation, the PBAC noted that the resubmission stated that it had applied a time horizon of 15 years and reduced the price of the 5 mg ruxolitinib tablets, resulting in an incremental cost effectiveness ratio (ICER) of </w:t>
      </w:r>
      <w:r w:rsidR="006E7317" w:rsidRPr="006E7317">
        <w:rPr>
          <w:lang w:val="en-GB"/>
        </w:rPr>
        <w:t>$45,000 to &lt; $55,000</w:t>
      </w:r>
      <w:r w:rsidR="006E7317">
        <w:rPr>
          <w:lang w:val="en-GB"/>
        </w:rPr>
        <w:t xml:space="preserve"> </w:t>
      </w:r>
      <w:r w:rsidRPr="002A692F">
        <w:rPr>
          <w:lang w:val="en-GB"/>
        </w:rPr>
        <w:t>per quality adjusted life year (QALY). The PBAC reiterated its July 2022 advice that a time horizon of 10 years would be more appropriate to reduce the uncertainties associated with the extrapolation of cGVHD-related mortality and duration of response. The PBAC also reiterated that a more appropriate base case should result in an ICER similar to the ICER accepted for acute GVHD, and that a reduction in the price of ruxolitinib would be required to achieve acceptable incremental cost-effectiveness.</w:t>
      </w:r>
    </w:p>
    <w:p w14:paraId="3814FD47" w14:textId="77777777" w:rsidR="00E00F4A" w:rsidRDefault="00E00F4A" w:rsidP="00E00F4A">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noted that in addition to the changes requested in July 2022 (see paragraph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_Ref115167129 \r \h </w:instrText>
      </w:r>
      <w:r>
        <w:rPr>
          <w:rFonts w:asciiTheme="minorHAnsi" w:hAnsiTheme="minorHAnsi"/>
          <w:snapToGrid w:val="0"/>
          <w:lang w:val="en-GB"/>
        </w:rPr>
      </w:r>
      <w:r>
        <w:rPr>
          <w:rFonts w:asciiTheme="minorHAnsi" w:hAnsiTheme="minorHAnsi"/>
          <w:snapToGrid w:val="0"/>
          <w:lang w:val="en-GB"/>
        </w:rPr>
        <w:fldChar w:fldCharType="separate"/>
      </w:r>
      <w:r>
        <w:rPr>
          <w:rFonts w:asciiTheme="minorHAnsi" w:hAnsiTheme="minorHAnsi"/>
          <w:snapToGrid w:val="0"/>
          <w:lang w:val="en-GB"/>
        </w:rPr>
        <w:t>11.7</w:t>
      </w:r>
      <w:r>
        <w:rPr>
          <w:rFonts w:asciiTheme="minorHAnsi" w:hAnsiTheme="minorHAnsi"/>
          <w:snapToGrid w:val="0"/>
          <w:lang w:val="en-GB"/>
        </w:rPr>
        <w:fldChar w:fldCharType="end"/>
      </w:r>
      <w:r>
        <w:rPr>
          <w:rFonts w:asciiTheme="minorHAnsi" w:hAnsiTheme="minorHAnsi"/>
          <w:snapToGrid w:val="0"/>
          <w:lang w:val="en-GB"/>
        </w:rPr>
        <w:t xml:space="preserve">), the resubmission made a number of additional changes to the utilisation and financial impact estimates (see paragraph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_Ref115167157 \r \h </w:instrText>
      </w:r>
      <w:r>
        <w:rPr>
          <w:rFonts w:asciiTheme="minorHAnsi" w:hAnsiTheme="minorHAnsi"/>
          <w:snapToGrid w:val="0"/>
          <w:lang w:val="en-GB"/>
        </w:rPr>
      </w:r>
      <w:r>
        <w:rPr>
          <w:rFonts w:asciiTheme="minorHAnsi" w:hAnsiTheme="minorHAnsi"/>
          <w:snapToGrid w:val="0"/>
          <w:lang w:val="en-GB"/>
        </w:rPr>
        <w:fldChar w:fldCharType="separate"/>
      </w:r>
      <w:r>
        <w:rPr>
          <w:rFonts w:asciiTheme="minorHAnsi" w:hAnsiTheme="minorHAnsi"/>
          <w:snapToGrid w:val="0"/>
          <w:lang w:val="en-GB"/>
        </w:rPr>
        <w:t>11.8</w:t>
      </w:r>
      <w:r>
        <w:rPr>
          <w:rFonts w:asciiTheme="minorHAnsi" w:hAnsiTheme="minorHAnsi"/>
          <w:snapToGrid w:val="0"/>
          <w:lang w:val="en-GB"/>
        </w:rPr>
        <w:fldChar w:fldCharType="end"/>
      </w:r>
      <w:r>
        <w:rPr>
          <w:rFonts w:asciiTheme="minorHAnsi" w:hAnsiTheme="minorHAnsi"/>
          <w:snapToGrid w:val="0"/>
          <w:lang w:val="en-GB"/>
        </w:rPr>
        <w:t xml:space="preserve">) which increased the estimated number of prescriptions by around 48% compared with the scenario advised by the PBAC in July 2022. </w:t>
      </w:r>
    </w:p>
    <w:p w14:paraId="18455B65" w14:textId="61BF353A" w:rsidR="00E00F4A" w:rsidRDefault="00E00F4A" w:rsidP="00E00F4A">
      <w:pPr>
        <w:pStyle w:val="ExecSumBodyText"/>
        <w:numPr>
          <w:ilvl w:val="1"/>
          <w:numId w:val="1"/>
        </w:numPr>
        <w:rPr>
          <w:lang w:val="en-GB"/>
        </w:rPr>
      </w:pPr>
      <w:r>
        <w:rPr>
          <w:lang w:val="en-GB"/>
        </w:rPr>
        <w:t xml:space="preserve">The PBAC noted that the resubmission proposed a RSA which consisted of a </w:t>
      </w:r>
      <w:r w:rsidR="00D46576" w:rsidRPr="00D46576">
        <w:rPr>
          <w:color w:val="000000"/>
          <w:w w:val="63"/>
          <w:shd w:val="solid" w:color="000000" w:fill="000000"/>
          <w:fitText w:val="630" w:id="-1404819697"/>
          <w:lang w:val="en-GB"/>
          <w14:textFill>
            <w14:solidFill>
              <w14:srgbClr w14:val="000000">
                <w14:alpha w14:val="100000"/>
              </w14:srgbClr>
            </w14:solidFill>
          </w14:textFill>
        </w:rPr>
        <w:t>||||  |||</w:t>
      </w:r>
      <w:r w:rsidR="00D46576" w:rsidRPr="00D46576">
        <w:rPr>
          <w:color w:val="000000"/>
          <w:spacing w:val="4"/>
          <w:w w:val="63"/>
          <w:shd w:val="solid" w:color="000000" w:fill="000000"/>
          <w:fitText w:val="630" w:id="-1404819697"/>
          <w:lang w:val="en-GB"/>
          <w14:textFill>
            <w14:solidFill>
              <w14:srgbClr w14:val="000000">
                <w14:alpha w14:val="100000"/>
              </w14:srgbClr>
            </w14:solidFill>
          </w14:textFill>
        </w:rPr>
        <w:t>|</w:t>
      </w:r>
      <w:r>
        <w:rPr>
          <w:lang w:val="en-GB"/>
        </w:rPr>
        <w:t xml:space="preserve">% rebate for use above the estimated financial implications. The PBAC recalled its previous advice that a rebate of </w:t>
      </w:r>
      <w:r w:rsidR="00D46576" w:rsidRPr="00F67D26">
        <w:rPr>
          <w:color w:val="000000"/>
          <w:spacing w:val="-130"/>
          <w:w w:val="15"/>
          <w:shd w:val="solid" w:color="000000" w:fill="000000"/>
          <w:lang w:val="en-GB"/>
          <w14:textFill>
            <w14:solidFill>
              <w14:srgbClr w14:val="000000">
                <w14:alpha w14:val="100000"/>
              </w14:srgbClr>
            </w14:solidFill>
          </w14:textFill>
        </w:rPr>
        <w:t>|</w:t>
      </w:r>
      <w:r w:rsidR="00D46576" w:rsidRPr="005B2072">
        <w:rPr>
          <w:color w:val="000000"/>
          <w:w w:val="15"/>
          <w:shd w:val="solid" w:color="000000" w:fill="000000"/>
          <w:lang w:val="en-GB"/>
          <w14:textFill>
            <w14:solidFill>
              <w14:srgbClr w14:val="000000">
                <w14:alpha w14:val="100000"/>
              </w14:srgbClr>
            </w14:solidFill>
          </w14:textFill>
        </w:rPr>
        <w:t xml:space="preserve">  </w:t>
      </w:r>
      <w:r w:rsidR="00D46576" w:rsidRPr="00F67D26">
        <w:rPr>
          <w:color w:val="000000"/>
          <w:spacing w:val="-69"/>
          <w:w w:val="15"/>
          <w:shd w:val="solid" w:color="000000" w:fill="000000"/>
          <w:lang w:val="en-GB"/>
          <w14:textFill>
            <w14:solidFill>
              <w14:srgbClr w14:val="000000">
                <w14:alpha w14:val="100000"/>
              </w14:srgbClr>
            </w14:solidFill>
          </w14:textFill>
        </w:rPr>
        <w:t>|</w:t>
      </w:r>
      <w:r>
        <w:rPr>
          <w:lang w:val="en-GB"/>
        </w:rPr>
        <w:t xml:space="preserve">% for any expenditure above the cap would be appropriate, particularly given the uncertainty around the duration of treatment and the lack of </w:t>
      </w:r>
      <w:r w:rsidRPr="00890A26">
        <w:rPr>
          <w:lang w:val="en-GB"/>
        </w:rPr>
        <w:t xml:space="preserve">data on when </w:t>
      </w:r>
      <w:r>
        <w:rPr>
          <w:lang w:val="en-GB"/>
        </w:rPr>
        <w:t xml:space="preserve">patients should cease ruxolitinib treatment. </w:t>
      </w:r>
    </w:p>
    <w:p w14:paraId="37CFF9EC" w14:textId="4D9CD0DF" w:rsidR="00E00F4A" w:rsidRPr="004F142D" w:rsidRDefault="00E00F4A" w:rsidP="00E00F4A">
      <w:pPr>
        <w:pStyle w:val="ExecSumBodyText"/>
        <w:numPr>
          <w:ilvl w:val="1"/>
          <w:numId w:val="1"/>
        </w:numPr>
        <w:rPr>
          <w:lang w:val="en-GB"/>
        </w:rPr>
      </w:pPr>
      <w:r w:rsidRPr="004F142D">
        <w:rPr>
          <w:lang w:val="en-GB"/>
        </w:rPr>
        <w:t xml:space="preserve">The PBAC reiterated that a resubmission for ruxolitinib in cGVHD should address the </w:t>
      </w:r>
      <w:r>
        <w:rPr>
          <w:lang w:val="en-GB"/>
        </w:rPr>
        <w:t>issues outlined in</w:t>
      </w:r>
      <w:r w:rsidRPr="004F142D">
        <w:rPr>
          <w:lang w:val="en-GB"/>
        </w:rPr>
        <w:t xml:space="preserve"> paragraph </w:t>
      </w:r>
      <w:r>
        <w:rPr>
          <w:lang w:val="en-GB"/>
        </w:rPr>
        <w:fldChar w:fldCharType="begin" w:fldLock="1"/>
      </w:r>
      <w:r>
        <w:rPr>
          <w:lang w:val="en-GB"/>
        </w:rPr>
        <w:instrText xml:space="preserve"> REF _Ref114061687 \r \h </w:instrText>
      </w:r>
      <w:r>
        <w:rPr>
          <w:lang w:val="en-GB"/>
        </w:rPr>
      </w:r>
      <w:r>
        <w:rPr>
          <w:lang w:val="en-GB"/>
        </w:rPr>
        <w:fldChar w:fldCharType="separate"/>
      </w:r>
      <w:r>
        <w:rPr>
          <w:lang w:val="en-GB"/>
        </w:rPr>
        <w:t>7.30</w:t>
      </w:r>
      <w:r>
        <w:rPr>
          <w:lang w:val="en-GB"/>
        </w:rPr>
        <w:fldChar w:fldCharType="end"/>
      </w:r>
      <w:r>
        <w:rPr>
          <w:lang w:val="en-GB"/>
        </w:rPr>
        <w:t xml:space="preserve"> </w:t>
      </w:r>
      <w:r w:rsidRPr="004F142D">
        <w:rPr>
          <w:lang w:val="en-GB"/>
        </w:rPr>
        <w:t xml:space="preserve">of the </w:t>
      </w:r>
      <w:r>
        <w:rPr>
          <w:lang w:val="en-GB"/>
        </w:rPr>
        <w:t xml:space="preserve">July 2022 PBAC </w:t>
      </w:r>
      <w:r w:rsidR="006E7317">
        <w:rPr>
          <w:lang w:val="en-GB"/>
        </w:rPr>
        <w:t>PSD</w:t>
      </w:r>
      <w:r>
        <w:rPr>
          <w:lang w:val="en-GB"/>
        </w:rPr>
        <w:t>.</w:t>
      </w:r>
    </w:p>
    <w:p w14:paraId="40B3B078" w14:textId="77777777" w:rsidR="00E00F4A" w:rsidRDefault="00E00F4A" w:rsidP="00E00F4A">
      <w:pPr>
        <w:widowControl w:val="0"/>
        <w:numPr>
          <w:ilvl w:val="1"/>
          <w:numId w:val="1"/>
        </w:numPr>
        <w:spacing w:after="120"/>
        <w:ind w:left="720" w:hanging="720"/>
        <w:rPr>
          <w:rFonts w:asciiTheme="minorHAnsi" w:hAnsiTheme="minorHAnsi"/>
          <w:bCs/>
          <w:snapToGrid w:val="0"/>
          <w:lang w:val="en-GB"/>
        </w:rPr>
      </w:pPr>
      <w:r w:rsidRPr="004F142D">
        <w:rPr>
          <w:lang w:val="en-GB"/>
        </w:rPr>
        <w:t xml:space="preserve">The PBAC noted that an early resolution pathway had been made available in </w:t>
      </w:r>
      <w:r>
        <w:rPr>
          <w:lang w:val="en-GB"/>
        </w:rPr>
        <w:t>July</w:t>
      </w:r>
      <w:r w:rsidRPr="004F142D">
        <w:rPr>
          <w:lang w:val="en-GB"/>
        </w:rPr>
        <w:t xml:space="preserve"> 202</w:t>
      </w:r>
      <w:r>
        <w:rPr>
          <w:lang w:val="en-GB"/>
        </w:rPr>
        <w:t>2</w:t>
      </w:r>
      <w:r w:rsidRPr="004F142D">
        <w:rPr>
          <w:lang w:val="en-GB"/>
        </w:rPr>
        <w:t xml:space="preserve"> but considered that the remaining issues had not been resolved by the approach proposed in the sponsor’s resubmission. The PBAC noted that any resubmission would be through the standard re-entry pathway.</w:t>
      </w:r>
      <w:r>
        <w:rPr>
          <w:lang w:val="en-GB"/>
        </w:rPr>
        <w:t xml:space="preserve"> </w:t>
      </w:r>
      <w:r>
        <w:rPr>
          <w:rFonts w:asciiTheme="minorHAnsi" w:hAnsiTheme="minorHAnsi"/>
          <w:bCs/>
          <w:snapToGrid w:val="0"/>
          <w:lang w:val="en-GB"/>
        </w:rPr>
        <w:t xml:space="preserve">A </w:t>
      </w:r>
      <w:r w:rsidRPr="00180C37">
        <w:rPr>
          <w:rFonts w:asciiTheme="minorHAnsi" w:hAnsiTheme="minorHAnsi"/>
          <w:bCs/>
          <w:snapToGrid w:val="0"/>
          <w:lang w:val="en-GB"/>
        </w:rPr>
        <w:t xml:space="preserve">resubmission may be lodged </w:t>
      </w:r>
      <w:r>
        <w:rPr>
          <w:rFonts w:asciiTheme="minorHAnsi" w:hAnsiTheme="minorHAnsi"/>
          <w:bCs/>
          <w:snapToGrid w:val="0"/>
          <w:lang w:val="en-GB"/>
        </w:rPr>
        <w:t>for consideration at a</w:t>
      </w:r>
      <w:r w:rsidRPr="00180C37">
        <w:rPr>
          <w:rFonts w:asciiTheme="minorHAnsi" w:hAnsiTheme="minorHAnsi"/>
          <w:bCs/>
          <w:snapToGrid w:val="0"/>
          <w:lang w:val="en-GB"/>
        </w:rPr>
        <w:t xml:space="preserve">ny future </w:t>
      </w:r>
      <w:r>
        <w:rPr>
          <w:rFonts w:asciiTheme="minorHAnsi" w:hAnsiTheme="minorHAnsi"/>
          <w:bCs/>
          <w:snapToGrid w:val="0"/>
          <w:lang w:val="en-GB"/>
        </w:rPr>
        <w:t>PBAC meeting in accordance with lodgement timelines applicable to a standard re-entry pathway submission for that PBAC meeting.</w:t>
      </w:r>
      <w:r w:rsidRPr="00180C37">
        <w:rPr>
          <w:rFonts w:asciiTheme="minorHAnsi" w:hAnsiTheme="minorHAnsi"/>
          <w:bCs/>
          <w:snapToGrid w:val="0"/>
          <w:lang w:val="en-GB"/>
        </w:rPr>
        <w:t xml:space="preserve"> </w:t>
      </w:r>
    </w:p>
    <w:p w14:paraId="4885CE59" w14:textId="77777777" w:rsidR="00E00F4A" w:rsidRPr="00180C37" w:rsidRDefault="00E00F4A" w:rsidP="00E00F4A">
      <w:pPr>
        <w:widowControl w:val="0"/>
        <w:numPr>
          <w:ilvl w:val="1"/>
          <w:numId w:val="1"/>
        </w:numPr>
        <w:spacing w:after="120"/>
        <w:ind w:left="720" w:hanging="720"/>
        <w:rPr>
          <w:rFonts w:asciiTheme="minorHAnsi" w:hAnsiTheme="minorHAnsi"/>
          <w:bCs/>
          <w:snapToGrid w:val="0"/>
          <w:lang w:val="en-GB"/>
        </w:rPr>
      </w:pPr>
      <w:r w:rsidRPr="00180C37">
        <w:rPr>
          <w:rFonts w:asciiTheme="minorHAnsi" w:hAnsiTheme="minorHAnsi"/>
          <w:bCs/>
          <w:snapToGrid w:val="0"/>
          <w:lang w:val="en-GB"/>
        </w:rPr>
        <w:t xml:space="preserve">The PBAC noted that this submission is eligible for an Independent </w:t>
      </w:r>
      <w:r>
        <w:rPr>
          <w:rFonts w:asciiTheme="minorHAnsi" w:hAnsiTheme="minorHAnsi"/>
          <w:bCs/>
          <w:snapToGrid w:val="0"/>
          <w:lang w:val="en-GB"/>
        </w:rPr>
        <w:t>Review.</w:t>
      </w:r>
    </w:p>
    <w:p w14:paraId="504A159B" w14:textId="77777777" w:rsidR="00E00F4A" w:rsidRPr="00525B39" w:rsidRDefault="00E00F4A" w:rsidP="00E00F4A">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452BBD04" w14:textId="77777777" w:rsidR="00E00F4A" w:rsidRPr="00F37FB3" w:rsidRDefault="00E00F4A" w:rsidP="00E00F4A">
      <w:pPr>
        <w:rPr>
          <w:rFonts w:asciiTheme="minorHAnsi" w:hAnsiTheme="minorHAnsi"/>
          <w:bCs/>
          <w:snapToGrid w:val="0"/>
          <w:lang w:val="en-GB"/>
        </w:rPr>
      </w:pPr>
      <w:r>
        <w:rPr>
          <w:rFonts w:asciiTheme="minorHAnsi" w:hAnsiTheme="minorHAnsi"/>
          <w:bCs/>
          <w:snapToGrid w:val="0"/>
          <w:lang w:val="en-GB"/>
        </w:rPr>
        <w:t>Not recommended</w:t>
      </w:r>
      <w:r w:rsidRPr="00525B39">
        <w:rPr>
          <w:rFonts w:asciiTheme="minorHAnsi" w:hAnsiTheme="minorHAnsi"/>
          <w:bCs/>
          <w:snapToGrid w:val="0"/>
          <w:lang w:val="en-GB"/>
        </w:rPr>
        <w:t xml:space="preserve"> </w:t>
      </w:r>
    </w:p>
    <w:p w14:paraId="37DD564C" w14:textId="7D3E45DC" w:rsidR="00E00F4A" w:rsidRDefault="00E00F4A" w:rsidP="00123032">
      <w:pPr>
        <w:pStyle w:val="2-SectionHeading"/>
        <w:rPr>
          <w:bCs/>
          <w:lang w:val="en-GB"/>
        </w:rPr>
      </w:pPr>
      <w:r w:rsidRPr="00C07617">
        <w:t>Context for Decision</w:t>
      </w:r>
    </w:p>
    <w:p w14:paraId="41447B26" w14:textId="77777777" w:rsidR="00E00F4A" w:rsidRPr="007129F2" w:rsidRDefault="00E00F4A" w:rsidP="00123032">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B353CF7" w14:textId="67CDD367" w:rsidR="00E00F4A" w:rsidRPr="00C07617" w:rsidRDefault="00E00F4A" w:rsidP="00123032">
      <w:pPr>
        <w:pStyle w:val="2-SectionHeading"/>
      </w:pPr>
      <w:r>
        <w:t>Sponsor’s Comment</w:t>
      </w:r>
    </w:p>
    <w:p w14:paraId="338D3C1C" w14:textId="5B3EDBE9" w:rsidR="00E00F4A" w:rsidRPr="001179AC" w:rsidRDefault="004C379A" w:rsidP="00123032">
      <w:pPr>
        <w:spacing w:after="120"/>
        <w:ind w:left="720"/>
        <w:rPr>
          <w:rFonts w:asciiTheme="minorHAnsi" w:hAnsiTheme="minorHAnsi"/>
          <w:bCs/>
        </w:rPr>
      </w:pPr>
      <w:r w:rsidRPr="00486C32">
        <w:rPr>
          <w:bCs/>
          <w:lang w:val="en-GB"/>
        </w:rPr>
        <w:t xml:space="preserve">Novartis are committed to working with the PBAC to achieve </w:t>
      </w:r>
      <w:r w:rsidR="00026785">
        <w:rPr>
          <w:bCs/>
          <w:lang w:val="en-GB"/>
        </w:rPr>
        <w:t xml:space="preserve">the </w:t>
      </w:r>
      <w:r w:rsidRPr="00486C32">
        <w:rPr>
          <w:bCs/>
          <w:lang w:val="en-GB"/>
        </w:rPr>
        <w:t xml:space="preserve">PBS listing </w:t>
      </w:r>
      <w:r w:rsidR="00026785">
        <w:rPr>
          <w:bCs/>
          <w:lang w:val="en-GB"/>
        </w:rPr>
        <w:t>of</w:t>
      </w:r>
      <w:r w:rsidRPr="00486C32">
        <w:rPr>
          <w:bCs/>
          <w:lang w:val="en-GB"/>
        </w:rPr>
        <w:t xml:space="preserve"> Jakavi® (ruxolitinib) </w:t>
      </w:r>
      <w:r w:rsidR="00026785">
        <w:rPr>
          <w:bCs/>
          <w:lang w:val="en-GB"/>
        </w:rPr>
        <w:t>for</w:t>
      </w:r>
      <w:r w:rsidRPr="00486C32">
        <w:rPr>
          <w:bCs/>
          <w:lang w:val="en-GB"/>
        </w:rPr>
        <w:t xml:space="preserve"> patients with graft vs host disease</w:t>
      </w:r>
      <w:r>
        <w:rPr>
          <w:bCs/>
          <w:lang w:val="en-GB"/>
        </w:rPr>
        <w:t>.</w:t>
      </w:r>
    </w:p>
    <w:p w14:paraId="22434C10" w14:textId="6D6D8CDE" w:rsidR="00A2582A" w:rsidRDefault="00A2582A">
      <w:pPr>
        <w:jc w:val="left"/>
        <w:rPr>
          <w:rFonts w:asciiTheme="minorHAnsi" w:hAnsiTheme="minorHAnsi"/>
          <w:bCs/>
          <w:lang w:val="en-GB"/>
        </w:rPr>
      </w:pPr>
      <w:r>
        <w:rPr>
          <w:rFonts w:asciiTheme="minorHAnsi" w:hAnsiTheme="minorHAnsi"/>
          <w:bCs/>
          <w:lang w:val="en-GB"/>
        </w:rPr>
        <w:br w:type="page"/>
      </w:r>
    </w:p>
    <w:p w14:paraId="17312B6E" w14:textId="77777777" w:rsidR="00A2582A" w:rsidRPr="009C4137" w:rsidRDefault="00A2582A" w:rsidP="00A2582A">
      <w:pPr>
        <w:pStyle w:val="1MainTitle"/>
        <w:ind w:left="1134" w:hanging="1134"/>
        <w:jc w:val="left"/>
        <w:rPr>
          <w:rFonts w:eastAsia="Calibri"/>
          <w:color w:val="FF0000"/>
          <w:sz w:val="28"/>
          <w:szCs w:val="28"/>
        </w:rPr>
      </w:pPr>
      <w:r w:rsidRPr="009C4137">
        <w:rPr>
          <w:rFonts w:eastAsia="Calibri"/>
          <w:color w:val="FF0000"/>
          <w:sz w:val="28"/>
          <w:szCs w:val="28"/>
        </w:rPr>
        <w:t xml:space="preserve">Addendum to the </w:t>
      </w:r>
      <w:r>
        <w:rPr>
          <w:rFonts w:eastAsia="Calibri"/>
          <w:color w:val="FF0000"/>
          <w:sz w:val="28"/>
          <w:szCs w:val="28"/>
        </w:rPr>
        <w:t>September 2022</w:t>
      </w:r>
      <w:r w:rsidRPr="009C4137">
        <w:rPr>
          <w:rFonts w:eastAsia="Calibri"/>
          <w:color w:val="FF0000"/>
          <w:sz w:val="28"/>
          <w:szCs w:val="28"/>
        </w:rPr>
        <w:t xml:space="preserve"> PBAC Minutes:</w:t>
      </w:r>
    </w:p>
    <w:p w14:paraId="40CDE07A" w14:textId="77777777" w:rsidR="00A2582A" w:rsidRPr="004A6040" w:rsidRDefault="00A2582A" w:rsidP="00A2582A">
      <w:pPr>
        <w:pStyle w:val="1-MainHeading"/>
      </w:pPr>
      <w:r>
        <w:t>3.01</w:t>
      </w:r>
      <w:r>
        <w:tab/>
        <w:t>RUXOLITINIB,</w:t>
      </w:r>
      <w:r>
        <w:br/>
        <w:t>Tablet 5 mg, Tablet 10 mg,</w:t>
      </w:r>
      <w:r>
        <w:br/>
        <w:t>Jakavi</w:t>
      </w:r>
      <w:r w:rsidRPr="004A6040">
        <w:rPr>
          <w:vertAlign w:val="superscript"/>
        </w:rPr>
        <w:t>®</w:t>
      </w:r>
      <w:r w:rsidRPr="004A6040">
        <w:t>,</w:t>
      </w:r>
      <w:r w:rsidRPr="004A6040">
        <w:br/>
      </w:r>
      <w:r>
        <w:t>Novartis Pharmaceuticals Australia Pty Limited.</w:t>
      </w:r>
    </w:p>
    <w:p w14:paraId="3529835C" w14:textId="77777777" w:rsidR="00A2582A" w:rsidRPr="0046360F" w:rsidRDefault="00A2582A" w:rsidP="00A2582A">
      <w:pPr>
        <w:pStyle w:val="2-SectionHeading"/>
        <w:numPr>
          <w:ilvl w:val="0"/>
          <w:numId w:val="1"/>
        </w:numPr>
      </w:pPr>
      <w:r>
        <w:t>Background</w:t>
      </w:r>
    </w:p>
    <w:p w14:paraId="14A12E80" w14:textId="7467C7DB" w:rsidR="00A2582A" w:rsidRPr="00647C81" w:rsidRDefault="00A2582A" w:rsidP="00A2582A">
      <w:pPr>
        <w:pStyle w:val="ExecSumBodyText"/>
        <w:numPr>
          <w:ilvl w:val="1"/>
          <w:numId w:val="1"/>
        </w:numPr>
      </w:pPr>
      <w:r>
        <w:t>At its March 2022 and September 2022 meetings, the PBAC did not recommend the PBS listing of ruxolitinib</w:t>
      </w:r>
      <w:r w:rsidRPr="009D0CFA">
        <w:t xml:space="preserve"> for the treatment of patients </w:t>
      </w:r>
      <w:r>
        <w:t xml:space="preserve">with </w:t>
      </w:r>
      <w:r w:rsidRPr="009D0CFA">
        <w:t xml:space="preserve">moderate to severe </w:t>
      </w:r>
      <w:r>
        <w:t>c</w:t>
      </w:r>
      <w:r w:rsidRPr="009D0CFA">
        <w:t>GVHD who are refractory to, dependent on or intolerant of corticosteroids.</w:t>
      </w:r>
      <w:r>
        <w:t xml:space="preserve"> </w:t>
      </w:r>
      <w:r w:rsidRPr="00647C81">
        <w:t xml:space="preserve">As noted in paragraph </w:t>
      </w:r>
      <w:r>
        <w:fldChar w:fldCharType="begin"/>
      </w:r>
      <w:r>
        <w:instrText xml:space="preserve"> REF _Ref118374794 \r \h </w:instrText>
      </w:r>
      <w:r>
        <w:fldChar w:fldCharType="separate"/>
      </w:r>
      <w:r w:rsidR="00BD1016">
        <w:rPr>
          <w:b/>
          <w:bCs/>
          <w:lang w:val="en-US"/>
        </w:rPr>
        <w:t>Error! Reference source not found.</w:t>
      </w:r>
      <w:r>
        <w:fldChar w:fldCharType="end"/>
      </w:r>
      <w:r w:rsidRPr="00647C81">
        <w:t xml:space="preserve">, the decision to not recommend </w:t>
      </w:r>
      <w:r>
        <w:t xml:space="preserve">in September 2022 </w:t>
      </w:r>
      <w:r w:rsidRPr="00647C81">
        <w:t xml:space="preserve">was due </w:t>
      </w:r>
      <w:proofErr w:type="gramStart"/>
      <w:r w:rsidRPr="00647C81">
        <w:t>to</w:t>
      </w:r>
      <w:r>
        <w:t>:</w:t>
      </w:r>
      <w:proofErr w:type="gramEnd"/>
      <w:r w:rsidRPr="00647C81">
        <w:t xml:space="preserve"> </w:t>
      </w:r>
      <w:r w:rsidRPr="006A6B6D">
        <w:t>the PBAC</w:t>
      </w:r>
      <w:r>
        <w:t>’s</w:t>
      </w:r>
      <w:r w:rsidRPr="006A6B6D">
        <w:t xml:space="preserve"> consider</w:t>
      </w:r>
      <w:r>
        <w:t>ation</w:t>
      </w:r>
      <w:r w:rsidRPr="006A6B6D">
        <w:t xml:space="preserve"> that ruxolitinib was not acceptably cost-effective at the price proposed noting that the economic model was not revised as requested, the financial implications were increased compared with the previous submission and the proposed RSA would not adequately manage the risk associated with the uncertain treatment duration.</w:t>
      </w:r>
    </w:p>
    <w:p w14:paraId="0681A252" w14:textId="157D98F7" w:rsidR="00A2582A" w:rsidRPr="00B64F74" w:rsidRDefault="00A2582A" w:rsidP="00A2582A">
      <w:pPr>
        <w:pStyle w:val="ExecSumBodyText"/>
        <w:numPr>
          <w:ilvl w:val="1"/>
          <w:numId w:val="1"/>
        </w:numPr>
      </w:pPr>
      <w:r>
        <w:t xml:space="preserve">Following the September 2022 intra-cycle meeting, the sponsor for ruxolitinib provided </w:t>
      </w:r>
      <w:r w:rsidRPr="00647C81">
        <w:t>a revised</w:t>
      </w:r>
      <w:r>
        <w:t xml:space="preserve"> pricing</w:t>
      </w:r>
      <w:r w:rsidRPr="00647C81">
        <w:t xml:space="preserve"> proposal that</w:t>
      </w:r>
      <w:r>
        <w:t>:</w:t>
      </w:r>
      <w:r w:rsidRPr="00647C81">
        <w:t xml:space="preserve"> </w:t>
      </w:r>
      <w:r>
        <w:t xml:space="preserve">updated the economic model and financial estimates; </w:t>
      </w:r>
      <w:r w:rsidRPr="00647C81">
        <w:t>offered a</w:t>
      </w:r>
      <w:r>
        <w:t xml:space="preserve">n </w:t>
      </w:r>
      <w:r w:rsidR="002713AA" w:rsidRPr="00BD1016">
        <w:rPr>
          <w:color w:val="000000"/>
          <w:w w:val="15"/>
          <w:shd w:val="solid" w:color="000000" w:fill="000000"/>
          <w:fitText w:val="-20" w:id="-1295772416"/>
          <w14:textFill>
            <w14:solidFill>
              <w14:srgbClr w14:val="000000">
                <w14:alpha w14:val="100000"/>
              </w14:srgbClr>
            </w14:solidFill>
          </w14:textFill>
        </w:rPr>
        <w:t xml:space="preserve">|  </w:t>
      </w:r>
      <w:r w:rsidR="002713AA" w:rsidRPr="00BD1016">
        <w:rPr>
          <w:color w:val="000000"/>
          <w:spacing w:val="-69"/>
          <w:w w:val="15"/>
          <w:shd w:val="solid" w:color="000000" w:fill="000000"/>
          <w:fitText w:val="-20" w:id="-1295772416"/>
          <w14:textFill>
            <w14:solidFill>
              <w14:srgbClr w14:val="000000">
                <w14:alpha w14:val="100000"/>
              </w14:srgbClr>
            </w14:solidFill>
          </w14:textFill>
        </w:rPr>
        <w:t>|</w:t>
      </w:r>
      <w:r>
        <w:t>% reduction to the pric</w:t>
      </w:r>
      <w:r w:rsidRPr="00184067">
        <w:t>e</w:t>
      </w:r>
      <w:r>
        <w:t xml:space="preserve">; and provided an updated RSA </w:t>
      </w:r>
      <w:r w:rsidRPr="00B64F74">
        <w:t>proposal. The revised approved ex-manufacturer prices (AEMP) were:</w:t>
      </w:r>
    </w:p>
    <w:p w14:paraId="363CD1A5" w14:textId="4AFF1D8D" w:rsidR="00A2582A" w:rsidRPr="00B64F74" w:rsidRDefault="00A2582A" w:rsidP="00A2582A">
      <w:pPr>
        <w:pStyle w:val="ListParagraph"/>
        <w:widowControl w:val="0"/>
        <w:numPr>
          <w:ilvl w:val="0"/>
          <w:numId w:val="30"/>
        </w:numPr>
        <w:spacing w:after="120"/>
        <w:ind w:left="1418" w:hanging="425"/>
      </w:pPr>
      <w:r w:rsidRPr="00B64F74">
        <w:t>$</w:t>
      </w:r>
      <w:r w:rsidR="007C7C5C" w:rsidRPr="00BD1016">
        <w:rPr>
          <w:color w:val="000000"/>
          <w:w w:val="15"/>
          <w:shd w:val="solid" w:color="000000" w:fill="000000"/>
          <w:fitText w:val="-20" w:id="-1305211136"/>
          <w14:textFill>
            <w14:solidFill>
              <w14:srgbClr w14:val="000000">
                <w14:alpha w14:val="100000"/>
              </w14:srgbClr>
            </w14:solidFill>
          </w14:textFill>
        </w:rPr>
        <w:t xml:space="preserve">|  </w:t>
      </w:r>
      <w:r w:rsidR="007C7C5C" w:rsidRPr="00BD1016">
        <w:rPr>
          <w:color w:val="000000"/>
          <w:spacing w:val="-69"/>
          <w:w w:val="15"/>
          <w:shd w:val="solid" w:color="000000" w:fill="000000"/>
          <w:fitText w:val="-20" w:id="-1305211136"/>
          <w14:textFill>
            <w14:solidFill>
              <w14:srgbClr w14:val="000000">
                <w14:alpha w14:val="100000"/>
              </w14:srgbClr>
            </w14:solidFill>
          </w14:textFill>
        </w:rPr>
        <w:t>|</w:t>
      </w:r>
      <w:r w:rsidRPr="00B64F74">
        <w:t xml:space="preserve"> per 10 mg x 56 tablets compared with $</w:t>
      </w:r>
      <w:r w:rsidR="007C7C5C" w:rsidRPr="00BD1016">
        <w:rPr>
          <w:color w:val="000000"/>
          <w:w w:val="15"/>
          <w:shd w:val="solid" w:color="000000" w:fill="000000"/>
          <w:fitText w:val="-20" w:id="-1305211135"/>
          <w14:textFill>
            <w14:solidFill>
              <w14:srgbClr w14:val="000000">
                <w14:alpha w14:val="100000"/>
              </w14:srgbClr>
            </w14:solidFill>
          </w14:textFill>
        </w:rPr>
        <w:t xml:space="preserve">|  </w:t>
      </w:r>
      <w:r w:rsidR="007C7C5C" w:rsidRPr="00BD1016">
        <w:rPr>
          <w:color w:val="000000"/>
          <w:spacing w:val="-69"/>
          <w:w w:val="15"/>
          <w:shd w:val="solid" w:color="000000" w:fill="000000"/>
          <w:fitText w:val="-20" w:id="-1305211135"/>
          <w14:textFill>
            <w14:solidFill>
              <w14:srgbClr w14:val="000000">
                <w14:alpha w14:val="100000"/>
              </w14:srgbClr>
            </w14:solidFill>
          </w14:textFill>
        </w:rPr>
        <w:t>|</w:t>
      </w:r>
      <w:r w:rsidRPr="00B64F74">
        <w:t xml:space="preserve"> in March and September 2022; and </w:t>
      </w:r>
    </w:p>
    <w:p w14:paraId="56438713" w14:textId="3EEF8A1C" w:rsidR="00A2582A" w:rsidRPr="00B64F74" w:rsidRDefault="00A2582A" w:rsidP="00A2582A">
      <w:pPr>
        <w:pStyle w:val="ListParagraph"/>
        <w:widowControl w:val="0"/>
        <w:numPr>
          <w:ilvl w:val="0"/>
          <w:numId w:val="30"/>
        </w:numPr>
        <w:spacing w:after="120"/>
        <w:ind w:left="1418" w:hanging="425"/>
      </w:pPr>
      <w:r w:rsidRPr="00B64F74">
        <w:t>$</w:t>
      </w:r>
      <w:r w:rsidR="007C7C5C" w:rsidRPr="00BD1016">
        <w:rPr>
          <w:color w:val="000000"/>
          <w:w w:val="15"/>
          <w:shd w:val="solid" w:color="000000" w:fill="000000"/>
          <w:fitText w:val="-20" w:id="-1305211134"/>
          <w14:textFill>
            <w14:solidFill>
              <w14:srgbClr w14:val="000000">
                <w14:alpha w14:val="100000"/>
              </w14:srgbClr>
            </w14:solidFill>
          </w14:textFill>
        </w:rPr>
        <w:t xml:space="preserve">|  </w:t>
      </w:r>
      <w:r w:rsidR="007C7C5C" w:rsidRPr="00BD1016">
        <w:rPr>
          <w:color w:val="000000"/>
          <w:spacing w:val="-69"/>
          <w:w w:val="15"/>
          <w:shd w:val="solid" w:color="000000" w:fill="000000"/>
          <w:fitText w:val="-20" w:id="-1305211134"/>
          <w14:textFill>
            <w14:solidFill>
              <w14:srgbClr w14:val="000000">
                <w14:alpha w14:val="100000"/>
              </w14:srgbClr>
            </w14:solidFill>
          </w14:textFill>
        </w:rPr>
        <w:t>|</w:t>
      </w:r>
      <w:r w:rsidRPr="00B64F74">
        <w:t xml:space="preserve"> per 5 mg x 56 tablets compared with $</w:t>
      </w:r>
      <w:r w:rsidR="007C7C5C" w:rsidRPr="00BD1016">
        <w:rPr>
          <w:color w:val="000000"/>
          <w:w w:val="15"/>
          <w:shd w:val="solid" w:color="000000" w:fill="000000"/>
          <w:fitText w:val="-20" w:id="-1305211133"/>
          <w14:textFill>
            <w14:solidFill>
              <w14:srgbClr w14:val="000000">
                <w14:alpha w14:val="100000"/>
              </w14:srgbClr>
            </w14:solidFill>
          </w14:textFill>
        </w:rPr>
        <w:t xml:space="preserve">|  </w:t>
      </w:r>
      <w:r w:rsidR="007C7C5C" w:rsidRPr="00BD1016">
        <w:rPr>
          <w:color w:val="000000"/>
          <w:spacing w:val="-69"/>
          <w:w w:val="15"/>
          <w:shd w:val="solid" w:color="000000" w:fill="000000"/>
          <w:fitText w:val="-20" w:id="-1305211133"/>
          <w14:textFill>
            <w14:solidFill>
              <w14:srgbClr w14:val="000000">
                <w14:alpha w14:val="100000"/>
              </w14:srgbClr>
            </w14:solidFill>
          </w14:textFill>
        </w:rPr>
        <w:t>|</w:t>
      </w:r>
      <w:r w:rsidRPr="00B64F74">
        <w:t xml:space="preserve"> in September 2022, and </w:t>
      </w:r>
      <w:r w:rsidRPr="00B64F74">
        <w:rPr>
          <w:rFonts w:asciiTheme="minorHAnsi" w:hAnsiTheme="minorHAnsi"/>
        </w:rPr>
        <w:t>$</w:t>
      </w:r>
      <w:r w:rsidR="007C7C5C" w:rsidRPr="00BD1016">
        <w:rPr>
          <w:rFonts w:asciiTheme="minorHAnsi" w:hAnsiTheme="minorHAnsi"/>
          <w:color w:val="000000"/>
          <w:w w:val="15"/>
          <w:shd w:val="solid" w:color="000000" w:fill="000000"/>
          <w:fitText w:val="-20" w:id="-1305211132"/>
          <w14:textFill>
            <w14:solidFill>
              <w14:srgbClr w14:val="000000">
                <w14:alpha w14:val="100000"/>
              </w14:srgbClr>
            </w14:solidFill>
          </w14:textFill>
        </w:rPr>
        <w:t xml:space="preserve">|  </w:t>
      </w:r>
      <w:r w:rsidR="007C7C5C" w:rsidRPr="00BD1016">
        <w:rPr>
          <w:rFonts w:asciiTheme="minorHAnsi" w:hAnsiTheme="minorHAnsi"/>
          <w:color w:val="000000"/>
          <w:spacing w:val="-69"/>
          <w:w w:val="15"/>
          <w:shd w:val="solid" w:color="000000" w:fill="000000"/>
          <w:fitText w:val="-20" w:id="-1305211132"/>
          <w14:textFill>
            <w14:solidFill>
              <w14:srgbClr w14:val="000000">
                <w14:alpha w14:val="100000"/>
              </w14:srgbClr>
            </w14:solidFill>
          </w14:textFill>
        </w:rPr>
        <w:t>|</w:t>
      </w:r>
      <w:r w:rsidRPr="00B64F74">
        <w:rPr>
          <w:rFonts w:asciiTheme="minorHAnsi" w:hAnsiTheme="minorHAnsi"/>
        </w:rPr>
        <w:t xml:space="preserve"> </w:t>
      </w:r>
      <w:r w:rsidRPr="00B64F74">
        <w:t xml:space="preserve">in March 2022. </w:t>
      </w:r>
    </w:p>
    <w:p w14:paraId="77A1BF76" w14:textId="404DC630" w:rsidR="00A2582A" w:rsidRPr="00AC441C" w:rsidRDefault="00A2582A" w:rsidP="00A2582A">
      <w:pPr>
        <w:widowControl w:val="0"/>
        <w:numPr>
          <w:ilvl w:val="1"/>
          <w:numId w:val="1"/>
        </w:numPr>
        <w:spacing w:after="120"/>
        <w:ind w:left="720" w:hanging="720"/>
        <w:rPr>
          <w:rFonts w:cs="Times New Roman"/>
        </w:rPr>
      </w:pPr>
      <w:r>
        <w:rPr>
          <w:rFonts w:cs="Times New Roman"/>
        </w:rPr>
        <w:t xml:space="preserve">The pricing proposal updated the </w:t>
      </w:r>
      <w:r w:rsidRPr="00647C81">
        <w:rPr>
          <w:rFonts w:cs="Times New Roman"/>
        </w:rPr>
        <w:t xml:space="preserve">economic model </w:t>
      </w:r>
      <w:r>
        <w:rPr>
          <w:rFonts w:cs="Times New Roman"/>
        </w:rPr>
        <w:t>with the following changes: a 10 year time horizon (as advised by PBAC in March and September 2022); and i</w:t>
      </w:r>
      <w:r w:rsidRPr="00647C81">
        <w:rPr>
          <w:rFonts w:cs="Times New Roman"/>
        </w:rPr>
        <w:t>ncorporation of the revised AEMP</w:t>
      </w:r>
      <w:r>
        <w:rPr>
          <w:rFonts w:cs="Times New Roman"/>
        </w:rPr>
        <w:t xml:space="preserve">s. The pricing proposal stated this </w:t>
      </w:r>
      <w:r w:rsidRPr="00647C81">
        <w:rPr>
          <w:rFonts w:cs="Times New Roman"/>
        </w:rPr>
        <w:t>resulted in an ICER</w:t>
      </w:r>
      <w:r w:rsidRPr="00540A4E">
        <w:t xml:space="preserve"> </w:t>
      </w:r>
      <w:r w:rsidRPr="00647C81">
        <w:rPr>
          <w:rFonts w:cs="Times New Roman"/>
        </w:rPr>
        <w:t xml:space="preserve">of </w:t>
      </w:r>
      <w:r w:rsidR="00B375B2" w:rsidRPr="00B375B2">
        <w:rPr>
          <w:rFonts w:cs="Times New Roman"/>
        </w:rPr>
        <w:t>$45,000 to &lt; $55,000</w:t>
      </w:r>
      <w:r w:rsidRPr="00AC441C">
        <w:rPr>
          <w:rFonts w:cs="Times New Roman"/>
        </w:rPr>
        <w:t xml:space="preserve">per QALY, </w:t>
      </w:r>
      <w:r w:rsidRPr="00B469A8">
        <w:rPr>
          <w:rFonts w:cs="Times New Roman"/>
        </w:rPr>
        <w:t xml:space="preserve">as shown in </w:t>
      </w:r>
      <w:r w:rsidRPr="00B469A8">
        <w:rPr>
          <w:rFonts w:cs="Times New Roman"/>
        </w:rPr>
        <w:fldChar w:fldCharType="begin"/>
      </w:r>
      <w:r w:rsidRPr="00B469A8">
        <w:rPr>
          <w:rFonts w:cs="Times New Roman"/>
        </w:rPr>
        <w:instrText xml:space="preserve"> REF _Ref118449015 \h  \* MERGEFORMAT </w:instrText>
      </w:r>
      <w:r w:rsidRPr="00B469A8">
        <w:rPr>
          <w:rFonts w:cs="Times New Roman"/>
        </w:rPr>
      </w:r>
      <w:r w:rsidRPr="00B469A8">
        <w:rPr>
          <w:rFonts w:cs="Times New Roman"/>
        </w:rPr>
        <w:fldChar w:fldCharType="separate"/>
      </w:r>
      <w:r w:rsidR="00BD1016" w:rsidRPr="00BD1016">
        <w:rPr>
          <w:rFonts w:cs="Times New Roman"/>
        </w:rPr>
        <w:t>Table 27</w:t>
      </w:r>
      <w:r w:rsidRPr="00B469A8">
        <w:rPr>
          <w:rFonts w:cs="Times New Roman"/>
        </w:rPr>
        <w:fldChar w:fldCharType="end"/>
      </w:r>
      <w:r>
        <w:rPr>
          <w:rFonts w:cs="Times New Roman"/>
        </w:rPr>
        <w:t xml:space="preserve">, </w:t>
      </w:r>
      <w:r w:rsidRPr="00AC441C">
        <w:rPr>
          <w:rFonts w:cs="Times New Roman"/>
        </w:rPr>
        <w:t>which is similar to that accepted for aGVHD (</w:t>
      </w:r>
      <w:r>
        <w:rPr>
          <w:rFonts w:cs="Times New Roman"/>
        </w:rPr>
        <w:t>i.e. approximately</w:t>
      </w:r>
      <w:r w:rsidRPr="00AC441C">
        <w:rPr>
          <w:rFonts w:cs="Times New Roman"/>
        </w:rPr>
        <w:t xml:space="preserve"> </w:t>
      </w:r>
      <w:r w:rsidR="00B375B2" w:rsidRPr="00B375B2">
        <w:rPr>
          <w:rFonts w:cs="Times New Roman"/>
        </w:rPr>
        <w:t>$45,000 to &lt; $55,000</w:t>
      </w:r>
      <w:r w:rsidRPr="00AC441C">
        <w:rPr>
          <w:rFonts w:cs="Times New Roman"/>
        </w:rPr>
        <w:t>/QALY).</w:t>
      </w:r>
      <w:r>
        <w:rPr>
          <w:rFonts w:cs="Times New Roman"/>
        </w:rPr>
        <w:t xml:space="preserve"> These changes were consistent with the PBAC’s previous advice (refer to paragraphs </w:t>
      </w:r>
      <w:r>
        <w:rPr>
          <w:rFonts w:cs="Times New Roman"/>
        </w:rPr>
        <w:fldChar w:fldCharType="begin"/>
      </w:r>
      <w:r>
        <w:rPr>
          <w:rFonts w:cs="Times New Roman"/>
        </w:rPr>
        <w:instrText xml:space="preserve"> REF _Ref109395412 \r \h </w:instrText>
      </w:r>
      <w:r>
        <w:rPr>
          <w:rFonts w:cs="Times New Roman"/>
        </w:rPr>
      </w:r>
      <w:r>
        <w:rPr>
          <w:rFonts w:cs="Times New Roman"/>
        </w:rPr>
        <w:fldChar w:fldCharType="separate"/>
      </w:r>
      <w:r w:rsidR="00BD1016">
        <w:rPr>
          <w:rFonts w:cs="Times New Roman"/>
        </w:rPr>
        <w:t>7.26</w:t>
      </w:r>
      <w:r>
        <w:rPr>
          <w:rFonts w:cs="Times New Roman"/>
        </w:rPr>
        <w:fldChar w:fldCharType="end"/>
      </w:r>
      <w:r>
        <w:rPr>
          <w:rFonts w:cs="Times New Roman"/>
        </w:rPr>
        <w:t xml:space="preserve"> and </w:t>
      </w:r>
      <w:r>
        <w:rPr>
          <w:rFonts w:cs="Times New Roman"/>
        </w:rPr>
        <w:fldChar w:fldCharType="begin"/>
      </w:r>
      <w:r>
        <w:rPr>
          <w:rFonts w:cs="Times New Roman"/>
        </w:rPr>
        <w:instrText xml:space="preserve"> REF _Ref118449131 \r \h </w:instrText>
      </w:r>
      <w:r>
        <w:rPr>
          <w:rFonts w:cs="Times New Roman"/>
        </w:rPr>
        <w:fldChar w:fldCharType="separate"/>
      </w:r>
      <w:r w:rsidR="00BD1016">
        <w:rPr>
          <w:rFonts w:cs="Times New Roman"/>
          <w:b/>
          <w:bCs/>
          <w:lang w:val="en-US"/>
        </w:rPr>
        <w:t>Error! Reference source not found.</w:t>
      </w:r>
      <w:r>
        <w:rPr>
          <w:rFonts w:cs="Times New Roman"/>
        </w:rPr>
        <w:fldChar w:fldCharType="end"/>
      </w:r>
      <w:r>
        <w:rPr>
          <w:rFonts w:cs="Times New Roman"/>
        </w:rPr>
        <w:t>). As a pricing proposal, t</w:t>
      </w:r>
      <w:r>
        <w:rPr>
          <w:rFonts w:asciiTheme="minorHAnsi" w:hAnsiTheme="minorHAnsi"/>
          <w:snapToGrid w:val="0"/>
          <w:lang w:val="en-GB"/>
        </w:rPr>
        <w:t>he changes to the economic model were not evaluated</w:t>
      </w:r>
      <w:r>
        <w:rPr>
          <w:rFonts w:cs="Times New Roman"/>
        </w:rPr>
        <w:t>.</w:t>
      </w:r>
    </w:p>
    <w:p w14:paraId="133B10B9" w14:textId="6D683257" w:rsidR="00A2582A" w:rsidRPr="00647C81" w:rsidRDefault="00A2582A" w:rsidP="00A2582A">
      <w:pPr>
        <w:pStyle w:val="Caption"/>
        <w:spacing w:line="240" w:lineRule="auto"/>
        <w:rPr>
          <w:rFonts w:ascii="Arial Narrow" w:eastAsiaTheme="majorEastAsia" w:hAnsi="Arial Narrow" w:cs="Times New Roman"/>
          <w:b w:val="0"/>
          <w:sz w:val="20"/>
          <w:lang w:val="en-US"/>
        </w:rPr>
      </w:pPr>
      <w:bookmarkStart w:id="95" w:name="_Ref118449015"/>
      <w:r w:rsidRPr="00AC441C">
        <w:rPr>
          <w:rFonts w:ascii="Arial Narrow" w:eastAsiaTheme="majorEastAsia" w:hAnsi="Arial Narrow" w:cs="Times New Roman"/>
          <w:sz w:val="20"/>
          <w:lang w:val="en-US"/>
        </w:rPr>
        <w:t xml:space="preserve">Table </w:t>
      </w:r>
      <w:r w:rsidRPr="00AC441C">
        <w:rPr>
          <w:rFonts w:ascii="Arial Narrow" w:eastAsiaTheme="majorEastAsia" w:hAnsi="Arial Narrow" w:cs="Times New Roman"/>
          <w:sz w:val="20"/>
          <w:lang w:val="en-US"/>
        </w:rPr>
        <w:fldChar w:fldCharType="begin"/>
      </w:r>
      <w:r w:rsidRPr="00AC441C">
        <w:rPr>
          <w:rFonts w:ascii="Arial Narrow" w:eastAsiaTheme="majorEastAsia" w:hAnsi="Arial Narrow" w:cs="Times New Roman"/>
          <w:sz w:val="20"/>
          <w:lang w:val="en-US"/>
        </w:rPr>
        <w:instrText xml:space="preserve"> SEQ Table \* ARABIC </w:instrText>
      </w:r>
      <w:r w:rsidRPr="00AC441C">
        <w:rPr>
          <w:rFonts w:ascii="Arial Narrow" w:eastAsiaTheme="majorEastAsia" w:hAnsi="Arial Narrow" w:cs="Times New Roman"/>
          <w:sz w:val="20"/>
          <w:lang w:val="en-US"/>
        </w:rPr>
        <w:fldChar w:fldCharType="separate"/>
      </w:r>
      <w:r w:rsidR="00BD1016">
        <w:rPr>
          <w:rFonts w:ascii="Arial Narrow" w:eastAsiaTheme="majorEastAsia" w:hAnsi="Arial Narrow" w:cs="Times New Roman"/>
          <w:noProof/>
          <w:sz w:val="20"/>
          <w:lang w:val="en-US"/>
        </w:rPr>
        <w:t>27</w:t>
      </w:r>
      <w:r w:rsidRPr="00AC441C">
        <w:rPr>
          <w:rFonts w:ascii="Arial Narrow" w:eastAsiaTheme="majorEastAsia" w:hAnsi="Arial Narrow" w:cs="Times New Roman"/>
          <w:sz w:val="20"/>
          <w:lang w:val="en-US"/>
        </w:rPr>
        <w:fldChar w:fldCharType="end"/>
      </w:r>
      <w:bookmarkEnd w:id="95"/>
      <w:r w:rsidRPr="00647C81">
        <w:rPr>
          <w:rFonts w:ascii="Arial Narrow" w:eastAsiaTheme="majorEastAsia" w:hAnsi="Arial Narrow" w:cs="Times New Roman"/>
          <w:sz w:val="20"/>
          <w:lang w:val="en-US"/>
        </w:rPr>
        <w:t>: Updated cost effectiveness results</w:t>
      </w:r>
    </w:p>
    <w:tbl>
      <w:tblPr>
        <w:tblW w:w="9072" w:type="dxa"/>
        <w:tblInd w:w="-5" w:type="dxa"/>
        <w:tblBorders>
          <w:top w:val="nil"/>
          <w:left w:val="nil"/>
          <w:bottom w:val="nil"/>
          <w:right w:val="nil"/>
        </w:tblBorders>
        <w:tblLayout w:type="fixed"/>
        <w:tblLook w:val="0000" w:firstRow="0" w:lastRow="0" w:firstColumn="0" w:lastColumn="0" w:noHBand="0" w:noVBand="0"/>
      </w:tblPr>
      <w:tblGrid>
        <w:gridCol w:w="2835"/>
        <w:gridCol w:w="1985"/>
        <w:gridCol w:w="2126"/>
        <w:gridCol w:w="2126"/>
      </w:tblGrid>
      <w:tr w:rsidR="00A2582A" w:rsidRPr="00647C81" w14:paraId="55FD0AB9" w14:textId="77777777" w:rsidTr="0045628D">
        <w:trPr>
          <w:trHeight w:val="93"/>
        </w:trPr>
        <w:tc>
          <w:tcPr>
            <w:tcW w:w="2835" w:type="dxa"/>
            <w:tcBorders>
              <w:top w:val="single" w:sz="4" w:space="0" w:color="auto"/>
              <w:left w:val="single" w:sz="4" w:space="0" w:color="auto"/>
              <w:bottom w:val="single" w:sz="4" w:space="0" w:color="auto"/>
              <w:right w:val="single" w:sz="4" w:space="0" w:color="auto"/>
            </w:tcBorders>
          </w:tcPr>
          <w:p w14:paraId="5BFD509D" w14:textId="77777777" w:rsidR="00A2582A" w:rsidRPr="00647C81" w:rsidRDefault="00A2582A" w:rsidP="0045628D">
            <w:pPr>
              <w:keepNext/>
              <w:jc w:val="left"/>
              <w:outlineLvl w:val="0"/>
              <w:rPr>
                <w:rFonts w:ascii="Arial Narrow" w:hAnsi="Arial Narrow"/>
                <w:bCs/>
                <w:snapToGrid w:val="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00A74D9" w14:textId="77777777" w:rsidR="00A2582A" w:rsidRPr="00647C81" w:rsidRDefault="00A2582A" w:rsidP="0045628D">
            <w:pPr>
              <w:autoSpaceDE w:val="0"/>
              <w:autoSpaceDN w:val="0"/>
              <w:adjustRightInd w:val="0"/>
              <w:jc w:val="center"/>
              <w:rPr>
                <w:rFonts w:ascii="Arial Narrow" w:hAnsi="Arial Narrow" w:cs="Calibri"/>
                <w:color w:val="000000"/>
                <w:sz w:val="20"/>
                <w:szCs w:val="20"/>
              </w:rPr>
            </w:pPr>
            <w:r>
              <w:rPr>
                <w:rFonts w:ascii="Arial Narrow" w:hAnsi="Arial Narrow" w:cs="Calibri"/>
                <w:b/>
                <w:bCs/>
                <w:color w:val="000000"/>
                <w:sz w:val="20"/>
                <w:szCs w:val="20"/>
              </w:rPr>
              <w:t xml:space="preserve">Ruxolitinib </w:t>
            </w:r>
          </w:p>
        </w:tc>
        <w:tc>
          <w:tcPr>
            <w:tcW w:w="2126" w:type="dxa"/>
            <w:tcBorders>
              <w:top w:val="single" w:sz="4" w:space="0" w:color="auto"/>
              <w:left w:val="single" w:sz="4" w:space="0" w:color="auto"/>
              <w:bottom w:val="single" w:sz="4" w:space="0" w:color="auto"/>
              <w:right w:val="single" w:sz="4" w:space="0" w:color="auto"/>
            </w:tcBorders>
          </w:tcPr>
          <w:p w14:paraId="4C316C31" w14:textId="77777777" w:rsidR="00A2582A" w:rsidRPr="00AC441C" w:rsidRDefault="00A2582A" w:rsidP="0045628D">
            <w:pPr>
              <w:autoSpaceDE w:val="0"/>
              <w:autoSpaceDN w:val="0"/>
              <w:adjustRightInd w:val="0"/>
              <w:jc w:val="center"/>
              <w:rPr>
                <w:rFonts w:ascii="Arial Narrow" w:hAnsi="Arial Narrow" w:cs="Calibri"/>
                <w:b/>
                <w:bCs/>
                <w:color w:val="000000"/>
                <w:sz w:val="20"/>
                <w:szCs w:val="20"/>
              </w:rPr>
            </w:pPr>
            <w:r w:rsidRPr="00AC441C">
              <w:rPr>
                <w:rFonts w:ascii="Arial Narrow" w:hAnsi="Arial Narrow" w:cs="Calibri"/>
                <w:b/>
                <w:bCs/>
                <w:color w:val="000000"/>
                <w:sz w:val="20"/>
                <w:szCs w:val="20"/>
              </w:rPr>
              <w:t>BAT</w:t>
            </w:r>
          </w:p>
        </w:tc>
        <w:tc>
          <w:tcPr>
            <w:tcW w:w="2126" w:type="dxa"/>
            <w:tcBorders>
              <w:top w:val="single" w:sz="4" w:space="0" w:color="auto"/>
              <w:left w:val="single" w:sz="4" w:space="0" w:color="auto"/>
              <w:bottom w:val="single" w:sz="4" w:space="0" w:color="auto"/>
              <w:right w:val="single" w:sz="4" w:space="0" w:color="auto"/>
            </w:tcBorders>
          </w:tcPr>
          <w:p w14:paraId="1F1078F5" w14:textId="77777777" w:rsidR="00A2582A" w:rsidRPr="00647C81" w:rsidRDefault="00A2582A" w:rsidP="0045628D">
            <w:pPr>
              <w:autoSpaceDE w:val="0"/>
              <w:autoSpaceDN w:val="0"/>
              <w:adjustRightInd w:val="0"/>
              <w:jc w:val="center"/>
              <w:rPr>
                <w:rFonts w:ascii="Arial Narrow" w:hAnsi="Arial Narrow" w:cs="Calibri"/>
                <w:color w:val="000000"/>
                <w:sz w:val="20"/>
                <w:szCs w:val="20"/>
              </w:rPr>
            </w:pPr>
            <w:r w:rsidRPr="00647C81">
              <w:rPr>
                <w:rFonts w:ascii="Arial Narrow" w:hAnsi="Arial Narrow" w:cs="Calibri"/>
                <w:b/>
                <w:bCs/>
                <w:color w:val="000000"/>
                <w:sz w:val="20"/>
                <w:szCs w:val="20"/>
              </w:rPr>
              <w:t>Increment</w:t>
            </w:r>
          </w:p>
        </w:tc>
      </w:tr>
      <w:tr w:rsidR="00A2582A" w:rsidRPr="00647C81" w14:paraId="4756CE6C" w14:textId="77777777" w:rsidTr="0045628D">
        <w:trPr>
          <w:trHeight w:val="207"/>
        </w:trPr>
        <w:tc>
          <w:tcPr>
            <w:tcW w:w="9072" w:type="dxa"/>
            <w:gridSpan w:val="4"/>
            <w:tcBorders>
              <w:top w:val="single" w:sz="4" w:space="0" w:color="auto"/>
              <w:left w:val="single" w:sz="4" w:space="0" w:color="auto"/>
              <w:bottom w:val="single" w:sz="4" w:space="0" w:color="auto"/>
              <w:right w:val="single" w:sz="4" w:space="0" w:color="auto"/>
            </w:tcBorders>
          </w:tcPr>
          <w:p w14:paraId="67912C21" w14:textId="4809EB23" w:rsidR="00A2582A" w:rsidRPr="00647C81" w:rsidRDefault="00A2582A" w:rsidP="0045628D">
            <w:pPr>
              <w:autoSpaceDE w:val="0"/>
              <w:autoSpaceDN w:val="0"/>
              <w:adjustRightInd w:val="0"/>
              <w:jc w:val="left"/>
              <w:rPr>
                <w:rFonts w:ascii="Arial Narrow" w:hAnsi="Arial Narrow" w:cs="Calibri"/>
                <w:color w:val="000000"/>
                <w:sz w:val="20"/>
                <w:szCs w:val="20"/>
              </w:rPr>
            </w:pPr>
            <w:r w:rsidRPr="00647C81">
              <w:rPr>
                <w:rFonts w:ascii="Arial Narrow" w:hAnsi="Arial Narrow" w:cs="Calibri"/>
                <w:b/>
                <w:bCs/>
                <w:color w:val="000000"/>
                <w:sz w:val="20"/>
                <w:szCs w:val="20"/>
              </w:rPr>
              <w:t>Revised proposal</w:t>
            </w:r>
            <w:r>
              <w:rPr>
                <w:rFonts w:ascii="Arial Narrow" w:hAnsi="Arial Narrow" w:cs="Calibri"/>
                <w:b/>
                <w:bCs/>
                <w:color w:val="000000"/>
                <w:sz w:val="20"/>
                <w:szCs w:val="20"/>
              </w:rPr>
              <w:t xml:space="preserve">: Time horizon = 10 years; </w:t>
            </w:r>
            <w:r w:rsidRPr="00647C81">
              <w:rPr>
                <w:rFonts w:ascii="Arial Narrow" w:hAnsi="Arial Narrow" w:cs="Calibri"/>
                <w:b/>
                <w:bCs/>
                <w:color w:val="000000"/>
                <w:sz w:val="20"/>
                <w:szCs w:val="20"/>
              </w:rPr>
              <w:t xml:space="preserve">AEMP = </w:t>
            </w:r>
            <w:r w:rsidRPr="005D0F7C">
              <w:rPr>
                <w:rFonts w:ascii="Arial Narrow" w:hAnsi="Arial Narrow" w:cs="Calibri"/>
                <w:b/>
                <w:bCs/>
                <w:color w:val="000000"/>
                <w:sz w:val="20"/>
                <w:szCs w:val="20"/>
              </w:rPr>
              <w:t>$</w:t>
            </w:r>
            <w:r w:rsidR="007C7C5C" w:rsidRPr="007C7C5C">
              <w:rPr>
                <w:rFonts w:ascii="Arial Narrow" w:hAnsi="Arial Narrow" w:cs="Calibri"/>
                <w:b/>
                <w:bCs/>
                <w:color w:val="000000"/>
                <w:spacing w:val="63"/>
                <w:sz w:val="20"/>
                <w:szCs w:val="20"/>
                <w:shd w:val="solid" w:color="000000" w:fill="000000"/>
                <w:fitText w:val="375" w:id="-1305211131"/>
                <w14:textFill>
                  <w14:solidFill>
                    <w14:srgbClr w14:val="000000">
                      <w14:alpha w14:val="100000"/>
                    </w14:srgbClr>
                  </w14:solidFill>
                </w14:textFill>
              </w:rPr>
              <w:t>|||</w:t>
            </w:r>
            <w:r w:rsidR="007C7C5C" w:rsidRPr="007C7C5C">
              <w:rPr>
                <w:rFonts w:ascii="Arial Narrow" w:hAnsi="Arial Narrow" w:cs="Calibri"/>
                <w:b/>
                <w:bCs/>
                <w:color w:val="000000"/>
                <w:spacing w:val="3"/>
                <w:sz w:val="20"/>
                <w:szCs w:val="20"/>
                <w:shd w:val="solid" w:color="000000" w:fill="000000"/>
                <w:fitText w:val="375" w:id="-1305211131"/>
                <w14:textFill>
                  <w14:solidFill>
                    <w14:srgbClr w14:val="000000">
                      <w14:alpha w14:val="100000"/>
                    </w14:srgbClr>
                  </w14:solidFill>
                </w14:textFill>
              </w:rPr>
              <w:t>|</w:t>
            </w:r>
            <w:r w:rsidRPr="005D0F7C">
              <w:rPr>
                <w:rFonts w:ascii="Arial Narrow" w:hAnsi="Arial Narrow" w:cs="Calibri"/>
                <w:b/>
                <w:bCs/>
                <w:color w:val="000000"/>
                <w:sz w:val="20"/>
                <w:szCs w:val="20"/>
              </w:rPr>
              <w:t xml:space="preserve"> </w:t>
            </w:r>
            <w:r>
              <w:rPr>
                <w:rFonts w:ascii="Arial Narrow" w:hAnsi="Arial Narrow" w:cs="Calibri"/>
                <w:b/>
                <w:bCs/>
                <w:color w:val="000000"/>
                <w:sz w:val="20"/>
                <w:szCs w:val="20"/>
              </w:rPr>
              <w:t>for</w:t>
            </w:r>
            <w:r w:rsidRPr="005D0F7C">
              <w:rPr>
                <w:rFonts w:ascii="Arial Narrow" w:hAnsi="Arial Narrow" w:cs="Calibri"/>
                <w:b/>
                <w:bCs/>
                <w:color w:val="000000"/>
                <w:sz w:val="20"/>
                <w:szCs w:val="20"/>
              </w:rPr>
              <w:t xml:space="preserve"> 10 mg</w:t>
            </w:r>
            <w:r>
              <w:rPr>
                <w:rFonts w:ascii="Arial Narrow" w:hAnsi="Arial Narrow" w:cs="Calibri"/>
                <w:b/>
                <w:bCs/>
                <w:color w:val="000000"/>
                <w:sz w:val="20"/>
                <w:szCs w:val="20"/>
              </w:rPr>
              <w:t xml:space="preserve">; </w:t>
            </w:r>
            <w:r w:rsidRPr="00AC441C">
              <w:rPr>
                <w:rFonts w:ascii="Arial Narrow" w:hAnsi="Arial Narrow" w:cs="Calibri"/>
                <w:b/>
                <w:bCs/>
                <w:color w:val="000000"/>
                <w:sz w:val="20"/>
                <w:szCs w:val="20"/>
              </w:rPr>
              <w:t>$</w:t>
            </w:r>
            <w:r w:rsidR="007C7C5C" w:rsidRPr="007C7C5C">
              <w:rPr>
                <w:rFonts w:ascii="Arial Narrow" w:hAnsi="Arial Narrow" w:cs="Calibri"/>
                <w:b/>
                <w:bCs/>
                <w:color w:val="000000"/>
                <w:spacing w:val="54"/>
                <w:sz w:val="20"/>
                <w:szCs w:val="20"/>
                <w:shd w:val="solid" w:color="000000" w:fill="000000"/>
                <w:fitText w:val="363" w:id="-1305211130"/>
                <w14:textFill>
                  <w14:solidFill>
                    <w14:srgbClr w14:val="000000">
                      <w14:alpha w14:val="100000"/>
                    </w14:srgbClr>
                  </w14:solidFill>
                </w14:textFill>
              </w:rPr>
              <w:t>|||</w:t>
            </w:r>
            <w:r w:rsidR="007C7C5C" w:rsidRPr="007C7C5C">
              <w:rPr>
                <w:rFonts w:ascii="Arial Narrow" w:hAnsi="Arial Narrow" w:cs="Calibri"/>
                <w:b/>
                <w:bCs/>
                <w:color w:val="000000"/>
                <w:spacing w:val="27"/>
                <w:sz w:val="20"/>
                <w:szCs w:val="20"/>
                <w:shd w:val="solid" w:color="000000" w:fill="000000"/>
                <w:fitText w:val="363" w:id="-1305211130"/>
                <w14:textFill>
                  <w14:solidFill>
                    <w14:srgbClr w14:val="000000">
                      <w14:alpha w14:val="100000"/>
                    </w14:srgbClr>
                  </w14:solidFill>
                </w14:textFill>
              </w:rPr>
              <w:t>|</w:t>
            </w:r>
            <w:r w:rsidRPr="00AC441C">
              <w:rPr>
                <w:rFonts w:ascii="Arial Narrow" w:hAnsi="Arial Narrow" w:cs="Calibri"/>
                <w:b/>
                <w:bCs/>
                <w:color w:val="000000"/>
                <w:sz w:val="20"/>
                <w:szCs w:val="20"/>
              </w:rPr>
              <w:t xml:space="preserve"> </w:t>
            </w:r>
            <w:r>
              <w:rPr>
                <w:rFonts w:ascii="Arial Narrow" w:hAnsi="Arial Narrow" w:cs="Calibri"/>
                <w:b/>
                <w:bCs/>
                <w:color w:val="000000"/>
                <w:sz w:val="20"/>
                <w:szCs w:val="20"/>
              </w:rPr>
              <w:t>for</w:t>
            </w:r>
            <w:r w:rsidRPr="00AC441C">
              <w:rPr>
                <w:rFonts w:ascii="Arial Narrow" w:hAnsi="Arial Narrow" w:cs="Calibri"/>
                <w:b/>
                <w:bCs/>
                <w:color w:val="000000"/>
                <w:sz w:val="20"/>
                <w:szCs w:val="20"/>
              </w:rPr>
              <w:t xml:space="preserve"> 5 mg </w:t>
            </w:r>
          </w:p>
        </w:tc>
      </w:tr>
      <w:tr w:rsidR="00A2582A" w:rsidRPr="00647C81" w14:paraId="2CB1A40A" w14:textId="77777777" w:rsidTr="0045628D">
        <w:trPr>
          <w:trHeight w:val="93"/>
        </w:trPr>
        <w:tc>
          <w:tcPr>
            <w:tcW w:w="2835" w:type="dxa"/>
            <w:tcBorders>
              <w:top w:val="single" w:sz="4" w:space="0" w:color="auto"/>
              <w:left w:val="single" w:sz="4" w:space="0" w:color="auto"/>
              <w:bottom w:val="single" w:sz="4" w:space="0" w:color="auto"/>
              <w:right w:val="single" w:sz="4" w:space="0" w:color="auto"/>
            </w:tcBorders>
          </w:tcPr>
          <w:p w14:paraId="6839D64E" w14:textId="77777777" w:rsidR="00A2582A" w:rsidRPr="00647C81" w:rsidRDefault="00A2582A" w:rsidP="0045628D">
            <w:pPr>
              <w:autoSpaceDE w:val="0"/>
              <w:autoSpaceDN w:val="0"/>
              <w:adjustRightInd w:val="0"/>
              <w:jc w:val="left"/>
              <w:rPr>
                <w:rFonts w:ascii="Arial Narrow" w:hAnsi="Arial Narrow" w:cs="Calibri"/>
                <w:color w:val="000000"/>
                <w:sz w:val="20"/>
                <w:szCs w:val="20"/>
              </w:rPr>
            </w:pPr>
            <w:r w:rsidRPr="00647C81">
              <w:rPr>
                <w:rFonts w:ascii="Arial Narrow" w:hAnsi="Arial Narrow" w:cs="Calibri"/>
                <w:color w:val="000000"/>
                <w:sz w:val="20"/>
                <w:szCs w:val="20"/>
              </w:rPr>
              <w:t xml:space="preserve">Costs </w:t>
            </w:r>
          </w:p>
        </w:tc>
        <w:tc>
          <w:tcPr>
            <w:tcW w:w="1985" w:type="dxa"/>
            <w:tcBorders>
              <w:top w:val="single" w:sz="4" w:space="0" w:color="auto"/>
              <w:left w:val="single" w:sz="4" w:space="0" w:color="auto"/>
              <w:bottom w:val="single" w:sz="4" w:space="0" w:color="auto"/>
              <w:right w:val="single" w:sz="4" w:space="0" w:color="auto"/>
            </w:tcBorders>
          </w:tcPr>
          <w:p w14:paraId="0DDF5CB5" w14:textId="6D6B4EA2" w:rsidR="00A2582A" w:rsidRPr="00647C81" w:rsidRDefault="00A2582A" w:rsidP="0045628D">
            <w:pPr>
              <w:autoSpaceDE w:val="0"/>
              <w:autoSpaceDN w:val="0"/>
              <w:adjustRightInd w:val="0"/>
              <w:jc w:val="center"/>
              <w:rPr>
                <w:rFonts w:ascii="Arial Narrow" w:hAnsi="Arial Narrow" w:cs="Calibri"/>
                <w:color w:val="000000"/>
                <w:sz w:val="20"/>
                <w:szCs w:val="20"/>
              </w:rPr>
            </w:pPr>
            <w:r w:rsidRPr="00647C81">
              <w:rPr>
                <w:rFonts w:ascii="Arial Narrow" w:hAnsi="Arial Narrow" w:cs="Calibri"/>
                <w:color w:val="000000"/>
                <w:sz w:val="20"/>
                <w:szCs w:val="20"/>
              </w:rPr>
              <w:t>$</w:t>
            </w:r>
            <w:r w:rsidR="007C7C5C" w:rsidRPr="007C7C5C">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2126" w:type="dxa"/>
            <w:tcBorders>
              <w:top w:val="single" w:sz="4" w:space="0" w:color="auto"/>
              <w:left w:val="single" w:sz="4" w:space="0" w:color="auto"/>
              <w:bottom w:val="single" w:sz="4" w:space="0" w:color="auto"/>
              <w:right w:val="single" w:sz="4" w:space="0" w:color="auto"/>
            </w:tcBorders>
          </w:tcPr>
          <w:p w14:paraId="4CF45495" w14:textId="77777777" w:rsidR="00A2582A" w:rsidRPr="00647C81" w:rsidRDefault="00A2582A" w:rsidP="0045628D">
            <w:pPr>
              <w:autoSpaceDE w:val="0"/>
              <w:autoSpaceDN w:val="0"/>
              <w:adjustRightInd w:val="0"/>
              <w:jc w:val="center"/>
              <w:rPr>
                <w:rFonts w:ascii="Arial Narrow" w:hAnsi="Arial Narrow" w:cs="Calibri"/>
                <w:color w:val="000000"/>
                <w:sz w:val="20"/>
                <w:szCs w:val="20"/>
              </w:rPr>
            </w:pPr>
            <w:r w:rsidRPr="006A5D2A">
              <w:rPr>
                <w:rFonts w:ascii="Arial Narrow" w:hAnsi="Arial Narrow" w:cs="Calibri"/>
                <w:color w:val="000000"/>
                <w:sz w:val="20"/>
                <w:szCs w:val="20"/>
              </w:rPr>
              <w:t>$87,394</w:t>
            </w:r>
          </w:p>
        </w:tc>
        <w:tc>
          <w:tcPr>
            <w:tcW w:w="2126" w:type="dxa"/>
            <w:tcBorders>
              <w:top w:val="single" w:sz="4" w:space="0" w:color="auto"/>
              <w:left w:val="single" w:sz="4" w:space="0" w:color="auto"/>
              <w:bottom w:val="single" w:sz="4" w:space="0" w:color="auto"/>
              <w:right w:val="single" w:sz="4" w:space="0" w:color="auto"/>
            </w:tcBorders>
          </w:tcPr>
          <w:p w14:paraId="545DC73F" w14:textId="0903FB28" w:rsidR="00A2582A" w:rsidRPr="00647C81" w:rsidRDefault="00A2582A" w:rsidP="0045628D">
            <w:pPr>
              <w:autoSpaceDE w:val="0"/>
              <w:autoSpaceDN w:val="0"/>
              <w:adjustRightInd w:val="0"/>
              <w:jc w:val="center"/>
              <w:rPr>
                <w:rFonts w:ascii="Arial Narrow" w:hAnsi="Arial Narrow" w:cs="Calibri"/>
                <w:color w:val="000000"/>
                <w:sz w:val="20"/>
                <w:szCs w:val="20"/>
              </w:rPr>
            </w:pPr>
            <w:r>
              <w:rPr>
                <w:rFonts w:ascii="Arial Narrow" w:hAnsi="Arial Narrow" w:cs="Calibri"/>
                <w:color w:val="000000"/>
                <w:sz w:val="20"/>
                <w:szCs w:val="20"/>
              </w:rPr>
              <w:t>$</w:t>
            </w:r>
            <w:r w:rsidR="007C7C5C" w:rsidRPr="007C7C5C">
              <w:rPr>
                <w:rFonts w:ascii="Arial Narrow" w:hAnsi="Arial Narrow" w:cs="Calibri"/>
                <w:color w:val="000000"/>
                <w:sz w:val="20"/>
                <w:szCs w:val="20"/>
                <w:shd w:val="solid" w:color="000000" w:fill="000000"/>
                <w14:textFill>
                  <w14:solidFill>
                    <w14:srgbClr w14:val="000000">
                      <w14:alpha w14:val="100000"/>
                    </w14:srgbClr>
                  </w14:solidFill>
                </w14:textFill>
              </w:rPr>
              <w:t>|</w:t>
            </w:r>
          </w:p>
        </w:tc>
      </w:tr>
      <w:tr w:rsidR="00A2582A" w:rsidRPr="00647C81" w14:paraId="2A701555" w14:textId="77777777" w:rsidTr="0045628D">
        <w:trPr>
          <w:trHeight w:val="93"/>
        </w:trPr>
        <w:tc>
          <w:tcPr>
            <w:tcW w:w="2835" w:type="dxa"/>
            <w:tcBorders>
              <w:top w:val="single" w:sz="4" w:space="0" w:color="auto"/>
              <w:left w:val="single" w:sz="4" w:space="0" w:color="auto"/>
              <w:bottom w:val="single" w:sz="4" w:space="0" w:color="auto"/>
              <w:right w:val="single" w:sz="4" w:space="0" w:color="auto"/>
            </w:tcBorders>
          </w:tcPr>
          <w:p w14:paraId="35EED98B" w14:textId="77777777" w:rsidR="00A2582A" w:rsidRPr="00647C81" w:rsidRDefault="00A2582A" w:rsidP="0045628D">
            <w:pPr>
              <w:autoSpaceDE w:val="0"/>
              <w:autoSpaceDN w:val="0"/>
              <w:adjustRightInd w:val="0"/>
              <w:jc w:val="left"/>
              <w:rPr>
                <w:rFonts w:ascii="Arial Narrow" w:hAnsi="Arial Narrow" w:cs="Calibri"/>
                <w:color w:val="000000"/>
                <w:sz w:val="20"/>
                <w:szCs w:val="20"/>
              </w:rPr>
            </w:pPr>
            <w:r w:rsidRPr="00647C81">
              <w:rPr>
                <w:rFonts w:ascii="Arial Narrow" w:hAnsi="Arial Narrow" w:cs="Calibri"/>
                <w:color w:val="000000"/>
                <w:sz w:val="20"/>
                <w:szCs w:val="20"/>
              </w:rPr>
              <w:t xml:space="preserve">QALY </w:t>
            </w:r>
          </w:p>
        </w:tc>
        <w:tc>
          <w:tcPr>
            <w:tcW w:w="1985" w:type="dxa"/>
            <w:tcBorders>
              <w:top w:val="single" w:sz="4" w:space="0" w:color="auto"/>
              <w:left w:val="single" w:sz="4" w:space="0" w:color="auto"/>
              <w:bottom w:val="single" w:sz="4" w:space="0" w:color="auto"/>
              <w:right w:val="single" w:sz="4" w:space="0" w:color="auto"/>
            </w:tcBorders>
          </w:tcPr>
          <w:p w14:paraId="271C6F08" w14:textId="77777777" w:rsidR="00A2582A" w:rsidRPr="00647C81" w:rsidRDefault="00A2582A" w:rsidP="0045628D">
            <w:pPr>
              <w:autoSpaceDE w:val="0"/>
              <w:autoSpaceDN w:val="0"/>
              <w:adjustRightInd w:val="0"/>
              <w:jc w:val="center"/>
              <w:rPr>
                <w:rFonts w:ascii="Arial Narrow" w:hAnsi="Arial Narrow" w:cs="Calibri"/>
                <w:color w:val="000000"/>
                <w:sz w:val="20"/>
                <w:szCs w:val="20"/>
              </w:rPr>
            </w:pPr>
            <w:r>
              <w:rPr>
                <w:rFonts w:ascii="Arial Narrow" w:hAnsi="Arial Narrow" w:cs="Calibri"/>
                <w:color w:val="000000"/>
                <w:sz w:val="20"/>
                <w:szCs w:val="20"/>
              </w:rPr>
              <w:t>3.71</w:t>
            </w:r>
          </w:p>
        </w:tc>
        <w:tc>
          <w:tcPr>
            <w:tcW w:w="2126" w:type="dxa"/>
            <w:tcBorders>
              <w:top w:val="single" w:sz="4" w:space="0" w:color="auto"/>
              <w:left w:val="single" w:sz="4" w:space="0" w:color="auto"/>
              <w:bottom w:val="single" w:sz="4" w:space="0" w:color="auto"/>
              <w:right w:val="single" w:sz="4" w:space="0" w:color="auto"/>
            </w:tcBorders>
          </w:tcPr>
          <w:p w14:paraId="08DC4EF7" w14:textId="77777777" w:rsidR="00A2582A" w:rsidRPr="00647C81" w:rsidRDefault="00A2582A" w:rsidP="0045628D">
            <w:pPr>
              <w:autoSpaceDE w:val="0"/>
              <w:autoSpaceDN w:val="0"/>
              <w:adjustRightInd w:val="0"/>
              <w:jc w:val="center"/>
              <w:rPr>
                <w:rFonts w:ascii="Arial Narrow" w:hAnsi="Arial Narrow" w:cs="Calibri"/>
                <w:color w:val="000000"/>
                <w:sz w:val="20"/>
                <w:szCs w:val="20"/>
              </w:rPr>
            </w:pPr>
            <w:r>
              <w:rPr>
                <w:rFonts w:ascii="Arial Narrow" w:hAnsi="Arial Narrow" w:cs="Calibri"/>
                <w:color w:val="000000"/>
                <w:sz w:val="20"/>
                <w:szCs w:val="20"/>
              </w:rPr>
              <w:t>3.47</w:t>
            </w:r>
          </w:p>
        </w:tc>
        <w:tc>
          <w:tcPr>
            <w:tcW w:w="2126" w:type="dxa"/>
            <w:tcBorders>
              <w:top w:val="single" w:sz="4" w:space="0" w:color="auto"/>
              <w:left w:val="single" w:sz="4" w:space="0" w:color="auto"/>
              <w:bottom w:val="single" w:sz="4" w:space="0" w:color="auto"/>
              <w:right w:val="single" w:sz="4" w:space="0" w:color="auto"/>
            </w:tcBorders>
          </w:tcPr>
          <w:p w14:paraId="06CE1108" w14:textId="77777777" w:rsidR="00A2582A" w:rsidRPr="00647C81" w:rsidRDefault="00A2582A" w:rsidP="0045628D">
            <w:pPr>
              <w:autoSpaceDE w:val="0"/>
              <w:autoSpaceDN w:val="0"/>
              <w:adjustRightInd w:val="0"/>
              <w:jc w:val="center"/>
              <w:rPr>
                <w:rFonts w:ascii="Arial Narrow" w:hAnsi="Arial Narrow" w:cs="Calibri"/>
                <w:color w:val="000000"/>
                <w:sz w:val="20"/>
                <w:szCs w:val="20"/>
              </w:rPr>
            </w:pPr>
            <w:r>
              <w:rPr>
                <w:rFonts w:ascii="Arial Narrow" w:hAnsi="Arial Narrow" w:cs="Calibri"/>
                <w:color w:val="000000"/>
                <w:sz w:val="20"/>
                <w:szCs w:val="20"/>
              </w:rPr>
              <w:t>0.23</w:t>
            </w:r>
          </w:p>
        </w:tc>
      </w:tr>
      <w:tr w:rsidR="00A2582A" w:rsidRPr="00647C81" w14:paraId="210851CA" w14:textId="77777777" w:rsidTr="0045628D">
        <w:trPr>
          <w:trHeight w:val="93"/>
        </w:trPr>
        <w:tc>
          <w:tcPr>
            <w:tcW w:w="6946" w:type="dxa"/>
            <w:gridSpan w:val="3"/>
            <w:tcBorders>
              <w:top w:val="single" w:sz="4" w:space="0" w:color="auto"/>
              <w:left w:val="single" w:sz="4" w:space="0" w:color="auto"/>
              <w:bottom w:val="single" w:sz="4" w:space="0" w:color="auto"/>
              <w:right w:val="single" w:sz="4" w:space="0" w:color="auto"/>
            </w:tcBorders>
          </w:tcPr>
          <w:p w14:paraId="28EF24EA" w14:textId="77777777" w:rsidR="00A2582A" w:rsidRPr="00647C81" w:rsidRDefault="00A2582A" w:rsidP="0045628D">
            <w:pPr>
              <w:autoSpaceDE w:val="0"/>
              <w:autoSpaceDN w:val="0"/>
              <w:adjustRightInd w:val="0"/>
              <w:jc w:val="left"/>
              <w:rPr>
                <w:rFonts w:ascii="Arial Narrow" w:hAnsi="Arial Narrow" w:cs="Calibri"/>
                <w:color w:val="000000"/>
                <w:sz w:val="20"/>
                <w:szCs w:val="20"/>
              </w:rPr>
            </w:pPr>
            <w:r w:rsidRPr="00647C81">
              <w:rPr>
                <w:rFonts w:ascii="Arial Narrow" w:hAnsi="Arial Narrow" w:cs="Calibri"/>
                <w:b/>
                <w:bCs/>
                <w:color w:val="000000"/>
                <w:sz w:val="20"/>
                <w:szCs w:val="20"/>
              </w:rPr>
              <w:t xml:space="preserve">Incremental cost/extra QALY gained </w:t>
            </w:r>
          </w:p>
        </w:tc>
        <w:tc>
          <w:tcPr>
            <w:tcW w:w="2126" w:type="dxa"/>
            <w:tcBorders>
              <w:top w:val="single" w:sz="4" w:space="0" w:color="auto"/>
              <w:left w:val="single" w:sz="4" w:space="0" w:color="auto"/>
              <w:bottom w:val="single" w:sz="4" w:space="0" w:color="auto"/>
              <w:right w:val="single" w:sz="4" w:space="0" w:color="auto"/>
            </w:tcBorders>
          </w:tcPr>
          <w:p w14:paraId="7967DFF9" w14:textId="455BEDC1" w:rsidR="00A2582A" w:rsidRPr="00647C81" w:rsidRDefault="00A2582A" w:rsidP="0045628D">
            <w:pPr>
              <w:autoSpaceDE w:val="0"/>
              <w:autoSpaceDN w:val="0"/>
              <w:adjustRightInd w:val="0"/>
              <w:jc w:val="center"/>
              <w:rPr>
                <w:rFonts w:ascii="Arial Narrow" w:hAnsi="Arial Narrow" w:cs="Calibri"/>
                <w:color w:val="000000"/>
                <w:sz w:val="20"/>
                <w:szCs w:val="20"/>
              </w:rPr>
            </w:pPr>
            <w:r w:rsidRPr="00647C81">
              <w:rPr>
                <w:rFonts w:ascii="Arial Narrow" w:hAnsi="Arial Narrow" w:cs="Calibri"/>
                <w:b/>
                <w:bCs/>
                <w:color w:val="000000"/>
                <w:sz w:val="20"/>
                <w:szCs w:val="20"/>
              </w:rPr>
              <w:t>$</w:t>
            </w:r>
            <w:r w:rsidR="007C7C5C" w:rsidRPr="007C7C5C">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00B375B2" w:rsidRPr="007C7C5C">
              <w:rPr>
                <w:rFonts w:ascii="Arial Narrow" w:hAnsi="Arial Narrow" w:cs="Calibri"/>
                <w:b/>
                <w:bCs/>
                <w:color w:val="000000"/>
                <w:sz w:val="20"/>
                <w:szCs w:val="20"/>
                <w:vertAlign w:val="superscript"/>
              </w:rPr>
              <w:t>1</w:t>
            </w:r>
          </w:p>
        </w:tc>
      </w:tr>
      <w:tr w:rsidR="00A2582A" w:rsidRPr="00647C81" w14:paraId="5E5E6A0A" w14:textId="77777777" w:rsidTr="0045628D">
        <w:trPr>
          <w:trHeight w:val="93"/>
        </w:trPr>
        <w:tc>
          <w:tcPr>
            <w:tcW w:w="907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366F73" w14:textId="6E6B707D" w:rsidR="00A2582A" w:rsidRPr="00AC441C" w:rsidRDefault="00A2582A" w:rsidP="0045628D">
            <w:pPr>
              <w:autoSpaceDE w:val="0"/>
              <w:autoSpaceDN w:val="0"/>
              <w:adjustRightInd w:val="0"/>
              <w:jc w:val="left"/>
              <w:rPr>
                <w:rFonts w:ascii="Arial Narrow" w:hAnsi="Arial Narrow" w:cs="Calibri"/>
                <w:b/>
                <w:bCs/>
                <w:color w:val="000000"/>
                <w:sz w:val="20"/>
                <w:szCs w:val="20"/>
              </w:rPr>
            </w:pPr>
            <w:r>
              <w:rPr>
                <w:rFonts w:ascii="Arial Narrow" w:hAnsi="Arial Narrow" w:cs="Calibri"/>
                <w:b/>
                <w:bCs/>
                <w:color w:val="000000"/>
                <w:sz w:val="20"/>
                <w:szCs w:val="20"/>
              </w:rPr>
              <w:t>March</w:t>
            </w:r>
            <w:r w:rsidRPr="00D35696">
              <w:rPr>
                <w:rFonts w:ascii="Arial Narrow" w:hAnsi="Arial Narrow" w:cs="Calibri"/>
                <w:b/>
                <w:bCs/>
                <w:color w:val="000000"/>
                <w:sz w:val="20"/>
                <w:szCs w:val="20"/>
              </w:rPr>
              <w:t xml:space="preserve"> 2022 submission</w:t>
            </w:r>
            <w:r>
              <w:rPr>
                <w:rFonts w:ascii="Arial Narrow" w:hAnsi="Arial Narrow" w:cs="Calibri"/>
                <w:b/>
                <w:bCs/>
                <w:color w:val="000000"/>
                <w:sz w:val="20"/>
                <w:szCs w:val="20"/>
              </w:rPr>
              <w:t>:</w:t>
            </w:r>
            <w:r w:rsidRPr="00D35696">
              <w:rPr>
                <w:rFonts w:ascii="Arial Narrow" w:hAnsi="Arial Narrow" w:cs="Calibri"/>
                <w:b/>
                <w:bCs/>
                <w:color w:val="000000"/>
                <w:sz w:val="20"/>
                <w:szCs w:val="20"/>
              </w:rPr>
              <w:t xml:space="preserve"> </w:t>
            </w:r>
            <w:r>
              <w:rPr>
                <w:rFonts w:ascii="Arial Narrow" w:hAnsi="Arial Narrow" w:cs="Calibri"/>
                <w:b/>
                <w:bCs/>
                <w:color w:val="000000"/>
                <w:sz w:val="20"/>
                <w:szCs w:val="20"/>
              </w:rPr>
              <w:t>Time horizon = 30 years;</w:t>
            </w:r>
            <w:r w:rsidRPr="00647C81">
              <w:rPr>
                <w:rFonts w:ascii="Arial Narrow" w:hAnsi="Arial Narrow" w:cs="Calibri"/>
                <w:b/>
                <w:bCs/>
                <w:color w:val="000000"/>
                <w:sz w:val="20"/>
                <w:szCs w:val="20"/>
              </w:rPr>
              <w:t xml:space="preserve"> AEMP =</w:t>
            </w:r>
            <w:r>
              <w:rPr>
                <w:rFonts w:ascii="Arial Narrow" w:hAnsi="Arial Narrow" w:cs="Calibri"/>
                <w:b/>
                <w:bCs/>
                <w:color w:val="000000"/>
                <w:sz w:val="20"/>
                <w:szCs w:val="20"/>
              </w:rPr>
              <w:t xml:space="preserve"> </w:t>
            </w:r>
            <w:r w:rsidRPr="005D0F7C">
              <w:rPr>
                <w:rFonts w:ascii="Arial Narrow" w:hAnsi="Arial Narrow" w:cs="Calibri"/>
                <w:b/>
                <w:bCs/>
                <w:color w:val="000000"/>
                <w:sz w:val="20"/>
                <w:szCs w:val="20"/>
              </w:rPr>
              <w:t>$</w:t>
            </w:r>
            <w:r w:rsidR="007C7C5C" w:rsidRPr="007C7C5C">
              <w:rPr>
                <w:rFonts w:ascii="Arial Narrow" w:hAnsi="Arial Narrow" w:cs="Calibri"/>
                <w:b/>
                <w:bCs/>
                <w:color w:val="000000"/>
                <w:spacing w:val="54"/>
                <w:sz w:val="20"/>
                <w:szCs w:val="20"/>
                <w:shd w:val="solid" w:color="000000" w:fill="000000"/>
                <w:fitText w:val="363" w:id="-1305211129"/>
                <w14:textFill>
                  <w14:solidFill>
                    <w14:srgbClr w14:val="000000">
                      <w14:alpha w14:val="100000"/>
                    </w14:srgbClr>
                  </w14:solidFill>
                </w14:textFill>
              </w:rPr>
              <w:t>|||</w:t>
            </w:r>
            <w:r w:rsidR="007C7C5C" w:rsidRPr="007C7C5C">
              <w:rPr>
                <w:rFonts w:ascii="Arial Narrow" w:hAnsi="Arial Narrow" w:cs="Calibri"/>
                <w:b/>
                <w:bCs/>
                <w:color w:val="000000"/>
                <w:spacing w:val="27"/>
                <w:sz w:val="20"/>
                <w:szCs w:val="20"/>
                <w:shd w:val="solid" w:color="000000" w:fill="000000"/>
                <w:fitText w:val="363" w:id="-1305211129"/>
                <w14:textFill>
                  <w14:solidFill>
                    <w14:srgbClr w14:val="000000">
                      <w14:alpha w14:val="100000"/>
                    </w14:srgbClr>
                  </w14:solidFill>
                </w14:textFill>
              </w:rPr>
              <w:t>|</w:t>
            </w:r>
            <w:r>
              <w:rPr>
                <w:rFonts w:ascii="Arial Narrow" w:hAnsi="Arial Narrow" w:cs="Calibri"/>
                <w:b/>
                <w:bCs/>
                <w:color w:val="000000"/>
                <w:sz w:val="20"/>
                <w:szCs w:val="20"/>
              </w:rPr>
              <w:t xml:space="preserve"> for</w:t>
            </w:r>
            <w:r w:rsidRPr="005D0F7C">
              <w:rPr>
                <w:rFonts w:ascii="Arial Narrow" w:hAnsi="Arial Narrow" w:cs="Calibri"/>
                <w:b/>
                <w:bCs/>
                <w:color w:val="000000"/>
                <w:sz w:val="20"/>
                <w:szCs w:val="20"/>
              </w:rPr>
              <w:t xml:space="preserve"> 10 mg</w:t>
            </w:r>
            <w:r>
              <w:rPr>
                <w:rFonts w:ascii="Arial Narrow" w:hAnsi="Arial Narrow" w:cs="Calibri"/>
                <w:b/>
                <w:bCs/>
                <w:color w:val="000000"/>
                <w:sz w:val="20"/>
                <w:szCs w:val="20"/>
              </w:rPr>
              <w:t xml:space="preserve">; </w:t>
            </w:r>
            <w:r w:rsidRPr="00AC441C">
              <w:rPr>
                <w:rFonts w:ascii="Arial Narrow" w:hAnsi="Arial Narrow" w:cs="Calibri"/>
                <w:b/>
                <w:bCs/>
                <w:color w:val="000000"/>
                <w:sz w:val="20"/>
                <w:szCs w:val="20"/>
              </w:rPr>
              <w:t>$</w:t>
            </w:r>
            <w:r w:rsidR="007C7C5C" w:rsidRPr="007C7C5C">
              <w:rPr>
                <w:rFonts w:ascii="Arial Narrow" w:hAnsi="Arial Narrow" w:cs="Calibri"/>
                <w:b/>
                <w:bCs/>
                <w:color w:val="000000"/>
                <w:spacing w:val="54"/>
                <w:sz w:val="20"/>
                <w:szCs w:val="20"/>
                <w:shd w:val="solid" w:color="000000" w:fill="000000"/>
                <w:fitText w:val="363" w:id="-1305211128"/>
                <w14:textFill>
                  <w14:solidFill>
                    <w14:srgbClr w14:val="000000">
                      <w14:alpha w14:val="100000"/>
                    </w14:srgbClr>
                  </w14:solidFill>
                </w14:textFill>
              </w:rPr>
              <w:t>|||</w:t>
            </w:r>
            <w:r w:rsidR="007C7C5C" w:rsidRPr="007C7C5C">
              <w:rPr>
                <w:rFonts w:ascii="Arial Narrow" w:hAnsi="Arial Narrow" w:cs="Calibri"/>
                <w:b/>
                <w:bCs/>
                <w:color w:val="000000"/>
                <w:spacing w:val="27"/>
                <w:sz w:val="20"/>
                <w:szCs w:val="20"/>
                <w:shd w:val="solid" w:color="000000" w:fill="000000"/>
                <w:fitText w:val="363" w:id="-1305211128"/>
                <w14:textFill>
                  <w14:solidFill>
                    <w14:srgbClr w14:val="000000">
                      <w14:alpha w14:val="100000"/>
                    </w14:srgbClr>
                  </w14:solidFill>
                </w14:textFill>
              </w:rPr>
              <w:t>|</w:t>
            </w:r>
            <w:r w:rsidRPr="00AC441C">
              <w:rPr>
                <w:rFonts w:ascii="Arial Narrow" w:hAnsi="Arial Narrow" w:cs="Calibri"/>
                <w:b/>
                <w:bCs/>
                <w:color w:val="000000"/>
                <w:sz w:val="20"/>
                <w:szCs w:val="20"/>
              </w:rPr>
              <w:t xml:space="preserve"> </w:t>
            </w:r>
            <w:r>
              <w:rPr>
                <w:rFonts w:ascii="Arial Narrow" w:hAnsi="Arial Narrow" w:cs="Calibri"/>
                <w:b/>
                <w:bCs/>
                <w:color w:val="000000"/>
                <w:sz w:val="20"/>
                <w:szCs w:val="20"/>
              </w:rPr>
              <w:t>for</w:t>
            </w:r>
            <w:r w:rsidRPr="008033F1">
              <w:rPr>
                <w:rFonts w:ascii="Arial Narrow" w:hAnsi="Arial Narrow" w:cs="Calibri"/>
                <w:b/>
                <w:bCs/>
                <w:color w:val="000000"/>
                <w:sz w:val="20"/>
                <w:szCs w:val="20"/>
              </w:rPr>
              <w:t xml:space="preserve"> 5 mg </w:t>
            </w:r>
          </w:p>
        </w:tc>
      </w:tr>
      <w:tr w:rsidR="00A2582A" w:rsidRPr="00647C81" w14:paraId="2894AE5F" w14:textId="77777777" w:rsidTr="0045628D">
        <w:trPr>
          <w:trHeight w:val="93"/>
        </w:trPr>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16E49C" w14:textId="77777777" w:rsidR="00A2582A" w:rsidRPr="00D35696" w:rsidRDefault="00A2582A" w:rsidP="0045628D">
            <w:pPr>
              <w:autoSpaceDE w:val="0"/>
              <w:autoSpaceDN w:val="0"/>
              <w:adjustRightInd w:val="0"/>
              <w:jc w:val="left"/>
              <w:rPr>
                <w:rFonts w:ascii="Arial Narrow" w:hAnsi="Arial Narrow" w:cs="Calibri"/>
                <w:color w:val="000000"/>
                <w:sz w:val="20"/>
                <w:szCs w:val="20"/>
              </w:rPr>
            </w:pPr>
            <w:r w:rsidRPr="00D35696">
              <w:rPr>
                <w:rFonts w:ascii="Arial Narrow" w:hAnsi="Arial Narrow" w:cs="Calibri"/>
                <w:color w:val="000000"/>
                <w:sz w:val="20"/>
                <w:szCs w:val="20"/>
              </w:rPr>
              <w:t xml:space="preserve">Costs </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4D32D9" w14:textId="7F653323" w:rsidR="00A2582A" w:rsidRPr="00D35696" w:rsidRDefault="00A2582A" w:rsidP="0045628D">
            <w:pPr>
              <w:autoSpaceDE w:val="0"/>
              <w:autoSpaceDN w:val="0"/>
              <w:adjustRightInd w:val="0"/>
              <w:jc w:val="center"/>
              <w:rPr>
                <w:rFonts w:ascii="Arial Narrow" w:hAnsi="Arial Narrow" w:cs="Calibri"/>
                <w:color w:val="000000"/>
                <w:sz w:val="20"/>
                <w:szCs w:val="20"/>
              </w:rPr>
            </w:pPr>
            <w:r w:rsidRPr="00AC441C">
              <w:rPr>
                <w:rFonts w:ascii="Arial Narrow" w:hAnsi="Arial Narrow"/>
                <w:sz w:val="20"/>
                <w:szCs w:val="20"/>
              </w:rPr>
              <w:t>$</w:t>
            </w:r>
            <w:r w:rsidR="007C7C5C" w:rsidRPr="007C7C5C">
              <w:rPr>
                <w:rFonts w:ascii="Arial Narrow" w:hAnsi="Arial Narrow"/>
                <w:color w:val="000000"/>
                <w:sz w:val="20"/>
                <w:szCs w:val="20"/>
                <w:shd w:val="solid" w:color="000000" w:fill="000000"/>
                <w14:textFill>
                  <w14:solidFill>
                    <w14:srgbClr w14:val="000000">
                      <w14:alpha w14:val="100000"/>
                    </w14:srgbClr>
                  </w14:solidFill>
                </w14:textFill>
              </w:rPr>
              <w:t>|</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A4AA8A" w14:textId="77777777" w:rsidR="00A2582A" w:rsidRPr="00D35696" w:rsidRDefault="00A2582A" w:rsidP="0045628D">
            <w:pPr>
              <w:autoSpaceDE w:val="0"/>
              <w:autoSpaceDN w:val="0"/>
              <w:adjustRightInd w:val="0"/>
              <w:jc w:val="center"/>
              <w:rPr>
                <w:rFonts w:ascii="Arial Narrow" w:hAnsi="Arial Narrow" w:cs="Calibri"/>
                <w:color w:val="000000"/>
                <w:sz w:val="20"/>
                <w:szCs w:val="20"/>
              </w:rPr>
            </w:pPr>
            <w:r w:rsidRPr="006A5D2A">
              <w:rPr>
                <w:rFonts w:ascii="Arial Narrow" w:hAnsi="Arial Narrow"/>
                <w:sz w:val="20"/>
                <w:szCs w:val="20"/>
              </w:rPr>
              <w:t>$100,561</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2F45C6" w14:textId="360F94C5" w:rsidR="00A2582A" w:rsidRPr="00D35696" w:rsidRDefault="00A2582A" w:rsidP="0045628D">
            <w:pPr>
              <w:autoSpaceDE w:val="0"/>
              <w:autoSpaceDN w:val="0"/>
              <w:adjustRightInd w:val="0"/>
              <w:jc w:val="center"/>
              <w:rPr>
                <w:rFonts w:ascii="Arial Narrow" w:hAnsi="Arial Narrow" w:cs="Calibri"/>
                <w:color w:val="000000"/>
                <w:sz w:val="20"/>
                <w:szCs w:val="20"/>
              </w:rPr>
            </w:pPr>
            <w:r w:rsidRPr="00AC441C">
              <w:rPr>
                <w:rFonts w:ascii="Arial Narrow" w:hAnsi="Arial Narrow"/>
                <w:sz w:val="20"/>
                <w:szCs w:val="20"/>
              </w:rPr>
              <w:t>$</w:t>
            </w:r>
            <w:r w:rsidR="007C7C5C" w:rsidRPr="007C7C5C">
              <w:rPr>
                <w:rFonts w:ascii="Arial Narrow" w:hAnsi="Arial Narrow"/>
                <w:color w:val="000000"/>
                <w:sz w:val="20"/>
                <w:szCs w:val="20"/>
                <w:shd w:val="solid" w:color="000000" w:fill="000000"/>
                <w14:textFill>
                  <w14:solidFill>
                    <w14:srgbClr w14:val="000000">
                      <w14:alpha w14:val="100000"/>
                    </w14:srgbClr>
                  </w14:solidFill>
                </w14:textFill>
              </w:rPr>
              <w:t>|</w:t>
            </w:r>
          </w:p>
        </w:tc>
      </w:tr>
      <w:tr w:rsidR="00A2582A" w:rsidRPr="00647C81" w14:paraId="226168C9" w14:textId="77777777" w:rsidTr="0045628D">
        <w:trPr>
          <w:trHeight w:val="93"/>
        </w:trPr>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F24C80" w14:textId="77777777" w:rsidR="00A2582A" w:rsidRPr="00D35696" w:rsidRDefault="00A2582A" w:rsidP="0045628D">
            <w:pPr>
              <w:autoSpaceDE w:val="0"/>
              <w:autoSpaceDN w:val="0"/>
              <w:adjustRightInd w:val="0"/>
              <w:jc w:val="left"/>
              <w:rPr>
                <w:rFonts w:ascii="Arial Narrow" w:hAnsi="Arial Narrow" w:cs="Calibri"/>
                <w:color w:val="000000"/>
                <w:sz w:val="20"/>
                <w:szCs w:val="20"/>
              </w:rPr>
            </w:pPr>
            <w:r w:rsidRPr="00D35696">
              <w:rPr>
                <w:rFonts w:ascii="Arial Narrow" w:hAnsi="Arial Narrow" w:cs="Calibri"/>
                <w:color w:val="000000"/>
                <w:sz w:val="20"/>
                <w:szCs w:val="20"/>
              </w:rPr>
              <w:t xml:space="preserve">QALY </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6DAA1B" w14:textId="77777777" w:rsidR="00A2582A" w:rsidRPr="00D35696" w:rsidRDefault="00A2582A" w:rsidP="0045628D">
            <w:pPr>
              <w:autoSpaceDE w:val="0"/>
              <w:autoSpaceDN w:val="0"/>
              <w:adjustRightInd w:val="0"/>
              <w:jc w:val="center"/>
              <w:rPr>
                <w:rFonts w:ascii="Arial Narrow" w:hAnsi="Arial Narrow" w:cs="Calibri"/>
                <w:color w:val="000000"/>
                <w:sz w:val="20"/>
                <w:szCs w:val="20"/>
              </w:rPr>
            </w:pPr>
            <w:r w:rsidRPr="00AC441C">
              <w:rPr>
                <w:rFonts w:ascii="Arial Narrow" w:hAnsi="Arial Narrow"/>
                <w:sz w:val="20"/>
                <w:szCs w:val="20"/>
              </w:rPr>
              <w:t>4.9</w:t>
            </w:r>
            <w:r>
              <w:rPr>
                <w:rFonts w:ascii="Arial Narrow" w:hAnsi="Arial Narrow"/>
                <w:sz w:val="20"/>
                <w:szCs w:val="20"/>
              </w:rPr>
              <w:t>3</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23C552" w14:textId="77777777" w:rsidR="00A2582A" w:rsidRPr="00D35696" w:rsidRDefault="00A2582A" w:rsidP="0045628D">
            <w:pPr>
              <w:autoSpaceDE w:val="0"/>
              <w:autoSpaceDN w:val="0"/>
              <w:adjustRightInd w:val="0"/>
              <w:jc w:val="center"/>
              <w:rPr>
                <w:rFonts w:ascii="Arial Narrow" w:hAnsi="Arial Narrow" w:cs="Calibri"/>
                <w:color w:val="000000"/>
                <w:sz w:val="20"/>
                <w:szCs w:val="20"/>
              </w:rPr>
            </w:pPr>
            <w:r w:rsidRPr="00AC441C">
              <w:rPr>
                <w:rFonts w:ascii="Arial Narrow" w:hAnsi="Arial Narrow"/>
                <w:sz w:val="20"/>
                <w:szCs w:val="20"/>
              </w:rPr>
              <w:t>4.4</w:t>
            </w:r>
            <w:r>
              <w:rPr>
                <w:rFonts w:ascii="Arial Narrow" w:hAnsi="Arial Narrow"/>
                <w:sz w:val="20"/>
                <w:szCs w:val="20"/>
              </w:rPr>
              <w:t>8</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55A9D6" w14:textId="77777777" w:rsidR="00A2582A" w:rsidRPr="00D35696" w:rsidRDefault="00A2582A" w:rsidP="0045628D">
            <w:pPr>
              <w:autoSpaceDE w:val="0"/>
              <w:autoSpaceDN w:val="0"/>
              <w:adjustRightInd w:val="0"/>
              <w:jc w:val="center"/>
              <w:rPr>
                <w:rFonts w:ascii="Arial Narrow" w:hAnsi="Arial Narrow" w:cs="Calibri"/>
                <w:color w:val="000000"/>
                <w:sz w:val="20"/>
                <w:szCs w:val="20"/>
              </w:rPr>
            </w:pPr>
            <w:r w:rsidRPr="00AC441C">
              <w:rPr>
                <w:rFonts w:ascii="Arial Narrow" w:hAnsi="Arial Narrow"/>
                <w:sz w:val="20"/>
                <w:szCs w:val="20"/>
              </w:rPr>
              <w:t>0.4</w:t>
            </w:r>
            <w:r>
              <w:rPr>
                <w:rFonts w:ascii="Arial Narrow" w:hAnsi="Arial Narrow"/>
                <w:sz w:val="20"/>
                <w:szCs w:val="20"/>
              </w:rPr>
              <w:t>5</w:t>
            </w:r>
          </w:p>
        </w:tc>
      </w:tr>
      <w:tr w:rsidR="00A2582A" w:rsidRPr="00647C81" w14:paraId="19206802" w14:textId="77777777" w:rsidTr="0045628D">
        <w:trPr>
          <w:trHeight w:val="93"/>
        </w:trPr>
        <w:tc>
          <w:tcPr>
            <w:tcW w:w="694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DAC08" w14:textId="77777777" w:rsidR="00A2582A" w:rsidRPr="00D35696" w:rsidRDefault="00A2582A" w:rsidP="0045628D">
            <w:pPr>
              <w:autoSpaceDE w:val="0"/>
              <w:autoSpaceDN w:val="0"/>
              <w:adjustRightInd w:val="0"/>
              <w:jc w:val="left"/>
              <w:rPr>
                <w:rFonts w:ascii="Arial Narrow" w:hAnsi="Arial Narrow" w:cs="Calibri"/>
                <w:color w:val="000000"/>
                <w:sz w:val="20"/>
                <w:szCs w:val="20"/>
              </w:rPr>
            </w:pPr>
            <w:r w:rsidRPr="00D35696">
              <w:rPr>
                <w:rFonts w:ascii="Arial Narrow" w:hAnsi="Arial Narrow" w:cs="Calibri"/>
                <w:b/>
                <w:bCs/>
                <w:color w:val="000000"/>
                <w:sz w:val="20"/>
                <w:szCs w:val="20"/>
              </w:rPr>
              <w:t xml:space="preserve">Incremental cost/extra QALY gained </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BD6D8C" w14:textId="5CE95391" w:rsidR="00A2582A" w:rsidRPr="00D35696" w:rsidRDefault="00A2582A" w:rsidP="0045628D">
            <w:pPr>
              <w:autoSpaceDE w:val="0"/>
              <w:autoSpaceDN w:val="0"/>
              <w:adjustRightInd w:val="0"/>
              <w:jc w:val="center"/>
              <w:rPr>
                <w:rFonts w:ascii="Arial Narrow" w:hAnsi="Arial Narrow" w:cs="Calibri"/>
                <w:color w:val="000000"/>
                <w:sz w:val="20"/>
                <w:szCs w:val="20"/>
              </w:rPr>
            </w:pPr>
            <w:r w:rsidRPr="00AC441C">
              <w:rPr>
                <w:rFonts w:ascii="Arial Narrow" w:hAnsi="Arial Narrow"/>
                <w:b/>
                <w:sz w:val="20"/>
                <w:szCs w:val="20"/>
              </w:rPr>
              <w:t>$</w:t>
            </w:r>
            <w:r w:rsidR="007C7C5C" w:rsidRPr="007C7C5C">
              <w:rPr>
                <w:rFonts w:ascii="Arial Narrow" w:hAnsi="Arial Narrow"/>
                <w:b/>
                <w:color w:val="000000"/>
                <w:sz w:val="20"/>
                <w:szCs w:val="20"/>
                <w:shd w:val="solid" w:color="000000" w:fill="000000"/>
                <w14:textFill>
                  <w14:solidFill>
                    <w14:srgbClr w14:val="000000">
                      <w14:alpha w14:val="100000"/>
                    </w14:srgbClr>
                  </w14:solidFill>
                </w14:textFill>
              </w:rPr>
              <w:t>|</w:t>
            </w:r>
            <w:r w:rsidR="00B375B2" w:rsidRPr="007C7C5C">
              <w:rPr>
                <w:rFonts w:ascii="Arial Narrow" w:hAnsi="Arial Narrow"/>
                <w:b/>
                <w:sz w:val="20"/>
                <w:szCs w:val="20"/>
                <w:vertAlign w:val="superscript"/>
              </w:rPr>
              <w:t>2</w:t>
            </w:r>
          </w:p>
        </w:tc>
      </w:tr>
    </w:tbl>
    <w:p w14:paraId="1BED65BB" w14:textId="7F44C5A1" w:rsidR="00A2582A" w:rsidRDefault="00A2582A" w:rsidP="00A2582A">
      <w:pPr>
        <w:rPr>
          <w:rFonts w:ascii="Arial Narrow" w:hAnsi="Arial Narrow" w:cs="Times New Roman"/>
          <w:sz w:val="18"/>
          <w:szCs w:val="18"/>
        </w:rPr>
      </w:pPr>
      <w:r w:rsidRPr="00647C81">
        <w:rPr>
          <w:rFonts w:ascii="Arial Narrow" w:hAnsi="Arial Narrow" w:cs="Times New Roman"/>
          <w:sz w:val="18"/>
          <w:szCs w:val="18"/>
        </w:rPr>
        <w:t>Source</w:t>
      </w:r>
      <w:r w:rsidRPr="009606D8">
        <w:rPr>
          <w:rFonts w:ascii="Arial Narrow" w:hAnsi="Arial Narrow" w:cs="Times New Roman"/>
          <w:sz w:val="18"/>
          <w:szCs w:val="18"/>
        </w:rPr>
        <w:t xml:space="preserve">: </w:t>
      </w:r>
      <w:r w:rsidRPr="00AC441C">
        <w:rPr>
          <w:rFonts w:ascii="Arial Narrow" w:hAnsi="Arial Narrow" w:cs="Times New Roman"/>
          <w:sz w:val="18"/>
          <w:szCs w:val="18"/>
        </w:rPr>
        <w:t>Figure 1, Attachment 1 of</w:t>
      </w:r>
      <w:r w:rsidRPr="009606D8">
        <w:rPr>
          <w:rFonts w:ascii="Arial Narrow" w:hAnsi="Arial Narrow" w:cs="Times New Roman"/>
          <w:sz w:val="18"/>
          <w:szCs w:val="18"/>
        </w:rPr>
        <w:t xml:space="preserve"> the revised pricing proposal</w:t>
      </w:r>
      <w:r>
        <w:rPr>
          <w:rFonts w:ascii="Arial Narrow" w:hAnsi="Arial Narrow" w:cs="Times New Roman"/>
          <w:sz w:val="18"/>
          <w:szCs w:val="18"/>
        </w:rPr>
        <w:t xml:space="preserve">; Table 16 of March 2022 PBAC </w:t>
      </w:r>
      <w:r w:rsidR="0001328A">
        <w:rPr>
          <w:rFonts w:ascii="Arial Narrow" w:hAnsi="Arial Narrow" w:cs="Times New Roman"/>
          <w:sz w:val="18"/>
          <w:szCs w:val="18"/>
        </w:rPr>
        <w:t>PSD</w:t>
      </w:r>
      <w:r w:rsidR="007C7C5C" w:rsidRPr="002713AA">
        <w:rPr>
          <w:rFonts w:ascii="Arial Narrow" w:hAnsi="Arial Narrow" w:cs="Times New Roman"/>
          <w:color w:val="000000"/>
          <w:spacing w:val="14"/>
          <w:sz w:val="18"/>
          <w:szCs w:val="18"/>
          <w:shd w:val="solid" w:color="000000" w:fill="000000"/>
          <w:fitText w:val="306" w:id="-1305211127"/>
          <w14:textFill>
            <w14:solidFill>
              <w14:srgbClr w14:val="000000">
                <w14:alpha w14:val="100000"/>
              </w14:srgbClr>
            </w14:solidFill>
          </w14:textFill>
        </w:rPr>
        <w:t>||  |</w:t>
      </w:r>
      <w:r w:rsidR="007C7C5C" w:rsidRPr="002713AA">
        <w:rPr>
          <w:rFonts w:ascii="Arial Narrow" w:hAnsi="Arial Narrow" w:cs="Times New Roman"/>
          <w:color w:val="000000"/>
          <w:spacing w:val="1"/>
          <w:sz w:val="18"/>
          <w:szCs w:val="18"/>
          <w:shd w:val="solid" w:color="000000" w:fill="000000"/>
          <w:fitText w:val="306" w:id="-1305211127"/>
          <w14:textFill>
            <w14:solidFill>
              <w14:srgbClr w14:val="000000">
                <w14:alpha w14:val="100000"/>
              </w14:srgbClr>
            </w14:solidFill>
          </w14:textFill>
        </w:rPr>
        <w:t>|</w:t>
      </w:r>
      <w:r w:rsidRPr="00647C81">
        <w:rPr>
          <w:rFonts w:ascii="Arial Narrow" w:hAnsi="Arial Narrow" w:cs="Times New Roman"/>
          <w:sz w:val="18"/>
          <w:szCs w:val="18"/>
        </w:rPr>
        <w:t xml:space="preserve">AEMP = approved ex-manufacturer price; </w:t>
      </w:r>
      <w:r>
        <w:rPr>
          <w:rFonts w:ascii="Arial Narrow" w:hAnsi="Arial Narrow" w:cs="Times New Roman"/>
          <w:sz w:val="18"/>
          <w:szCs w:val="18"/>
        </w:rPr>
        <w:t xml:space="preserve">BAT = best available therapy; </w:t>
      </w:r>
      <w:r w:rsidRPr="00647C81">
        <w:rPr>
          <w:rFonts w:ascii="Arial Narrow" w:hAnsi="Arial Narrow" w:cs="Times New Roman"/>
          <w:sz w:val="18"/>
          <w:szCs w:val="18"/>
        </w:rPr>
        <w:t>QALY = quality adjusted life year</w:t>
      </w:r>
    </w:p>
    <w:p w14:paraId="1E9AC15C" w14:textId="77777777" w:rsidR="00B375B2" w:rsidRDefault="00B375B2" w:rsidP="00B375B2">
      <w:pPr>
        <w:keepNext/>
        <w:keepLines/>
        <w:snapToGrid w:val="0"/>
        <w:spacing w:after="120"/>
        <w:contextualSpacing/>
        <w:rPr>
          <w:rFonts w:ascii="Arial Narrow" w:hAnsi="Arial Narrow"/>
          <w:i/>
          <w:sz w:val="18"/>
          <w:szCs w:val="18"/>
        </w:rPr>
      </w:pPr>
      <w:r w:rsidRPr="009A6D58">
        <w:rPr>
          <w:rFonts w:ascii="Arial Narrow" w:hAnsi="Arial Narrow"/>
          <w:i/>
          <w:sz w:val="18"/>
          <w:szCs w:val="18"/>
        </w:rPr>
        <w:t>The redacted values correspond to the following ranges:</w:t>
      </w:r>
    </w:p>
    <w:p w14:paraId="28E181FB" w14:textId="17C1FB45" w:rsidR="00B375B2" w:rsidRPr="007C7C5C" w:rsidRDefault="00B375B2" w:rsidP="00B375B2">
      <w:pPr>
        <w:keepNext/>
        <w:keepLines/>
        <w:snapToGrid w:val="0"/>
        <w:spacing w:after="120"/>
        <w:contextualSpacing/>
        <w:rPr>
          <w:rFonts w:ascii="Arial Narrow" w:eastAsia="Calibri" w:hAnsi="Arial Narrow" w:cs="Times New Roman"/>
          <w:i/>
          <w:iCs/>
          <w:sz w:val="18"/>
          <w:szCs w:val="18"/>
          <w:lang w:eastAsia="en-US"/>
        </w:rPr>
      </w:pPr>
      <w:r w:rsidRPr="007C7C5C">
        <w:rPr>
          <w:rFonts w:ascii="Arial Narrow" w:eastAsia="Calibri" w:hAnsi="Arial Narrow" w:cs="Times New Roman"/>
          <w:i/>
          <w:iCs/>
          <w:sz w:val="18"/>
          <w:szCs w:val="18"/>
          <w:vertAlign w:val="superscript"/>
          <w:lang w:eastAsia="en-US"/>
        </w:rPr>
        <w:t>1</w:t>
      </w:r>
      <w:r w:rsidR="00847588">
        <w:rPr>
          <w:rFonts w:ascii="Arial Narrow" w:eastAsia="Calibri" w:hAnsi="Arial Narrow" w:cs="Times New Roman"/>
          <w:i/>
          <w:iCs/>
          <w:sz w:val="18"/>
          <w:szCs w:val="18"/>
          <w:vertAlign w:val="superscript"/>
          <w:lang w:eastAsia="en-US"/>
        </w:rPr>
        <w:t xml:space="preserve"> </w:t>
      </w:r>
      <w:r w:rsidRPr="007C7C5C">
        <w:rPr>
          <w:rFonts w:ascii="Arial Narrow" w:eastAsia="Calibri" w:hAnsi="Arial Narrow" w:cs="Times New Roman"/>
          <w:i/>
          <w:iCs/>
          <w:sz w:val="18"/>
          <w:szCs w:val="18"/>
          <w:lang w:eastAsia="en-US"/>
        </w:rPr>
        <w:t>$45,000 to &lt; $55,000</w:t>
      </w:r>
    </w:p>
    <w:p w14:paraId="6E4431A1" w14:textId="07D13CC5" w:rsidR="00B375B2" w:rsidRPr="007C7C5C" w:rsidRDefault="00B375B2" w:rsidP="00B375B2">
      <w:pPr>
        <w:keepNext/>
        <w:keepLines/>
        <w:snapToGrid w:val="0"/>
        <w:spacing w:after="120"/>
        <w:contextualSpacing/>
        <w:rPr>
          <w:rFonts w:ascii="Arial Narrow" w:eastAsia="Calibri" w:hAnsi="Arial Narrow" w:cs="Times New Roman"/>
          <w:i/>
          <w:iCs/>
          <w:sz w:val="18"/>
          <w:szCs w:val="18"/>
          <w:lang w:eastAsia="en-US"/>
        </w:rPr>
      </w:pPr>
      <w:r w:rsidRPr="007C7C5C">
        <w:rPr>
          <w:rFonts w:ascii="Arial Narrow" w:eastAsia="Calibri" w:hAnsi="Arial Narrow" w:cs="Times New Roman"/>
          <w:i/>
          <w:iCs/>
          <w:sz w:val="18"/>
          <w:szCs w:val="18"/>
          <w:vertAlign w:val="superscript"/>
          <w:lang w:eastAsia="en-US"/>
        </w:rPr>
        <w:t>2</w:t>
      </w:r>
      <w:r w:rsidR="00847588">
        <w:rPr>
          <w:rFonts w:ascii="Arial Narrow" w:eastAsia="Calibri" w:hAnsi="Arial Narrow" w:cs="Times New Roman"/>
          <w:i/>
          <w:iCs/>
          <w:sz w:val="18"/>
          <w:szCs w:val="18"/>
          <w:vertAlign w:val="superscript"/>
          <w:lang w:eastAsia="en-US"/>
        </w:rPr>
        <w:t xml:space="preserve"> </w:t>
      </w:r>
      <w:r w:rsidRPr="007C7C5C">
        <w:rPr>
          <w:rFonts w:ascii="Arial Narrow" w:eastAsia="Calibri" w:hAnsi="Arial Narrow" w:cs="Times New Roman"/>
          <w:i/>
          <w:iCs/>
          <w:sz w:val="18"/>
          <w:szCs w:val="18"/>
          <w:lang w:eastAsia="en-US"/>
        </w:rPr>
        <w:t>$55,000 to &lt; $75,000</w:t>
      </w:r>
    </w:p>
    <w:p w14:paraId="30FCE4BE" w14:textId="77777777" w:rsidR="00B375B2" w:rsidRPr="00647C81" w:rsidRDefault="00B375B2" w:rsidP="00A2582A">
      <w:pPr>
        <w:rPr>
          <w:rFonts w:ascii="Arial Narrow" w:hAnsi="Arial Narrow" w:cs="Times New Roman"/>
          <w:sz w:val="18"/>
          <w:szCs w:val="18"/>
        </w:rPr>
      </w:pPr>
    </w:p>
    <w:p w14:paraId="1010F2CB" w14:textId="77777777" w:rsidR="00A2582A" w:rsidRDefault="00A2582A" w:rsidP="00A2582A">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pricing proposal made the following changes to the financial estimates model submitted in July 2022:</w:t>
      </w:r>
    </w:p>
    <w:p w14:paraId="753F1AE7" w14:textId="1508B0B4" w:rsidR="00A2582A" w:rsidRDefault="00A2582A" w:rsidP="00A2582A">
      <w:pPr>
        <w:pStyle w:val="ListParagraph"/>
        <w:widowControl w:val="0"/>
        <w:numPr>
          <w:ilvl w:val="0"/>
          <w:numId w:val="30"/>
        </w:numPr>
        <w:spacing w:after="120"/>
        <w:ind w:left="1077" w:hanging="357"/>
        <w:rPr>
          <w:rFonts w:asciiTheme="minorHAnsi" w:hAnsiTheme="minorHAnsi"/>
          <w:snapToGrid w:val="0"/>
          <w:lang w:val="en-GB"/>
        </w:rPr>
      </w:pPr>
      <w:r w:rsidRPr="00540A4E">
        <w:rPr>
          <w:rFonts w:asciiTheme="minorHAnsi" w:hAnsiTheme="minorHAnsi"/>
          <w:snapToGrid w:val="0"/>
          <w:lang w:val="en-GB"/>
        </w:rPr>
        <w:t>The proportion of prevalent patients alive at Year 1</w:t>
      </w:r>
      <w:r>
        <w:rPr>
          <w:rFonts w:asciiTheme="minorHAnsi" w:hAnsiTheme="minorHAnsi"/>
          <w:snapToGrid w:val="0"/>
          <w:lang w:val="en-GB"/>
        </w:rPr>
        <w:t xml:space="preserve"> was increased from 45% to 55%, which the PBAC had previously advised to be reasonable (refer to paragraph </w:t>
      </w:r>
      <w:r>
        <w:rPr>
          <w:rFonts w:asciiTheme="minorHAnsi" w:hAnsiTheme="minorHAnsi"/>
          <w:snapToGrid w:val="0"/>
          <w:lang w:val="en-GB"/>
        </w:rPr>
        <w:fldChar w:fldCharType="begin"/>
      </w:r>
      <w:r>
        <w:rPr>
          <w:rFonts w:asciiTheme="minorHAnsi" w:hAnsiTheme="minorHAnsi"/>
          <w:snapToGrid w:val="0"/>
          <w:lang w:val="en-GB"/>
        </w:rPr>
        <w:instrText xml:space="preserve"> REF _Ref109395424 \r \h </w:instrText>
      </w:r>
      <w:r>
        <w:rPr>
          <w:rFonts w:asciiTheme="minorHAnsi" w:hAnsiTheme="minorHAnsi"/>
          <w:snapToGrid w:val="0"/>
          <w:lang w:val="en-GB"/>
        </w:rPr>
      </w:r>
      <w:r>
        <w:rPr>
          <w:rFonts w:asciiTheme="minorHAnsi" w:hAnsiTheme="minorHAnsi"/>
          <w:snapToGrid w:val="0"/>
          <w:lang w:val="en-GB"/>
        </w:rPr>
        <w:fldChar w:fldCharType="separate"/>
      </w:r>
      <w:r w:rsidR="00BD1016">
        <w:rPr>
          <w:rFonts w:asciiTheme="minorHAnsi" w:hAnsiTheme="minorHAnsi"/>
          <w:snapToGrid w:val="0"/>
          <w:lang w:val="en-GB"/>
        </w:rPr>
        <w:t>7.27</w:t>
      </w:r>
      <w:r>
        <w:rPr>
          <w:rFonts w:asciiTheme="minorHAnsi" w:hAnsiTheme="minorHAnsi"/>
          <w:snapToGrid w:val="0"/>
          <w:lang w:val="en-GB"/>
        </w:rPr>
        <w:fldChar w:fldCharType="end"/>
      </w:r>
      <w:proofErr w:type="gramStart"/>
      <w:r>
        <w:rPr>
          <w:rFonts w:asciiTheme="minorHAnsi" w:hAnsiTheme="minorHAnsi"/>
          <w:snapToGrid w:val="0"/>
          <w:lang w:val="en-GB"/>
        </w:rPr>
        <w:t>);</w:t>
      </w:r>
      <w:proofErr w:type="gramEnd"/>
      <w:r>
        <w:rPr>
          <w:rFonts w:asciiTheme="minorHAnsi" w:hAnsiTheme="minorHAnsi"/>
          <w:snapToGrid w:val="0"/>
          <w:lang w:val="en-GB"/>
        </w:rPr>
        <w:t xml:space="preserve"> </w:t>
      </w:r>
    </w:p>
    <w:p w14:paraId="10F802DC" w14:textId="1BD02C14" w:rsidR="00A2582A" w:rsidRDefault="00A2582A" w:rsidP="00A2582A">
      <w:pPr>
        <w:pStyle w:val="ListParagraph"/>
        <w:widowControl w:val="0"/>
        <w:numPr>
          <w:ilvl w:val="0"/>
          <w:numId w:val="30"/>
        </w:numPr>
        <w:spacing w:after="120"/>
        <w:ind w:left="1077" w:hanging="357"/>
        <w:rPr>
          <w:rFonts w:asciiTheme="minorHAnsi" w:hAnsiTheme="minorHAnsi"/>
          <w:snapToGrid w:val="0"/>
          <w:lang w:val="en-GB"/>
        </w:rPr>
      </w:pPr>
      <w:r>
        <w:rPr>
          <w:rFonts w:asciiTheme="minorHAnsi" w:hAnsiTheme="minorHAnsi"/>
          <w:snapToGrid w:val="0"/>
          <w:lang w:val="en-GB"/>
        </w:rPr>
        <w:t>Patients under the age of 12 years were included,</w:t>
      </w:r>
      <w:r w:rsidRPr="00942432">
        <w:rPr>
          <w:rFonts w:asciiTheme="minorHAnsi" w:hAnsiTheme="minorHAnsi"/>
          <w:snapToGrid w:val="0"/>
          <w:lang w:val="en-GB"/>
        </w:rPr>
        <w:t xml:space="preserve"> </w:t>
      </w:r>
      <w:r>
        <w:rPr>
          <w:rFonts w:asciiTheme="minorHAnsi" w:hAnsiTheme="minorHAnsi"/>
          <w:snapToGrid w:val="0"/>
          <w:lang w:val="en-GB"/>
        </w:rPr>
        <w:t xml:space="preserve">which the PBAC had previously advised to be reasonable (refer to paragraph </w:t>
      </w:r>
      <w:r>
        <w:rPr>
          <w:rFonts w:asciiTheme="minorHAnsi" w:hAnsiTheme="minorHAnsi"/>
          <w:snapToGrid w:val="0"/>
          <w:lang w:val="en-GB"/>
        </w:rPr>
        <w:fldChar w:fldCharType="begin"/>
      </w:r>
      <w:r>
        <w:rPr>
          <w:rFonts w:asciiTheme="minorHAnsi" w:hAnsiTheme="minorHAnsi"/>
          <w:snapToGrid w:val="0"/>
          <w:lang w:val="en-GB"/>
        </w:rPr>
        <w:instrText xml:space="preserve"> REF _Ref115167129 \r \h </w:instrText>
      </w:r>
      <w:r>
        <w:rPr>
          <w:rFonts w:asciiTheme="minorHAnsi" w:hAnsiTheme="minorHAnsi"/>
          <w:snapToGrid w:val="0"/>
          <w:lang w:val="en-GB"/>
        </w:rPr>
      </w:r>
      <w:r>
        <w:rPr>
          <w:rFonts w:asciiTheme="minorHAnsi" w:hAnsiTheme="minorHAnsi"/>
          <w:snapToGrid w:val="0"/>
          <w:lang w:val="en-GB"/>
        </w:rPr>
        <w:fldChar w:fldCharType="separate"/>
      </w:r>
      <w:r w:rsidR="00BD1016">
        <w:rPr>
          <w:rFonts w:asciiTheme="minorHAnsi" w:hAnsiTheme="minorHAnsi"/>
          <w:snapToGrid w:val="0"/>
          <w:lang w:val="en-GB"/>
        </w:rPr>
        <w:t>12.7</w:t>
      </w:r>
      <w:r>
        <w:rPr>
          <w:rFonts w:asciiTheme="minorHAnsi" w:hAnsiTheme="minorHAnsi"/>
          <w:snapToGrid w:val="0"/>
          <w:lang w:val="en-GB"/>
        </w:rPr>
        <w:fldChar w:fldCharType="end"/>
      </w:r>
      <w:proofErr w:type="gramStart"/>
      <w:r>
        <w:rPr>
          <w:rFonts w:asciiTheme="minorHAnsi" w:hAnsiTheme="minorHAnsi"/>
          <w:snapToGrid w:val="0"/>
          <w:lang w:val="en-GB"/>
        </w:rPr>
        <w:t>);</w:t>
      </w:r>
      <w:proofErr w:type="gramEnd"/>
    </w:p>
    <w:p w14:paraId="15927DFA" w14:textId="77777777" w:rsidR="00A2582A" w:rsidRPr="00AC441C" w:rsidRDefault="00A2582A" w:rsidP="00A2582A">
      <w:pPr>
        <w:pStyle w:val="ListParagraph"/>
        <w:widowControl w:val="0"/>
        <w:numPr>
          <w:ilvl w:val="0"/>
          <w:numId w:val="30"/>
        </w:numPr>
        <w:spacing w:after="120"/>
        <w:ind w:left="1077" w:hanging="357"/>
        <w:rPr>
          <w:rFonts w:asciiTheme="minorHAnsi" w:hAnsiTheme="minorHAnsi"/>
          <w:snapToGrid w:val="0"/>
          <w:lang w:val="en-GB"/>
        </w:rPr>
      </w:pPr>
      <w:r>
        <w:rPr>
          <w:rFonts w:asciiTheme="minorHAnsi" w:hAnsiTheme="minorHAnsi"/>
          <w:snapToGrid w:val="0"/>
          <w:lang w:val="en-GB"/>
        </w:rPr>
        <w:t>The d</w:t>
      </w:r>
      <w:r w:rsidRPr="00AC441C">
        <w:rPr>
          <w:rFonts w:asciiTheme="minorHAnsi" w:hAnsiTheme="minorHAnsi"/>
          <w:snapToGrid w:val="0"/>
          <w:lang w:val="en-GB"/>
        </w:rPr>
        <w:t xml:space="preserve">istribution of prevalent patients </w:t>
      </w:r>
      <w:r>
        <w:rPr>
          <w:rFonts w:asciiTheme="minorHAnsi" w:hAnsiTheme="minorHAnsi"/>
          <w:snapToGrid w:val="0"/>
          <w:lang w:val="en-GB"/>
        </w:rPr>
        <w:t xml:space="preserve">estimated to commence ruxolitinib across the first three years </w:t>
      </w:r>
      <w:r w:rsidRPr="00AC441C">
        <w:rPr>
          <w:rFonts w:asciiTheme="minorHAnsi" w:hAnsiTheme="minorHAnsi"/>
          <w:snapToGrid w:val="0"/>
          <w:lang w:val="en-GB"/>
        </w:rPr>
        <w:t xml:space="preserve">was changed from 85% in Year 1 (with no use in the prevalent pool of patients in later years) to 57% in Year 1, 27% in Year 2, and 1% in Year 3. The pricing proposal stated that </w:t>
      </w:r>
      <w:r>
        <w:rPr>
          <w:rFonts w:asciiTheme="minorHAnsi" w:hAnsiTheme="minorHAnsi"/>
          <w:snapToGrid w:val="0"/>
          <w:lang w:val="en-GB"/>
        </w:rPr>
        <w:t>t</w:t>
      </w:r>
      <w:r w:rsidRPr="00AC441C">
        <w:rPr>
          <w:rFonts w:asciiTheme="minorHAnsi" w:hAnsiTheme="minorHAnsi"/>
          <w:snapToGrid w:val="0"/>
          <w:lang w:val="en-GB"/>
        </w:rPr>
        <w:t xml:space="preserve">his change </w:t>
      </w:r>
      <w:r>
        <w:rPr>
          <w:rFonts w:asciiTheme="minorHAnsi" w:hAnsiTheme="minorHAnsi"/>
          <w:snapToGrid w:val="0"/>
          <w:lang w:val="en-GB"/>
        </w:rPr>
        <w:t>would</w:t>
      </w:r>
      <w:r w:rsidRPr="00AC441C">
        <w:rPr>
          <w:rFonts w:asciiTheme="minorHAnsi" w:hAnsiTheme="minorHAnsi"/>
          <w:snapToGrid w:val="0"/>
          <w:lang w:val="en-GB"/>
        </w:rPr>
        <w:t xml:space="preserve"> not increase the number of patients or prescriptions</w:t>
      </w:r>
      <w:r>
        <w:rPr>
          <w:rFonts w:asciiTheme="minorHAnsi" w:hAnsiTheme="minorHAnsi"/>
          <w:snapToGrid w:val="0"/>
          <w:lang w:val="en-GB"/>
        </w:rPr>
        <w:t>; and</w:t>
      </w:r>
    </w:p>
    <w:p w14:paraId="2FF7A14F" w14:textId="77777777" w:rsidR="00A2582A" w:rsidRPr="00D35696" w:rsidRDefault="00A2582A" w:rsidP="00A2582A">
      <w:pPr>
        <w:pStyle w:val="ListParagraph"/>
        <w:widowControl w:val="0"/>
        <w:numPr>
          <w:ilvl w:val="0"/>
          <w:numId w:val="30"/>
        </w:numPr>
        <w:spacing w:after="120"/>
        <w:ind w:left="1077" w:hanging="357"/>
        <w:rPr>
          <w:rFonts w:asciiTheme="minorHAnsi" w:hAnsiTheme="minorHAnsi"/>
          <w:snapToGrid w:val="0"/>
          <w:lang w:val="en-GB"/>
        </w:rPr>
      </w:pPr>
      <w:r>
        <w:rPr>
          <w:rFonts w:asciiTheme="minorHAnsi" w:hAnsiTheme="minorHAnsi"/>
          <w:snapToGrid w:val="0"/>
          <w:lang w:val="en-GB"/>
        </w:rPr>
        <w:t>The revised price was incorporated</w:t>
      </w:r>
      <w:r w:rsidRPr="00184067">
        <w:rPr>
          <w:rFonts w:asciiTheme="minorHAnsi" w:hAnsiTheme="minorHAnsi"/>
          <w:snapToGrid w:val="0"/>
          <w:lang w:val="en-GB"/>
        </w:rPr>
        <w:t xml:space="preserve">.  </w:t>
      </w:r>
    </w:p>
    <w:p w14:paraId="5AC58B8C" w14:textId="77777777" w:rsidR="005B2072" w:rsidRDefault="005B2072">
      <w:pPr>
        <w:jc w:val="left"/>
        <w:rPr>
          <w:rFonts w:ascii="Arial Narrow" w:eastAsiaTheme="majorEastAsia" w:hAnsi="Arial Narrow" w:cs="Times New Roman"/>
          <w:b/>
          <w:bCs/>
          <w:sz w:val="20"/>
          <w:szCs w:val="18"/>
          <w:lang w:val="en-US" w:eastAsia="en-US"/>
        </w:rPr>
      </w:pPr>
      <w:r>
        <w:rPr>
          <w:rFonts w:ascii="Arial Narrow" w:eastAsiaTheme="majorEastAsia" w:hAnsi="Arial Narrow" w:cs="Times New Roman"/>
          <w:sz w:val="20"/>
          <w:lang w:val="en-US"/>
        </w:rPr>
        <w:br w:type="page"/>
      </w:r>
    </w:p>
    <w:p w14:paraId="49F42419" w14:textId="327C2A70" w:rsidR="00A2582A" w:rsidRPr="00AC441C" w:rsidRDefault="00A2582A" w:rsidP="00A2582A">
      <w:pPr>
        <w:pStyle w:val="Caption"/>
        <w:spacing w:line="240" w:lineRule="auto"/>
        <w:rPr>
          <w:rFonts w:ascii="Arial Narrow" w:eastAsiaTheme="majorEastAsia" w:hAnsi="Arial Narrow" w:cs="Times New Roman"/>
          <w:sz w:val="20"/>
          <w:lang w:val="en-US"/>
        </w:rPr>
      </w:pPr>
      <w:r w:rsidRPr="00AC441C">
        <w:rPr>
          <w:rFonts w:ascii="Arial Narrow" w:eastAsiaTheme="majorEastAsia" w:hAnsi="Arial Narrow" w:cs="Times New Roman"/>
          <w:sz w:val="20"/>
          <w:lang w:val="en-US"/>
        </w:rPr>
        <w:t xml:space="preserve">Table </w:t>
      </w:r>
      <w:r w:rsidRPr="00AC441C">
        <w:rPr>
          <w:rFonts w:ascii="Arial Narrow" w:eastAsiaTheme="majorEastAsia" w:hAnsi="Arial Narrow" w:cs="Times New Roman"/>
          <w:sz w:val="20"/>
          <w:lang w:val="en-US"/>
        </w:rPr>
        <w:fldChar w:fldCharType="begin"/>
      </w:r>
      <w:r w:rsidRPr="00AC441C">
        <w:rPr>
          <w:rFonts w:ascii="Arial Narrow" w:eastAsiaTheme="majorEastAsia" w:hAnsi="Arial Narrow" w:cs="Times New Roman"/>
          <w:sz w:val="20"/>
          <w:lang w:val="en-US"/>
        </w:rPr>
        <w:instrText xml:space="preserve"> SEQ Table \* ARABIC </w:instrText>
      </w:r>
      <w:r w:rsidRPr="00AC441C">
        <w:rPr>
          <w:rFonts w:ascii="Arial Narrow" w:eastAsiaTheme="majorEastAsia" w:hAnsi="Arial Narrow" w:cs="Times New Roman"/>
          <w:sz w:val="20"/>
          <w:lang w:val="en-US"/>
        </w:rPr>
        <w:fldChar w:fldCharType="separate"/>
      </w:r>
      <w:r w:rsidR="00BD1016">
        <w:rPr>
          <w:rFonts w:ascii="Arial Narrow" w:eastAsiaTheme="majorEastAsia" w:hAnsi="Arial Narrow" w:cs="Times New Roman"/>
          <w:noProof/>
          <w:sz w:val="20"/>
          <w:lang w:val="en-US"/>
        </w:rPr>
        <w:t>28</w:t>
      </w:r>
      <w:r w:rsidRPr="00AC441C">
        <w:rPr>
          <w:rFonts w:ascii="Arial Narrow" w:eastAsiaTheme="majorEastAsia" w:hAnsi="Arial Narrow" w:cs="Times New Roman"/>
          <w:sz w:val="20"/>
          <w:lang w:val="en-US"/>
        </w:rPr>
        <w:fldChar w:fldCharType="end"/>
      </w:r>
      <w:r w:rsidRPr="00AC441C">
        <w:rPr>
          <w:rFonts w:ascii="Arial Narrow" w:eastAsiaTheme="majorEastAsia" w:hAnsi="Arial Narrow" w:cs="Times New Roman"/>
          <w:sz w:val="20"/>
          <w:lang w:val="en-US"/>
        </w:rPr>
        <w:t>: Updated financial impact estimates</w:t>
      </w:r>
    </w:p>
    <w:tbl>
      <w:tblPr>
        <w:tblStyle w:val="TableGrid"/>
        <w:tblW w:w="9067" w:type="dxa"/>
        <w:tblLayout w:type="fixed"/>
        <w:tblLook w:val="0020" w:firstRow="1" w:lastRow="0" w:firstColumn="0" w:lastColumn="0" w:noHBand="0" w:noVBand="0"/>
        <w:tblCaption w:val="Table 7: Estimated utilisation and cost of trientine 2HCl (effective price)"/>
      </w:tblPr>
      <w:tblGrid>
        <w:gridCol w:w="2263"/>
        <w:gridCol w:w="1134"/>
        <w:gridCol w:w="1134"/>
        <w:gridCol w:w="1134"/>
        <w:gridCol w:w="1134"/>
        <w:gridCol w:w="1134"/>
        <w:gridCol w:w="1134"/>
      </w:tblGrid>
      <w:tr w:rsidR="00A2582A" w:rsidRPr="00647C81" w14:paraId="0795195C" w14:textId="77777777" w:rsidTr="00AD571F">
        <w:trPr>
          <w:trHeight w:val="138"/>
        </w:trPr>
        <w:tc>
          <w:tcPr>
            <w:tcW w:w="2263" w:type="dxa"/>
            <w:tcMar>
              <w:left w:w="28" w:type="dxa"/>
              <w:right w:w="28" w:type="dxa"/>
            </w:tcMar>
          </w:tcPr>
          <w:p w14:paraId="3619A91A" w14:textId="77777777" w:rsidR="00A2582A" w:rsidRPr="00647C81" w:rsidRDefault="00A2582A" w:rsidP="0045628D">
            <w:pPr>
              <w:keepNext/>
              <w:jc w:val="left"/>
              <w:rPr>
                <w:rFonts w:ascii="Arial Narrow" w:eastAsiaTheme="majorEastAsia" w:hAnsi="Arial Narrow" w:cstheme="majorBidi"/>
                <w:bCs/>
                <w:sz w:val="20"/>
              </w:rPr>
            </w:pPr>
          </w:p>
        </w:tc>
        <w:tc>
          <w:tcPr>
            <w:tcW w:w="1134" w:type="dxa"/>
            <w:tcMar>
              <w:left w:w="28" w:type="dxa"/>
              <w:right w:w="28" w:type="dxa"/>
            </w:tcMar>
          </w:tcPr>
          <w:p w14:paraId="11791201" w14:textId="77777777" w:rsidR="00A2582A" w:rsidRPr="00647C81" w:rsidRDefault="00A2582A" w:rsidP="0045628D">
            <w:pPr>
              <w:keepNext/>
              <w:jc w:val="center"/>
              <w:rPr>
                <w:rFonts w:ascii="Arial Narrow" w:eastAsiaTheme="majorEastAsia" w:hAnsi="Arial Narrow" w:cstheme="majorBidi"/>
                <w:bCs/>
                <w:sz w:val="20"/>
              </w:rPr>
            </w:pPr>
            <w:r>
              <w:rPr>
                <w:rFonts w:ascii="Arial Narrow" w:eastAsiaTheme="majorEastAsia" w:hAnsi="Arial Narrow" w:cstheme="majorBidi"/>
                <w:b/>
                <w:bCs/>
                <w:sz w:val="20"/>
                <w:lang w:eastAsia="en-US"/>
              </w:rPr>
              <w:t>Year 1</w:t>
            </w:r>
          </w:p>
        </w:tc>
        <w:tc>
          <w:tcPr>
            <w:tcW w:w="1134" w:type="dxa"/>
            <w:tcMar>
              <w:left w:w="28" w:type="dxa"/>
              <w:right w:w="28" w:type="dxa"/>
            </w:tcMar>
          </w:tcPr>
          <w:p w14:paraId="6CB475BF" w14:textId="77777777" w:rsidR="00A2582A" w:rsidRPr="00647C81" w:rsidRDefault="00A2582A" w:rsidP="0045628D">
            <w:pPr>
              <w:keepNext/>
              <w:jc w:val="center"/>
              <w:rPr>
                <w:rFonts w:ascii="Arial Narrow" w:eastAsiaTheme="majorEastAsia" w:hAnsi="Arial Narrow" w:cstheme="majorBidi"/>
                <w:bCs/>
                <w:sz w:val="20"/>
              </w:rPr>
            </w:pPr>
            <w:r>
              <w:rPr>
                <w:rFonts w:ascii="Arial Narrow" w:eastAsiaTheme="majorEastAsia" w:hAnsi="Arial Narrow" w:cstheme="majorBidi"/>
                <w:b/>
                <w:bCs/>
                <w:sz w:val="20"/>
                <w:lang w:eastAsia="en-US"/>
              </w:rPr>
              <w:t>Year 2</w:t>
            </w:r>
          </w:p>
        </w:tc>
        <w:tc>
          <w:tcPr>
            <w:tcW w:w="1134" w:type="dxa"/>
            <w:tcMar>
              <w:left w:w="28" w:type="dxa"/>
              <w:right w:w="28" w:type="dxa"/>
            </w:tcMar>
          </w:tcPr>
          <w:p w14:paraId="621601DE" w14:textId="77777777" w:rsidR="00A2582A" w:rsidRPr="00647C81" w:rsidRDefault="00A2582A" w:rsidP="0045628D">
            <w:pPr>
              <w:keepNext/>
              <w:jc w:val="center"/>
              <w:rPr>
                <w:rFonts w:ascii="Arial Narrow" w:eastAsiaTheme="majorEastAsia" w:hAnsi="Arial Narrow" w:cstheme="majorBidi"/>
                <w:bCs/>
                <w:sz w:val="20"/>
              </w:rPr>
            </w:pPr>
            <w:r>
              <w:rPr>
                <w:rFonts w:ascii="Arial Narrow" w:eastAsiaTheme="majorEastAsia" w:hAnsi="Arial Narrow" w:cstheme="majorBidi"/>
                <w:b/>
                <w:bCs/>
                <w:sz w:val="20"/>
                <w:lang w:eastAsia="en-US"/>
              </w:rPr>
              <w:t>Year 3</w:t>
            </w:r>
          </w:p>
        </w:tc>
        <w:tc>
          <w:tcPr>
            <w:tcW w:w="1134" w:type="dxa"/>
            <w:tcMar>
              <w:left w:w="28" w:type="dxa"/>
              <w:right w:w="28" w:type="dxa"/>
            </w:tcMar>
          </w:tcPr>
          <w:p w14:paraId="015287A1" w14:textId="77777777" w:rsidR="00A2582A" w:rsidRPr="00647C81" w:rsidRDefault="00A2582A" w:rsidP="0045628D">
            <w:pPr>
              <w:keepNext/>
              <w:jc w:val="center"/>
              <w:rPr>
                <w:rFonts w:ascii="Arial Narrow" w:eastAsiaTheme="majorEastAsia" w:hAnsi="Arial Narrow" w:cstheme="majorBidi"/>
                <w:b/>
                <w:bCs/>
                <w:sz w:val="20"/>
                <w:lang w:eastAsia="en-US"/>
              </w:rPr>
            </w:pPr>
            <w:r>
              <w:rPr>
                <w:rFonts w:ascii="Arial Narrow" w:eastAsiaTheme="majorEastAsia" w:hAnsi="Arial Narrow" w:cstheme="majorBidi"/>
                <w:b/>
                <w:bCs/>
                <w:sz w:val="20"/>
                <w:lang w:eastAsia="en-US"/>
              </w:rPr>
              <w:t>Year 4</w:t>
            </w:r>
          </w:p>
        </w:tc>
        <w:tc>
          <w:tcPr>
            <w:tcW w:w="1134" w:type="dxa"/>
            <w:tcMar>
              <w:left w:w="28" w:type="dxa"/>
              <w:right w:w="28" w:type="dxa"/>
            </w:tcMar>
          </w:tcPr>
          <w:p w14:paraId="5629E721" w14:textId="77777777" w:rsidR="00A2582A" w:rsidRPr="00647C81" w:rsidRDefault="00A2582A" w:rsidP="0045628D">
            <w:pPr>
              <w:keepNext/>
              <w:jc w:val="center"/>
              <w:rPr>
                <w:rFonts w:ascii="Arial Narrow" w:eastAsiaTheme="majorEastAsia" w:hAnsi="Arial Narrow" w:cstheme="majorBidi"/>
                <w:b/>
                <w:bCs/>
                <w:sz w:val="20"/>
                <w:lang w:eastAsia="en-US"/>
              </w:rPr>
            </w:pPr>
            <w:r>
              <w:rPr>
                <w:rFonts w:ascii="Arial Narrow" w:eastAsiaTheme="majorEastAsia" w:hAnsi="Arial Narrow" w:cstheme="majorBidi"/>
                <w:b/>
                <w:bCs/>
                <w:sz w:val="20"/>
                <w:lang w:eastAsia="en-US"/>
              </w:rPr>
              <w:t>Year 5</w:t>
            </w:r>
          </w:p>
        </w:tc>
        <w:tc>
          <w:tcPr>
            <w:tcW w:w="1134" w:type="dxa"/>
            <w:tcMar>
              <w:left w:w="28" w:type="dxa"/>
              <w:right w:w="28" w:type="dxa"/>
            </w:tcMar>
          </w:tcPr>
          <w:p w14:paraId="2094CD4F" w14:textId="77777777" w:rsidR="00A2582A" w:rsidRPr="00647C81" w:rsidRDefault="00A2582A" w:rsidP="0045628D">
            <w:pPr>
              <w:keepNext/>
              <w:jc w:val="center"/>
              <w:rPr>
                <w:rFonts w:ascii="Arial Narrow" w:eastAsiaTheme="majorEastAsia" w:hAnsi="Arial Narrow" w:cstheme="majorBidi"/>
                <w:bCs/>
                <w:sz w:val="20"/>
              </w:rPr>
            </w:pPr>
            <w:r>
              <w:rPr>
                <w:rFonts w:ascii="Arial Narrow" w:eastAsiaTheme="majorEastAsia" w:hAnsi="Arial Narrow" w:cstheme="majorBidi"/>
                <w:b/>
                <w:bCs/>
                <w:sz w:val="20"/>
                <w:lang w:eastAsia="en-US"/>
              </w:rPr>
              <w:t>Year 6</w:t>
            </w:r>
          </w:p>
        </w:tc>
      </w:tr>
      <w:tr w:rsidR="00A2582A" w:rsidRPr="00647C81" w14:paraId="6EE4B2C9" w14:textId="77777777" w:rsidTr="00AD571F">
        <w:trPr>
          <w:trHeight w:val="138"/>
        </w:trPr>
        <w:tc>
          <w:tcPr>
            <w:tcW w:w="2263" w:type="dxa"/>
            <w:tcMar>
              <w:left w:w="28" w:type="dxa"/>
              <w:right w:w="28" w:type="dxa"/>
            </w:tcMar>
          </w:tcPr>
          <w:p w14:paraId="7DFA80BC" w14:textId="77777777" w:rsidR="00A2582A" w:rsidRPr="00AC441C" w:rsidRDefault="00A2582A" w:rsidP="0045628D">
            <w:pPr>
              <w:keepNext/>
              <w:jc w:val="left"/>
              <w:rPr>
                <w:rFonts w:ascii="Arial Narrow" w:hAnsi="Arial Narrow" w:cs="Times New Roman"/>
                <w:bCs/>
                <w:sz w:val="20"/>
                <w:szCs w:val="20"/>
              </w:rPr>
            </w:pPr>
            <w:r w:rsidRPr="00AC441C">
              <w:rPr>
                <w:rFonts w:ascii="Arial Narrow" w:hAnsi="Arial Narrow" w:cs="Times New Roman"/>
                <w:bCs/>
                <w:sz w:val="20"/>
                <w:szCs w:val="20"/>
              </w:rPr>
              <w:t>Total continuing patient years of treatment</w:t>
            </w:r>
          </w:p>
        </w:tc>
        <w:tc>
          <w:tcPr>
            <w:tcW w:w="1134" w:type="dxa"/>
            <w:tcMar>
              <w:left w:w="28" w:type="dxa"/>
              <w:right w:w="28" w:type="dxa"/>
            </w:tcMar>
          </w:tcPr>
          <w:p w14:paraId="0E29B3D8" w14:textId="31BBE150" w:rsidR="00A2582A" w:rsidRPr="007C7C5C" w:rsidDel="00983D51" w:rsidRDefault="007C7C5C" w:rsidP="0045628D">
            <w:pPr>
              <w:keepNext/>
              <w:jc w:val="center"/>
              <w:rPr>
                <w:rFonts w:ascii="Arial Narrow" w:hAnsi="Arial Narrow" w:cs="Times New Roman"/>
                <w:bCs/>
                <w:sz w:val="20"/>
                <w:szCs w:val="20"/>
                <w:highlight w:val="darkGray"/>
              </w:rPr>
            </w:pPr>
            <w:r w:rsidRPr="007C7C5C">
              <w:rPr>
                <w:rFonts w:ascii="Arial Narrow" w:hAnsi="Arial Narrow" w:cs="Times New Roman" w:hint="eastAsia"/>
                <w:bCs/>
                <w:color w:val="000000"/>
                <w:w w:val="19"/>
                <w:sz w:val="20"/>
                <w:szCs w:val="20"/>
                <w:shd w:val="solid" w:color="000000" w:fill="000000"/>
                <w:fitText w:val="88" w:id="-1305211126"/>
                <w14:textFill>
                  <w14:solidFill>
                    <w14:srgbClr w14:val="000000">
                      <w14:alpha w14:val="100000"/>
                    </w14:srgbClr>
                  </w14:solidFill>
                </w14:textFill>
              </w:rPr>
              <w:t xml:space="preserve">　</w:t>
            </w:r>
            <w:r w:rsidRPr="007C7C5C">
              <w:rPr>
                <w:rFonts w:ascii="Arial Narrow" w:hAnsi="Arial Narrow" w:cs="Times New Roman"/>
                <w:bCs/>
                <w:color w:val="000000"/>
                <w:w w:val="19"/>
                <w:sz w:val="20"/>
                <w:szCs w:val="20"/>
                <w:shd w:val="solid" w:color="000000" w:fill="000000"/>
                <w:fitText w:val="88" w:id="-1305211126"/>
                <w14:textFill>
                  <w14:solidFill>
                    <w14:srgbClr w14:val="000000">
                      <w14:alpha w14:val="100000"/>
                    </w14:srgbClr>
                  </w14:solidFill>
                </w14:textFill>
              </w:rPr>
              <w:t>|</w:t>
            </w:r>
            <w:r w:rsidRPr="007C7C5C">
              <w:rPr>
                <w:rFonts w:ascii="Arial Narrow" w:hAnsi="Arial Narrow" w:cs="Times New Roman" w:hint="eastAsia"/>
                <w:bCs/>
                <w:color w:val="000000"/>
                <w:spacing w:val="13"/>
                <w:w w:val="19"/>
                <w:sz w:val="20"/>
                <w:szCs w:val="20"/>
                <w:shd w:val="solid" w:color="000000" w:fill="000000"/>
                <w:fitText w:val="88" w:id="-1305211126"/>
                <w14:textFill>
                  <w14:solidFill>
                    <w14:srgbClr w14:val="000000">
                      <w14:alpha w14:val="100000"/>
                    </w14:srgbClr>
                  </w14:solidFill>
                </w14:textFill>
              </w:rPr>
              <w:t xml:space="preserve">　</w:t>
            </w:r>
            <w:r w:rsidR="005B2072" w:rsidRPr="007C7C5C">
              <w:rPr>
                <w:rFonts w:ascii="Arial Narrow" w:hAnsi="Arial Narrow" w:cs="Times New Roman"/>
                <w:bCs/>
                <w:sz w:val="20"/>
                <w:szCs w:val="20"/>
                <w:vertAlign w:val="superscript"/>
              </w:rPr>
              <w:t>1</w:t>
            </w:r>
          </w:p>
        </w:tc>
        <w:tc>
          <w:tcPr>
            <w:tcW w:w="1134" w:type="dxa"/>
            <w:tcMar>
              <w:left w:w="28" w:type="dxa"/>
              <w:right w:w="28" w:type="dxa"/>
            </w:tcMar>
          </w:tcPr>
          <w:p w14:paraId="70E52F92" w14:textId="1582040B" w:rsidR="00A2582A" w:rsidRPr="007C7C5C" w:rsidDel="00983D51" w:rsidRDefault="007C7C5C" w:rsidP="0045628D">
            <w:pPr>
              <w:keepNext/>
              <w:jc w:val="center"/>
              <w:rPr>
                <w:rFonts w:ascii="Arial Narrow" w:hAnsi="Arial Narrow" w:cs="Times New Roman"/>
                <w:bCs/>
                <w:sz w:val="20"/>
                <w:szCs w:val="20"/>
                <w:highlight w:val="darkGray"/>
              </w:rPr>
            </w:pPr>
            <w:r w:rsidRPr="007C7C5C">
              <w:rPr>
                <w:rFonts w:ascii="Arial Narrow" w:hAnsi="Arial Narrow" w:cs="Times New Roman" w:hint="eastAsia"/>
                <w:bCs/>
                <w:color w:val="000000"/>
                <w:w w:val="19"/>
                <w:sz w:val="20"/>
                <w:szCs w:val="20"/>
                <w:shd w:val="solid" w:color="000000" w:fill="000000"/>
                <w:fitText w:val="87" w:id="-1305211125"/>
                <w14:textFill>
                  <w14:solidFill>
                    <w14:srgbClr w14:val="000000">
                      <w14:alpha w14:val="100000"/>
                    </w14:srgbClr>
                  </w14:solidFill>
                </w14:textFill>
              </w:rPr>
              <w:t xml:space="preserve">　</w:t>
            </w:r>
            <w:r w:rsidRPr="007C7C5C">
              <w:rPr>
                <w:rFonts w:ascii="Arial Narrow" w:hAnsi="Arial Narrow" w:cs="Times New Roman"/>
                <w:bCs/>
                <w:color w:val="000000"/>
                <w:w w:val="19"/>
                <w:sz w:val="20"/>
                <w:szCs w:val="20"/>
                <w:shd w:val="solid" w:color="000000" w:fill="000000"/>
                <w:fitText w:val="87" w:id="-1305211125"/>
                <w14:textFill>
                  <w14:solidFill>
                    <w14:srgbClr w14:val="000000">
                      <w14:alpha w14:val="100000"/>
                    </w14:srgbClr>
                  </w14:solidFill>
                </w14:textFill>
              </w:rPr>
              <w:t>|</w:t>
            </w:r>
            <w:r w:rsidRPr="007C7C5C">
              <w:rPr>
                <w:rFonts w:ascii="Arial Narrow" w:hAnsi="Arial Narrow" w:cs="Times New Roman" w:hint="eastAsia"/>
                <w:bCs/>
                <w:color w:val="000000"/>
                <w:spacing w:val="13"/>
                <w:w w:val="19"/>
                <w:sz w:val="20"/>
                <w:szCs w:val="20"/>
                <w:shd w:val="solid" w:color="000000" w:fill="000000"/>
                <w:fitText w:val="87" w:id="-1305211125"/>
                <w14:textFill>
                  <w14:solidFill>
                    <w14:srgbClr w14:val="000000">
                      <w14:alpha w14:val="100000"/>
                    </w14:srgbClr>
                  </w14:solidFill>
                </w14:textFill>
              </w:rPr>
              <w:t xml:space="preserve">　</w:t>
            </w:r>
            <w:r w:rsidR="005B2072" w:rsidRPr="0045628D">
              <w:rPr>
                <w:rFonts w:ascii="Arial Narrow" w:hAnsi="Arial Narrow" w:cs="Times New Roman"/>
                <w:bCs/>
                <w:sz w:val="20"/>
                <w:szCs w:val="20"/>
                <w:vertAlign w:val="superscript"/>
              </w:rPr>
              <w:t>1</w:t>
            </w:r>
          </w:p>
        </w:tc>
        <w:tc>
          <w:tcPr>
            <w:tcW w:w="1134" w:type="dxa"/>
            <w:tcMar>
              <w:left w:w="28" w:type="dxa"/>
              <w:right w:w="28" w:type="dxa"/>
            </w:tcMar>
          </w:tcPr>
          <w:p w14:paraId="235EE688" w14:textId="46922CDD" w:rsidR="00A2582A" w:rsidRPr="007C7C5C" w:rsidDel="00983D51" w:rsidRDefault="007C7C5C" w:rsidP="0045628D">
            <w:pPr>
              <w:keepNext/>
              <w:jc w:val="center"/>
              <w:rPr>
                <w:rFonts w:ascii="Arial Narrow" w:hAnsi="Arial Narrow" w:cs="Times New Roman"/>
                <w:bCs/>
                <w:sz w:val="20"/>
                <w:szCs w:val="20"/>
                <w:highlight w:val="darkGray"/>
              </w:rPr>
            </w:pPr>
            <w:r w:rsidRPr="007C7C5C">
              <w:rPr>
                <w:rFonts w:ascii="Arial Narrow" w:hAnsi="Arial Narrow" w:cs="Times New Roman" w:hint="eastAsia"/>
                <w:bCs/>
                <w:color w:val="000000"/>
                <w:w w:val="19"/>
                <w:sz w:val="20"/>
                <w:szCs w:val="20"/>
                <w:shd w:val="solid" w:color="000000" w:fill="000000"/>
                <w:fitText w:val="87" w:id="-1305211124"/>
                <w14:textFill>
                  <w14:solidFill>
                    <w14:srgbClr w14:val="000000">
                      <w14:alpha w14:val="100000"/>
                    </w14:srgbClr>
                  </w14:solidFill>
                </w14:textFill>
              </w:rPr>
              <w:t xml:space="preserve">　</w:t>
            </w:r>
            <w:r w:rsidRPr="007C7C5C">
              <w:rPr>
                <w:rFonts w:ascii="Arial Narrow" w:hAnsi="Arial Narrow" w:cs="Times New Roman"/>
                <w:bCs/>
                <w:color w:val="000000"/>
                <w:w w:val="19"/>
                <w:sz w:val="20"/>
                <w:szCs w:val="20"/>
                <w:shd w:val="solid" w:color="000000" w:fill="000000"/>
                <w:fitText w:val="87" w:id="-1305211124"/>
                <w14:textFill>
                  <w14:solidFill>
                    <w14:srgbClr w14:val="000000">
                      <w14:alpha w14:val="100000"/>
                    </w14:srgbClr>
                  </w14:solidFill>
                </w14:textFill>
              </w:rPr>
              <w:t>|</w:t>
            </w:r>
            <w:r w:rsidRPr="007C7C5C">
              <w:rPr>
                <w:rFonts w:ascii="Arial Narrow" w:hAnsi="Arial Narrow" w:cs="Times New Roman" w:hint="eastAsia"/>
                <w:bCs/>
                <w:color w:val="000000"/>
                <w:spacing w:val="13"/>
                <w:w w:val="19"/>
                <w:sz w:val="20"/>
                <w:szCs w:val="20"/>
                <w:shd w:val="solid" w:color="000000" w:fill="000000"/>
                <w:fitText w:val="87" w:id="-1305211124"/>
                <w14:textFill>
                  <w14:solidFill>
                    <w14:srgbClr w14:val="000000">
                      <w14:alpha w14:val="100000"/>
                    </w14:srgbClr>
                  </w14:solidFill>
                </w14:textFill>
              </w:rPr>
              <w:t xml:space="preserve">　</w:t>
            </w:r>
            <w:r w:rsidR="005B2072" w:rsidRPr="0045628D">
              <w:rPr>
                <w:rFonts w:ascii="Arial Narrow" w:hAnsi="Arial Narrow" w:cs="Times New Roman"/>
                <w:bCs/>
                <w:sz w:val="20"/>
                <w:szCs w:val="20"/>
                <w:vertAlign w:val="superscript"/>
              </w:rPr>
              <w:t>1</w:t>
            </w:r>
          </w:p>
        </w:tc>
        <w:tc>
          <w:tcPr>
            <w:tcW w:w="1134" w:type="dxa"/>
            <w:tcMar>
              <w:left w:w="28" w:type="dxa"/>
              <w:right w:w="28" w:type="dxa"/>
            </w:tcMar>
          </w:tcPr>
          <w:p w14:paraId="0ABEB7DE" w14:textId="3DAA8EEC" w:rsidR="00A2582A" w:rsidRPr="007C7C5C" w:rsidDel="00983D51" w:rsidRDefault="007C7C5C" w:rsidP="0045628D">
            <w:pPr>
              <w:keepNext/>
              <w:jc w:val="center"/>
              <w:rPr>
                <w:rFonts w:ascii="Arial Narrow" w:hAnsi="Arial Narrow" w:cs="Times New Roman"/>
                <w:bCs/>
                <w:sz w:val="20"/>
                <w:szCs w:val="20"/>
                <w:highlight w:val="darkGray"/>
              </w:rPr>
            </w:pPr>
            <w:r w:rsidRPr="007C7C5C">
              <w:rPr>
                <w:rFonts w:ascii="Arial Narrow" w:hAnsi="Arial Narrow" w:cs="Times New Roman" w:hint="eastAsia"/>
                <w:bCs/>
                <w:color w:val="000000"/>
                <w:w w:val="19"/>
                <w:sz w:val="20"/>
                <w:szCs w:val="20"/>
                <w:shd w:val="solid" w:color="000000" w:fill="000000"/>
                <w:fitText w:val="88" w:id="-1305211123"/>
                <w14:textFill>
                  <w14:solidFill>
                    <w14:srgbClr w14:val="000000">
                      <w14:alpha w14:val="100000"/>
                    </w14:srgbClr>
                  </w14:solidFill>
                </w14:textFill>
              </w:rPr>
              <w:t xml:space="preserve">　</w:t>
            </w:r>
            <w:r w:rsidRPr="007C7C5C">
              <w:rPr>
                <w:rFonts w:ascii="Arial Narrow" w:hAnsi="Arial Narrow" w:cs="Times New Roman"/>
                <w:bCs/>
                <w:color w:val="000000"/>
                <w:w w:val="19"/>
                <w:sz w:val="20"/>
                <w:szCs w:val="20"/>
                <w:shd w:val="solid" w:color="000000" w:fill="000000"/>
                <w:fitText w:val="88" w:id="-1305211123"/>
                <w14:textFill>
                  <w14:solidFill>
                    <w14:srgbClr w14:val="000000">
                      <w14:alpha w14:val="100000"/>
                    </w14:srgbClr>
                  </w14:solidFill>
                </w14:textFill>
              </w:rPr>
              <w:t>|</w:t>
            </w:r>
            <w:r w:rsidRPr="007C7C5C">
              <w:rPr>
                <w:rFonts w:ascii="Arial Narrow" w:hAnsi="Arial Narrow" w:cs="Times New Roman" w:hint="eastAsia"/>
                <w:bCs/>
                <w:color w:val="000000"/>
                <w:spacing w:val="13"/>
                <w:w w:val="19"/>
                <w:sz w:val="20"/>
                <w:szCs w:val="20"/>
                <w:shd w:val="solid" w:color="000000" w:fill="000000"/>
                <w:fitText w:val="88" w:id="-1305211123"/>
                <w14:textFill>
                  <w14:solidFill>
                    <w14:srgbClr w14:val="000000">
                      <w14:alpha w14:val="100000"/>
                    </w14:srgbClr>
                  </w14:solidFill>
                </w14:textFill>
              </w:rPr>
              <w:t xml:space="preserve">　</w:t>
            </w:r>
            <w:r w:rsidR="005B2072" w:rsidRPr="0045628D">
              <w:rPr>
                <w:rFonts w:ascii="Arial Narrow" w:hAnsi="Arial Narrow" w:cs="Times New Roman"/>
                <w:bCs/>
                <w:sz w:val="20"/>
                <w:szCs w:val="20"/>
                <w:vertAlign w:val="superscript"/>
              </w:rPr>
              <w:t>1</w:t>
            </w:r>
          </w:p>
        </w:tc>
        <w:tc>
          <w:tcPr>
            <w:tcW w:w="1134" w:type="dxa"/>
            <w:tcMar>
              <w:left w:w="28" w:type="dxa"/>
              <w:right w:w="28" w:type="dxa"/>
            </w:tcMar>
          </w:tcPr>
          <w:p w14:paraId="51A06590" w14:textId="5DCF7408" w:rsidR="00A2582A" w:rsidRPr="007C7C5C" w:rsidDel="00983D51" w:rsidRDefault="007C7C5C" w:rsidP="0045628D">
            <w:pPr>
              <w:keepNext/>
              <w:jc w:val="center"/>
              <w:rPr>
                <w:rFonts w:ascii="Arial Narrow" w:hAnsi="Arial Narrow" w:cs="Times New Roman"/>
                <w:bCs/>
                <w:sz w:val="20"/>
                <w:szCs w:val="20"/>
                <w:highlight w:val="darkGray"/>
              </w:rPr>
            </w:pPr>
            <w:r w:rsidRPr="007C7C5C">
              <w:rPr>
                <w:rFonts w:ascii="Arial Narrow" w:hAnsi="Arial Narrow" w:cs="Times New Roman" w:hint="eastAsia"/>
                <w:bCs/>
                <w:color w:val="000000"/>
                <w:w w:val="19"/>
                <w:sz w:val="20"/>
                <w:szCs w:val="20"/>
                <w:shd w:val="solid" w:color="000000" w:fill="000000"/>
                <w:fitText w:val="87" w:id="-1305211122"/>
                <w14:textFill>
                  <w14:solidFill>
                    <w14:srgbClr w14:val="000000">
                      <w14:alpha w14:val="100000"/>
                    </w14:srgbClr>
                  </w14:solidFill>
                </w14:textFill>
              </w:rPr>
              <w:t xml:space="preserve">　</w:t>
            </w:r>
            <w:r w:rsidRPr="007C7C5C">
              <w:rPr>
                <w:rFonts w:ascii="Arial Narrow" w:hAnsi="Arial Narrow" w:cs="Times New Roman"/>
                <w:bCs/>
                <w:color w:val="000000"/>
                <w:w w:val="19"/>
                <w:sz w:val="20"/>
                <w:szCs w:val="20"/>
                <w:shd w:val="solid" w:color="000000" w:fill="000000"/>
                <w:fitText w:val="87" w:id="-1305211122"/>
                <w14:textFill>
                  <w14:solidFill>
                    <w14:srgbClr w14:val="000000">
                      <w14:alpha w14:val="100000"/>
                    </w14:srgbClr>
                  </w14:solidFill>
                </w14:textFill>
              </w:rPr>
              <w:t>|</w:t>
            </w:r>
            <w:r w:rsidRPr="007C7C5C">
              <w:rPr>
                <w:rFonts w:ascii="Arial Narrow" w:hAnsi="Arial Narrow" w:cs="Times New Roman" w:hint="eastAsia"/>
                <w:bCs/>
                <w:color w:val="000000"/>
                <w:spacing w:val="13"/>
                <w:w w:val="19"/>
                <w:sz w:val="20"/>
                <w:szCs w:val="20"/>
                <w:shd w:val="solid" w:color="000000" w:fill="000000"/>
                <w:fitText w:val="87" w:id="-1305211122"/>
                <w14:textFill>
                  <w14:solidFill>
                    <w14:srgbClr w14:val="000000">
                      <w14:alpha w14:val="100000"/>
                    </w14:srgbClr>
                  </w14:solidFill>
                </w14:textFill>
              </w:rPr>
              <w:t xml:space="preserve">　</w:t>
            </w:r>
            <w:r w:rsidR="005B2072" w:rsidRPr="0045628D">
              <w:rPr>
                <w:rFonts w:ascii="Arial Narrow" w:hAnsi="Arial Narrow" w:cs="Times New Roman"/>
                <w:bCs/>
                <w:sz w:val="20"/>
                <w:szCs w:val="20"/>
                <w:vertAlign w:val="superscript"/>
              </w:rPr>
              <w:t>1</w:t>
            </w:r>
          </w:p>
        </w:tc>
        <w:tc>
          <w:tcPr>
            <w:tcW w:w="1134" w:type="dxa"/>
            <w:tcMar>
              <w:left w:w="28" w:type="dxa"/>
              <w:right w:w="28" w:type="dxa"/>
            </w:tcMar>
          </w:tcPr>
          <w:p w14:paraId="11651BB5" w14:textId="1645119C" w:rsidR="00A2582A" w:rsidRPr="007C7C5C" w:rsidDel="00983D51" w:rsidRDefault="007C7C5C" w:rsidP="0045628D">
            <w:pPr>
              <w:keepNext/>
              <w:jc w:val="center"/>
              <w:rPr>
                <w:rFonts w:ascii="Arial Narrow" w:hAnsi="Arial Narrow" w:cs="Times New Roman"/>
                <w:bCs/>
                <w:sz w:val="20"/>
                <w:szCs w:val="20"/>
                <w:highlight w:val="darkGray"/>
              </w:rPr>
            </w:pPr>
            <w:r w:rsidRPr="007C7C5C">
              <w:rPr>
                <w:rFonts w:ascii="Arial Narrow" w:hAnsi="Arial Narrow" w:cs="Times New Roman" w:hint="eastAsia"/>
                <w:bCs/>
                <w:color w:val="000000"/>
                <w:w w:val="19"/>
                <w:sz w:val="20"/>
                <w:szCs w:val="20"/>
                <w:shd w:val="solid" w:color="000000" w:fill="000000"/>
                <w:fitText w:val="88" w:id="-1305211121"/>
                <w14:textFill>
                  <w14:solidFill>
                    <w14:srgbClr w14:val="000000">
                      <w14:alpha w14:val="100000"/>
                    </w14:srgbClr>
                  </w14:solidFill>
                </w14:textFill>
              </w:rPr>
              <w:t xml:space="preserve">　</w:t>
            </w:r>
            <w:r w:rsidRPr="007C7C5C">
              <w:rPr>
                <w:rFonts w:ascii="Arial Narrow" w:hAnsi="Arial Narrow" w:cs="Times New Roman"/>
                <w:bCs/>
                <w:color w:val="000000"/>
                <w:w w:val="19"/>
                <w:sz w:val="20"/>
                <w:szCs w:val="20"/>
                <w:shd w:val="solid" w:color="000000" w:fill="000000"/>
                <w:fitText w:val="88" w:id="-1305211121"/>
                <w14:textFill>
                  <w14:solidFill>
                    <w14:srgbClr w14:val="000000">
                      <w14:alpha w14:val="100000"/>
                    </w14:srgbClr>
                  </w14:solidFill>
                </w14:textFill>
              </w:rPr>
              <w:t>|</w:t>
            </w:r>
            <w:r w:rsidRPr="007C7C5C">
              <w:rPr>
                <w:rFonts w:ascii="Arial Narrow" w:hAnsi="Arial Narrow" w:cs="Times New Roman" w:hint="eastAsia"/>
                <w:bCs/>
                <w:color w:val="000000"/>
                <w:spacing w:val="13"/>
                <w:w w:val="19"/>
                <w:sz w:val="20"/>
                <w:szCs w:val="20"/>
                <w:shd w:val="solid" w:color="000000" w:fill="000000"/>
                <w:fitText w:val="88" w:id="-1305211121"/>
                <w14:textFill>
                  <w14:solidFill>
                    <w14:srgbClr w14:val="000000">
                      <w14:alpha w14:val="100000"/>
                    </w14:srgbClr>
                  </w14:solidFill>
                </w14:textFill>
              </w:rPr>
              <w:t xml:space="preserve">　</w:t>
            </w:r>
            <w:r w:rsidR="005B2072" w:rsidRPr="0045628D">
              <w:rPr>
                <w:rFonts w:ascii="Arial Narrow" w:hAnsi="Arial Narrow" w:cs="Times New Roman"/>
                <w:bCs/>
                <w:sz w:val="20"/>
                <w:szCs w:val="20"/>
                <w:vertAlign w:val="superscript"/>
              </w:rPr>
              <w:t>1</w:t>
            </w:r>
          </w:p>
        </w:tc>
      </w:tr>
      <w:tr w:rsidR="00A2582A" w:rsidRPr="00647C81" w14:paraId="26CD0535" w14:textId="77777777" w:rsidTr="00AD571F">
        <w:trPr>
          <w:trHeight w:val="138"/>
        </w:trPr>
        <w:tc>
          <w:tcPr>
            <w:tcW w:w="2263" w:type="dxa"/>
            <w:tcMar>
              <w:left w:w="28" w:type="dxa"/>
              <w:right w:w="28" w:type="dxa"/>
            </w:tcMar>
          </w:tcPr>
          <w:p w14:paraId="56ABC686" w14:textId="77777777" w:rsidR="00A2582A" w:rsidRPr="00AC441C" w:rsidRDefault="00A2582A" w:rsidP="0045628D">
            <w:pPr>
              <w:keepNext/>
              <w:jc w:val="left"/>
              <w:rPr>
                <w:rFonts w:ascii="Arial Narrow" w:hAnsi="Arial Narrow" w:cs="Times New Roman"/>
                <w:bCs/>
                <w:sz w:val="20"/>
                <w:szCs w:val="20"/>
              </w:rPr>
            </w:pPr>
            <w:r w:rsidRPr="00AC441C">
              <w:rPr>
                <w:rFonts w:ascii="Arial Narrow" w:hAnsi="Arial Narrow" w:cs="Times New Roman"/>
                <w:bCs/>
                <w:sz w:val="20"/>
                <w:szCs w:val="20"/>
              </w:rPr>
              <w:t>Total scripts</w:t>
            </w:r>
          </w:p>
        </w:tc>
        <w:tc>
          <w:tcPr>
            <w:tcW w:w="1134" w:type="dxa"/>
            <w:tcMar>
              <w:left w:w="28" w:type="dxa"/>
              <w:right w:w="28" w:type="dxa"/>
            </w:tcMar>
          </w:tcPr>
          <w:p w14:paraId="16EBE61D" w14:textId="28F45CB4" w:rsidR="00A2582A" w:rsidRPr="00AC441C" w:rsidRDefault="00A2582A" w:rsidP="0045628D">
            <w:pPr>
              <w:keepNext/>
              <w:jc w:val="center"/>
              <w:rPr>
                <w:rFonts w:ascii="Arial Narrow" w:hAnsi="Arial Narrow" w:cs="Times New Roman"/>
                <w:bCs/>
                <w:sz w:val="20"/>
                <w:szCs w:val="20"/>
              </w:rPr>
            </w:pPr>
            <w:r w:rsidRPr="00AC441C">
              <w:rPr>
                <w:rFonts w:ascii="Arial Narrow" w:hAnsi="Arial Narrow" w:cs="Times New Roman"/>
                <w:bCs/>
                <w:sz w:val="20"/>
                <w:szCs w:val="20"/>
              </w:rPr>
              <w:t xml:space="preserve"> </w:t>
            </w:r>
            <w:r w:rsidR="007C7C5C" w:rsidRPr="007C7C5C">
              <w:rPr>
                <w:rFonts w:ascii="Arial Narrow" w:hAnsi="Arial Narrow" w:cs="Times New Roman" w:hint="eastAsia"/>
                <w:bCs/>
                <w:color w:val="000000"/>
                <w:w w:val="22"/>
                <w:sz w:val="20"/>
                <w:szCs w:val="20"/>
                <w:shd w:val="solid" w:color="000000" w:fill="000000"/>
                <w:fitText w:val="100" w:id="-1305211120"/>
                <w14:textFill>
                  <w14:solidFill>
                    <w14:srgbClr w14:val="000000">
                      <w14:alpha w14:val="100000"/>
                    </w14:srgbClr>
                  </w14:solidFill>
                </w14:textFill>
              </w:rPr>
              <w:t xml:space="preserve">　</w:t>
            </w:r>
            <w:r w:rsidR="007C7C5C" w:rsidRPr="007C7C5C">
              <w:rPr>
                <w:rFonts w:ascii="Arial Narrow" w:hAnsi="Arial Narrow" w:cs="Times New Roman"/>
                <w:bCs/>
                <w:color w:val="000000"/>
                <w:w w:val="22"/>
                <w:sz w:val="20"/>
                <w:szCs w:val="20"/>
                <w:shd w:val="solid" w:color="000000" w:fill="000000"/>
                <w:fitText w:val="100" w:id="-1305211120"/>
                <w14:textFill>
                  <w14:solidFill>
                    <w14:srgbClr w14:val="000000">
                      <w14:alpha w14:val="100000"/>
                    </w14:srgbClr>
                  </w14:solidFill>
                </w14:textFill>
              </w:rPr>
              <w:t>|</w:t>
            </w:r>
            <w:r w:rsidR="007C7C5C" w:rsidRPr="007C7C5C">
              <w:rPr>
                <w:rFonts w:ascii="Arial Narrow" w:hAnsi="Arial Narrow" w:cs="Times New Roman" w:hint="eastAsia"/>
                <w:bCs/>
                <w:color w:val="000000"/>
                <w:spacing w:val="3"/>
                <w:w w:val="22"/>
                <w:sz w:val="20"/>
                <w:szCs w:val="20"/>
                <w:shd w:val="solid" w:color="000000" w:fill="000000"/>
                <w:fitText w:val="100" w:id="-1305211120"/>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2</w:t>
            </w:r>
            <w:r w:rsidRPr="00AC441C">
              <w:rPr>
                <w:rFonts w:ascii="Arial Narrow" w:hAnsi="Arial Narrow" w:cs="Times New Roman"/>
                <w:bCs/>
                <w:sz w:val="20"/>
                <w:szCs w:val="20"/>
              </w:rPr>
              <w:t xml:space="preserve"> </w:t>
            </w:r>
          </w:p>
        </w:tc>
        <w:tc>
          <w:tcPr>
            <w:tcW w:w="1134" w:type="dxa"/>
            <w:tcMar>
              <w:left w:w="28" w:type="dxa"/>
              <w:right w:w="28" w:type="dxa"/>
            </w:tcMar>
          </w:tcPr>
          <w:p w14:paraId="72E79B6F" w14:textId="63DB22D1" w:rsidR="00A2582A" w:rsidRPr="00AC441C" w:rsidRDefault="00A2582A" w:rsidP="0045628D">
            <w:pPr>
              <w:keepNext/>
              <w:jc w:val="center"/>
              <w:rPr>
                <w:rFonts w:ascii="Arial Narrow" w:hAnsi="Arial Narrow" w:cs="Times New Roman"/>
                <w:bCs/>
                <w:sz w:val="20"/>
                <w:szCs w:val="20"/>
              </w:rPr>
            </w:pPr>
            <w:r w:rsidRPr="00AC441C">
              <w:rPr>
                <w:rFonts w:ascii="Arial Narrow" w:hAnsi="Arial Narrow" w:cs="Times New Roman"/>
                <w:bCs/>
                <w:sz w:val="20"/>
                <w:szCs w:val="20"/>
              </w:rPr>
              <w:t xml:space="preserve"> </w:t>
            </w:r>
            <w:r w:rsidR="007C7C5C" w:rsidRPr="007C7C5C">
              <w:rPr>
                <w:rFonts w:ascii="Arial Narrow" w:hAnsi="Arial Narrow" w:cs="Times New Roman" w:hint="eastAsia"/>
                <w:bCs/>
                <w:color w:val="000000"/>
                <w:w w:val="22"/>
                <w:sz w:val="20"/>
                <w:szCs w:val="20"/>
                <w:shd w:val="solid" w:color="000000" w:fill="000000"/>
                <w:fitText w:val="100" w:id="-1305211136"/>
                <w14:textFill>
                  <w14:solidFill>
                    <w14:srgbClr w14:val="000000">
                      <w14:alpha w14:val="100000"/>
                    </w14:srgbClr>
                  </w14:solidFill>
                </w14:textFill>
              </w:rPr>
              <w:t xml:space="preserve">　</w:t>
            </w:r>
            <w:r w:rsidR="007C7C5C" w:rsidRPr="007C7C5C">
              <w:rPr>
                <w:rFonts w:ascii="Arial Narrow" w:hAnsi="Arial Narrow" w:cs="Times New Roman"/>
                <w:bCs/>
                <w:color w:val="000000"/>
                <w:w w:val="22"/>
                <w:sz w:val="20"/>
                <w:szCs w:val="20"/>
                <w:shd w:val="solid" w:color="000000" w:fill="000000"/>
                <w:fitText w:val="100" w:id="-1305211136"/>
                <w14:textFill>
                  <w14:solidFill>
                    <w14:srgbClr w14:val="000000">
                      <w14:alpha w14:val="100000"/>
                    </w14:srgbClr>
                  </w14:solidFill>
                </w14:textFill>
              </w:rPr>
              <w:t>|</w:t>
            </w:r>
            <w:r w:rsidR="007C7C5C" w:rsidRPr="007C7C5C">
              <w:rPr>
                <w:rFonts w:ascii="Arial Narrow" w:hAnsi="Arial Narrow" w:cs="Times New Roman" w:hint="eastAsia"/>
                <w:bCs/>
                <w:color w:val="000000"/>
                <w:spacing w:val="3"/>
                <w:w w:val="22"/>
                <w:sz w:val="20"/>
                <w:szCs w:val="20"/>
                <w:shd w:val="solid" w:color="000000" w:fill="000000"/>
                <w:fitText w:val="100" w:id="-1305211136"/>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2</w:t>
            </w:r>
            <w:r w:rsidRPr="00AC441C">
              <w:rPr>
                <w:rFonts w:ascii="Arial Narrow" w:hAnsi="Arial Narrow" w:cs="Times New Roman"/>
                <w:bCs/>
                <w:sz w:val="20"/>
                <w:szCs w:val="20"/>
              </w:rPr>
              <w:t xml:space="preserve"> </w:t>
            </w:r>
          </w:p>
        </w:tc>
        <w:tc>
          <w:tcPr>
            <w:tcW w:w="1134" w:type="dxa"/>
            <w:tcMar>
              <w:left w:w="28" w:type="dxa"/>
              <w:right w:w="28" w:type="dxa"/>
            </w:tcMar>
          </w:tcPr>
          <w:p w14:paraId="3A42D44E" w14:textId="4BA86B53" w:rsidR="00A2582A" w:rsidRPr="00AC441C" w:rsidRDefault="00A2582A" w:rsidP="0045628D">
            <w:pPr>
              <w:keepNext/>
              <w:jc w:val="center"/>
              <w:rPr>
                <w:rFonts w:ascii="Arial Narrow" w:hAnsi="Arial Narrow" w:cs="Times New Roman"/>
                <w:bCs/>
                <w:sz w:val="20"/>
                <w:szCs w:val="20"/>
              </w:rPr>
            </w:pPr>
            <w:r w:rsidRPr="00AC441C">
              <w:rPr>
                <w:rFonts w:ascii="Arial Narrow" w:hAnsi="Arial Narrow" w:cs="Times New Roman"/>
                <w:bCs/>
                <w:sz w:val="20"/>
                <w:szCs w:val="20"/>
              </w:rPr>
              <w:t xml:space="preserve"> </w:t>
            </w:r>
            <w:r w:rsidR="007C7C5C" w:rsidRPr="007C7C5C">
              <w:rPr>
                <w:rFonts w:ascii="Arial Narrow" w:hAnsi="Arial Narrow" w:cs="Times New Roman" w:hint="eastAsia"/>
                <w:bCs/>
                <w:color w:val="000000"/>
                <w:w w:val="22"/>
                <w:sz w:val="20"/>
                <w:szCs w:val="20"/>
                <w:shd w:val="solid" w:color="000000" w:fill="000000"/>
                <w:fitText w:val="100" w:id="-1305211135"/>
                <w14:textFill>
                  <w14:solidFill>
                    <w14:srgbClr w14:val="000000">
                      <w14:alpha w14:val="100000"/>
                    </w14:srgbClr>
                  </w14:solidFill>
                </w14:textFill>
              </w:rPr>
              <w:t xml:space="preserve">　</w:t>
            </w:r>
            <w:r w:rsidR="007C7C5C" w:rsidRPr="007C7C5C">
              <w:rPr>
                <w:rFonts w:ascii="Arial Narrow" w:hAnsi="Arial Narrow" w:cs="Times New Roman"/>
                <w:bCs/>
                <w:color w:val="000000"/>
                <w:w w:val="22"/>
                <w:sz w:val="20"/>
                <w:szCs w:val="20"/>
                <w:shd w:val="solid" w:color="000000" w:fill="000000"/>
                <w:fitText w:val="100" w:id="-1305211135"/>
                <w14:textFill>
                  <w14:solidFill>
                    <w14:srgbClr w14:val="000000">
                      <w14:alpha w14:val="100000"/>
                    </w14:srgbClr>
                  </w14:solidFill>
                </w14:textFill>
              </w:rPr>
              <w:t>|</w:t>
            </w:r>
            <w:r w:rsidR="007C7C5C" w:rsidRPr="007C7C5C">
              <w:rPr>
                <w:rFonts w:ascii="Arial Narrow" w:hAnsi="Arial Narrow" w:cs="Times New Roman" w:hint="eastAsia"/>
                <w:bCs/>
                <w:color w:val="000000"/>
                <w:spacing w:val="3"/>
                <w:w w:val="22"/>
                <w:sz w:val="20"/>
                <w:szCs w:val="20"/>
                <w:shd w:val="solid" w:color="000000" w:fill="000000"/>
                <w:fitText w:val="100" w:id="-1305211135"/>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2</w:t>
            </w:r>
            <w:r w:rsidRPr="00AC441C">
              <w:rPr>
                <w:rFonts w:ascii="Arial Narrow" w:hAnsi="Arial Narrow" w:cs="Times New Roman"/>
                <w:bCs/>
                <w:sz w:val="20"/>
                <w:szCs w:val="20"/>
              </w:rPr>
              <w:t xml:space="preserve"> </w:t>
            </w:r>
          </w:p>
        </w:tc>
        <w:tc>
          <w:tcPr>
            <w:tcW w:w="1134" w:type="dxa"/>
            <w:tcMar>
              <w:left w:w="28" w:type="dxa"/>
              <w:right w:w="28" w:type="dxa"/>
            </w:tcMar>
          </w:tcPr>
          <w:p w14:paraId="30D78C3A" w14:textId="4D4B2E72" w:rsidR="00A2582A" w:rsidRPr="00AC441C" w:rsidRDefault="00A2582A" w:rsidP="0045628D">
            <w:pPr>
              <w:keepNext/>
              <w:jc w:val="center"/>
              <w:rPr>
                <w:rFonts w:ascii="Arial Narrow" w:hAnsi="Arial Narrow" w:cs="Times New Roman"/>
                <w:bCs/>
                <w:sz w:val="20"/>
                <w:szCs w:val="20"/>
              </w:rPr>
            </w:pPr>
            <w:r w:rsidRPr="00AC441C">
              <w:rPr>
                <w:rFonts w:ascii="Arial Narrow" w:hAnsi="Arial Narrow" w:cs="Times New Roman"/>
                <w:bCs/>
                <w:sz w:val="20"/>
                <w:szCs w:val="20"/>
              </w:rPr>
              <w:t xml:space="preserve"> </w:t>
            </w:r>
            <w:r w:rsidR="007C7C5C" w:rsidRPr="007C7C5C">
              <w:rPr>
                <w:rFonts w:ascii="Arial Narrow" w:hAnsi="Arial Narrow" w:cs="Times New Roman" w:hint="eastAsia"/>
                <w:bCs/>
                <w:color w:val="000000"/>
                <w:w w:val="22"/>
                <w:sz w:val="20"/>
                <w:szCs w:val="20"/>
                <w:shd w:val="solid" w:color="000000" w:fill="000000"/>
                <w:fitText w:val="100" w:id="-1305211134"/>
                <w14:textFill>
                  <w14:solidFill>
                    <w14:srgbClr w14:val="000000">
                      <w14:alpha w14:val="100000"/>
                    </w14:srgbClr>
                  </w14:solidFill>
                </w14:textFill>
              </w:rPr>
              <w:t xml:space="preserve">　</w:t>
            </w:r>
            <w:r w:rsidR="007C7C5C" w:rsidRPr="007C7C5C">
              <w:rPr>
                <w:rFonts w:ascii="Arial Narrow" w:hAnsi="Arial Narrow" w:cs="Times New Roman"/>
                <w:bCs/>
                <w:color w:val="000000"/>
                <w:w w:val="22"/>
                <w:sz w:val="20"/>
                <w:szCs w:val="20"/>
                <w:shd w:val="solid" w:color="000000" w:fill="000000"/>
                <w:fitText w:val="100" w:id="-1305211134"/>
                <w14:textFill>
                  <w14:solidFill>
                    <w14:srgbClr w14:val="000000">
                      <w14:alpha w14:val="100000"/>
                    </w14:srgbClr>
                  </w14:solidFill>
                </w14:textFill>
              </w:rPr>
              <w:t>|</w:t>
            </w:r>
            <w:r w:rsidR="007C7C5C" w:rsidRPr="007C7C5C">
              <w:rPr>
                <w:rFonts w:ascii="Arial Narrow" w:hAnsi="Arial Narrow" w:cs="Times New Roman" w:hint="eastAsia"/>
                <w:bCs/>
                <w:color w:val="000000"/>
                <w:spacing w:val="3"/>
                <w:w w:val="22"/>
                <w:sz w:val="20"/>
                <w:szCs w:val="20"/>
                <w:shd w:val="solid" w:color="000000" w:fill="000000"/>
                <w:fitText w:val="100" w:id="-1305211134"/>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2</w:t>
            </w:r>
            <w:r w:rsidRPr="00AC441C">
              <w:rPr>
                <w:rFonts w:ascii="Arial Narrow" w:hAnsi="Arial Narrow" w:cs="Times New Roman"/>
                <w:bCs/>
                <w:sz w:val="20"/>
                <w:szCs w:val="20"/>
              </w:rPr>
              <w:t xml:space="preserve"> </w:t>
            </w:r>
          </w:p>
        </w:tc>
        <w:tc>
          <w:tcPr>
            <w:tcW w:w="1134" w:type="dxa"/>
            <w:tcMar>
              <w:left w:w="28" w:type="dxa"/>
              <w:right w:w="28" w:type="dxa"/>
            </w:tcMar>
          </w:tcPr>
          <w:p w14:paraId="582B6961" w14:textId="38E661D2" w:rsidR="00A2582A" w:rsidRPr="00AC441C" w:rsidRDefault="00A2582A" w:rsidP="0045628D">
            <w:pPr>
              <w:keepNext/>
              <w:jc w:val="center"/>
              <w:rPr>
                <w:rFonts w:ascii="Arial Narrow" w:hAnsi="Arial Narrow" w:cs="Times New Roman"/>
                <w:bCs/>
                <w:sz w:val="20"/>
                <w:szCs w:val="20"/>
              </w:rPr>
            </w:pPr>
            <w:r w:rsidRPr="00AC441C">
              <w:rPr>
                <w:rFonts w:ascii="Arial Narrow" w:hAnsi="Arial Narrow" w:cs="Times New Roman"/>
                <w:bCs/>
                <w:sz w:val="20"/>
                <w:szCs w:val="20"/>
              </w:rPr>
              <w:t xml:space="preserve"> </w:t>
            </w:r>
            <w:r w:rsidR="007C7C5C" w:rsidRPr="007C7C5C">
              <w:rPr>
                <w:rFonts w:ascii="Arial Narrow" w:hAnsi="Arial Narrow" w:cs="Times New Roman" w:hint="eastAsia"/>
                <w:bCs/>
                <w:color w:val="000000"/>
                <w:w w:val="22"/>
                <w:sz w:val="20"/>
                <w:szCs w:val="20"/>
                <w:shd w:val="solid" w:color="000000" w:fill="000000"/>
                <w:fitText w:val="100" w:id="-1305211133"/>
                <w14:textFill>
                  <w14:solidFill>
                    <w14:srgbClr w14:val="000000">
                      <w14:alpha w14:val="100000"/>
                    </w14:srgbClr>
                  </w14:solidFill>
                </w14:textFill>
              </w:rPr>
              <w:t xml:space="preserve">　</w:t>
            </w:r>
            <w:r w:rsidR="007C7C5C" w:rsidRPr="007C7C5C">
              <w:rPr>
                <w:rFonts w:ascii="Arial Narrow" w:hAnsi="Arial Narrow" w:cs="Times New Roman"/>
                <w:bCs/>
                <w:color w:val="000000"/>
                <w:w w:val="22"/>
                <w:sz w:val="20"/>
                <w:szCs w:val="20"/>
                <w:shd w:val="solid" w:color="000000" w:fill="000000"/>
                <w:fitText w:val="100" w:id="-1305211133"/>
                <w14:textFill>
                  <w14:solidFill>
                    <w14:srgbClr w14:val="000000">
                      <w14:alpha w14:val="100000"/>
                    </w14:srgbClr>
                  </w14:solidFill>
                </w14:textFill>
              </w:rPr>
              <w:t>|</w:t>
            </w:r>
            <w:r w:rsidR="007C7C5C" w:rsidRPr="007C7C5C">
              <w:rPr>
                <w:rFonts w:ascii="Arial Narrow" w:hAnsi="Arial Narrow" w:cs="Times New Roman" w:hint="eastAsia"/>
                <w:bCs/>
                <w:color w:val="000000"/>
                <w:spacing w:val="3"/>
                <w:w w:val="22"/>
                <w:sz w:val="20"/>
                <w:szCs w:val="20"/>
                <w:shd w:val="solid" w:color="000000" w:fill="000000"/>
                <w:fitText w:val="100" w:id="-1305211133"/>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2</w:t>
            </w:r>
            <w:r w:rsidRPr="00AC441C">
              <w:rPr>
                <w:rFonts w:ascii="Arial Narrow" w:hAnsi="Arial Narrow" w:cs="Times New Roman"/>
                <w:bCs/>
                <w:sz w:val="20"/>
                <w:szCs w:val="20"/>
              </w:rPr>
              <w:t xml:space="preserve"> </w:t>
            </w:r>
          </w:p>
        </w:tc>
        <w:tc>
          <w:tcPr>
            <w:tcW w:w="1134" w:type="dxa"/>
            <w:tcMar>
              <w:left w:w="28" w:type="dxa"/>
              <w:right w:w="28" w:type="dxa"/>
            </w:tcMar>
          </w:tcPr>
          <w:p w14:paraId="1476A60D" w14:textId="0623CAE9" w:rsidR="00A2582A" w:rsidRPr="00AC441C" w:rsidRDefault="00A2582A" w:rsidP="0045628D">
            <w:pPr>
              <w:keepNext/>
              <w:jc w:val="center"/>
              <w:rPr>
                <w:rFonts w:ascii="Arial Narrow" w:hAnsi="Arial Narrow" w:cs="Times New Roman"/>
                <w:bCs/>
                <w:sz w:val="20"/>
                <w:szCs w:val="20"/>
              </w:rPr>
            </w:pPr>
            <w:r w:rsidRPr="00AC441C">
              <w:rPr>
                <w:rFonts w:ascii="Arial Narrow" w:hAnsi="Arial Narrow" w:cs="Times New Roman"/>
                <w:bCs/>
                <w:sz w:val="20"/>
                <w:szCs w:val="20"/>
              </w:rPr>
              <w:t xml:space="preserve"> </w:t>
            </w:r>
            <w:r w:rsidR="007C7C5C" w:rsidRPr="007C7C5C">
              <w:rPr>
                <w:rFonts w:ascii="Arial Narrow" w:hAnsi="Arial Narrow" w:cs="Times New Roman" w:hint="eastAsia"/>
                <w:bCs/>
                <w:color w:val="000000"/>
                <w:w w:val="22"/>
                <w:sz w:val="20"/>
                <w:szCs w:val="20"/>
                <w:shd w:val="solid" w:color="000000" w:fill="000000"/>
                <w:fitText w:val="100" w:id="-1305211132"/>
                <w14:textFill>
                  <w14:solidFill>
                    <w14:srgbClr w14:val="000000">
                      <w14:alpha w14:val="100000"/>
                    </w14:srgbClr>
                  </w14:solidFill>
                </w14:textFill>
              </w:rPr>
              <w:t xml:space="preserve">　</w:t>
            </w:r>
            <w:r w:rsidR="007C7C5C" w:rsidRPr="007C7C5C">
              <w:rPr>
                <w:rFonts w:ascii="Arial Narrow" w:hAnsi="Arial Narrow" w:cs="Times New Roman"/>
                <w:bCs/>
                <w:color w:val="000000"/>
                <w:w w:val="22"/>
                <w:sz w:val="20"/>
                <w:szCs w:val="20"/>
                <w:shd w:val="solid" w:color="000000" w:fill="000000"/>
                <w:fitText w:val="100" w:id="-1305211132"/>
                <w14:textFill>
                  <w14:solidFill>
                    <w14:srgbClr w14:val="000000">
                      <w14:alpha w14:val="100000"/>
                    </w14:srgbClr>
                  </w14:solidFill>
                </w14:textFill>
              </w:rPr>
              <w:t>|</w:t>
            </w:r>
            <w:r w:rsidR="007C7C5C" w:rsidRPr="007C7C5C">
              <w:rPr>
                <w:rFonts w:ascii="Arial Narrow" w:hAnsi="Arial Narrow" w:cs="Times New Roman" w:hint="eastAsia"/>
                <w:bCs/>
                <w:color w:val="000000"/>
                <w:spacing w:val="3"/>
                <w:w w:val="22"/>
                <w:sz w:val="20"/>
                <w:szCs w:val="20"/>
                <w:shd w:val="solid" w:color="000000" w:fill="000000"/>
                <w:fitText w:val="100" w:id="-1305211132"/>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2</w:t>
            </w:r>
            <w:r w:rsidRPr="00AC441C">
              <w:rPr>
                <w:rFonts w:ascii="Arial Narrow" w:hAnsi="Arial Narrow" w:cs="Times New Roman"/>
                <w:bCs/>
                <w:sz w:val="20"/>
                <w:szCs w:val="20"/>
              </w:rPr>
              <w:t xml:space="preserve"> </w:t>
            </w:r>
          </w:p>
        </w:tc>
      </w:tr>
      <w:tr w:rsidR="00A2582A" w:rsidRPr="00647C81" w14:paraId="7016249A" w14:textId="77777777" w:rsidTr="00AD571F">
        <w:trPr>
          <w:trHeight w:val="138"/>
        </w:trPr>
        <w:tc>
          <w:tcPr>
            <w:tcW w:w="2263" w:type="dxa"/>
            <w:tcMar>
              <w:left w:w="28" w:type="dxa"/>
              <w:right w:w="28" w:type="dxa"/>
            </w:tcMar>
          </w:tcPr>
          <w:p w14:paraId="224D9CD8" w14:textId="0687DD02" w:rsidR="00A2582A" w:rsidRPr="00AC441C" w:rsidRDefault="00A2582A" w:rsidP="0045628D">
            <w:pPr>
              <w:keepNext/>
              <w:jc w:val="left"/>
              <w:rPr>
                <w:rFonts w:ascii="Arial Narrow" w:hAnsi="Arial Narrow" w:cs="Times New Roman"/>
                <w:bCs/>
                <w:sz w:val="20"/>
                <w:szCs w:val="20"/>
              </w:rPr>
            </w:pPr>
            <w:r w:rsidRPr="00AC441C">
              <w:rPr>
                <w:rFonts w:ascii="Arial Narrow" w:hAnsi="Arial Narrow" w:cs="Times New Roman"/>
                <w:bCs/>
                <w:sz w:val="20"/>
                <w:szCs w:val="20"/>
              </w:rPr>
              <w:t>Total cost of ruxolitinib to the PBS/RPBS (less copayment)</w:t>
            </w:r>
            <w:r w:rsidR="005B2072">
              <w:rPr>
                <w:rFonts w:ascii="Arial Narrow" w:hAnsi="Arial Narrow" w:cs="Times New Roman"/>
                <w:bCs/>
                <w:sz w:val="20"/>
                <w:szCs w:val="20"/>
              </w:rPr>
              <w:t>($)</w:t>
            </w:r>
          </w:p>
        </w:tc>
        <w:tc>
          <w:tcPr>
            <w:tcW w:w="1134" w:type="dxa"/>
            <w:tcMar>
              <w:left w:w="28" w:type="dxa"/>
              <w:right w:w="28" w:type="dxa"/>
            </w:tcMar>
            <w:vAlign w:val="center"/>
          </w:tcPr>
          <w:p w14:paraId="1686D51A" w14:textId="35192320" w:rsidR="00A2582A" w:rsidRPr="007C7C5C" w:rsidRDefault="007C7C5C" w:rsidP="0045628D">
            <w:pPr>
              <w:keepNext/>
              <w:jc w:val="center"/>
              <w:rPr>
                <w:rFonts w:ascii="Arial Narrow" w:hAnsi="Arial Narrow" w:cs="Times New Roman"/>
                <w:b/>
                <w:sz w:val="20"/>
                <w:szCs w:val="20"/>
                <w:highlight w:val="darkGray"/>
              </w:rPr>
            </w:pPr>
            <w:r w:rsidRPr="007C7C5C">
              <w:rPr>
                <w:rFonts w:ascii="Arial Narrow" w:hAnsi="Arial Narrow" w:cs="Times New Roman" w:hint="eastAsia"/>
                <w:b/>
                <w:color w:val="000000"/>
                <w:w w:val="19"/>
                <w:sz w:val="20"/>
                <w:szCs w:val="20"/>
                <w:shd w:val="solid" w:color="000000" w:fill="000000"/>
                <w:fitText w:val="88" w:id="-1305211131"/>
                <w14:textFill>
                  <w14:solidFill>
                    <w14:srgbClr w14:val="000000">
                      <w14:alpha w14:val="100000"/>
                    </w14:srgbClr>
                  </w14:solidFill>
                </w14:textFill>
              </w:rPr>
              <w:t xml:space="preserve">　</w:t>
            </w:r>
            <w:r w:rsidRPr="007C7C5C">
              <w:rPr>
                <w:rFonts w:ascii="Arial Narrow" w:hAnsi="Arial Narrow" w:cs="Times New Roman"/>
                <w:b/>
                <w:color w:val="000000"/>
                <w:w w:val="19"/>
                <w:sz w:val="20"/>
                <w:szCs w:val="20"/>
                <w:shd w:val="solid" w:color="000000" w:fill="000000"/>
                <w:fitText w:val="88" w:id="-1305211131"/>
                <w14:textFill>
                  <w14:solidFill>
                    <w14:srgbClr w14:val="000000">
                      <w14:alpha w14:val="100000"/>
                    </w14:srgbClr>
                  </w14:solidFill>
                </w14:textFill>
              </w:rPr>
              <w:t>|</w:t>
            </w:r>
            <w:r w:rsidRPr="007C7C5C">
              <w:rPr>
                <w:rFonts w:ascii="Arial Narrow" w:hAnsi="Arial Narrow" w:cs="Times New Roman" w:hint="eastAsia"/>
                <w:b/>
                <w:color w:val="000000"/>
                <w:spacing w:val="13"/>
                <w:w w:val="19"/>
                <w:sz w:val="20"/>
                <w:szCs w:val="20"/>
                <w:shd w:val="solid" w:color="000000" w:fill="000000"/>
                <w:fitText w:val="88" w:id="-1305211131"/>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Mar>
              <w:left w:w="28" w:type="dxa"/>
              <w:right w:w="28" w:type="dxa"/>
            </w:tcMar>
            <w:vAlign w:val="center"/>
          </w:tcPr>
          <w:p w14:paraId="4DA9F6A0" w14:textId="60774EC3" w:rsidR="00A2582A" w:rsidRPr="007C7C5C" w:rsidRDefault="007C7C5C" w:rsidP="0045628D">
            <w:pPr>
              <w:keepNext/>
              <w:jc w:val="center"/>
              <w:rPr>
                <w:rFonts w:ascii="Arial Narrow" w:hAnsi="Arial Narrow" w:cs="Times New Roman"/>
                <w:b/>
                <w:sz w:val="20"/>
                <w:szCs w:val="20"/>
                <w:highlight w:val="darkGray"/>
              </w:rPr>
            </w:pPr>
            <w:r w:rsidRPr="007C7C5C">
              <w:rPr>
                <w:rFonts w:ascii="Arial Narrow" w:hAnsi="Arial Narrow" w:cs="Times New Roman" w:hint="eastAsia"/>
                <w:b/>
                <w:color w:val="000000"/>
                <w:w w:val="19"/>
                <w:sz w:val="20"/>
                <w:szCs w:val="20"/>
                <w:shd w:val="solid" w:color="000000" w:fill="000000"/>
                <w:fitText w:val="87" w:id="-1305211130"/>
                <w14:textFill>
                  <w14:solidFill>
                    <w14:srgbClr w14:val="000000">
                      <w14:alpha w14:val="100000"/>
                    </w14:srgbClr>
                  </w14:solidFill>
                </w14:textFill>
              </w:rPr>
              <w:t xml:space="preserve">　</w:t>
            </w:r>
            <w:r w:rsidRPr="007C7C5C">
              <w:rPr>
                <w:rFonts w:ascii="Arial Narrow" w:hAnsi="Arial Narrow" w:cs="Times New Roman"/>
                <w:b/>
                <w:color w:val="000000"/>
                <w:w w:val="19"/>
                <w:sz w:val="20"/>
                <w:szCs w:val="20"/>
                <w:shd w:val="solid" w:color="000000" w:fill="000000"/>
                <w:fitText w:val="87" w:id="-1305211130"/>
                <w14:textFill>
                  <w14:solidFill>
                    <w14:srgbClr w14:val="000000">
                      <w14:alpha w14:val="100000"/>
                    </w14:srgbClr>
                  </w14:solidFill>
                </w14:textFill>
              </w:rPr>
              <w:t>|</w:t>
            </w:r>
            <w:r w:rsidRPr="007C7C5C">
              <w:rPr>
                <w:rFonts w:ascii="Arial Narrow" w:hAnsi="Arial Narrow" w:cs="Times New Roman" w:hint="eastAsia"/>
                <w:b/>
                <w:color w:val="000000"/>
                <w:spacing w:val="13"/>
                <w:w w:val="19"/>
                <w:sz w:val="20"/>
                <w:szCs w:val="20"/>
                <w:shd w:val="solid" w:color="000000" w:fill="000000"/>
                <w:fitText w:val="87" w:id="-1305211130"/>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Mar>
              <w:left w:w="28" w:type="dxa"/>
              <w:right w:w="28" w:type="dxa"/>
            </w:tcMar>
            <w:vAlign w:val="center"/>
          </w:tcPr>
          <w:p w14:paraId="0C672A1A" w14:textId="095B4B18" w:rsidR="00A2582A" w:rsidRPr="007C7C5C" w:rsidRDefault="007C7C5C" w:rsidP="0045628D">
            <w:pPr>
              <w:keepNext/>
              <w:jc w:val="center"/>
              <w:rPr>
                <w:rFonts w:ascii="Arial Narrow" w:hAnsi="Arial Narrow" w:cs="Times New Roman"/>
                <w:b/>
                <w:sz w:val="20"/>
                <w:szCs w:val="20"/>
                <w:highlight w:val="darkGray"/>
              </w:rPr>
            </w:pPr>
            <w:r w:rsidRPr="007C7C5C">
              <w:rPr>
                <w:rFonts w:ascii="Arial Narrow" w:hAnsi="Arial Narrow" w:cs="Times New Roman" w:hint="eastAsia"/>
                <w:b/>
                <w:color w:val="000000"/>
                <w:w w:val="19"/>
                <w:sz w:val="20"/>
                <w:szCs w:val="20"/>
                <w:shd w:val="solid" w:color="000000" w:fill="000000"/>
                <w:fitText w:val="87" w:id="-1305211129"/>
                <w14:textFill>
                  <w14:solidFill>
                    <w14:srgbClr w14:val="000000">
                      <w14:alpha w14:val="100000"/>
                    </w14:srgbClr>
                  </w14:solidFill>
                </w14:textFill>
              </w:rPr>
              <w:t xml:space="preserve">　</w:t>
            </w:r>
            <w:r w:rsidRPr="007C7C5C">
              <w:rPr>
                <w:rFonts w:ascii="Arial Narrow" w:hAnsi="Arial Narrow" w:cs="Times New Roman"/>
                <w:b/>
                <w:color w:val="000000"/>
                <w:w w:val="19"/>
                <w:sz w:val="20"/>
                <w:szCs w:val="20"/>
                <w:shd w:val="solid" w:color="000000" w:fill="000000"/>
                <w:fitText w:val="87" w:id="-1305211129"/>
                <w14:textFill>
                  <w14:solidFill>
                    <w14:srgbClr w14:val="000000">
                      <w14:alpha w14:val="100000"/>
                    </w14:srgbClr>
                  </w14:solidFill>
                </w14:textFill>
              </w:rPr>
              <w:t>|</w:t>
            </w:r>
            <w:r w:rsidRPr="007C7C5C">
              <w:rPr>
                <w:rFonts w:ascii="Arial Narrow" w:hAnsi="Arial Narrow" w:cs="Times New Roman" w:hint="eastAsia"/>
                <w:b/>
                <w:color w:val="000000"/>
                <w:spacing w:val="13"/>
                <w:w w:val="19"/>
                <w:sz w:val="20"/>
                <w:szCs w:val="20"/>
                <w:shd w:val="solid" w:color="000000" w:fill="000000"/>
                <w:fitText w:val="87" w:id="-1305211129"/>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Mar>
              <w:left w:w="28" w:type="dxa"/>
              <w:right w:w="28" w:type="dxa"/>
            </w:tcMar>
            <w:vAlign w:val="center"/>
          </w:tcPr>
          <w:p w14:paraId="6CC6CFFB" w14:textId="1CE9DA34" w:rsidR="00A2582A" w:rsidRPr="007C7C5C" w:rsidRDefault="007C7C5C" w:rsidP="0045628D">
            <w:pPr>
              <w:keepNext/>
              <w:jc w:val="center"/>
              <w:rPr>
                <w:rFonts w:ascii="Arial Narrow" w:hAnsi="Arial Narrow" w:cs="Times New Roman"/>
                <w:b/>
                <w:sz w:val="20"/>
                <w:szCs w:val="20"/>
                <w:highlight w:val="darkGray"/>
              </w:rPr>
            </w:pPr>
            <w:r w:rsidRPr="007C7C5C">
              <w:rPr>
                <w:rFonts w:ascii="Arial Narrow" w:hAnsi="Arial Narrow" w:cs="Times New Roman" w:hint="eastAsia"/>
                <w:b/>
                <w:color w:val="000000"/>
                <w:w w:val="19"/>
                <w:sz w:val="20"/>
                <w:szCs w:val="20"/>
                <w:shd w:val="solid" w:color="000000" w:fill="000000"/>
                <w:fitText w:val="88" w:id="-1305211128"/>
                <w14:textFill>
                  <w14:solidFill>
                    <w14:srgbClr w14:val="000000">
                      <w14:alpha w14:val="100000"/>
                    </w14:srgbClr>
                  </w14:solidFill>
                </w14:textFill>
              </w:rPr>
              <w:t xml:space="preserve">　</w:t>
            </w:r>
            <w:r w:rsidRPr="007C7C5C">
              <w:rPr>
                <w:rFonts w:ascii="Arial Narrow" w:hAnsi="Arial Narrow" w:cs="Times New Roman"/>
                <w:b/>
                <w:color w:val="000000"/>
                <w:w w:val="19"/>
                <w:sz w:val="20"/>
                <w:szCs w:val="20"/>
                <w:shd w:val="solid" w:color="000000" w:fill="000000"/>
                <w:fitText w:val="88" w:id="-1305211128"/>
                <w14:textFill>
                  <w14:solidFill>
                    <w14:srgbClr w14:val="000000">
                      <w14:alpha w14:val="100000"/>
                    </w14:srgbClr>
                  </w14:solidFill>
                </w14:textFill>
              </w:rPr>
              <w:t>|</w:t>
            </w:r>
            <w:r w:rsidRPr="007C7C5C">
              <w:rPr>
                <w:rFonts w:ascii="Arial Narrow" w:hAnsi="Arial Narrow" w:cs="Times New Roman" w:hint="eastAsia"/>
                <w:b/>
                <w:color w:val="000000"/>
                <w:spacing w:val="13"/>
                <w:w w:val="19"/>
                <w:sz w:val="20"/>
                <w:szCs w:val="20"/>
                <w:shd w:val="solid" w:color="000000" w:fill="000000"/>
                <w:fitText w:val="88" w:id="-1305211128"/>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Mar>
              <w:left w:w="28" w:type="dxa"/>
              <w:right w:w="28" w:type="dxa"/>
            </w:tcMar>
            <w:vAlign w:val="center"/>
          </w:tcPr>
          <w:p w14:paraId="2225B44A" w14:textId="01ED6ACE" w:rsidR="00A2582A" w:rsidRPr="007C7C5C" w:rsidRDefault="007C7C5C" w:rsidP="0045628D">
            <w:pPr>
              <w:keepNext/>
              <w:jc w:val="center"/>
              <w:rPr>
                <w:rFonts w:ascii="Arial Narrow" w:hAnsi="Arial Narrow" w:cs="Times New Roman"/>
                <w:b/>
                <w:sz w:val="20"/>
                <w:szCs w:val="20"/>
                <w:highlight w:val="darkGray"/>
              </w:rPr>
            </w:pPr>
            <w:r w:rsidRPr="007C7C5C">
              <w:rPr>
                <w:rFonts w:ascii="Arial Narrow" w:hAnsi="Arial Narrow" w:cs="Times New Roman" w:hint="eastAsia"/>
                <w:b/>
                <w:color w:val="000000"/>
                <w:w w:val="19"/>
                <w:sz w:val="20"/>
                <w:szCs w:val="20"/>
                <w:shd w:val="solid" w:color="000000" w:fill="000000"/>
                <w:fitText w:val="87" w:id="-1305211127"/>
                <w14:textFill>
                  <w14:solidFill>
                    <w14:srgbClr w14:val="000000">
                      <w14:alpha w14:val="100000"/>
                    </w14:srgbClr>
                  </w14:solidFill>
                </w14:textFill>
              </w:rPr>
              <w:t xml:space="preserve">　</w:t>
            </w:r>
            <w:r w:rsidRPr="007C7C5C">
              <w:rPr>
                <w:rFonts w:ascii="Arial Narrow" w:hAnsi="Arial Narrow" w:cs="Times New Roman"/>
                <w:b/>
                <w:color w:val="000000"/>
                <w:w w:val="19"/>
                <w:sz w:val="20"/>
                <w:szCs w:val="20"/>
                <w:shd w:val="solid" w:color="000000" w:fill="000000"/>
                <w:fitText w:val="87" w:id="-1305211127"/>
                <w14:textFill>
                  <w14:solidFill>
                    <w14:srgbClr w14:val="000000">
                      <w14:alpha w14:val="100000"/>
                    </w14:srgbClr>
                  </w14:solidFill>
                </w14:textFill>
              </w:rPr>
              <w:t>|</w:t>
            </w:r>
            <w:r w:rsidRPr="007C7C5C">
              <w:rPr>
                <w:rFonts w:ascii="Arial Narrow" w:hAnsi="Arial Narrow" w:cs="Times New Roman" w:hint="eastAsia"/>
                <w:b/>
                <w:color w:val="000000"/>
                <w:spacing w:val="13"/>
                <w:w w:val="19"/>
                <w:sz w:val="20"/>
                <w:szCs w:val="20"/>
                <w:shd w:val="solid" w:color="000000" w:fill="000000"/>
                <w:fitText w:val="87" w:id="-1305211127"/>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Mar>
              <w:left w:w="28" w:type="dxa"/>
              <w:right w:w="28" w:type="dxa"/>
            </w:tcMar>
            <w:vAlign w:val="center"/>
          </w:tcPr>
          <w:p w14:paraId="1B824823" w14:textId="69EB01E2" w:rsidR="00A2582A" w:rsidRPr="007C7C5C" w:rsidRDefault="007C7C5C" w:rsidP="0045628D">
            <w:pPr>
              <w:jc w:val="center"/>
              <w:rPr>
                <w:rFonts w:ascii="Arial Narrow" w:hAnsi="Arial Narrow" w:cs="Times New Roman"/>
                <w:b/>
                <w:sz w:val="20"/>
                <w:szCs w:val="20"/>
                <w:highlight w:val="darkGray"/>
              </w:rPr>
            </w:pPr>
            <w:r w:rsidRPr="007C7C5C">
              <w:rPr>
                <w:rFonts w:ascii="Arial Narrow" w:hAnsi="Arial Narrow" w:cs="Times New Roman" w:hint="eastAsia"/>
                <w:b/>
                <w:color w:val="000000"/>
                <w:w w:val="19"/>
                <w:sz w:val="20"/>
                <w:szCs w:val="20"/>
                <w:shd w:val="solid" w:color="000000" w:fill="000000"/>
                <w:fitText w:val="88" w:id="-1305210880"/>
                <w14:textFill>
                  <w14:solidFill>
                    <w14:srgbClr w14:val="000000">
                      <w14:alpha w14:val="100000"/>
                    </w14:srgbClr>
                  </w14:solidFill>
                </w14:textFill>
              </w:rPr>
              <w:t xml:space="preserve">　</w:t>
            </w:r>
            <w:r w:rsidRPr="007C7C5C">
              <w:rPr>
                <w:rFonts w:ascii="Arial Narrow" w:hAnsi="Arial Narrow" w:cs="Times New Roman"/>
                <w:b/>
                <w:color w:val="000000"/>
                <w:w w:val="19"/>
                <w:sz w:val="20"/>
                <w:szCs w:val="20"/>
                <w:shd w:val="solid" w:color="000000" w:fill="000000"/>
                <w:fitText w:val="88" w:id="-1305210880"/>
                <w14:textFill>
                  <w14:solidFill>
                    <w14:srgbClr w14:val="000000">
                      <w14:alpha w14:val="100000"/>
                    </w14:srgbClr>
                  </w14:solidFill>
                </w14:textFill>
              </w:rPr>
              <w:t>|</w:t>
            </w:r>
            <w:r w:rsidRPr="007C7C5C">
              <w:rPr>
                <w:rFonts w:ascii="Arial Narrow" w:hAnsi="Arial Narrow" w:cs="Times New Roman" w:hint="eastAsia"/>
                <w:b/>
                <w:color w:val="000000"/>
                <w:spacing w:val="13"/>
                <w:w w:val="19"/>
                <w:sz w:val="20"/>
                <w:szCs w:val="20"/>
                <w:shd w:val="solid" w:color="000000" w:fill="000000"/>
                <w:fitText w:val="88" w:id="-1305210880"/>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r>
      <w:tr w:rsidR="00A2582A" w:rsidRPr="00647C81" w14:paraId="54EB2B3D" w14:textId="77777777" w:rsidTr="00AD571F">
        <w:trPr>
          <w:trHeight w:val="138"/>
        </w:trPr>
        <w:tc>
          <w:tcPr>
            <w:tcW w:w="2263" w:type="dxa"/>
            <w:tcMar>
              <w:left w:w="28" w:type="dxa"/>
              <w:right w:w="28" w:type="dxa"/>
            </w:tcMar>
          </w:tcPr>
          <w:p w14:paraId="1C872980" w14:textId="59D2F238" w:rsidR="00A2582A" w:rsidRPr="00AC441C" w:rsidRDefault="00A2582A" w:rsidP="0045628D">
            <w:pPr>
              <w:keepNext/>
              <w:jc w:val="left"/>
              <w:rPr>
                <w:rFonts w:ascii="Arial Narrow" w:hAnsi="Arial Narrow" w:cs="Times New Roman"/>
                <w:bCs/>
                <w:sz w:val="20"/>
                <w:szCs w:val="20"/>
              </w:rPr>
            </w:pPr>
            <w:r w:rsidRPr="00AC441C">
              <w:rPr>
                <w:rFonts w:ascii="Arial Narrow" w:hAnsi="Arial Narrow" w:cs="Times New Roman"/>
                <w:bCs/>
                <w:sz w:val="20"/>
                <w:szCs w:val="20"/>
              </w:rPr>
              <w:t>Net cost to the PBS/RPBS (including R/PBS offsets)</w:t>
            </w:r>
            <w:r w:rsidR="005B2072">
              <w:rPr>
                <w:rFonts w:ascii="Arial Narrow" w:hAnsi="Arial Narrow" w:cs="Times New Roman"/>
                <w:bCs/>
                <w:sz w:val="20"/>
                <w:szCs w:val="20"/>
              </w:rPr>
              <w:t>($)</w:t>
            </w:r>
          </w:p>
        </w:tc>
        <w:tc>
          <w:tcPr>
            <w:tcW w:w="1134" w:type="dxa"/>
            <w:tcMar>
              <w:left w:w="28" w:type="dxa"/>
              <w:right w:w="28" w:type="dxa"/>
            </w:tcMar>
          </w:tcPr>
          <w:p w14:paraId="084FC93A" w14:textId="0FA8B3ED" w:rsidR="00A2582A" w:rsidRPr="007C7C5C" w:rsidDel="00983D51" w:rsidRDefault="007C7C5C" w:rsidP="0045628D">
            <w:pPr>
              <w:keepNext/>
              <w:jc w:val="center"/>
              <w:rPr>
                <w:rFonts w:ascii="Arial Narrow" w:hAnsi="Arial Narrow" w:cs="Times New Roman"/>
                <w:bCs/>
                <w:sz w:val="20"/>
                <w:szCs w:val="20"/>
                <w:highlight w:val="darkGray"/>
              </w:rPr>
            </w:pPr>
            <w:r w:rsidRPr="007C7C5C">
              <w:rPr>
                <w:rFonts w:ascii="Arial Narrow" w:hAnsi="Arial Narrow" w:cs="Times New Roman" w:hint="eastAsia"/>
                <w:bCs/>
                <w:color w:val="000000"/>
                <w:w w:val="19"/>
                <w:sz w:val="20"/>
                <w:szCs w:val="20"/>
                <w:shd w:val="solid" w:color="000000" w:fill="000000"/>
                <w:fitText w:val="88" w:id="-1305210879"/>
                <w14:textFill>
                  <w14:solidFill>
                    <w14:srgbClr w14:val="000000">
                      <w14:alpha w14:val="100000"/>
                    </w14:srgbClr>
                  </w14:solidFill>
                </w14:textFill>
              </w:rPr>
              <w:t xml:space="preserve">　</w:t>
            </w:r>
            <w:r w:rsidRPr="007C7C5C">
              <w:rPr>
                <w:rFonts w:ascii="Arial Narrow" w:hAnsi="Arial Narrow" w:cs="Times New Roman"/>
                <w:bCs/>
                <w:color w:val="000000"/>
                <w:w w:val="19"/>
                <w:sz w:val="20"/>
                <w:szCs w:val="20"/>
                <w:shd w:val="solid" w:color="000000" w:fill="000000"/>
                <w:fitText w:val="88" w:id="-1305210879"/>
                <w14:textFill>
                  <w14:solidFill>
                    <w14:srgbClr w14:val="000000">
                      <w14:alpha w14:val="100000"/>
                    </w14:srgbClr>
                  </w14:solidFill>
                </w14:textFill>
              </w:rPr>
              <w:t>|</w:t>
            </w:r>
            <w:r w:rsidRPr="007C7C5C">
              <w:rPr>
                <w:rFonts w:ascii="Arial Narrow" w:hAnsi="Arial Narrow" w:cs="Times New Roman" w:hint="eastAsia"/>
                <w:bCs/>
                <w:color w:val="000000"/>
                <w:spacing w:val="13"/>
                <w:w w:val="19"/>
                <w:sz w:val="20"/>
                <w:szCs w:val="20"/>
                <w:shd w:val="solid" w:color="000000" w:fill="000000"/>
                <w:fitText w:val="88" w:id="-1305210879"/>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Mar>
              <w:left w:w="28" w:type="dxa"/>
              <w:right w:w="28" w:type="dxa"/>
            </w:tcMar>
          </w:tcPr>
          <w:p w14:paraId="77E7729C" w14:textId="4001EBB8" w:rsidR="00A2582A" w:rsidRPr="007C7C5C" w:rsidDel="00983D51" w:rsidRDefault="007C7C5C" w:rsidP="0045628D">
            <w:pPr>
              <w:keepNext/>
              <w:jc w:val="center"/>
              <w:rPr>
                <w:rFonts w:ascii="Arial Narrow" w:hAnsi="Arial Narrow" w:cs="Times New Roman"/>
                <w:bCs/>
                <w:sz w:val="20"/>
                <w:szCs w:val="20"/>
                <w:highlight w:val="darkGray"/>
              </w:rPr>
            </w:pPr>
            <w:r w:rsidRPr="007C7C5C">
              <w:rPr>
                <w:rFonts w:ascii="Arial Narrow" w:hAnsi="Arial Narrow" w:cs="Times New Roman" w:hint="eastAsia"/>
                <w:bCs/>
                <w:color w:val="000000"/>
                <w:w w:val="19"/>
                <w:sz w:val="20"/>
                <w:szCs w:val="20"/>
                <w:shd w:val="solid" w:color="000000" w:fill="000000"/>
                <w:fitText w:val="87" w:id="-1305210878"/>
                <w14:textFill>
                  <w14:solidFill>
                    <w14:srgbClr w14:val="000000">
                      <w14:alpha w14:val="100000"/>
                    </w14:srgbClr>
                  </w14:solidFill>
                </w14:textFill>
              </w:rPr>
              <w:t xml:space="preserve">　</w:t>
            </w:r>
            <w:r w:rsidRPr="007C7C5C">
              <w:rPr>
                <w:rFonts w:ascii="Arial Narrow" w:hAnsi="Arial Narrow" w:cs="Times New Roman"/>
                <w:bCs/>
                <w:color w:val="000000"/>
                <w:w w:val="19"/>
                <w:sz w:val="20"/>
                <w:szCs w:val="20"/>
                <w:shd w:val="solid" w:color="000000" w:fill="000000"/>
                <w:fitText w:val="87" w:id="-1305210878"/>
                <w14:textFill>
                  <w14:solidFill>
                    <w14:srgbClr w14:val="000000">
                      <w14:alpha w14:val="100000"/>
                    </w14:srgbClr>
                  </w14:solidFill>
                </w14:textFill>
              </w:rPr>
              <w:t>|</w:t>
            </w:r>
            <w:r w:rsidRPr="007C7C5C">
              <w:rPr>
                <w:rFonts w:ascii="Arial Narrow" w:hAnsi="Arial Narrow" w:cs="Times New Roman" w:hint="eastAsia"/>
                <w:bCs/>
                <w:color w:val="000000"/>
                <w:spacing w:val="13"/>
                <w:w w:val="19"/>
                <w:sz w:val="20"/>
                <w:szCs w:val="20"/>
                <w:shd w:val="solid" w:color="000000" w:fill="000000"/>
                <w:fitText w:val="87" w:id="-1305210878"/>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Mar>
              <w:left w:w="28" w:type="dxa"/>
              <w:right w:w="28" w:type="dxa"/>
            </w:tcMar>
          </w:tcPr>
          <w:p w14:paraId="0524C1E3" w14:textId="21FA8283" w:rsidR="00A2582A" w:rsidRPr="007C7C5C" w:rsidDel="00983D51" w:rsidRDefault="007C7C5C" w:rsidP="0045628D">
            <w:pPr>
              <w:keepNext/>
              <w:jc w:val="center"/>
              <w:rPr>
                <w:rFonts w:ascii="Arial Narrow" w:hAnsi="Arial Narrow" w:cs="Times New Roman"/>
                <w:bCs/>
                <w:sz w:val="20"/>
                <w:szCs w:val="20"/>
                <w:highlight w:val="darkGray"/>
              </w:rPr>
            </w:pPr>
            <w:r w:rsidRPr="007C7C5C">
              <w:rPr>
                <w:rFonts w:ascii="Arial Narrow" w:hAnsi="Arial Narrow" w:cs="Times New Roman" w:hint="eastAsia"/>
                <w:bCs/>
                <w:color w:val="000000"/>
                <w:w w:val="19"/>
                <w:sz w:val="20"/>
                <w:szCs w:val="20"/>
                <w:shd w:val="solid" w:color="000000" w:fill="000000"/>
                <w:fitText w:val="87" w:id="-1305210877"/>
                <w14:textFill>
                  <w14:solidFill>
                    <w14:srgbClr w14:val="000000">
                      <w14:alpha w14:val="100000"/>
                    </w14:srgbClr>
                  </w14:solidFill>
                </w14:textFill>
              </w:rPr>
              <w:t xml:space="preserve">　</w:t>
            </w:r>
            <w:r w:rsidRPr="007C7C5C">
              <w:rPr>
                <w:rFonts w:ascii="Arial Narrow" w:hAnsi="Arial Narrow" w:cs="Times New Roman"/>
                <w:bCs/>
                <w:color w:val="000000"/>
                <w:w w:val="19"/>
                <w:sz w:val="20"/>
                <w:szCs w:val="20"/>
                <w:shd w:val="solid" w:color="000000" w:fill="000000"/>
                <w:fitText w:val="87" w:id="-1305210877"/>
                <w14:textFill>
                  <w14:solidFill>
                    <w14:srgbClr w14:val="000000">
                      <w14:alpha w14:val="100000"/>
                    </w14:srgbClr>
                  </w14:solidFill>
                </w14:textFill>
              </w:rPr>
              <w:t>|</w:t>
            </w:r>
            <w:r w:rsidRPr="007C7C5C">
              <w:rPr>
                <w:rFonts w:ascii="Arial Narrow" w:hAnsi="Arial Narrow" w:cs="Times New Roman" w:hint="eastAsia"/>
                <w:bCs/>
                <w:color w:val="000000"/>
                <w:spacing w:val="13"/>
                <w:w w:val="19"/>
                <w:sz w:val="20"/>
                <w:szCs w:val="20"/>
                <w:shd w:val="solid" w:color="000000" w:fill="000000"/>
                <w:fitText w:val="87" w:id="-1305210877"/>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Mar>
              <w:left w:w="28" w:type="dxa"/>
              <w:right w:w="28" w:type="dxa"/>
            </w:tcMar>
          </w:tcPr>
          <w:p w14:paraId="6E2ED4A3" w14:textId="7410A96A" w:rsidR="00A2582A" w:rsidRPr="007C7C5C" w:rsidDel="00983D51" w:rsidRDefault="007C7C5C" w:rsidP="0045628D">
            <w:pPr>
              <w:keepNext/>
              <w:jc w:val="center"/>
              <w:rPr>
                <w:rFonts w:ascii="Arial Narrow" w:hAnsi="Arial Narrow" w:cs="Times New Roman"/>
                <w:bCs/>
                <w:sz w:val="20"/>
                <w:szCs w:val="20"/>
                <w:highlight w:val="darkGray"/>
              </w:rPr>
            </w:pPr>
            <w:r w:rsidRPr="007C7C5C">
              <w:rPr>
                <w:rFonts w:ascii="Arial Narrow" w:hAnsi="Arial Narrow" w:cs="Times New Roman" w:hint="eastAsia"/>
                <w:bCs/>
                <w:color w:val="000000"/>
                <w:w w:val="19"/>
                <w:sz w:val="20"/>
                <w:szCs w:val="20"/>
                <w:shd w:val="solid" w:color="000000" w:fill="000000"/>
                <w:fitText w:val="88" w:id="-1305210876"/>
                <w14:textFill>
                  <w14:solidFill>
                    <w14:srgbClr w14:val="000000">
                      <w14:alpha w14:val="100000"/>
                    </w14:srgbClr>
                  </w14:solidFill>
                </w14:textFill>
              </w:rPr>
              <w:t xml:space="preserve">　</w:t>
            </w:r>
            <w:r w:rsidRPr="007C7C5C">
              <w:rPr>
                <w:rFonts w:ascii="Arial Narrow" w:hAnsi="Arial Narrow" w:cs="Times New Roman"/>
                <w:bCs/>
                <w:color w:val="000000"/>
                <w:w w:val="19"/>
                <w:sz w:val="20"/>
                <w:szCs w:val="20"/>
                <w:shd w:val="solid" w:color="000000" w:fill="000000"/>
                <w:fitText w:val="88" w:id="-1305210876"/>
                <w14:textFill>
                  <w14:solidFill>
                    <w14:srgbClr w14:val="000000">
                      <w14:alpha w14:val="100000"/>
                    </w14:srgbClr>
                  </w14:solidFill>
                </w14:textFill>
              </w:rPr>
              <w:t>|</w:t>
            </w:r>
            <w:r w:rsidRPr="007C7C5C">
              <w:rPr>
                <w:rFonts w:ascii="Arial Narrow" w:hAnsi="Arial Narrow" w:cs="Times New Roman" w:hint="eastAsia"/>
                <w:bCs/>
                <w:color w:val="000000"/>
                <w:spacing w:val="13"/>
                <w:w w:val="19"/>
                <w:sz w:val="20"/>
                <w:szCs w:val="20"/>
                <w:shd w:val="solid" w:color="000000" w:fill="000000"/>
                <w:fitText w:val="88" w:id="-1305210876"/>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Mar>
              <w:left w:w="28" w:type="dxa"/>
              <w:right w:w="28" w:type="dxa"/>
            </w:tcMar>
          </w:tcPr>
          <w:p w14:paraId="15A073BE" w14:textId="71860DA3" w:rsidR="00A2582A" w:rsidRPr="007C7C5C" w:rsidDel="00983D51" w:rsidRDefault="007C7C5C" w:rsidP="0045628D">
            <w:pPr>
              <w:keepNext/>
              <w:jc w:val="center"/>
              <w:rPr>
                <w:rFonts w:ascii="Arial Narrow" w:hAnsi="Arial Narrow" w:cs="Times New Roman"/>
                <w:bCs/>
                <w:sz w:val="20"/>
                <w:szCs w:val="20"/>
                <w:highlight w:val="darkGray"/>
              </w:rPr>
            </w:pPr>
            <w:r w:rsidRPr="007C7C5C">
              <w:rPr>
                <w:rFonts w:ascii="Arial Narrow" w:hAnsi="Arial Narrow" w:cs="Times New Roman" w:hint="eastAsia"/>
                <w:bCs/>
                <w:color w:val="000000"/>
                <w:w w:val="19"/>
                <w:sz w:val="20"/>
                <w:szCs w:val="20"/>
                <w:shd w:val="solid" w:color="000000" w:fill="000000"/>
                <w:fitText w:val="87" w:id="-1305210875"/>
                <w14:textFill>
                  <w14:solidFill>
                    <w14:srgbClr w14:val="000000">
                      <w14:alpha w14:val="100000"/>
                    </w14:srgbClr>
                  </w14:solidFill>
                </w14:textFill>
              </w:rPr>
              <w:t xml:space="preserve">　</w:t>
            </w:r>
            <w:r w:rsidRPr="007C7C5C">
              <w:rPr>
                <w:rFonts w:ascii="Arial Narrow" w:hAnsi="Arial Narrow" w:cs="Times New Roman"/>
                <w:bCs/>
                <w:color w:val="000000"/>
                <w:w w:val="19"/>
                <w:sz w:val="20"/>
                <w:szCs w:val="20"/>
                <w:shd w:val="solid" w:color="000000" w:fill="000000"/>
                <w:fitText w:val="87" w:id="-1305210875"/>
                <w14:textFill>
                  <w14:solidFill>
                    <w14:srgbClr w14:val="000000">
                      <w14:alpha w14:val="100000"/>
                    </w14:srgbClr>
                  </w14:solidFill>
                </w14:textFill>
              </w:rPr>
              <w:t>|</w:t>
            </w:r>
            <w:r w:rsidRPr="007C7C5C">
              <w:rPr>
                <w:rFonts w:ascii="Arial Narrow" w:hAnsi="Arial Narrow" w:cs="Times New Roman" w:hint="eastAsia"/>
                <w:bCs/>
                <w:color w:val="000000"/>
                <w:spacing w:val="13"/>
                <w:w w:val="19"/>
                <w:sz w:val="20"/>
                <w:szCs w:val="20"/>
                <w:shd w:val="solid" w:color="000000" w:fill="000000"/>
                <w:fitText w:val="87" w:id="-1305210875"/>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Mar>
              <w:left w:w="28" w:type="dxa"/>
              <w:right w:w="28" w:type="dxa"/>
            </w:tcMar>
          </w:tcPr>
          <w:p w14:paraId="478503AF" w14:textId="22196D7E" w:rsidR="00A2582A" w:rsidRPr="007C7C5C" w:rsidDel="00983D51" w:rsidRDefault="007C7C5C" w:rsidP="0045628D">
            <w:pPr>
              <w:keepNext/>
              <w:jc w:val="center"/>
              <w:rPr>
                <w:rFonts w:ascii="Arial Narrow" w:hAnsi="Arial Narrow" w:cs="Times New Roman"/>
                <w:bCs/>
                <w:sz w:val="20"/>
                <w:szCs w:val="20"/>
                <w:highlight w:val="darkGray"/>
              </w:rPr>
            </w:pPr>
            <w:r w:rsidRPr="007C7C5C">
              <w:rPr>
                <w:rFonts w:ascii="Arial Narrow" w:hAnsi="Arial Narrow" w:cs="Times New Roman" w:hint="eastAsia"/>
                <w:bCs/>
                <w:color w:val="000000"/>
                <w:w w:val="19"/>
                <w:sz w:val="20"/>
                <w:szCs w:val="20"/>
                <w:shd w:val="solid" w:color="000000" w:fill="000000"/>
                <w:fitText w:val="88" w:id="-1305210874"/>
                <w14:textFill>
                  <w14:solidFill>
                    <w14:srgbClr w14:val="000000">
                      <w14:alpha w14:val="100000"/>
                    </w14:srgbClr>
                  </w14:solidFill>
                </w14:textFill>
              </w:rPr>
              <w:t xml:space="preserve">　</w:t>
            </w:r>
            <w:r w:rsidRPr="007C7C5C">
              <w:rPr>
                <w:rFonts w:ascii="Arial Narrow" w:hAnsi="Arial Narrow" w:cs="Times New Roman"/>
                <w:bCs/>
                <w:color w:val="000000"/>
                <w:w w:val="19"/>
                <w:sz w:val="20"/>
                <w:szCs w:val="20"/>
                <w:shd w:val="solid" w:color="000000" w:fill="000000"/>
                <w:fitText w:val="88" w:id="-1305210874"/>
                <w14:textFill>
                  <w14:solidFill>
                    <w14:srgbClr w14:val="000000">
                      <w14:alpha w14:val="100000"/>
                    </w14:srgbClr>
                  </w14:solidFill>
                </w14:textFill>
              </w:rPr>
              <w:t>|</w:t>
            </w:r>
            <w:r w:rsidRPr="007C7C5C">
              <w:rPr>
                <w:rFonts w:ascii="Arial Narrow" w:hAnsi="Arial Narrow" w:cs="Times New Roman" w:hint="eastAsia"/>
                <w:bCs/>
                <w:color w:val="000000"/>
                <w:spacing w:val="13"/>
                <w:w w:val="19"/>
                <w:sz w:val="20"/>
                <w:szCs w:val="20"/>
                <w:shd w:val="solid" w:color="000000" w:fill="000000"/>
                <w:fitText w:val="88" w:id="-1305210874"/>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r>
      <w:tr w:rsidR="00A2582A" w:rsidRPr="00647C81" w14:paraId="6291C0DD" w14:textId="77777777" w:rsidTr="00AD571F">
        <w:trPr>
          <w:trHeight w:val="138"/>
        </w:trPr>
        <w:tc>
          <w:tcPr>
            <w:tcW w:w="2263" w:type="dxa"/>
            <w:tcMar>
              <w:left w:w="28" w:type="dxa"/>
              <w:right w:w="28" w:type="dxa"/>
            </w:tcMar>
          </w:tcPr>
          <w:p w14:paraId="5CE694C1" w14:textId="5EC6FB6A" w:rsidR="00A2582A" w:rsidRPr="00AC441C" w:rsidRDefault="00A2582A" w:rsidP="0045628D">
            <w:pPr>
              <w:keepNext/>
              <w:jc w:val="left"/>
              <w:rPr>
                <w:rFonts w:ascii="Arial Narrow" w:hAnsi="Arial Narrow" w:cs="Times New Roman"/>
                <w:bCs/>
                <w:sz w:val="20"/>
                <w:szCs w:val="20"/>
              </w:rPr>
            </w:pPr>
            <w:r w:rsidRPr="00CE6785">
              <w:rPr>
                <w:rFonts w:ascii="Arial Narrow" w:hAnsi="Arial Narrow" w:cs="Times New Roman"/>
                <w:bCs/>
                <w:sz w:val="20"/>
                <w:szCs w:val="20"/>
              </w:rPr>
              <w:t xml:space="preserve">Cost to MBS </w:t>
            </w:r>
            <w:r w:rsidR="005B2072">
              <w:rPr>
                <w:rFonts w:ascii="Arial Narrow" w:hAnsi="Arial Narrow" w:cs="Times New Roman"/>
                <w:bCs/>
                <w:sz w:val="20"/>
                <w:szCs w:val="20"/>
              </w:rPr>
              <w:t>($)</w:t>
            </w:r>
          </w:p>
        </w:tc>
        <w:tc>
          <w:tcPr>
            <w:tcW w:w="1134" w:type="dxa"/>
            <w:tcMar>
              <w:left w:w="28" w:type="dxa"/>
              <w:right w:w="28" w:type="dxa"/>
            </w:tcMar>
          </w:tcPr>
          <w:p w14:paraId="14E5A8E7" w14:textId="30DD3565" w:rsidR="00A2582A" w:rsidRPr="00AC441C" w:rsidDel="00983D51" w:rsidRDefault="00A2582A" w:rsidP="0045628D">
            <w:pPr>
              <w:keepNext/>
              <w:jc w:val="center"/>
              <w:rPr>
                <w:rFonts w:ascii="Arial Narrow" w:hAnsi="Arial Narrow" w:cs="Times New Roman"/>
                <w:bCs/>
                <w:sz w:val="20"/>
                <w:szCs w:val="20"/>
              </w:rPr>
            </w:pPr>
            <w:r w:rsidRPr="00AC441C">
              <w:rPr>
                <w:rFonts w:ascii="Arial Narrow" w:hAnsi="Arial Narrow" w:cs="Times New Roman"/>
                <w:bCs/>
                <w:sz w:val="20"/>
                <w:szCs w:val="20"/>
              </w:rPr>
              <w:t>-</w:t>
            </w:r>
            <w:r w:rsidR="007C7C5C" w:rsidRPr="007C7C5C">
              <w:rPr>
                <w:rFonts w:ascii="Arial Narrow" w:hAnsi="Arial Narrow" w:cs="Times New Roman" w:hint="eastAsia"/>
                <w:bCs/>
                <w:color w:val="000000"/>
                <w:w w:val="25"/>
                <w:sz w:val="20"/>
                <w:szCs w:val="20"/>
                <w:shd w:val="solid" w:color="000000" w:fill="000000"/>
                <w:fitText w:val="113" w:id="-1305210873"/>
                <w14:textFill>
                  <w14:solidFill>
                    <w14:srgbClr w14:val="000000">
                      <w14:alpha w14:val="100000"/>
                    </w14:srgbClr>
                  </w14:solidFill>
                </w14:textFill>
              </w:rPr>
              <w:t xml:space="preserve">　</w:t>
            </w:r>
            <w:r w:rsidR="007C7C5C" w:rsidRPr="007C7C5C">
              <w:rPr>
                <w:rFonts w:ascii="Arial Narrow" w:hAnsi="Arial Narrow" w:cs="Times New Roman"/>
                <w:bCs/>
                <w:color w:val="000000"/>
                <w:w w:val="25"/>
                <w:sz w:val="20"/>
                <w:szCs w:val="20"/>
                <w:shd w:val="solid" w:color="000000" w:fill="000000"/>
                <w:fitText w:val="113" w:id="-1305210873"/>
                <w14:textFill>
                  <w14:solidFill>
                    <w14:srgbClr w14:val="000000">
                      <w14:alpha w14:val="100000"/>
                    </w14:srgbClr>
                  </w14:solidFill>
                </w14:textFill>
              </w:rPr>
              <w:t>|</w:t>
            </w:r>
            <w:r w:rsidR="007C7C5C" w:rsidRPr="007C7C5C">
              <w:rPr>
                <w:rFonts w:ascii="Arial Narrow" w:hAnsi="Arial Narrow" w:cs="Times New Roman" w:hint="eastAsia"/>
                <w:bCs/>
                <w:color w:val="000000"/>
                <w:spacing w:val="2"/>
                <w:w w:val="25"/>
                <w:sz w:val="20"/>
                <w:szCs w:val="20"/>
                <w:shd w:val="solid" w:color="000000" w:fill="000000"/>
                <w:fitText w:val="113" w:id="-1305210873"/>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Mar>
              <w:left w:w="28" w:type="dxa"/>
              <w:right w:w="28" w:type="dxa"/>
            </w:tcMar>
          </w:tcPr>
          <w:p w14:paraId="498D51E7" w14:textId="78B3A549" w:rsidR="00A2582A" w:rsidRPr="00AC441C" w:rsidDel="00983D51" w:rsidRDefault="00A2582A" w:rsidP="0045628D">
            <w:pPr>
              <w:keepNext/>
              <w:jc w:val="center"/>
              <w:rPr>
                <w:rFonts w:ascii="Arial Narrow" w:hAnsi="Arial Narrow" w:cs="Times New Roman"/>
                <w:bCs/>
                <w:sz w:val="20"/>
                <w:szCs w:val="20"/>
              </w:rPr>
            </w:pPr>
            <w:r w:rsidRPr="00AC441C">
              <w:rPr>
                <w:rFonts w:ascii="Arial Narrow" w:hAnsi="Arial Narrow" w:cs="Times New Roman"/>
                <w:bCs/>
                <w:sz w:val="20"/>
                <w:szCs w:val="20"/>
              </w:rPr>
              <w:t>-</w:t>
            </w:r>
            <w:r w:rsidR="007C7C5C" w:rsidRPr="007C7C5C">
              <w:rPr>
                <w:rFonts w:ascii="Arial Narrow" w:hAnsi="Arial Narrow" w:cs="Times New Roman" w:hint="eastAsia"/>
                <w:bCs/>
                <w:color w:val="000000"/>
                <w:w w:val="25"/>
                <w:sz w:val="20"/>
                <w:szCs w:val="20"/>
                <w:shd w:val="solid" w:color="000000" w:fill="000000"/>
                <w:fitText w:val="112" w:id="-1305210872"/>
                <w14:textFill>
                  <w14:solidFill>
                    <w14:srgbClr w14:val="000000">
                      <w14:alpha w14:val="100000"/>
                    </w14:srgbClr>
                  </w14:solidFill>
                </w14:textFill>
              </w:rPr>
              <w:t xml:space="preserve">　</w:t>
            </w:r>
            <w:r w:rsidR="007C7C5C" w:rsidRPr="007C7C5C">
              <w:rPr>
                <w:rFonts w:ascii="Arial Narrow" w:hAnsi="Arial Narrow" w:cs="Times New Roman"/>
                <w:bCs/>
                <w:color w:val="000000"/>
                <w:w w:val="25"/>
                <w:sz w:val="20"/>
                <w:szCs w:val="20"/>
                <w:shd w:val="solid" w:color="000000" w:fill="000000"/>
                <w:fitText w:val="112" w:id="-1305210872"/>
                <w14:textFill>
                  <w14:solidFill>
                    <w14:srgbClr w14:val="000000">
                      <w14:alpha w14:val="100000"/>
                    </w14:srgbClr>
                  </w14:solidFill>
                </w14:textFill>
              </w:rPr>
              <w:t>|</w:t>
            </w:r>
            <w:r w:rsidR="007C7C5C" w:rsidRPr="007C7C5C">
              <w:rPr>
                <w:rFonts w:ascii="Arial Narrow" w:hAnsi="Arial Narrow" w:cs="Times New Roman" w:hint="eastAsia"/>
                <w:bCs/>
                <w:color w:val="000000"/>
                <w:spacing w:val="1"/>
                <w:w w:val="25"/>
                <w:sz w:val="20"/>
                <w:szCs w:val="20"/>
                <w:shd w:val="solid" w:color="000000" w:fill="000000"/>
                <w:fitText w:val="112" w:id="-1305210872"/>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Mar>
              <w:left w:w="28" w:type="dxa"/>
              <w:right w:w="28" w:type="dxa"/>
            </w:tcMar>
          </w:tcPr>
          <w:p w14:paraId="4D8BD64C" w14:textId="256F195E" w:rsidR="00A2582A" w:rsidRPr="00AC441C" w:rsidDel="00983D51" w:rsidRDefault="00A2582A" w:rsidP="0045628D">
            <w:pPr>
              <w:keepNext/>
              <w:jc w:val="center"/>
              <w:rPr>
                <w:rFonts w:ascii="Arial Narrow" w:hAnsi="Arial Narrow" w:cs="Times New Roman"/>
                <w:bCs/>
                <w:sz w:val="20"/>
                <w:szCs w:val="20"/>
              </w:rPr>
            </w:pPr>
            <w:r w:rsidRPr="00AC441C">
              <w:rPr>
                <w:rFonts w:ascii="Arial Narrow" w:hAnsi="Arial Narrow" w:cs="Times New Roman"/>
                <w:bCs/>
                <w:sz w:val="20"/>
                <w:szCs w:val="20"/>
              </w:rPr>
              <w:t>-</w:t>
            </w:r>
            <w:r w:rsidR="007C7C5C" w:rsidRPr="007C7C5C">
              <w:rPr>
                <w:rFonts w:ascii="Arial Narrow" w:hAnsi="Arial Narrow" w:cs="Times New Roman" w:hint="eastAsia"/>
                <w:bCs/>
                <w:color w:val="000000"/>
                <w:w w:val="25"/>
                <w:sz w:val="20"/>
                <w:szCs w:val="20"/>
                <w:shd w:val="solid" w:color="000000" w:fill="000000"/>
                <w:fitText w:val="112" w:id="-1305210871"/>
                <w14:textFill>
                  <w14:solidFill>
                    <w14:srgbClr w14:val="000000">
                      <w14:alpha w14:val="100000"/>
                    </w14:srgbClr>
                  </w14:solidFill>
                </w14:textFill>
              </w:rPr>
              <w:t xml:space="preserve">　</w:t>
            </w:r>
            <w:r w:rsidR="007C7C5C" w:rsidRPr="007C7C5C">
              <w:rPr>
                <w:rFonts w:ascii="Arial Narrow" w:hAnsi="Arial Narrow" w:cs="Times New Roman"/>
                <w:bCs/>
                <w:color w:val="000000"/>
                <w:w w:val="25"/>
                <w:sz w:val="20"/>
                <w:szCs w:val="20"/>
                <w:shd w:val="solid" w:color="000000" w:fill="000000"/>
                <w:fitText w:val="112" w:id="-1305210871"/>
                <w14:textFill>
                  <w14:solidFill>
                    <w14:srgbClr w14:val="000000">
                      <w14:alpha w14:val="100000"/>
                    </w14:srgbClr>
                  </w14:solidFill>
                </w14:textFill>
              </w:rPr>
              <w:t>|</w:t>
            </w:r>
            <w:r w:rsidR="007C7C5C" w:rsidRPr="007C7C5C">
              <w:rPr>
                <w:rFonts w:ascii="Arial Narrow" w:hAnsi="Arial Narrow" w:cs="Times New Roman" w:hint="eastAsia"/>
                <w:bCs/>
                <w:color w:val="000000"/>
                <w:spacing w:val="1"/>
                <w:w w:val="25"/>
                <w:sz w:val="20"/>
                <w:szCs w:val="20"/>
                <w:shd w:val="solid" w:color="000000" w:fill="000000"/>
                <w:fitText w:val="112" w:id="-1305210871"/>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Mar>
              <w:left w:w="28" w:type="dxa"/>
              <w:right w:w="28" w:type="dxa"/>
            </w:tcMar>
          </w:tcPr>
          <w:p w14:paraId="08A8F11D" w14:textId="67154DE8" w:rsidR="00A2582A" w:rsidRPr="00AC441C" w:rsidDel="00983D51" w:rsidRDefault="00A2582A" w:rsidP="0045628D">
            <w:pPr>
              <w:keepNext/>
              <w:jc w:val="center"/>
              <w:rPr>
                <w:rFonts w:ascii="Arial Narrow" w:hAnsi="Arial Narrow" w:cs="Times New Roman"/>
                <w:bCs/>
                <w:sz w:val="20"/>
                <w:szCs w:val="20"/>
              </w:rPr>
            </w:pPr>
            <w:r w:rsidRPr="00AC441C">
              <w:rPr>
                <w:rFonts w:ascii="Arial Narrow" w:hAnsi="Arial Narrow" w:cs="Times New Roman"/>
                <w:bCs/>
                <w:sz w:val="20"/>
                <w:szCs w:val="20"/>
              </w:rPr>
              <w:t>-</w:t>
            </w:r>
            <w:r w:rsidR="007C7C5C" w:rsidRPr="007C7C5C">
              <w:rPr>
                <w:rFonts w:ascii="Arial Narrow" w:hAnsi="Arial Narrow" w:cs="Times New Roman" w:hint="eastAsia"/>
                <w:bCs/>
                <w:color w:val="000000"/>
                <w:w w:val="25"/>
                <w:sz w:val="20"/>
                <w:szCs w:val="20"/>
                <w:shd w:val="solid" w:color="000000" w:fill="000000"/>
                <w:fitText w:val="113" w:id="-1305210870"/>
                <w14:textFill>
                  <w14:solidFill>
                    <w14:srgbClr w14:val="000000">
                      <w14:alpha w14:val="100000"/>
                    </w14:srgbClr>
                  </w14:solidFill>
                </w14:textFill>
              </w:rPr>
              <w:t xml:space="preserve">　</w:t>
            </w:r>
            <w:r w:rsidR="007C7C5C" w:rsidRPr="007C7C5C">
              <w:rPr>
                <w:rFonts w:ascii="Arial Narrow" w:hAnsi="Arial Narrow" w:cs="Times New Roman"/>
                <w:bCs/>
                <w:color w:val="000000"/>
                <w:w w:val="25"/>
                <w:sz w:val="20"/>
                <w:szCs w:val="20"/>
                <w:shd w:val="solid" w:color="000000" w:fill="000000"/>
                <w:fitText w:val="113" w:id="-1305210870"/>
                <w14:textFill>
                  <w14:solidFill>
                    <w14:srgbClr w14:val="000000">
                      <w14:alpha w14:val="100000"/>
                    </w14:srgbClr>
                  </w14:solidFill>
                </w14:textFill>
              </w:rPr>
              <w:t>|</w:t>
            </w:r>
            <w:r w:rsidR="007C7C5C" w:rsidRPr="007C7C5C">
              <w:rPr>
                <w:rFonts w:ascii="Arial Narrow" w:hAnsi="Arial Narrow" w:cs="Times New Roman" w:hint="eastAsia"/>
                <w:bCs/>
                <w:color w:val="000000"/>
                <w:spacing w:val="2"/>
                <w:w w:val="25"/>
                <w:sz w:val="20"/>
                <w:szCs w:val="20"/>
                <w:shd w:val="solid" w:color="000000" w:fill="000000"/>
                <w:fitText w:val="113" w:id="-1305210870"/>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Mar>
              <w:left w:w="28" w:type="dxa"/>
              <w:right w:w="28" w:type="dxa"/>
            </w:tcMar>
          </w:tcPr>
          <w:p w14:paraId="54368E4C" w14:textId="5F581609" w:rsidR="00A2582A" w:rsidRPr="00AC441C" w:rsidDel="00983D51" w:rsidRDefault="00A2582A" w:rsidP="0045628D">
            <w:pPr>
              <w:keepNext/>
              <w:jc w:val="center"/>
              <w:rPr>
                <w:rFonts w:ascii="Arial Narrow" w:hAnsi="Arial Narrow" w:cs="Times New Roman"/>
                <w:bCs/>
                <w:sz w:val="20"/>
                <w:szCs w:val="20"/>
              </w:rPr>
            </w:pPr>
            <w:r w:rsidRPr="00AC441C">
              <w:rPr>
                <w:rFonts w:ascii="Arial Narrow" w:hAnsi="Arial Narrow" w:cs="Times New Roman"/>
                <w:bCs/>
                <w:sz w:val="20"/>
                <w:szCs w:val="20"/>
              </w:rPr>
              <w:t>-</w:t>
            </w:r>
            <w:r w:rsidR="007C7C5C" w:rsidRPr="007C7C5C">
              <w:rPr>
                <w:rFonts w:ascii="Arial Narrow" w:hAnsi="Arial Narrow" w:cs="Times New Roman" w:hint="eastAsia"/>
                <w:bCs/>
                <w:color w:val="000000"/>
                <w:w w:val="25"/>
                <w:sz w:val="20"/>
                <w:szCs w:val="20"/>
                <w:shd w:val="solid" w:color="000000" w:fill="000000"/>
                <w:fitText w:val="112" w:id="-1305210869"/>
                <w14:textFill>
                  <w14:solidFill>
                    <w14:srgbClr w14:val="000000">
                      <w14:alpha w14:val="100000"/>
                    </w14:srgbClr>
                  </w14:solidFill>
                </w14:textFill>
              </w:rPr>
              <w:t xml:space="preserve">　</w:t>
            </w:r>
            <w:r w:rsidR="007C7C5C" w:rsidRPr="007C7C5C">
              <w:rPr>
                <w:rFonts w:ascii="Arial Narrow" w:hAnsi="Arial Narrow" w:cs="Times New Roman"/>
                <w:bCs/>
                <w:color w:val="000000"/>
                <w:w w:val="25"/>
                <w:sz w:val="20"/>
                <w:szCs w:val="20"/>
                <w:shd w:val="solid" w:color="000000" w:fill="000000"/>
                <w:fitText w:val="112" w:id="-1305210869"/>
                <w14:textFill>
                  <w14:solidFill>
                    <w14:srgbClr w14:val="000000">
                      <w14:alpha w14:val="100000"/>
                    </w14:srgbClr>
                  </w14:solidFill>
                </w14:textFill>
              </w:rPr>
              <w:t>|</w:t>
            </w:r>
            <w:r w:rsidR="007C7C5C" w:rsidRPr="007C7C5C">
              <w:rPr>
                <w:rFonts w:ascii="Arial Narrow" w:hAnsi="Arial Narrow" w:cs="Times New Roman" w:hint="eastAsia"/>
                <w:bCs/>
                <w:color w:val="000000"/>
                <w:spacing w:val="1"/>
                <w:w w:val="25"/>
                <w:sz w:val="20"/>
                <w:szCs w:val="20"/>
                <w:shd w:val="solid" w:color="000000" w:fill="000000"/>
                <w:fitText w:val="112" w:id="-1305210869"/>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Mar>
              <w:left w:w="28" w:type="dxa"/>
              <w:right w:w="28" w:type="dxa"/>
            </w:tcMar>
          </w:tcPr>
          <w:p w14:paraId="4BFDCC41" w14:textId="3B6400E2" w:rsidR="00A2582A" w:rsidRPr="00AC441C" w:rsidDel="00983D51" w:rsidRDefault="00A2582A" w:rsidP="0045628D">
            <w:pPr>
              <w:keepNext/>
              <w:jc w:val="center"/>
              <w:rPr>
                <w:rFonts w:ascii="Arial Narrow" w:hAnsi="Arial Narrow" w:cs="Times New Roman"/>
                <w:bCs/>
                <w:sz w:val="20"/>
                <w:szCs w:val="20"/>
              </w:rPr>
            </w:pPr>
            <w:r w:rsidRPr="00AC441C">
              <w:rPr>
                <w:rFonts w:ascii="Arial Narrow" w:hAnsi="Arial Narrow" w:cs="Times New Roman"/>
                <w:bCs/>
                <w:sz w:val="20"/>
                <w:szCs w:val="20"/>
              </w:rPr>
              <w:t>-</w:t>
            </w:r>
            <w:r w:rsidR="007C7C5C" w:rsidRPr="007C7C5C">
              <w:rPr>
                <w:rFonts w:ascii="Arial Narrow" w:hAnsi="Arial Narrow" w:cs="Times New Roman" w:hint="eastAsia"/>
                <w:bCs/>
                <w:color w:val="000000"/>
                <w:w w:val="25"/>
                <w:sz w:val="20"/>
                <w:szCs w:val="20"/>
                <w:shd w:val="solid" w:color="000000" w:fill="000000"/>
                <w:fitText w:val="112" w:id="-1305210868"/>
                <w14:textFill>
                  <w14:solidFill>
                    <w14:srgbClr w14:val="000000">
                      <w14:alpha w14:val="100000"/>
                    </w14:srgbClr>
                  </w14:solidFill>
                </w14:textFill>
              </w:rPr>
              <w:t xml:space="preserve">　</w:t>
            </w:r>
            <w:r w:rsidR="007C7C5C" w:rsidRPr="007C7C5C">
              <w:rPr>
                <w:rFonts w:ascii="Arial Narrow" w:hAnsi="Arial Narrow" w:cs="Times New Roman"/>
                <w:bCs/>
                <w:color w:val="000000"/>
                <w:w w:val="25"/>
                <w:sz w:val="20"/>
                <w:szCs w:val="20"/>
                <w:shd w:val="solid" w:color="000000" w:fill="000000"/>
                <w:fitText w:val="112" w:id="-1305210868"/>
                <w14:textFill>
                  <w14:solidFill>
                    <w14:srgbClr w14:val="000000">
                      <w14:alpha w14:val="100000"/>
                    </w14:srgbClr>
                  </w14:solidFill>
                </w14:textFill>
              </w:rPr>
              <w:t>|</w:t>
            </w:r>
            <w:r w:rsidR="007C7C5C" w:rsidRPr="007C7C5C">
              <w:rPr>
                <w:rFonts w:ascii="Arial Narrow" w:hAnsi="Arial Narrow" w:cs="Times New Roman" w:hint="eastAsia"/>
                <w:bCs/>
                <w:color w:val="000000"/>
                <w:spacing w:val="1"/>
                <w:w w:val="25"/>
                <w:sz w:val="20"/>
                <w:szCs w:val="20"/>
                <w:shd w:val="solid" w:color="000000" w:fill="000000"/>
                <w:fitText w:val="112" w:id="-1305210868"/>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r>
      <w:tr w:rsidR="00A2582A" w:rsidRPr="00647C81" w14:paraId="535F2E30" w14:textId="77777777" w:rsidTr="00AD571F">
        <w:trPr>
          <w:trHeight w:val="138"/>
        </w:trPr>
        <w:tc>
          <w:tcPr>
            <w:tcW w:w="2263" w:type="dxa"/>
            <w:tcMar>
              <w:left w:w="28" w:type="dxa"/>
              <w:right w:w="28" w:type="dxa"/>
            </w:tcMar>
          </w:tcPr>
          <w:p w14:paraId="0CA0C3AB" w14:textId="6EB61C45" w:rsidR="00A2582A" w:rsidRPr="00AC441C" w:rsidRDefault="00A2582A" w:rsidP="0045628D">
            <w:pPr>
              <w:keepNext/>
              <w:jc w:val="left"/>
              <w:rPr>
                <w:rFonts w:ascii="Arial Narrow" w:hAnsi="Arial Narrow" w:cs="Times New Roman"/>
                <w:bCs/>
                <w:sz w:val="20"/>
                <w:szCs w:val="20"/>
              </w:rPr>
            </w:pPr>
            <w:r w:rsidRPr="00AC441C">
              <w:rPr>
                <w:rFonts w:ascii="Arial Narrow" w:hAnsi="Arial Narrow" w:cs="Times New Roman"/>
                <w:bCs/>
                <w:sz w:val="20"/>
                <w:szCs w:val="20"/>
              </w:rPr>
              <w:t>Total net cost to R/PBS + MBS</w:t>
            </w:r>
            <w:r w:rsidR="005B2072">
              <w:rPr>
                <w:rFonts w:ascii="Arial Narrow" w:hAnsi="Arial Narrow" w:cs="Times New Roman"/>
                <w:bCs/>
                <w:sz w:val="20"/>
                <w:szCs w:val="20"/>
              </w:rPr>
              <w:t xml:space="preserve"> ($)</w:t>
            </w:r>
          </w:p>
        </w:tc>
        <w:tc>
          <w:tcPr>
            <w:tcW w:w="1134" w:type="dxa"/>
            <w:tcMar>
              <w:left w:w="28" w:type="dxa"/>
              <w:right w:w="28" w:type="dxa"/>
            </w:tcMar>
          </w:tcPr>
          <w:p w14:paraId="0E7F2162" w14:textId="77547BC7" w:rsidR="00A2582A" w:rsidRPr="00AC441C" w:rsidDel="00983D51" w:rsidRDefault="00A2582A" w:rsidP="0045628D">
            <w:pPr>
              <w:keepNext/>
              <w:jc w:val="center"/>
              <w:rPr>
                <w:rFonts w:ascii="Arial Narrow" w:hAnsi="Arial Narrow" w:cs="Times New Roman"/>
                <w:bCs/>
                <w:sz w:val="20"/>
                <w:szCs w:val="20"/>
              </w:rPr>
            </w:pPr>
            <w:r w:rsidRPr="00AC441C">
              <w:rPr>
                <w:rFonts w:ascii="Arial Narrow" w:hAnsi="Arial Narrow" w:cs="Times New Roman"/>
                <w:bCs/>
                <w:sz w:val="20"/>
                <w:szCs w:val="20"/>
              </w:rPr>
              <w:t>-</w:t>
            </w:r>
            <w:r w:rsidR="007C7C5C" w:rsidRPr="007C7C5C">
              <w:rPr>
                <w:rFonts w:ascii="Arial Narrow" w:hAnsi="Arial Narrow" w:cs="Times New Roman" w:hint="eastAsia"/>
                <w:bCs/>
                <w:color w:val="000000"/>
                <w:w w:val="25"/>
                <w:sz w:val="20"/>
                <w:szCs w:val="20"/>
                <w:shd w:val="solid" w:color="000000" w:fill="000000"/>
                <w:fitText w:val="113" w:id="-1305210867"/>
                <w14:textFill>
                  <w14:solidFill>
                    <w14:srgbClr w14:val="000000">
                      <w14:alpha w14:val="100000"/>
                    </w14:srgbClr>
                  </w14:solidFill>
                </w14:textFill>
              </w:rPr>
              <w:t xml:space="preserve">　</w:t>
            </w:r>
            <w:r w:rsidR="007C7C5C" w:rsidRPr="007C7C5C">
              <w:rPr>
                <w:rFonts w:ascii="Arial Narrow" w:hAnsi="Arial Narrow" w:cs="Times New Roman"/>
                <w:bCs/>
                <w:color w:val="000000"/>
                <w:w w:val="25"/>
                <w:sz w:val="20"/>
                <w:szCs w:val="20"/>
                <w:shd w:val="solid" w:color="000000" w:fill="000000"/>
                <w:fitText w:val="113" w:id="-1305210867"/>
                <w14:textFill>
                  <w14:solidFill>
                    <w14:srgbClr w14:val="000000">
                      <w14:alpha w14:val="100000"/>
                    </w14:srgbClr>
                  </w14:solidFill>
                </w14:textFill>
              </w:rPr>
              <w:t>|</w:t>
            </w:r>
            <w:r w:rsidR="007C7C5C" w:rsidRPr="007C7C5C">
              <w:rPr>
                <w:rFonts w:ascii="Arial Narrow" w:hAnsi="Arial Narrow" w:cs="Times New Roman" w:hint="eastAsia"/>
                <w:bCs/>
                <w:color w:val="000000"/>
                <w:spacing w:val="2"/>
                <w:w w:val="25"/>
                <w:sz w:val="20"/>
                <w:szCs w:val="20"/>
                <w:shd w:val="solid" w:color="000000" w:fill="000000"/>
                <w:fitText w:val="113" w:id="-1305210867"/>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Mar>
              <w:left w:w="28" w:type="dxa"/>
              <w:right w:w="28" w:type="dxa"/>
            </w:tcMar>
          </w:tcPr>
          <w:p w14:paraId="3E307129" w14:textId="1CA0DE81" w:rsidR="00A2582A" w:rsidRPr="00AC441C" w:rsidDel="00983D51" w:rsidRDefault="007C7C5C" w:rsidP="0045628D">
            <w:pPr>
              <w:keepNext/>
              <w:jc w:val="center"/>
              <w:rPr>
                <w:rFonts w:ascii="Arial Narrow" w:hAnsi="Arial Narrow" w:cs="Times New Roman"/>
                <w:bCs/>
                <w:sz w:val="20"/>
                <w:szCs w:val="20"/>
              </w:rPr>
            </w:pPr>
            <w:r w:rsidRPr="007C7C5C">
              <w:rPr>
                <w:rFonts w:ascii="Arial Narrow" w:hAnsi="Arial Narrow" w:cs="Times New Roman" w:hint="eastAsia"/>
                <w:bCs/>
                <w:color w:val="000000"/>
                <w:w w:val="19"/>
                <w:sz w:val="20"/>
                <w:szCs w:val="20"/>
                <w:shd w:val="solid" w:color="000000" w:fill="000000"/>
                <w:fitText w:val="87" w:id="-1305210866"/>
                <w14:textFill>
                  <w14:solidFill>
                    <w14:srgbClr w14:val="000000">
                      <w14:alpha w14:val="100000"/>
                    </w14:srgbClr>
                  </w14:solidFill>
                </w14:textFill>
              </w:rPr>
              <w:t xml:space="preserve">　</w:t>
            </w:r>
            <w:r w:rsidRPr="007C7C5C">
              <w:rPr>
                <w:rFonts w:ascii="Arial Narrow" w:hAnsi="Arial Narrow" w:cs="Times New Roman"/>
                <w:bCs/>
                <w:color w:val="000000"/>
                <w:w w:val="19"/>
                <w:sz w:val="20"/>
                <w:szCs w:val="20"/>
                <w:shd w:val="solid" w:color="000000" w:fill="000000"/>
                <w:fitText w:val="87" w:id="-1305210866"/>
                <w14:textFill>
                  <w14:solidFill>
                    <w14:srgbClr w14:val="000000">
                      <w14:alpha w14:val="100000"/>
                    </w14:srgbClr>
                  </w14:solidFill>
                </w14:textFill>
              </w:rPr>
              <w:t>|</w:t>
            </w:r>
            <w:r w:rsidRPr="007C7C5C">
              <w:rPr>
                <w:rFonts w:ascii="Arial Narrow" w:hAnsi="Arial Narrow" w:cs="Times New Roman" w:hint="eastAsia"/>
                <w:bCs/>
                <w:color w:val="000000"/>
                <w:spacing w:val="13"/>
                <w:w w:val="19"/>
                <w:sz w:val="20"/>
                <w:szCs w:val="20"/>
                <w:shd w:val="solid" w:color="000000" w:fill="000000"/>
                <w:fitText w:val="87" w:id="-1305210866"/>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Mar>
              <w:left w:w="28" w:type="dxa"/>
              <w:right w:w="28" w:type="dxa"/>
            </w:tcMar>
          </w:tcPr>
          <w:p w14:paraId="63721373" w14:textId="34FABA00" w:rsidR="00A2582A" w:rsidRPr="00AC441C" w:rsidDel="00983D51" w:rsidRDefault="007C7C5C" w:rsidP="0045628D">
            <w:pPr>
              <w:keepNext/>
              <w:jc w:val="center"/>
              <w:rPr>
                <w:rFonts w:ascii="Arial Narrow" w:hAnsi="Arial Narrow" w:cs="Times New Roman"/>
                <w:bCs/>
                <w:sz w:val="20"/>
                <w:szCs w:val="20"/>
              </w:rPr>
            </w:pPr>
            <w:r w:rsidRPr="007C7C5C">
              <w:rPr>
                <w:rFonts w:ascii="Arial Narrow" w:hAnsi="Arial Narrow" w:cs="Times New Roman" w:hint="eastAsia"/>
                <w:bCs/>
                <w:color w:val="000000"/>
                <w:w w:val="19"/>
                <w:sz w:val="20"/>
                <w:szCs w:val="20"/>
                <w:shd w:val="solid" w:color="000000" w:fill="000000"/>
                <w:fitText w:val="87" w:id="-1305210865"/>
                <w14:textFill>
                  <w14:solidFill>
                    <w14:srgbClr w14:val="000000">
                      <w14:alpha w14:val="100000"/>
                    </w14:srgbClr>
                  </w14:solidFill>
                </w14:textFill>
              </w:rPr>
              <w:t xml:space="preserve">　</w:t>
            </w:r>
            <w:r w:rsidRPr="007C7C5C">
              <w:rPr>
                <w:rFonts w:ascii="Arial Narrow" w:hAnsi="Arial Narrow" w:cs="Times New Roman"/>
                <w:bCs/>
                <w:color w:val="000000"/>
                <w:w w:val="19"/>
                <w:sz w:val="20"/>
                <w:szCs w:val="20"/>
                <w:shd w:val="solid" w:color="000000" w:fill="000000"/>
                <w:fitText w:val="87" w:id="-1305210865"/>
                <w14:textFill>
                  <w14:solidFill>
                    <w14:srgbClr w14:val="000000">
                      <w14:alpha w14:val="100000"/>
                    </w14:srgbClr>
                  </w14:solidFill>
                </w14:textFill>
              </w:rPr>
              <w:t>|</w:t>
            </w:r>
            <w:r w:rsidRPr="007C7C5C">
              <w:rPr>
                <w:rFonts w:ascii="Arial Narrow" w:hAnsi="Arial Narrow" w:cs="Times New Roman" w:hint="eastAsia"/>
                <w:bCs/>
                <w:color w:val="000000"/>
                <w:spacing w:val="13"/>
                <w:w w:val="19"/>
                <w:sz w:val="20"/>
                <w:szCs w:val="20"/>
                <w:shd w:val="solid" w:color="000000" w:fill="000000"/>
                <w:fitText w:val="87" w:id="-1305210865"/>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Mar>
              <w:left w:w="28" w:type="dxa"/>
              <w:right w:w="28" w:type="dxa"/>
            </w:tcMar>
          </w:tcPr>
          <w:p w14:paraId="2A610FA6" w14:textId="6DA1C7B2" w:rsidR="00A2582A" w:rsidRPr="00AC441C" w:rsidDel="00983D51" w:rsidRDefault="007C7C5C" w:rsidP="0045628D">
            <w:pPr>
              <w:keepNext/>
              <w:jc w:val="center"/>
              <w:rPr>
                <w:rFonts w:ascii="Arial Narrow" w:hAnsi="Arial Narrow" w:cs="Times New Roman"/>
                <w:bCs/>
                <w:sz w:val="20"/>
                <w:szCs w:val="20"/>
              </w:rPr>
            </w:pPr>
            <w:r w:rsidRPr="007C7C5C">
              <w:rPr>
                <w:rFonts w:ascii="Arial Narrow" w:hAnsi="Arial Narrow" w:cs="Times New Roman" w:hint="eastAsia"/>
                <w:bCs/>
                <w:color w:val="000000"/>
                <w:w w:val="19"/>
                <w:sz w:val="20"/>
                <w:szCs w:val="20"/>
                <w:shd w:val="solid" w:color="000000" w:fill="000000"/>
                <w:fitText w:val="88" w:id="-1305210864"/>
                <w14:textFill>
                  <w14:solidFill>
                    <w14:srgbClr w14:val="000000">
                      <w14:alpha w14:val="100000"/>
                    </w14:srgbClr>
                  </w14:solidFill>
                </w14:textFill>
              </w:rPr>
              <w:t xml:space="preserve">　</w:t>
            </w:r>
            <w:r w:rsidRPr="007C7C5C">
              <w:rPr>
                <w:rFonts w:ascii="Arial Narrow" w:hAnsi="Arial Narrow" w:cs="Times New Roman"/>
                <w:bCs/>
                <w:color w:val="000000"/>
                <w:w w:val="19"/>
                <w:sz w:val="20"/>
                <w:szCs w:val="20"/>
                <w:shd w:val="solid" w:color="000000" w:fill="000000"/>
                <w:fitText w:val="88" w:id="-1305210864"/>
                <w14:textFill>
                  <w14:solidFill>
                    <w14:srgbClr w14:val="000000">
                      <w14:alpha w14:val="100000"/>
                    </w14:srgbClr>
                  </w14:solidFill>
                </w14:textFill>
              </w:rPr>
              <w:t>|</w:t>
            </w:r>
            <w:r w:rsidRPr="007C7C5C">
              <w:rPr>
                <w:rFonts w:ascii="Arial Narrow" w:hAnsi="Arial Narrow" w:cs="Times New Roman" w:hint="eastAsia"/>
                <w:bCs/>
                <w:color w:val="000000"/>
                <w:spacing w:val="13"/>
                <w:w w:val="19"/>
                <w:sz w:val="20"/>
                <w:szCs w:val="20"/>
                <w:shd w:val="solid" w:color="000000" w:fill="000000"/>
                <w:fitText w:val="88" w:id="-1305210864"/>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Mar>
              <w:left w:w="28" w:type="dxa"/>
              <w:right w:w="28" w:type="dxa"/>
            </w:tcMar>
          </w:tcPr>
          <w:p w14:paraId="68A22A38" w14:textId="0F460F0E" w:rsidR="00A2582A" w:rsidRPr="00AC441C" w:rsidDel="00983D51" w:rsidRDefault="007C7C5C" w:rsidP="0045628D">
            <w:pPr>
              <w:keepNext/>
              <w:jc w:val="center"/>
              <w:rPr>
                <w:rFonts w:ascii="Arial Narrow" w:hAnsi="Arial Narrow" w:cs="Times New Roman"/>
                <w:bCs/>
                <w:sz w:val="20"/>
                <w:szCs w:val="20"/>
              </w:rPr>
            </w:pPr>
            <w:r w:rsidRPr="007C7C5C">
              <w:rPr>
                <w:rFonts w:ascii="Arial Narrow" w:hAnsi="Arial Narrow" w:cs="Times New Roman" w:hint="eastAsia"/>
                <w:bCs/>
                <w:color w:val="000000"/>
                <w:w w:val="19"/>
                <w:sz w:val="20"/>
                <w:szCs w:val="20"/>
                <w:shd w:val="solid" w:color="000000" w:fill="000000"/>
                <w:fitText w:val="87" w:id="-1305210880"/>
                <w14:textFill>
                  <w14:solidFill>
                    <w14:srgbClr w14:val="000000">
                      <w14:alpha w14:val="100000"/>
                    </w14:srgbClr>
                  </w14:solidFill>
                </w14:textFill>
              </w:rPr>
              <w:t xml:space="preserve">　</w:t>
            </w:r>
            <w:r w:rsidRPr="007C7C5C">
              <w:rPr>
                <w:rFonts w:ascii="Arial Narrow" w:hAnsi="Arial Narrow" w:cs="Times New Roman"/>
                <w:bCs/>
                <w:color w:val="000000"/>
                <w:w w:val="19"/>
                <w:sz w:val="20"/>
                <w:szCs w:val="20"/>
                <w:shd w:val="solid" w:color="000000" w:fill="000000"/>
                <w:fitText w:val="87" w:id="-1305210880"/>
                <w14:textFill>
                  <w14:solidFill>
                    <w14:srgbClr w14:val="000000">
                      <w14:alpha w14:val="100000"/>
                    </w14:srgbClr>
                  </w14:solidFill>
                </w14:textFill>
              </w:rPr>
              <w:t>|</w:t>
            </w:r>
            <w:r w:rsidRPr="007C7C5C">
              <w:rPr>
                <w:rFonts w:ascii="Arial Narrow" w:hAnsi="Arial Narrow" w:cs="Times New Roman" w:hint="eastAsia"/>
                <w:bCs/>
                <w:color w:val="000000"/>
                <w:spacing w:val="13"/>
                <w:w w:val="19"/>
                <w:sz w:val="20"/>
                <w:szCs w:val="20"/>
                <w:shd w:val="solid" w:color="000000" w:fill="000000"/>
                <w:fitText w:val="87" w:id="-1305210880"/>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Mar>
              <w:left w:w="28" w:type="dxa"/>
              <w:right w:w="28" w:type="dxa"/>
            </w:tcMar>
          </w:tcPr>
          <w:p w14:paraId="303A9B29" w14:textId="2396AFEB" w:rsidR="00A2582A" w:rsidRPr="00AC441C" w:rsidDel="00983D51" w:rsidRDefault="007C7C5C" w:rsidP="0045628D">
            <w:pPr>
              <w:keepNext/>
              <w:jc w:val="center"/>
              <w:rPr>
                <w:rFonts w:ascii="Arial Narrow" w:hAnsi="Arial Narrow" w:cs="Times New Roman"/>
                <w:bCs/>
                <w:sz w:val="20"/>
                <w:szCs w:val="20"/>
              </w:rPr>
            </w:pPr>
            <w:r w:rsidRPr="007C7C5C">
              <w:rPr>
                <w:rFonts w:ascii="Arial Narrow" w:hAnsi="Arial Narrow" w:cs="Times New Roman" w:hint="eastAsia"/>
                <w:bCs/>
                <w:color w:val="000000"/>
                <w:w w:val="19"/>
                <w:sz w:val="20"/>
                <w:szCs w:val="20"/>
                <w:shd w:val="solid" w:color="000000" w:fill="000000"/>
                <w:fitText w:val="88" w:id="-1305210879"/>
                <w14:textFill>
                  <w14:solidFill>
                    <w14:srgbClr w14:val="000000">
                      <w14:alpha w14:val="100000"/>
                    </w14:srgbClr>
                  </w14:solidFill>
                </w14:textFill>
              </w:rPr>
              <w:t xml:space="preserve">　</w:t>
            </w:r>
            <w:r w:rsidRPr="007C7C5C">
              <w:rPr>
                <w:rFonts w:ascii="Arial Narrow" w:hAnsi="Arial Narrow" w:cs="Times New Roman"/>
                <w:bCs/>
                <w:color w:val="000000"/>
                <w:w w:val="19"/>
                <w:sz w:val="20"/>
                <w:szCs w:val="20"/>
                <w:shd w:val="solid" w:color="000000" w:fill="000000"/>
                <w:fitText w:val="88" w:id="-1305210879"/>
                <w14:textFill>
                  <w14:solidFill>
                    <w14:srgbClr w14:val="000000">
                      <w14:alpha w14:val="100000"/>
                    </w14:srgbClr>
                  </w14:solidFill>
                </w14:textFill>
              </w:rPr>
              <w:t>|</w:t>
            </w:r>
            <w:r w:rsidRPr="007C7C5C">
              <w:rPr>
                <w:rFonts w:ascii="Arial Narrow" w:hAnsi="Arial Narrow" w:cs="Times New Roman" w:hint="eastAsia"/>
                <w:bCs/>
                <w:color w:val="000000"/>
                <w:spacing w:val="13"/>
                <w:w w:val="19"/>
                <w:sz w:val="20"/>
                <w:szCs w:val="20"/>
                <w:shd w:val="solid" w:color="000000" w:fill="000000"/>
                <w:fitText w:val="88" w:id="-1305210879"/>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r>
      <w:tr w:rsidR="00A2582A" w:rsidRPr="00647C81" w14:paraId="79843D83" w14:textId="77777777" w:rsidTr="00AD571F">
        <w:trPr>
          <w:trHeight w:val="141"/>
        </w:trPr>
        <w:tc>
          <w:tcPr>
            <w:tcW w:w="9067" w:type="dxa"/>
            <w:gridSpan w:val="7"/>
            <w:shd w:val="clear" w:color="auto" w:fill="DBE5F1" w:themeFill="accent1" w:themeFillTint="33"/>
            <w:tcMar>
              <w:left w:w="28" w:type="dxa"/>
              <w:right w:w="28" w:type="dxa"/>
            </w:tcMar>
          </w:tcPr>
          <w:p w14:paraId="057BCD6B" w14:textId="77777777" w:rsidR="00A2582A" w:rsidRPr="00647C81" w:rsidRDefault="00A2582A" w:rsidP="0045628D">
            <w:pPr>
              <w:keepNext/>
              <w:jc w:val="left"/>
              <w:rPr>
                <w:rFonts w:ascii="Arial Narrow" w:eastAsiaTheme="majorEastAsia" w:hAnsi="Arial Narrow" w:cstheme="majorBidi"/>
                <w:b/>
                <w:bCs/>
                <w:sz w:val="20"/>
                <w:vertAlign w:val="superscript"/>
              </w:rPr>
            </w:pPr>
            <w:r>
              <w:rPr>
                <w:rFonts w:ascii="Arial Narrow" w:eastAsiaTheme="majorEastAsia" w:hAnsi="Arial Narrow" w:cstheme="majorBidi"/>
                <w:b/>
                <w:bCs/>
                <w:sz w:val="20"/>
              </w:rPr>
              <w:t>September</w:t>
            </w:r>
            <w:r w:rsidRPr="00647C81">
              <w:rPr>
                <w:rFonts w:ascii="Arial Narrow" w:eastAsiaTheme="majorEastAsia" w:hAnsi="Arial Narrow" w:cstheme="majorBidi"/>
                <w:b/>
                <w:bCs/>
                <w:sz w:val="20"/>
              </w:rPr>
              <w:t xml:space="preserve"> 2022 resubmission </w:t>
            </w:r>
          </w:p>
        </w:tc>
      </w:tr>
      <w:tr w:rsidR="00A2582A" w:rsidRPr="00647C81" w14:paraId="14C70185" w14:textId="77777777" w:rsidTr="00AD571F">
        <w:trPr>
          <w:trHeight w:val="141"/>
        </w:trPr>
        <w:tc>
          <w:tcPr>
            <w:tcW w:w="2263" w:type="dxa"/>
            <w:shd w:val="clear" w:color="auto" w:fill="DBE5F1" w:themeFill="accent1" w:themeFillTint="33"/>
            <w:tcMar>
              <w:left w:w="28" w:type="dxa"/>
              <w:right w:w="28" w:type="dxa"/>
            </w:tcMar>
          </w:tcPr>
          <w:p w14:paraId="6138BAE8" w14:textId="7DE3C97C" w:rsidR="00A2582A" w:rsidRPr="00647C81" w:rsidRDefault="00A2582A" w:rsidP="0045628D">
            <w:pPr>
              <w:keepNext/>
              <w:jc w:val="left"/>
              <w:rPr>
                <w:rFonts w:ascii="Arial Narrow" w:eastAsiaTheme="majorEastAsia" w:hAnsi="Arial Narrow" w:cstheme="majorBidi"/>
                <w:bCs/>
                <w:sz w:val="20"/>
              </w:rPr>
            </w:pPr>
            <w:r>
              <w:rPr>
                <w:rFonts w:ascii="Arial Narrow" w:eastAsiaTheme="majorEastAsia" w:hAnsi="Arial Narrow" w:cstheme="majorBidi"/>
                <w:bCs/>
                <w:sz w:val="20"/>
              </w:rPr>
              <w:t>C</w:t>
            </w:r>
            <w:r w:rsidRPr="00983D51">
              <w:rPr>
                <w:rFonts w:ascii="Arial Narrow" w:eastAsiaTheme="majorEastAsia" w:hAnsi="Arial Narrow" w:cstheme="majorBidi"/>
                <w:bCs/>
                <w:sz w:val="20"/>
              </w:rPr>
              <w:t>ost of ruxolitinib to the PBS/RPBS (less copayment)</w:t>
            </w:r>
            <w:r w:rsidR="005B2072">
              <w:rPr>
                <w:rFonts w:ascii="Arial Narrow" w:eastAsiaTheme="majorEastAsia" w:hAnsi="Arial Narrow" w:cstheme="majorBidi"/>
                <w:bCs/>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58673AE9" w14:textId="18631CC0" w:rsidR="00A2582A" w:rsidRPr="007C7C5C" w:rsidRDefault="007C7C5C" w:rsidP="0045628D">
            <w:pPr>
              <w:keepNext/>
              <w:jc w:val="center"/>
              <w:rPr>
                <w:rFonts w:ascii="Arial Narrow" w:eastAsiaTheme="majorEastAsia" w:hAnsi="Arial Narrow" w:cstheme="majorBidi"/>
                <w:sz w:val="20"/>
                <w:highlight w:val="darkGray"/>
              </w:rPr>
            </w:pPr>
            <w:r w:rsidRPr="007C7C5C">
              <w:rPr>
                <w:rFonts w:ascii="Arial Narrow" w:hAnsi="Arial Narrow" w:cs="Calibri" w:hint="eastAsia"/>
                <w:b/>
                <w:bCs/>
                <w:color w:val="000000"/>
                <w:w w:val="19"/>
                <w:sz w:val="20"/>
                <w:szCs w:val="20"/>
                <w:shd w:val="solid" w:color="000000" w:fill="000000"/>
                <w:fitText w:val="88" w:id="-1305210878"/>
                <w14:textFill>
                  <w14:solidFill>
                    <w14:srgbClr w14:val="000000">
                      <w14:alpha w14:val="100000"/>
                    </w14:srgbClr>
                  </w14:solidFill>
                </w14:textFill>
              </w:rPr>
              <w:t xml:space="preserve">　</w:t>
            </w:r>
            <w:r w:rsidRPr="007C7C5C">
              <w:rPr>
                <w:rFonts w:ascii="Arial Narrow" w:hAnsi="Arial Narrow" w:cs="Calibri"/>
                <w:b/>
                <w:bCs/>
                <w:color w:val="000000"/>
                <w:w w:val="19"/>
                <w:sz w:val="20"/>
                <w:szCs w:val="20"/>
                <w:shd w:val="solid" w:color="000000" w:fill="000000"/>
                <w:fitText w:val="88" w:id="-1305210878"/>
                <w14:textFill>
                  <w14:solidFill>
                    <w14:srgbClr w14:val="000000">
                      <w14:alpha w14:val="100000"/>
                    </w14:srgbClr>
                  </w14:solidFill>
                </w14:textFill>
              </w:rPr>
              <w:t>|</w:t>
            </w:r>
            <w:r w:rsidRPr="007C7C5C">
              <w:rPr>
                <w:rFonts w:ascii="Arial Narrow" w:hAnsi="Arial Narrow" w:cs="Calibri" w:hint="eastAsia"/>
                <w:b/>
                <w:bCs/>
                <w:color w:val="000000"/>
                <w:spacing w:val="13"/>
                <w:w w:val="19"/>
                <w:sz w:val="20"/>
                <w:szCs w:val="20"/>
                <w:shd w:val="solid" w:color="000000" w:fill="000000"/>
                <w:fitText w:val="88" w:id="-1305210878"/>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0B4BD450" w14:textId="33554D12" w:rsidR="00A2582A" w:rsidRPr="007C7C5C" w:rsidRDefault="007C7C5C" w:rsidP="0045628D">
            <w:pPr>
              <w:keepNext/>
              <w:jc w:val="center"/>
              <w:rPr>
                <w:rFonts w:ascii="Arial Narrow" w:eastAsiaTheme="majorEastAsia" w:hAnsi="Arial Narrow" w:cstheme="majorBidi"/>
                <w:sz w:val="20"/>
                <w:highlight w:val="darkGray"/>
              </w:rPr>
            </w:pPr>
            <w:r w:rsidRPr="007C7C5C">
              <w:rPr>
                <w:rFonts w:ascii="Arial Narrow" w:hAnsi="Arial Narrow" w:cs="Calibri" w:hint="eastAsia"/>
                <w:b/>
                <w:bCs/>
                <w:color w:val="000000"/>
                <w:w w:val="19"/>
                <w:sz w:val="20"/>
                <w:szCs w:val="20"/>
                <w:shd w:val="solid" w:color="000000" w:fill="000000"/>
                <w:fitText w:val="87" w:id="-1305210877"/>
                <w14:textFill>
                  <w14:solidFill>
                    <w14:srgbClr w14:val="000000">
                      <w14:alpha w14:val="100000"/>
                    </w14:srgbClr>
                  </w14:solidFill>
                </w14:textFill>
              </w:rPr>
              <w:t xml:space="preserve">　</w:t>
            </w:r>
            <w:r w:rsidRPr="007C7C5C">
              <w:rPr>
                <w:rFonts w:ascii="Arial Narrow" w:hAnsi="Arial Narrow" w:cs="Calibri"/>
                <w:b/>
                <w:bCs/>
                <w:color w:val="000000"/>
                <w:w w:val="19"/>
                <w:sz w:val="20"/>
                <w:szCs w:val="20"/>
                <w:shd w:val="solid" w:color="000000" w:fill="000000"/>
                <w:fitText w:val="87" w:id="-1305210877"/>
                <w14:textFill>
                  <w14:solidFill>
                    <w14:srgbClr w14:val="000000">
                      <w14:alpha w14:val="100000"/>
                    </w14:srgbClr>
                  </w14:solidFill>
                </w14:textFill>
              </w:rPr>
              <w:t>|</w:t>
            </w:r>
            <w:r w:rsidRPr="007C7C5C">
              <w:rPr>
                <w:rFonts w:ascii="Arial Narrow" w:hAnsi="Arial Narrow" w:cs="Calibri" w:hint="eastAsia"/>
                <w:b/>
                <w:bCs/>
                <w:color w:val="000000"/>
                <w:spacing w:val="13"/>
                <w:w w:val="19"/>
                <w:sz w:val="20"/>
                <w:szCs w:val="20"/>
                <w:shd w:val="solid" w:color="000000" w:fill="000000"/>
                <w:fitText w:val="87" w:id="-1305210877"/>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771CC877" w14:textId="6AE87244" w:rsidR="00A2582A" w:rsidRPr="007C7C5C" w:rsidRDefault="007C7C5C" w:rsidP="0045628D">
            <w:pPr>
              <w:keepNext/>
              <w:jc w:val="center"/>
              <w:rPr>
                <w:rFonts w:ascii="Arial Narrow" w:eastAsiaTheme="majorEastAsia" w:hAnsi="Arial Narrow" w:cstheme="majorBidi"/>
                <w:sz w:val="20"/>
                <w:highlight w:val="darkGray"/>
              </w:rPr>
            </w:pPr>
            <w:r w:rsidRPr="007C7C5C">
              <w:rPr>
                <w:rFonts w:ascii="Arial Narrow" w:hAnsi="Arial Narrow" w:cs="Calibri" w:hint="eastAsia"/>
                <w:b/>
                <w:bCs/>
                <w:color w:val="000000"/>
                <w:w w:val="19"/>
                <w:sz w:val="20"/>
                <w:szCs w:val="20"/>
                <w:shd w:val="solid" w:color="000000" w:fill="000000"/>
                <w:fitText w:val="87" w:id="-1305210876"/>
                <w14:textFill>
                  <w14:solidFill>
                    <w14:srgbClr w14:val="000000">
                      <w14:alpha w14:val="100000"/>
                    </w14:srgbClr>
                  </w14:solidFill>
                </w14:textFill>
              </w:rPr>
              <w:t xml:space="preserve">　</w:t>
            </w:r>
            <w:r w:rsidRPr="007C7C5C">
              <w:rPr>
                <w:rFonts w:ascii="Arial Narrow" w:hAnsi="Arial Narrow" w:cs="Calibri"/>
                <w:b/>
                <w:bCs/>
                <w:color w:val="000000"/>
                <w:w w:val="19"/>
                <w:sz w:val="20"/>
                <w:szCs w:val="20"/>
                <w:shd w:val="solid" w:color="000000" w:fill="000000"/>
                <w:fitText w:val="87" w:id="-1305210876"/>
                <w14:textFill>
                  <w14:solidFill>
                    <w14:srgbClr w14:val="000000">
                      <w14:alpha w14:val="100000"/>
                    </w14:srgbClr>
                  </w14:solidFill>
                </w14:textFill>
              </w:rPr>
              <w:t>|</w:t>
            </w:r>
            <w:r w:rsidRPr="007C7C5C">
              <w:rPr>
                <w:rFonts w:ascii="Arial Narrow" w:hAnsi="Arial Narrow" w:cs="Calibri" w:hint="eastAsia"/>
                <w:b/>
                <w:bCs/>
                <w:color w:val="000000"/>
                <w:spacing w:val="13"/>
                <w:w w:val="19"/>
                <w:sz w:val="20"/>
                <w:szCs w:val="20"/>
                <w:shd w:val="solid" w:color="000000" w:fill="000000"/>
                <w:fitText w:val="87" w:id="-1305210876"/>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26438168" w14:textId="1837E165" w:rsidR="00A2582A" w:rsidRPr="007C7C5C" w:rsidRDefault="007C7C5C" w:rsidP="0045628D">
            <w:pPr>
              <w:keepNext/>
              <w:jc w:val="center"/>
              <w:rPr>
                <w:rFonts w:ascii="Arial Narrow" w:eastAsiaTheme="majorEastAsia" w:hAnsi="Arial Narrow" w:cstheme="majorBidi"/>
                <w:sz w:val="20"/>
                <w:highlight w:val="darkGray"/>
              </w:rPr>
            </w:pPr>
            <w:r w:rsidRPr="007C7C5C">
              <w:rPr>
                <w:rFonts w:ascii="Arial Narrow" w:hAnsi="Arial Narrow" w:cs="Calibri" w:hint="eastAsia"/>
                <w:b/>
                <w:bCs/>
                <w:color w:val="000000"/>
                <w:w w:val="19"/>
                <w:sz w:val="20"/>
                <w:szCs w:val="20"/>
                <w:shd w:val="solid" w:color="000000" w:fill="000000"/>
                <w:fitText w:val="88" w:id="-1305210875"/>
                <w14:textFill>
                  <w14:solidFill>
                    <w14:srgbClr w14:val="000000">
                      <w14:alpha w14:val="100000"/>
                    </w14:srgbClr>
                  </w14:solidFill>
                </w14:textFill>
              </w:rPr>
              <w:t xml:space="preserve">　</w:t>
            </w:r>
            <w:r w:rsidRPr="007C7C5C">
              <w:rPr>
                <w:rFonts w:ascii="Arial Narrow" w:hAnsi="Arial Narrow" w:cs="Calibri"/>
                <w:b/>
                <w:bCs/>
                <w:color w:val="000000"/>
                <w:w w:val="19"/>
                <w:sz w:val="20"/>
                <w:szCs w:val="20"/>
                <w:shd w:val="solid" w:color="000000" w:fill="000000"/>
                <w:fitText w:val="88" w:id="-1305210875"/>
                <w14:textFill>
                  <w14:solidFill>
                    <w14:srgbClr w14:val="000000">
                      <w14:alpha w14:val="100000"/>
                    </w14:srgbClr>
                  </w14:solidFill>
                </w14:textFill>
              </w:rPr>
              <w:t>|</w:t>
            </w:r>
            <w:r w:rsidRPr="007C7C5C">
              <w:rPr>
                <w:rFonts w:ascii="Arial Narrow" w:hAnsi="Arial Narrow" w:cs="Calibri" w:hint="eastAsia"/>
                <w:b/>
                <w:bCs/>
                <w:color w:val="000000"/>
                <w:spacing w:val="13"/>
                <w:w w:val="19"/>
                <w:sz w:val="20"/>
                <w:szCs w:val="20"/>
                <w:shd w:val="solid" w:color="000000" w:fill="000000"/>
                <w:fitText w:val="88" w:id="-1305210875"/>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06C83625" w14:textId="422611DE" w:rsidR="00A2582A" w:rsidRPr="007C7C5C" w:rsidRDefault="007C7C5C" w:rsidP="0045628D">
            <w:pPr>
              <w:keepNext/>
              <w:jc w:val="center"/>
              <w:rPr>
                <w:rFonts w:ascii="Arial Narrow" w:eastAsiaTheme="majorEastAsia" w:hAnsi="Arial Narrow" w:cstheme="majorBidi"/>
                <w:sz w:val="20"/>
                <w:highlight w:val="darkGray"/>
              </w:rPr>
            </w:pPr>
            <w:r w:rsidRPr="007C7C5C">
              <w:rPr>
                <w:rFonts w:ascii="Arial Narrow" w:hAnsi="Arial Narrow" w:cs="Calibri" w:hint="eastAsia"/>
                <w:b/>
                <w:bCs/>
                <w:color w:val="000000"/>
                <w:w w:val="19"/>
                <w:sz w:val="20"/>
                <w:szCs w:val="20"/>
                <w:shd w:val="solid" w:color="000000" w:fill="000000"/>
                <w:fitText w:val="87" w:id="-1305210874"/>
                <w14:textFill>
                  <w14:solidFill>
                    <w14:srgbClr w14:val="000000">
                      <w14:alpha w14:val="100000"/>
                    </w14:srgbClr>
                  </w14:solidFill>
                </w14:textFill>
              </w:rPr>
              <w:t xml:space="preserve">　</w:t>
            </w:r>
            <w:r w:rsidRPr="007C7C5C">
              <w:rPr>
                <w:rFonts w:ascii="Arial Narrow" w:hAnsi="Arial Narrow" w:cs="Calibri"/>
                <w:b/>
                <w:bCs/>
                <w:color w:val="000000"/>
                <w:w w:val="19"/>
                <w:sz w:val="20"/>
                <w:szCs w:val="20"/>
                <w:shd w:val="solid" w:color="000000" w:fill="000000"/>
                <w:fitText w:val="87" w:id="-1305210874"/>
                <w14:textFill>
                  <w14:solidFill>
                    <w14:srgbClr w14:val="000000">
                      <w14:alpha w14:val="100000"/>
                    </w14:srgbClr>
                  </w14:solidFill>
                </w14:textFill>
              </w:rPr>
              <w:t>|</w:t>
            </w:r>
            <w:r w:rsidRPr="007C7C5C">
              <w:rPr>
                <w:rFonts w:ascii="Arial Narrow" w:hAnsi="Arial Narrow" w:cs="Calibri" w:hint="eastAsia"/>
                <w:b/>
                <w:bCs/>
                <w:color w:val="000000"/>
                <w:spacing w:val="13"/>
                <w:w w:val="19"/>
                <w:sz w:val="20"/>
                <w:szCs w:val="20"/>
                <w:shd w:val="solid" w:color="000000" w:fill="000000"/>
                <w:fitText w:val="87" w:id="-1305210874"/>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49D1E83B" w14:textId="11744FAF" w:rsidR="00A2582A" w:rsidRPr="007C7C5C" w:rsidRDefault="007C7C5C" w:rsidP="0045628D">
            <w:pPr>
              <w:keepNext/>
              <w:jc w:val="center"/>
              <w:rPr>
                <w:rFonts w:ascii="Arial Narrow" w:eastAsiaTheme="majorEastAsia" w:hAnsi="Arial Narrow" w:cstheme="majorBidi"/>
                <w:sz w:val="20"/>
                <w:highlight w:val="darkGray"/>
              </w:rPr>
            </w:pPr>
            <w:r w:rsidRPr="007C7C5C">
              <w:rPr>
                <w:rFonts w:ascii="Arial Narrow" w:hAnsi="Arial Narrow" w:hint="eastAsia"/>
                <w:b/>
                <w:color w:val="000000"/>
                <w:w w:val="19"/>
                <w:sz w:val="20"/>
                <w:szCs w:val="20"/>
                <w:shd w:val="solid" w:color="000000" w:fill="000000"/>
                <w:fitText w:val="88" w:id="-1305210873"/>
                <w14:textFill>
                  <w14:solidFill>
                    <w14:srgbClr w14:val="000000">
                      <w14:alpha w14:val="100000"/>
                    </w14:srgbClr>
                  </w14:solidFill>
                </w14:textFill>
              </w:rPr>
              <w:t xml:space="preserve">　</w:t>
            </w:r>
            <w:r w:rsidRPr="007C7C5C">
              <w:rPr>
                <w:rFonts w:ascii="Arial Narrow" w:hAnsi="Arial Narrow"/>
                <w:b/>
                <w:color w:val="000000"/>
                <w:w w:val="19"/>
                <w:sz w:val="20"/>
                <w:szCs w:val="20"/>
                <w:shd w:val="solid" w:color="000000" w:fill="000000"/>
                <w:fitText w:val="88" w:id="-1305210873"/>
                <w14:textFill>
                  <w14:solidFill>
                    <w14:srgbClr w14:val="000000">
                      <w14:alpha w14:val="100000"/>
                    </w14:srgbClr>
                  </w14:solidFill>
                </w14:textFill>
              </w:rPr>
              <w:t>|</w:t>
            </w:r>
            <w:r w:rsidRPr="007C7C5C">
              <w:rPr>
                <w:rFonts w:ascii="Arial Narrow" w:hAnsi="Arial Narrow" w:hint="eastAsia"/>
                <w:b/>
                <w:color w:val="000000"/>
                <w:spacing w:val="13"/>
                <w:w w:val="19"/>
                <w:sz w:val="20"/>
                <w:szCs w:val="20"/>
                <w:shd w:val="solid" w:color="000000" w:fill="000000"/>
                <w:fitText w:val="88" w:id="-1305210873"/>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r>
      <w:tr w:rsidR="00A2582A" w:rsidRPr="00647C81" w14:paraId="479272CF" w14:textId="77777777" w:rsidTr="00AD571F">
        <w:trPr>
          <w:trHeight w:val="141"/>
        </w:trPr>
        <w:tc>
          <w:tcPr>
            <w:tcW w:w="9067" w:type="dxa"/>
            <w:gridSpan w:val="7"/>
            <w:shd w:val="clear" w:color="auto" w:fill="DBE5F1" w:themeFill="accent1" w:themeFillTint="33"/>
            <w:tcMar>
              <w:left w:w="28" w:type="dxa"/>
              <w:right w:w="28" w:type="dxa"/>
            </w:tcMar>
          </w:tcPr>
          <w:p w14:paraId="3191F5E0" w14:textId="77777777" w:rsidR="00A2582A" w:rsidRPr="00CE6785" w:rsidRDefault="00A2582A" w:rsidP="0045628D">
            <w:pPr>
              <w:keepNext/>
              <w:jc w:val="left"/>
              <w:rPr>
                <w:rFonts w:ascii="Arial Narrow" w:hAnsi="Arial Narrow"/>
                <w:b/>
                <w:sz w:val="20"/>
                <w:szCs w:val="20"/>
              </w:rPr>
            </w:pPr>
            <w:r>
              <w:rPr>
                <w:rFonts w:ascii="Arial Narrow" w:hAnsi="Arial Narrow"/>
                <w:b/>
                <w:sz w:val="20"/>
                <w:szCs w:val="20"/>
              </w:rPr>
              <w:t>March 2022</w:t>
            </w:r>
          </w:p>
        </w:tc>
      </w:tr>
      <w:tr w:rsidR="00A2582A" w:rsidRPr="00647C81" w14:paraId="247D393A" w14:textId="77777777" w:rsidTr="00AD571F">
        <w:trPr>
          <w:trHeight w:val="349"/>
        </w:trPr>
        <w:tc>
          <w:tcPr>
            <w:tcW w:w="2263" w:type="dxa"/>
            <w:shd w:val="clear" w:color="auto" w:fill="DBE5F1" w:themeFill="accent1" w:themeFillTint="33"/>
            <w:tcMar>
              <w:left w:w="28" w:type="dxa"/>
              <w:right w:w="28" w:type="dxa"/>
            </w:tcMar>
          </w:tcPr>
          <w:p w14:paraId="584B4045" w14:textId="291DECA3" w:rsidR="00A2582A" w:rsidRPr="00D35696" w:rsidRDefault="00A2582A" w:rsidP="0045628D">
            <w:pPr>
              <w:keepNext/>
              <w:jc w:val="left"/>
              <w:rPr>
                <w:rFonts w:ascii="Arial Narrow" w:eastAsiaTheme="majorEastAsia" w:hAnsi="Arial Narrow" w:cstheme="majorBidi"/>
                <w:bCs/>
                <w:sz w:val="20"/>
              </w:rPr>
            </w:pPr>
            <w:r>
              <w:rPr>
                <w:rFonts w:ascii="Arial Narrow" w:hAnsi="Arial Narrow" w:cs="Times New Roman"/>
                <w:bCs/>
                <w:sz w:val="20"/>
                <w:szCs w:val="20"/>
              </w:rPr>
              <w:t>C</w:t>
            </w:r>
            <w:r w:rsidRPr="00AC441C">
              <w:rPr>
                <w:rFonts w:ascii="Arial Narrow" w:hAnsi="Arial Narrow" w:cs="Times New Roman"/>
                <w:bCs/>
                <w:sz w:val="20"/>
                <w:szCs w:val="20"/>
              </w:rPr>
              <w:t>ost of ruxolitinib to the PBS/RPBS (less copayment)</w:t>
            </w:r>
            <w:r w:rsidR="005B2072">
              <w:rPr>
                <w:rFonts w:ascii="Arial Narrow" w:hAnsi="Arial Narrow" w:cs="Times New Roman"/>
                <w:bCs/>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59ED856F" w14:textId="08F45F17" w:rsidR="00A2582A" w:rsidRPr="007C7C5C" w:rsidRDefault="007C7C5C" w:rsidP="0045628D">
            <w:pPr>
              <w:keepNext/>
              <w:jc w:val="center"/>
              <w:rPr>
                <w:rFonts w:ascii="Arial Narrow" w:hAnsi="Arial Narrow" w:cs="Calibri"/>
                <w:b/>
                <w:bCs/>
                <w:sz w:val="20"/>
                <w:szCs w:val="20"/>
                <w:highlight w:val="darkGray"/>
              </w:rPr>
            </w:pPr>
            <w:r w:rsidRPr="007C7C5C">
              <w:rPr>
                <w:rFonts w:ascii="Arial Narrow" w:hAnsi="Arial Narrow" w:cs="Calibri" w:hint="eastAsia"/>
                <w:b/>
                <w:color w:val="000000"/>
                <w:w w:val="19"/>
                <w:sz w:val="20"/>
                <w:szCs w:val="20"/>
                <w:shd w:val="solid" w:color="000000" w:fill="000000"/>
                <w:fitText w:val="88" w:id="-1305210872"/>
                <w14:textFill>
                  <w14:solidFill>
                    <w14:srgbClr w14:val="000000">
                      <w14:alpha w14:val="100000"/>
                    </w14:srgbClr>
                  </w14:solidFill>
                </w14:textFill>
              </w:rPr>
              <w:t xml:space="preserve">　</w:t>
            </w:r>
            <w:r w:rsidRPr="007C7C5C">
              <w:rPr>
                <w:rFonts w:ascii="Arial Narrow" w:hAnsi="Arial Narrow" w:cs="Calibri"/>
                <w:b/>
                <w:color w:val="000000"/>
                <w:w w:val="19"/>
                <w:sz w:val="20"/>
                <w:szCs w:val="20"/>
                <w:shd w:val="solid" w:color="000000" w:fill="000000"/>
                <w:fitText w:val="88" w:id="-1305210872"/>
                <w14:textFill>
                  <w14:solidFill>
                    <w14:srgbClr w14:val="000000">
                      <w14:alpha w14:val="100000"/>
                    </w14:srgbClr>
                  </w14:solidFill>
                </w14:textFill>
              </w:rPr>
              <w:t>|</w:t>
            </w:r>
            <w:r w:rsidRPr="007C7C5C">
              <w:rPr>
                <w:rFonts w:ascii="Arial Narrow" w:hAnsi="Arial Narrow" w:cs="Calibri" w:hint="eastAsia"/>
                <w:b/>
                <w:color w:val="000000"/>
                <w:spacing w:val="13"/>
                <w:w w:val="19"/>
                <w:sz w:val="20"/>
                <w:szCs w:val="20"/>
                <w:shd w:val="solid" w:color="000000" w:fill="000000"/>
                <w:fitText w:val="88" w:id="-1305210872"/>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0824E286" w14:textId="45FE927E" w:rsidR="00A2582A" w:rsidRPr="007C7C5C" w:rsidRDefault="007C7C5C" w:rsidP="0045628D">
            <w:pPr>
              <w:keepNext/>
              <w:jc w:val="center"/>
              <w:rPr>
                <w:rFonts w:ascii="Arial Narrow" w:hAnsi="Arial Narrow" w:cs="Calibri"/>
                <w:b/>
                <w:bCs/>
                <w:sz w:val="20"/>
                <w:szCs w:val="20"/>
                <w:highlight w:val="darkGray"/>
              </w:rPr>
            </w:pPr>
            <w:r w:rsidRPr="007C7C5C">
              <w:rPr>
                <w:rFonts w:ascii="Arial Narrow" w:hAnsi="Arial Narrow" w:cs="Calibri" w:hint="eastAsia"/>
                <w:b/>
                <w:color w:val="000000"/>
                <w:w w:val="19"/>
                <w:sz w:val="20"/>
                <w:szCs w:val="20"/>
                <w:shd w:val="solid" w:color="000000" w:fill="000000"/>
                <w:fitText w:val="87" w:id="-1305210871"/>
                <w14:textFill>
                  <w14:solidFill>
                    <w14:srgbClr w14:val="000000">
                      <w14:alpha w14:val="100000"/>
                    </w14:srgbClr>
                  </w14:solidFill>
                </w14:textFill>
              </w:rPr>
              <w:t xml:space="preserve">　</w:t>
            </w:r>
            <w:r w:rsidRPr="007C7C5C">
              <w:rPr>
                <w:rFonts w:ascii="Arial Narrow" w:hAnsi="Arial Narrow" w:cs="Calibri"/>
                <w:b/>
                <w:color w:val="000000"/>
                <w:w w:val="19"/>
                <w:sz w:val="20"/>
                <w:szCs w:val="20"/>
                <w:shd w:val="solid" w:color="000000" w:fill="000000"/>
                <w:fitText w:val="87" w:id="-1305210871"/>
                <w14:textFill>
                  <w14:solidFill>
                    <w14:srgbClr w14:val="000000">
                      <w14:alpha w14:val="100000"/>
                    </w14:srgbClr>
                  </w14:solidFill>
                </w14:textFill>
              </w:rPr>
              <w:t>|</w:t>
            </w:r>
            <w:r w:rsidRPr="007C7C5C">
              <w:rPr>
                <w:rFonts w:ascii="Arial Narrow" w:hAnsi="Arial Narrow" w:cs="Calibri" w:hint="eastAsia"/>
                <w:b/>
                <w:color w:val="000000"/>
                <w:spacing w:val="13"/>
                <w:w w:val="19"/>
                <w:sz w:val="20"/>
                <w:szCs w:val="20"/>
                <w:shd w:val="solid" w:color="000000" w:fill="000000"/>
                <w:fitText w:val="87" w:id="-1305210871"/>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0A12D113" w14:textId="75DC575C" w:rsidR="00A2582A" w:rsidRPr="007C7C5C" w:rsidRDefault="007C7C5C" w:rsidP="0045628D">
            <w:pPr>
              <w:keepNext/>
              <w:jc w:val="center"/>
              <w:rPr>
                <w:rFonts w:ascii="Arial Narrow" w:hAnsi="Arial Narrow" w:cs="Calibri"/>
                <w:b/>
                <w:bCs/>
                <w:sz w:val="20"/>
                <w:szCs w:val="20"/>
                <w:highlight w:val="darkGray"/>
              </w:rPr>
            </w:pPr>
            <w:r w:rsidRPr="007C7C5C">
              <w:rPr>
                <w:rFonts w:ascii="Arial Narrow" w:hAnsi="Arial Narrow" w:cs="Calibri" w:hint="eastAsia"/>
                <w:b/>
                <w:color w:val="000000"/>
                <w:w w:val="19"/>
                <w:sz w:val="20"/>
                <w:szCs w:val="20"/>
                <w:shd w:val="solid" w:color="000000" w:fill="000000"/>
                <w:fitText w:val="87" w:id="-1305210870"/>
                <w14:textFill>
                  <w14:solidFill>
                    <w14:srgbClr w14:val="000000">
                      <w14:alpha w14:val="100000"/>
                    </w14:srgbClr>
                  </w14:solidFill>
                </w14:textFill>
              </w:rPr>
              <w:t xml:space="preserve">　</w:t>
            </w:r>
            <w:r w:rsidRPr="007C7C5C">
              <w:rPr>
                <w:rFonts w:ascii="Arial Narrow" w:hAnsi="Arial Narrow" w:cs="Calibri"/>
                <w:b/>
                <w:color w:val="000000"/>
                <w:w w:val="19"/>
                <w:sz w:val="20"/>
                <w:szCs w:val="20"/>
                <w:shd w:val="solid" w:color="000000" w:fill="000000"/>
                <w:fitText w:val="87" w:id="-1305210870"/>
                <w14:textFill>
                  <w14:solidFill>
                    <w14:srgbClr w14:val="000000">
                      <w14:alpha w14:val="100000"/>
                    </w14:srgbClr>
                  </w14:solidFill>
                </w14:textFill>
              </w:rPr>
              <w:t>|</w:t>
            </w:r>
            <w:r w:rsidRPr="007C7C5C">
              <w:rPr>
                <w:rFonts w:ascii="Arial Narrow" w:hAnsi="Arial Narrow" w:cs="Calibri" w:hint="eastAsia"/>
                <w:b/>
                <w:color w:val="000000"/>
                <w:spacing w:val="13"/>
                <w:w w:val="19"/>
                <w:sz w:val="20"/>
                <w:szCs w:val="20"/>
                <w:shd w:val="solid" w:color="000000" w:fill="000000"/>
                <w:fitText w:val="87" w:id="-1305210870"/>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0EEB87B1" w14:textId="2874F126" w:rsidR="00A2582A" w:rsidRPr="007C7C5C" w:rsidRDefault="007C7C5C" w:rsidP="0045628D">
            <w:pPr>
              <w:keepNext/>
              <w:jc w:val="center"/>
              <w:rPr>
                <w:rFonts w:ascii="Arial Narrow" w:hAnsi="Arial Narrow" w:cs="Calibri"/>
                <w:b/>
                <w:bCs/>
                <w:sz w:val="20"/>
                <w:szCs w:val="20"/>
                <w:highlight w:val="darkGray"/>
              </w:rPr>
            </w:pPr>
            <w:r w:rsidRPr="007C7C5C">
              <w:rPr>
                <w:rFonts w:ascii="Arial Narrow" w:hAnsi="Arial Narrow" w:cs="Calibri" w:hint="eastAsia"/>
                <w:b/>
                <w:color w:val="000000"/>
                <w:w w:val="19"/>
                <w:sz w:val="20"/>
                <w:szCs w:val="20"/>
                <w:shd w:val="solid" w:color="000000" w:fill="000000"/>
                <w:fitText w:val="88" w:id="-1305210869"/>
                <w14:textFill>
                  <w14:solidFill>
                    <w14:srgbClr w14:val="000000">
                      <w14:alpha w14:val="100000"/>
                    </w14:srgbClr>
                  </w14:solidFill>
                </w14:textFill>
              </w:rPr>
              <w:t xml:space="preserve">　</w:t>
            </w:r>
            <w:r w:rsidRPr="007C7C5C">
              <w:rPr>
                <w:rFonts w:ascii="Arial Narrow" w:hAnsi="Arial Narrow" w:cs="Calibri"/>
                <w:b/>
                <w:color w:val="000000"/>
                <w:w w:val="19"/>
                <w:sz w:val="20"/>
                <w:szCs w:val="20"/>
                <w:shd w:val="solid" w:color="000000" w:fill="000000"/>
                <w:fitText w:val="88" w:id="-1305210869"/>
                <w14:textFill>
                  <w14:solidFill>
                    <w14:srgbClr w14:val="000000">
                      <w14:alpha w14:val="100000"/>
                    </w14:srgbClr>
                  </w14:solidFill>
                </w14:textFill>
              </w:rPr>
              <w:t>|</w:t>
            </w:r>
            <w:r w:rsidRPr="007C7C5C">
              <w:rPr>
                <w:rFonts w:ascii="Arial Narrow" w:hAnsi="Arial Narrow" w:cs="Calibri" w:hint="eastAsia"/>
                <w:b/>
                <w:color w:val="000000"/>
                <w:spacing w:val="13"/>
                <w:w w:val="19"/>
                <w:sz w:val="20"/>
                <w:szCs w:val="20"/>
                <w:shd w:val="solid" w:color="000000" w:fill="000000"/>
                <w:fitText w:val="88" w:id="-1305210869"/>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7CC15735" w14:textId="3FF64F2C" w:rsidR="00A2582A" w:rsidRPr="007C7C5C" w:rsidRDefault="007C7C5C" w:rsidP="0045628D">
            <w:pPr>
              <w:keepNext/>
              <w:jc w:val="center"/>
              <w:rPr>
                <w:rFonts w:ascii="Arial Narrow" w:hAnsi="Arial Narrow" w:cs="Calibri"/>
                <w:b/>
                <w:bCs/>
                <w:sz w:val="20"/>
                <w:szCs w:val="20"/>
                <w:highlight w:val="darkGray"/>
              </w:rPr>
            </w:pPr>
            <w:r w:rsidRPr="007C7C5C">
              <w:rPr>
                <w:rFonts w:ascii="Arial Narrow" w:hAnsi="Arial Narrow" w:cs="Calibri" w:hint="eastAsia"/>
                <w:b/>
                <w:color w:val="000000"/>
                <w:w w:val="19"/>
                <w:sz w:val="20"/>
                <w:szCs w:val="20"/>
                <w:shd w:val="solid" w:color="000000" w:fill="000000"/>
                <w:fitText w:val="87" w:id="-1305210868"/>
                <w14:textFill>
                  <w14:solidFill>
                    <w14:srgbClr w14:val="000000">
                      <w14:alpha w14:val="100000"/>
                    </w14:srgbClr>
                  </w14:solidFill>
                </w14:textFill>
              </w:rPr>
              <w:t xml:space="preserve">　</w:t>
            </w:r>
            <w:r w:rsidRPr="007C7C5C">
              <w:rPr>
                <w:rFonts w:ascii="Arial Narrow" w:hAnsi="Arial Narrow" w:cs="Calibri"/>
                <w:b/>
                <w:color w:val="000000"/>
                <w:w w:val="19"/>
                <w:sz w:val="20"/>
                <w:szCs w:val="20"/>
                <w:shd w:val="solid" w:color="000000" w:fill="000000"/>
                <w:fitText w:val="87" w:id="-1305210868"/>
                <w14:textFill>
                  <w14:solidFill>
                    <w14:srgbClr w14:val="000000">
                      <w14:alpha w14:val="100000"/>
                    </w14:srgbClr>
                  </w14:solidFill>
                </w14:textFill>
              </w:rPr>
              <w:t>|</w:t>
            </w:r>
            <w:r w:rsidRPr="007C7C5C">
              <w:rPr>
                <w:rFonts w:ascii="Arial Narrow" w:hAnsi="Arial Narrow" w:cs="Calibri" w:hint="eastAsia"/>
                <w:b/>
                <w:color w:val="000000"/>
                <w:spacing w:val="13"/>
                <w:w w:val="19"/>
                <w:sz w:val="20"/>
                <w:szCs w:val="20"/>
                <w:shd w:val="solid" w:color="000000" w:fill="000000"/>
                <w:fitText w:val="87" w:id="-1305210868"/>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203B7827" w14:textId="1C06A6EB" w:rsidR="00A2582A" w:rsidRPr="007C7C5C" w:rsidRDefault="007C7C5C" w:rsidP="0045628D">
            <w:pPr>
              <w:keepNext/>
              <w:jc w:val="center"/>
              <w:rPr>
                <w:rFonts w:ascii="Arial Narrow" w:hAnsi="Arial Narrow"/>
                <w:b/>
                <w:sz w:val="20"/>
                <w:szCs w:val="20"/>
                <w:highlight w:val="darkGray"/>
              </w:rPr>
            </w:pPr>
            <w:r w:rsidRPr="007C7C5C">
              <w:rPr>
                <w:rFonts w:ascii="Arial Narrow" w:hAnsi="Arial Narrow" w:cs="Calibri" w:hint="eastAsia"/>
                <w:b/>
                <w:color w:val="000000"/>
                <w:w w:val="19"/>
                <w:sz w:val="20"/>
                <w:szCs w:val="20"/>
                <w:shd w:val="solid" w:color="000000" w:fill="000000"/>
                <w:fitText w:val="88" w:id="-1305210867"/>
                <w14:textFill>
                  <w14:solidFill>
                    <w14:srgbClr w14:val="000000">
                      <w14:alpha w14:val="100000"/>
                    </w14:srgbClr>
                  </w14:solidFill>
                </w14:textFill>
              </w:rPr>
              <w:t xml:space="preserve">　</w:t>
            </w:r>
            <w:r w:rsidRPr="007C7C5C">
              <w:rPr>
                <w:rFonts w:ascii="Arial Narrow" w:hAnsi="Arial Narrow" w:cs="Calibri"/>
                <w:b/>
                <w:color w:val="000000"/>
                <w:w w:val="19"/>
                <w:sz w:val="20"/>
                <w:szCs w:val="20"/>
                <w:shd w:val="solid" w:color="000000" w:fill="000000"/>
                <w:fitText w:val="88" w:id="-1305210867"/>
                <w14:textFill>
                  <w14:solidFill>
                    <w14:srgbClr w14:val="000000">
                      <w14:alpha w14:val="100000"/>
                    </w14:srgbClr>
                  </w14:solidFill>
                </w14:textFill>
              </w:rPr>
              <w:t>|</w:t>
            </w:r>
            <w:r w:rsidRPr="007C7C5C">
              <w:rPr>
                <w:rFonts w:ascii="Arial Narrow" w:hAnsi="Arial Narrow" w:cs="Calibri" w:hint="eastAsia"/>
                <w:b/>
                <w:color w:val="000000"/>
                <w:spacing w:val="13"/>
                <w:w w:val="19"/>
                <w:sz w:val="20"/>
                <w:szCs w:val="20"/>
                <w:shd w:val="solid" w:color="000000" w:fill="000000"/>
                <w:fitText w:val="88" w:id="-1305210867"/>
                <w14:textFill>
                  <w14:solidFill>
                    <w14:srgbClr w14:val="000000">
                      <w14:alpha w14:val="100000"/>
                    </w14:srgbClr>
                  </w14:solidFill>
                </w14:textFill>
              </w:rPr>
              <w:t xml:space="preserve">　</w:t>
            </w:r>
            <w:r w:rsidR="005B2072">
              <w:rPr>
                <w:rFonts w:ascii="Arial Narrow" w:hAnsi="Arial Narrow" w:cs="Times New Roman"/>
                <w:bCs/>
                <w:sz w:val="20"/>
                <w:szCs w:val="20"/>
                <w:vertAlign w:val="superscript"/>
              </w:rPr>
              <w:t>3</w:t>
            </w:r>
          </w:p>
        </w:tc>
      </w:tr>
    </w:tbl>
    <w:p w14:paraId="73091D5D" w14:textId="019A08E1" w:rsidR="00A2582A" w:rsidRDefault="00A2582A" w:rsidP="00A2582A">
      <w:pPr>
        <w:rPr>
          <w:rFonts w:ascii="Arial Narrow" w:hAnsi="Arial Narrow" w:cs="Times New Roman"/>
          <w:iCs/>
          <w:sz w:val="18"/>
          <w:szCs w:val="18"/>
        </w:rPr>
      </w:pPr>
      <w:r w:rsidRPr="009606D8">
        <w:rPr>
          <w:rFonts w:ascii="Arial Narrow" w:hAnsi="Arial Narrow" w:cs="Times New Roman"/>
          <w:iCs/>
          <w:sz w:val="18"/>
          <w:szCs w:val="18"/>
        </w:rPr>
        <w:t xml:space="preserve">Source: </w:t>
      </w:r>
      <w:r w:rsidRPr="00AC441C">
        <w:rPr>
          <w:rFonts w:ascii="Arial Narrow" w:hAnsi="Arial Narrow" w:cs="Times New Roman"/>
          <w:iCs/>
          <w:sz w:val="18"/>
          <w:szCs w:val="18"/>
        </w:rPr>
        <w:t xml:space="preserve">Table 1, Attachment 1 of the revised pricing proposal; </w:t>
      </w:r>
      <w:r w:rsidRPr="009606D8">
        <w:rPr>
          <w:rFonts w:ascii="Arial Narrow" w:hAnsi="Arial Narrow" w:cs="Times New Roman"/>
          <w:iCs/>
          <w:sz w:val="18"/>
          <w:szCs w:val="18"/>
        </w:rPr>
        <w:t>Table 2</w:t>
      </w:r>
      <w:r w:rsidRPr="00AC441C">
        <w:rPr>
          <w:rFonts w:ascii="Arial Narrow" w:hAnsi="Arial Narrow" w:cs="Times New Roman"/>
          <w:iCs/>
          <w:sz w:val="18"/>
          <w:szCs w:val="18"/>
        </w:rPr>
        <w:t xml:space="preserve">6 of the September 2022 PBAC </w:t>
      </w:r>
      <w:r w:rsidR="0001328A">
        <w:rPr>
          <w:rFonts w:ascii="Arial Narrow" w:hAnsi="Arial Narrow" w:cs="Times New Roman"/>
          <w:iCs/>
          <w:sz w:val="18"/>
          <w:szCs w:val="18"/>
        </w:rPr>
        <w:t>PSD</w:t>
      </w:r>
      <w:r w:rsidRPr="00AC441C">
        <w:rPr>
          <w:rFonts w:ascii="Arial Narrow" w:hAnsi="Arial Narrow" w:cs="Times New Roman"/>
          <w:iCs/>
          <w:sz w:val="18"/>
          <w:szCs w:val="18"/>
        </w:rPr>
        <w:t>.</w:t>
      </w:r>
      <w:r w:rsidRPr="009606D8">
        <w:rPr>
          <w:rFonts w:ascii="Arial Narrow" w:hAnsi="Arial Narrow" w:cs="Times New Roman"/>
          <w:iCs/>
          <w:sz w:val="18"/>
          <w:szCs w:val="18"/>
        </w:rPr>
        <w:t xml:space="preserve"> </w:t>
      </w:r>
    </w:p>
    <w:p w14:paraId="6C912BED" w14:textId="77777777" w:rsidR="005B2072" w:rsidRDefault="005B2072" w:rsidP="005B2072">
      <w:pPr>
        <w:keepNext/>
        <w:keepLines/>
        <w:snapToGrid w:val="0"/>
        <w:spacing w:after="120"/>
        <w:contextualSpacing/>
        <w:rPr>
          <w:rFonts w:ascii="Arial Narrow" w:hAnsi="Arial Narrow"/>
          <w:i/>
          <w:sz w:val="18"/>
          <w:szCs w:val="18"/>
        </w:rPr>
      </w:pPr>
      <w:r w:rsidRPr="009A6D58">
        <w:rPr>
          <w:rFonts w:ascii="Arial Narrow" w:hAnsi="Arial Narrow"/>
          <w:i/>
          <w:sz w:val="18"/>
          <w:szCs w:val="18"/>
        </w:rPr>
        <w:t>The redacted values correspond to the following ranges:</w:t>
      </w:r>
    </w:p>
    <w:p w14:paraId="44FF010B" w14:textId="4AE54F6C" w:rsidR="005B2072" w:rsidRPr="007C7C5C" w:rsidRDefault="005B2072" w:rsidP="005B2072">
      <w:pPr>
        <w:keepNext/>
        <w:keepLines/>
        <w:snapToGrid w:val="0"/>
        <w:spacing w:after="120"/>
        <w:contextualSpacing/>
        <w:rPr>
          <w:rFonts w:ascii="Arial Narrow" w:eastAsia="Calibri" w:hAnsi="Arial Narrow" w:cs="Times New Roman"/>
          <w:i/>
          <w:iCs/>
          <w:sz w:val="18"/>
          <w:szCs w:val="18"/>
          <w:lang w:eastAsia="en-US"/>
        </w:rPr>
      </w:pPr>
      <w:r w:rsidRPr="007C7C5C">
        <w:rPr>
          <w:rFonts w:ascii="Arial Narrow" w:eastAsia="Calibri" w:hAnsi="Arial Narrow" w:cs="Times New Roman"/>
          <w:i/>
          <w:iCs/>
          <w:sz w:val="18"/>
          <w:szCs w:val="18"/>
          <w:vertAlign w:val="superscript"/>
          <w:lang w:eastAsia="en-US"/>
        </w:rPr>
        <w:t>1</w:t>
      </w:r>
      <w:r w:rsidR="00847588">
        <w:rPr>
          <w:rFonts w:ascii="Arial Narrow" w:eastAsia="Calibri" w:hAnsi="Arial Narrow" w:cs="Times New Roman"/>
          <w:i/>
          <w:iCs/>
          <w:sz w:val="18"/>
          <w:szCs w:val="18"/>
          <w:vertAlign w:val="superscript"/>
          <w:lang w:eastAsia="en-US"/>
        </w:rPr>
        <w:t xml:space="preserve"> </w:t>
      </w:r>
      <w:r w:rsidRPr="007C7C5C">
        <w:rPr>
          <w:rFonts w:ascii="Arial Narrow" w:eastAsia="Calibri" w:hAnsi="Arial Narrow" w:cs="Times New Roman"/>
          <w:i/>
          <w:iCs/>
          <w:sz w:val="18"/>
          <w:szCs w:val="18"/>
          <w:lang w:eastAsia="en-US"/>
        </w:rPr>
        <w:t>&lt; 500</w:t>
      </w:r>
    </w:p>
    <w:p w14:paraId="184F251A" w14:textId="5A24C6B6" w:rsidR="005B2072" w:rsidRPr="007C7C5C" w:rsidRDefault="005B2072" w:rsidP="005B2072">
      <w:pPr>
        <w:keepNext/>
        <w:keepLines/>
        <w:snapToGrid w:val="0"/>
        <w:spacing w:after="120"/>
        <w:contextualSpacing/>
        <w:rPr>
          <w:rFonts w:ascii="Arial Narrow" w:eastAsia="Calibri" w:hAnsi="Arial Narrow" w:cs="Times New Roman"/>
          <w:i/>
          <w:iCs/>
          <w:sz w:val="18"/>
          <w:szCs w:val="18"/>
          <w:lang w:eastAsia="en-US"/>
        </w:rPr>
      </w:pPr>
      <w:r w:rsidRPr="007C7C5C">
        <w:rPr>
          <w:rFonts w:ascii="Arial Narrow" w:eastAsia="Calibri" w:hAnsi="Arial Narrow" w:cs="Times New Roman"/>
          <w:i/>
          <w:iCs/>
          <w:sz w:val="18"/>
          <w:szCs w:val="18"/>
          <w:vertAlign w:val="superscript"/>
          <w:lang w:eastAsia="en-US"/>
        </w:rPr>
        <w:t>2</w:t>
      </w:r>
      <w:r w:rsidR="00847588">
        <w:rPr>
          <w:rFonts w:ascii="Arial Narrow" w:eastAsia="Calibri" w:hAnsi="Arial Narrow" w:cs="Times New Roman"/>
          <w:i/>
          <w:iCs/>
          <w:sz w:val="18"/>
          <w:szCs w:val="18"/>
          <w:vertAlign w:val="superscript"/>
          <w:lang w:eastAsia="en-US"/>
        </w:rPr>
        <w:t xml:space="preserve"> </w:t>
      </w:r>
      <w:r w:rsidRPr="007C7C5C">
        <w:rPr>
          <w:rFonts w:ascii="Arial Narrow" w:eastAsia="Calibri" w:hAnsi="Arial Narrow" w:cs="Times New Roman"/>
          <w:i/>
          <w:iCs/>
          <w:sz w:val="18"/>
          <w:szCs w:val="18"/>
          <w:lang w:eastAsia="en-US"/>
        </w:rPr>
        <w:t>500 to &lt; 5,000</w:t>
      </w:r>
    </w:p>
    <w:p w14:paraId="2F4F0F9E" w14:textId="4FE82436" w:rsidR="005B2072" w:rsidRPr="007C7C5C" w:rsidRDefault="005B2072" w:rsidP="005B2072">
      <w:pPr>
        <w:keepNext/>
        <w:keepLines/>
        <w:snapToGrid w:val="0"/>
        <w:spacing w:after="120"/>
        <w:contextualSpacing/>
        <w:rPr>
          <w:rFonts w:ascii="Arial Narrow" w:eastAsia="Calibri" w:hAnsi="Arial Narrow" w:cs="Times New Roman"/>
          <w:i/>
          <w:iCs/>
          <w:sz w:val="18"/>
          <w:szCs w:val="18"/>
          <w:lang w:eastAsia="en-US"/>
        </w:rPr>
      </w:pPr>
      <w:r w:rsidRPr="007C7C5C">
        <w:rPr>
          <w:rFonts w:ascii="Arial Narrow" w:eastAsia="Calibri" w:hAnsi="Arial Narrow" w:cs="Times New Roman"/>
          <w:i/>
          <w:iCs/>
          <w:sz w:val="18"/>
          <w:szCs w:val="18"/>
          <w:vertAlign w:val="superscript"/>
          <w:lang w:eastAsia="en-US"/>
        </w:rPr>
        <w:t>3</w:t>
      </w:r>
      <w:r w:rsidR="00847588">
        <w:rPr>
          <w:rFonts w:ascii="Arial Narrow" w:eastAsia="Calibri" w:hAnsi="Arial Narrow" w:cs="Times New Roman"/>
          <w:i/>
          <w:iCs/>
          <w:sz w:val="18"/>
          <w:szCs w:val="18"/>
          <w:vertAlign w:val="superscript"/>
          <w:lang w:eastAsia="en-US"/>
        </w:rPr>
        <w:t xml:space="preserve"> </w:t>
      </w:r>
      <w:r w:rsidRPr="007C7C5C">
        <w:rPr>
          <w:rFonts w:ascii="Arial Narrow" w:eastAsia="Calibri" w:hAnsi="Arial Narrow" w:cs="Times New Roman"/>
          <w:i/>
          <w:iCs/>
          <w:sz w:val="18"/>
          <w:szCs w:val="18"/>
          <w:lang w:eastAsia="en-US"/>
        </w:rPr>
        <w:t>$0 to &lt; $10 million</w:t>
      </w:r>
    </w:p>
    <w:p w14:paraId="7B57A63B" w14:textId="77777777" w:rsidR="005B2072" w:rsidRDefault="005B2072" w:rsidP="00A2582A">
      <w:pPr>
        <w:rPr>
          <w:rFonts w:ascii="Arial Narrow" w:hAnsi="Arial Narrow" w:cs="Times New Roman"/>
          <w:iCs/>
          <w:sz w:val="18"/>
          <w:szCs w:val="18"/>
        </w:rPr>
      </w:pPr>
    </w:p>
    <w:p w14:paraId="3FB87AF0" w14:textId="77777777" w:rsidR="00A2582A" w:rsidRPr="00647C81" w:rsidRDefault="00A2582A" w:rsidP="00A2582A">
      <w:pPr>
        <w:rPr>
          <w:rFonts w:ascii="Arial Narrow" w:hAnsi="Arial Narrow" w:cs="Times New Roman"/>
          <w:iCs/>
          <w:sz w:val="18"/>
          <w:szCs w:val="18"/>
        </w:rPr>
      </w:pPr>
      <w:r>
        <w:rPr>
          <w:rFonts w:ascii="Arial Narrow" w:hAnsi="Arial Narrow" w:cs="Times New Roman"/>
          <w:iCs/>
          <w:sz w:val="18"/>
          <w:szCs w:val="18"/>
        </w:rPr>
        <w:t xml:space="preserve">Note: In calculating the DPMQ, the financial estimates assumed a maximum quantity of two packs for the 5 mg strength, however this did not appear appropriate as the requested restriction was for a maximum quantity of one pack. </w:t>
      </w:r>
    </w:p>
    <w:p w14:paraId="2351104C" w14:textId="77777777" w:rsidR="00A2582A" w:rsidRPr="00647C81" w:rsidRDefault="00A2582A" w:rsidP="00A2582A">
      <w:pPr>
        <w:keepNext/>
        <w:jc w:val="left"/>
        <w:rPr>
          <w:rFonts w:ascii="Arial Narrow" w:eastAsiaTheme="majorEastAsia" w:hAnsi="Arial Narrow" w:cs="Times New Roman"/>
          <w:b/>
          <w:sz w:val="20"/>
          <w:lang w:val="en-US"/>
        </w:rPr>
      </w:pPr>
    </w:p>
    <w:p w14:paraId="77EAF58B" w14:textId="207E06D9" w:rsidR="00A2582A" w:rsidRPr="008033F1" w:rsidRDefault="00A2582A" w:rsidP="00A2582A">
      <w:pPr>
        <w:widowControl w:val="0"/>
        <w:numPr>
          <w:ilvl w:val="1"/>
          <w:numId w:val="1"/>
        </w:numPr>
        <w:spacing w:after="120"/>
        <w:ind w:left="720" w:hanging="720"/>
        <w:rPr>
          <w:rFonts w:cs="Times New Roman"/>
        </w:rPr>
      </w:pPr>
      <w:r>
        <w:rPr>
          <w:rFonts w:asciiTheme="minorHAnsi" w:hAnsiTheme="minorHAnsi"/>
          <w:snapToGrid w:val="0"/>
          <w:lang w:val="en-GB"/>
        </w:rPr>
        <w:t>The pricing proposal stated that these changes r</w:t>
      </w:r>
      <w:r w:rsidRPr="00C450F0">
        <w:rPr>
          <w:rFonts w:asciiTheme="minorHAnsi" w:hAnsiTheme="minorHAnsi"/>
          <w:snapToGrid w:val="0"/>
          <w:lang w:val="en-GB"/>
        </w:rPr>
        <w:t xml:space="preserve">esulted in an estimated net </w:t>
      </w:r>
      <w:r>
        <w:rPr>
          <w:rFonts w:asciiTheme="minorHAnsi" w:hAnsiTheme="minorHAnsi"/>
          <w:snapToGrid w:val="0"/>
          <w:lang w:val="en-GB"/>
        </w:rPr>
        <w:t>cost</w:t>
      </w:r>
      <w:r w:rsidRPr="00C450F0">
        <w:rPr>
          <w:rFonts w:asciiTheme="minorHAnsi" w:hAnsiTheme="minorHAnsi"/>
          <w:snapToGrid w:val="0"/>
          <w:lang w:val="en-GB"/>
        </w:rPr>
        <w:t xml:space="preserve"> to the PBS/RPBS of </w:t>
      </w:r>
      <w:r w:rsidR="005B2072" w:rsidRPr="005B2072">
        <w:rPr>
          <w:rFonts w:asciiTheme="minorHAnsi" w:hAnsiTheme="minorHAnsi"/>
          <w:snapToGrid w:val="0"/>
          <w:lang w:val="en-GB"/>
        </w:rPr>
        <w:t>$10 million to &lt; $20 million</w:t>
      </w:r>
      <w:r w:rsidRPr="00C450F0">
        <w:rPr>
          <w:rFonts w:asciiTheme="minorHAnsi" w:hAnsiTheme="minorHAnsi"/>
          <w:snapToGrid w:val="0"/>
          <w:lang w:val="en-GB"/>
        </w:rPr>
        <w:t>over the first six years of listing</w:t>
      </w:r>
      <w:r>
        <w:rPr>
          <w:rFonts w:asciiTheme="minorHAnsi" w:hAnsiTheme="minorHAnsi"/>
          <w:snapToGrid w:val="0"/>
          <w:lang w:val="en-GB"/>
        </w:rPr>
        <w:t xml:space="preserve">, excluding PBS/RPBS and MBS offsets </w:t>
      </w:r>
      <w:r w:rsidRPr="00C450F0">
        <w:rPr>
          <w:rFonts w:asciiTheme="minorHAnsi" w:hAnsiTheme="minorHAnsi"/>
          <w:snapToGrid w:val="0"/>
          <w:lang w:val="en-GB"/>
        </w:rPr>
        <w:t xml:space="preserve">(compared to </w:t>
      </w:r>
      <w:r w:rsidR="005B2072" w:rsidRPr="005B2072">
        <w:rPr>
          <w:rFonts w:asciiTheme="minorHAnsi" w:hAnsiTheme="minorHAnsi"/>
          <w:snapToGrid w:val="0"/>
          <w:lang w:val="en-GB"/>
        </w:rPr>
        <w:t>$20</w:t>
      </w:r>
      <w:r w:rsidR="005B2072">
        <w:rPr>
          <w:rFonts w:asciiTheme="minorHAnsi" w:hAnsiTheme="minorHAnsi"/>
          <w:snapToGrid w:val="0"/>
          <w:lang w:val="en-GB"/>
        </w:rPr>
        <w:t xml:space="preserve">  </w:t>
      </w:r>
      <w:r w:rsidR="005B2072" w:rsidRPr="005B2072">
        <w:rPr>
          <w:rFonts w:asciiTheme="minorHAnsi" w:hAnsiTheme="minorHAnsi"/>
          <w:snapToGrid w:val="0"/>
          <w:lang w:val="en-GB"/>
        </w:rPr>
        <w:t>million</w:t>
      </w:r>
      <w:r w:rsidR="005B2072">
        <w:rPr>
          <w:rFonts w:asciiTheme="minorHAnsi" w:hAnsiTheme="minorHAnsi"/>
          <w:snapToGrid w:val="0"/>
          <w:lang w:val="en-GB"/>
        </w:rPr>
        <w:t> </w:t>
      </w:r>
      <w:r w:rsidR="005B2072" w:rsidRPr="005B2072">
        <w:rPr>
          <w:rFonts w:asciiTheme="minorHAnsi" w:hAnsiTheme="minorHAnsi"/>
          <w:snapToGrid w:val="0"/>
          <w:lang w:val="en-GB"/>
        </w:rPr>
        <w:t xml:space="preserve"> to</w:t>
      </w:r>
      <w:r w:rsidR="005B2072">
        <w:rPr>
          <w:rFonts w:asciiTheme="minorHAnsi" w:hAnsiTheme="minorHAnsi"/>
          <w:snapToGrid w:val="0"/>
          <w:lang w:val="en-GB"/>
        </w:rPr>
        <w:t> </w:t>
      </w:r>
      <w:r w:rsidR="005B2072" w:rsidRPr="005B2072">
        <w:rPr>
          <w:rFonts w:asciiTheme="minorHAnsi" w:hAnsiTheme="minorHAnsi"/>
          <w:snapToGrid w:val="0"/>
          <w:lang w:val="en-GB"/>
        </w:rPr>
        <w:t xml:space="preserve">&lt; </w:t>
      </w:r>
      <w:r w:rsidR="005B2072">
        <w:rPr>
          <w:rFonts w:asciiTheme="minorHAnsi" w:hAnsiTheme="minorHAnsi"/>
          <w:snapToGrid w:val="0"/>
          <w:lang w:val="en-GB"/>
        </w:rPr>
        <w:t> </w:t>
      </w:r>
      <w:r w:rsidR="005B2072" w:rsidRPr="005B2072">
        <w:rPr>
          <w:rFonts w:asciiTheme="minorHAnsi" w:hAnsiTheme="minorHAnsi"/>
          <w:snapToGrid w:val="0"/>
          <w:lang w:val="en-GB"/>
        </w:rPr>
        <w:t>$30</w:t>
      </w:r>
      <w:r w:rsidR="005B2072">
        <w:rPr>
          <w:rFonts w:asciiTheme="minorHAnsi" w:hAnsiTheme="minorHAnsi"/>
          <w:snapToGrid w:val="0"/>
          <w:lang w:val="en-GB"/>
        </w:rPr>
        <w:t> </w:t>
      </w:r>
      <w:r w:rsidR="005B2072" w:rsidRPr="005B2072">
        <w:rPr>
          <w:rFonts w:asciiTheme="minorHAnsi" w:hAnsiTheme="minorHAnsi"/>
          <w:snapToGrid w:val="0"/>
          <w:lang w:val="en-GB"/>
        </w:rPr>
        <w:t xml:space="preserve"> million</w:t>
      </w:r>
      <w:r w:rsidR="005B2072">
        <w:rPr>
          <w:rFonts w:asciiTheme="minorHAnsi" w:hAnsiTheme="minorHAnsi"/>
          <w:snapToGrid w:val="0"/>
          <w:lang w:val="en-GB"/>
        </w:rPr>
        <w:t> </w:t>
      </w:r>
      <w:r w:rsidRPr="00C450F0">
        <w:rPr>
          <w:rFonts w:asciiTheme="minorHAnsi" w:hAnsiTheme="minorHAnsi"/>
          <w:snapToGrid w:val="0"/>
          <w:lang w:val="en-GB"/>
        </w:rPr>
        <w:t>in the March 2022 resubmission</w:t>
      </w:r>
      <w:r>
        <w:rPr>
          <w:rFonts w:asciiTheme="minorHAnsi" w:hAnsiTheme="minorHAnsi"/>
          <w:snapToGrid w:val="0"/>
          <w:lang w:val="en-GB"/>
        </w:rPr>
        <w:t>, excluding PBS/RPBS and MBS offsets</w:t>
      </w:r>
      <w:r w:rsidRPr="00C450F0">
        <w:rPr>
          <w:rFonts w:asciiTheme="minorHAnsi" w:hAnsiTheme="minorHAnsi"/>
          <w:snapToGrid w:val="0"/>
          <w:lang w:val="en-GB"/>
        </w:rPr>
        <w:t>).</w:t>
      </w:r>
      <w:r>
        <w:rPr>
          <w:rFonts w:asciiTheme="minorHAnsi" w:hAnsiTheme="minorHAnsi"/>
          <w:snapToGrid w:val="0"/>
          <w:lang w:val="en-GB"/>
        </w:rPr>
        <w:t xml:space="preserve"> </w:t>
      </w:r>
      <w:r>
        <w:rPr>
          <w:rFonts w:cs="Times New Roman"/>
        </w:rPr>
        <w:t>As a pricing proposal, t</w:t>
      </w:r>
      <w:r>
        <w:rPr>
          <w:rFonts w:asciiTheme="minorHAnsi" w:hAnsiTheme="minorHAnsi"/>
          <w:snapToGrid w:val="0"/>
          <w:lang w:val="en-GB"/>
        </w:rPr>
        <w:t>he changes to the financial estimates were not evaluated</w:t>
      </w:r>
      <w:r>
        <w:rPr>
          <w:rFonts w:cs="Times New Roman"/>
        </w:rPr>
        <w:t>.</w:t>
      </w:r>
    </w:p>
    <w:p w14:paraId="0BDACFB5" w14:textId="60B8317D" w:rsidR="00A2582A" w:rsidRPr="00647C81" w:rsidRDefault="00A2582A" w:rsidP="00A2582A">
      <w:pPr>
        <w:widowControl w:val="0"/>
        <w:numPr>
          <w:ilvl w:val="1"/>
          <w:numId w:val="1"/>
        </w:numPr>
        <w:spacing w:after="120"/>
        <w:ind w:left="720" w:hanging="720"/>
        <w:rPr>
          <w:rFonts w:asciiTheme="minorHAnsi" w:hAnsiTheme="minorHAnsi"/>
          <w:snapToGrid w:val="0"/>
          <w:lang w:val="en-GB"/>
        </w:rPr>
      </w:pPr>
      <w:r w:rsidRPr="00647C81">
        <w:rPr>
          <w:rFonts w:asciiTheme="minorHAnsi" w:hAnsiTheme="minorHAnsi"/>
          <w:snapToGrid w:val="0"/>
          <w:lang w:val="en-GB"/>
        </w:rPr>
        <w:t>The pricing proposal offer</w:t>
      </w:r>
      <w:r>
        <w:rPr>
          <w:rFonts w:asciiTheme="minorHAnsi" w:hAnsiTheme="minorHAnsi"/>
          <w:snapToGrid w:val="0"/>
          <w:lang w:val="en-GB"/>
        </w:rPr>
        <w:t>ed</w:t>
      </w:r>
      <w:r w:rsidRPr="00647C81">
        <w:rPr>
          <w:rFonts w:asciiTheme="minorHAnsi" w:hAnsiTheme="minorHAnsi"/>
          <w:snapToGrid w:val="0"/>
          <w:lang w:val="en-GB"/>
        </w:rPr>
        <w:t xml:space="preserve"> a risk sharing arrangement (RSA)</w:t>
      </w:r>
      <w:r>
        <w:rPr>
          <w:rFonts w:asciiTheme="minorHAnsi" w:hAnsiTheme="minorHAnsi"/>
          <w:snapToGrid w:val="0"/>
          <w:lang w:val="en-GB"/>
        </w:rPr>
        <w:t xml:space="preserve"> with a rebate of </w:t>
      </w:r>
      <w:r w:rsidR="007C7C5C" w:rsidRPr="002713AA">
        <w:rPr>
          <w:rFonts w:asciiTheme="minorHAnsi" w:hAnsiTheme="minorHAnsi"/>
          <w:snapToGrid w:val="0"/>
          <w:color w:val="000000"/>
          <w:w w:val="59"/>
          <w:shd w:val="solid" w:color="000000" w:fill="000000"/>
          <w:fitText w:val="456" w:id="-1305210866"/>
          <w:lang w:val="en-GB"/>
          <w14:textFill>
            <w14:solidFill>
              <w14:srgbClr w14:val="000000">
                <w14:alpha w14:val="100000"/>
              </w14:srgbClr>
            </w14:solidFill>
          </w14:textFill>
        </w:rPr>
        <w:t>|||  ||</w:t>
      </w:r>
      <w:r w:rsidR="007C7C5C" w:rsidRPr="002713AA">
        <w:rPr>
          <w:rFonts w:asciiTheme="minorHAnsi" w:hAnsiTheme="minorHAnsi"/>
          <w:snapToGrid w:val="0"/>
          <w:color w:val="000000"/>
          <w:spacing w:val="1"/>
          <w:w w:val="59"/>
          <w:shd w:val="solid" w:color="000000" w:fill="000000"/>
          <w:fitText w:val="456" w:id="-1305210866"/>
          <w:lang w:val="en-GB"/>
          <w14:textFill>
            <w14:solidFill>
              <w14:srgbClr w14:val="000000">
                <w14:alpha w14:val="100000"/>
              </w14:srgbClr>
            </w14:solidFill>
          </w14:textFill>
        </w:rPr>
        <w:t>|</w:t>
      </w:r>
      <w:r>
        <w:rPr>
          <w:rFonts w:asciiTheme="minorHAnsi" w:hAnsiTheme="minorHAnsi"/>
          <w:snapToGrid w:val="0"/>
          <w:lang w:val="en-GB"/>
        </w:rPr>
        <w:t>% for any expenditure over the financial impact estimates</w:t>
      </w:r>
      <w:r w:rsidRPr="00647C81">
        <w:rPr>
          <w:rFonts w:asciiTheme="minorHAnsi" w:hAnsiTheme="minorHAnsi"/>
          <w:snapToGrid w:val="0"/>
          <w:lang w:val="en-GB"/>
        </w:rPr>
        <w:t>.</w:t>
      </w:r>
    </w:p>
    <w:p w14:paraId="645F101E" w14:textId="77777777" w:rsidR="00A2582A" w:rsidRPr="00647C81" w:rsidRDefault="00A2582A" w:rsidP="00A2582A">
      <w:pPr>
        <w:pStyle w:val="2-SectionHeading"/>
        <w:numPr>
          <w:ilvl w:val="0"/>
          <w:numId w:val="1"/>
        </w:numPr>
      </w:pPr>
      <w:r w:rsidRPr="00647C81">
        <w:t>PBAC Outcome</w:t>
      </w:r>
    </w:p>
    <w:p w14:paraId="2DFA4609" w14:textId="77777777" w:rsidR="00A2582A" w:rsidRDefault="00A2582A" w:rsidP="00A2582A">
      <w:pPr>
        <w:keepLines/>
        <w:widowControl w:val="0"/>
        <w:numPr>
          <w:ilvl w:val="1"/>
          <w:numId w:val="1"/>
        </w:numPr>
        <w:spacing w:after="120"/>
        <w:ind w:left="720" w:hanging="720"/>
        <w:rPr>
          <w:rFonts w:asciiTheme="minorHAnsi" w:hAnsiTheme="minorHAnsi"/>
          <w:snapToGrid w:val="0"/>
          <w:lang w:val="en-GB"/>
        </w:rPr>
      </w:pPr>
      <w:r w:rsidRPr="00AC441C">
        <w:rPr>
          <w:rFonts w:asciiTheme="minorHAnsi" w:hAnsiTheme="minorHAnsi"/>
          <w:snapToGrid w:val="0"/>
          <w:lang w:val="en-GB"/>
        </w:rPr>
        <w:t xml:space="preserve">The PBAC recommended the listing of ruxolitinib for the treatment of </w:t>
      </w:r>
      <w:r w:rsidRPr="009D0CFA">
        <w:t xml:space="preserve">patients </w:t>
      </w:r>
      <w:r>
        <w:t xml:space="preserve">with </w:t>
      </w:r>
      <w:r w:rsidRPr="009D0CFA">
        <w:t xml:space="preserve">moderate to severe </w:t>
      </w:r>
      <w:r>
        <w:t>c</w:t>
      </w:r>
      <w:r w:rsidRPr="009D0CFA">
        <w:t>GVHD who are refractory to, dependent on</w:t>
      </w:r>
      <w:r>
        <w:t>,</w:t>
      </w:r>
      <w:r w:rsidRPr="009D0CFA">
        <w:t xml:space="preserve"> or intolerant of corticosteroids</w:t>
      </w:r>
      <w:r w:rsidRPr="00AC441C">
        <w:rPr>
          <w:rFonts w:asciiTheme="minorHAnsi" w:hAnsiTheme="minorHAnsi"/>
          <w:snapToGrid w:val="0"/>
          <w:lang w:val="en-GB"/>
        </w:rPr>
        <w:t xml:space="preserve">. The PBAC was satisfied that ruxolitinib provides, for some patients, a significant improvement in efficacy, including an improvement in ORR, compared with </w:t>
      </w:r>
      <w:r>
        <w:rPr>
          <w:rFonts w:asciiTheme="minorHAnsi" w:hAnsiTheme="minorHAnsi"/>
          <w:snapToGrid w:val="0"/>
          <w:lang w:val="en-GB"/>
        </w:rPr>
        <w:t>B</w:t>
      </w:r>
      <w:r w:rsidRPr="00AC441C">
        <w:rPr>
          <w:rFonts w:asciiTheme="minorHAnsi" w:hAnsiTheme="minorHAnsi"/>
          <w:snapToGrid w:val="0"/>
          <w:lang w:val="en-GB"/>
        </w:rPr>
        <w:t xml:space="preserve">AT. </w:t>
      </w:r>
      <w:r>
        <w:rPr>
          <w:lang w:val="en-GB"/>
        </w:rPr>
        <w:t xml:space="preserve">The PBAC considered that the pricing proposal’s </w:t>
      </w:r>
      <w:r w:rsidRPr="004852CC">
        <w:rPr>
          <w:lang w:val="en-GB"/>
        </w:rPr>
        <w:t xml:space="preserve">changes to the economic model </w:t>
      </w:r>
      <w:r>
        <w:rPr>
          <w:lang w:val="en-GB"/>
        </w:rPr>
        <w:t>parameters adequately addressed its previous concerns</w:t>
      </w:r>
      <w:r w:rsidRPr="004852CC">
        <w:rPr>
          <w:lang w:val="en-GB"/>
        </w:rPr>
        <w:t xml:space="preserve"> </w:t>
      </w:r>
      <w:r>
        <w:rPr>
          <w:lang w:val="en-GB"/>
        </w:rPr>
        <w:t>and that ruxolitinib would be acceptably cost-effective at the price proposed. Further, the PBAC considered that the pricing proposal’s changes to the financial estimates were reasonable.</w:t>
      </w:r>
      <w:r w:rsidRPr="00AC441C">
        <w:rPr>
          <w:rFonts w:asciiTheme="minorHAnsi" w:hAnsiTheme="minorHAnsi"/>
          <w:snapToGrid w:val="0"/>
          <w:lang w:val="en-GB"/>
        </w:rPr>
        <w:t xml:space="preserve"> </w:t>
      </w:r>
    </w:p>
    <w:p w14:paraId="755D99C3" w14:textId="77777777" w:rsidR="00A2582A" w:rsidRDefault="00A2582A" w:rsidP="00A2582A">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considered that there was a high unmet need for effective therapies to treat this condition.</w:t>
      </w:r>
      <w:r w:rsidRPr="00542649">
        <w:rPr>
          <w:rFonts w:asciiTheme="minorHAnsi" w:hAnsiTheme="minorHAnsi"/>
          <w:snapToGrid w:val="0"/>
          <w:lang w:val="en-GB"/>
        </w:rPr>
        <w:t xml:space="preserve"> </w:t>
      </w:r>
      <w:r>
        <w:rPr>
          <w:rFonts w:asciiTheme="minorHAnsi" w:hAnsiTheme="minorHAnsi"/>
          <w:snapToGrid w:val="0"/>
          <w:lang w:val="en-GB"/>
        </w:rPr>
        <w:t xml:space="preserve">The PBAC re-iterated its previous consideration that the claims </w:t>
      </w:r>
      <w:r w:rsidRPr="001C47F4">
        <w:rPr>
          <w:szCs w:val="20"/>
        </w:rPr>
        <w:t xml:space="preserve">of superior effectiveness </w:t>
      </w:r>
      <w:r>
        <w:rPr>
          <w:szCs w:val="20"/>
        </w:rPr>
        <w:t xml:space="preserve">and </w:t>
      </w:r>
      <w:r>
        <w:rPr>
          <w:rFonts w:asciiTheme="minorHAnsi" w:hAnsiTheme="minorHAnsi"/>
          <w:snapToGrid w:val="0"/>
          <w:lang w:val="en-GB"/>
        </w:rPr>
        <w:t xml:space="preserve">non-inferior safety compared with BAT were reasonable. </w:t>
      </w:r>
    </w:p>
    <w:p w14:paraId="22E0CD85" w14:textId="04F3260D" w:rsidR="00A2582A" w:rsidRPr="00CE2376" w:rsidRDefault="00A2582A" w:rsidP="00A2582A">
      <w:pPr>
        <w:pStyle w:val="ExecSumBodyText"/>
        <w:numPr>
          <w:ilvl w:val="1"/>
          <w:numId w:val="1"/>
        </w:numPr>
        <w:rPr>
          <w:rFonts w:ascii="Calibri" w:hAnsi="Calibri" w:cs="Times New Roman"/>
          <w:snapToGrid/>
        </w:rPr>
      </w:pPr>
      <w:r w:rsidRPr="00AC441C">
        <w:t>The PBAC noted the pricing proposal</w:t>
      </w:r>
      <w:r>
        <w:t xml:space="preserve">, in which the economic model was revised to apply a ten year time horizon and a reduction to the price of ruxolitinib, resulted in an ICER of </w:t>
      </w:r>
      <w:r w:rsidR="005B2072" w:rsidRPr="005B2072">
        <w:t>$45,000 to &lt; $55,000</w:t>
      </w:r>
      <w:r>
        <w:t>per QALY. The PBAC noted these changes were consistent with its previous advice (</w:t>
      </w:r>
      <w:r w:rsidRPr="00542649">
        <w:t xml:space="preserve">refer to paragraphs </w:t>
      </w:r>
      <w:r>
        <w:fldChar w:fldCharType="begin"/>
      </w:r>
      <w:r>
        <w:instrText xml:space="preserve"> REF _Ref109395412 \r \h </w:instrText>
      </w:r>
      <w:r>
        <w:fldChar w:fldCharType="separate"/>
      </w:r>
      <w:r w:rsidR="00BD1016">
        <w:t>7.26</w:t>
      </w:r>
      <w:r>
        <w:fldChar w:fldCharType="end"/>
      </w:r>
      <w:r w:rsidRPr="00542649">
        <w:t xml:space="preserve"> and </w:t>
      </w:r>
      <w:r>
        <w:fldChar w:fldCharType="begin"/>
      </w:r>
      <w:r>
        <w:instrText xml:space="preserve"> REF _Ref118449131 \r \h </w:instrText>
      </w:r>
      <w:r>
        <w:fldChar w:fldCharType="separate"/>
      </w:r>
      <w:r w:rsidR="00BD1016">
        <w:rPr>
          <w:b/>
          <w:bCs/>
          <w:lang w:val="en-US"/>
        </w:rPr>
        <w:t>Error! Reference source not found.</w:t>
      </w:r>
      <w:r>
        <w:fldChar w:fldCharType="end"/>
      </w:r>
      <w:r w:rsidRPr="00542649">
        <w:t>).</w:t>
      </w:r>
      <w:r w:rsidRPr="00CE2376">
        <w:t xml:space="preserve"> </w:t>
      </w:r>
      <w:r w:rsidRPr="00CE2376">
        <w:rPr>
          <w:rFonts w:ascii="Calibri" w:hAnsi="Calibri" w:cs="Times New Roman"/>
          <w:snapToGrid/>
        </w:rPr>
        <w:t xml:space="preserve">The </w:t>
      </w:r>
      <w:r>
        <w:rPr>
          <w:rFonts w:ascii="Calibri" w:hAnsi="Calibri" w:cs="Times New Roman"/>
          <w:snapToGrid/>
        </w:rPr>
        <w:t>PBAC considered</w:t>
      </w:r>
      <w:r w:rsidRPr="00CE2376">
        <w:rPr>
          <w:rFonts w:ascii="Calibri" w:hAnsi="Calibri" w:cs="Times New Roman"/>
          <w:snapToGrid/>
        </w:rPr>
        <w:t xml:space="preserve"> that the cost-effectiveness of ruxolitinib would be acceptable at the </w:t>
      </w:r>
      <w:r>
        <w:rPr>
          <w:rFonts w:ascii="Calibri" w:hAnsi="Calibri" w:cs="Times New Roman"/>
          <w:snapToGrid/>
        </w:rPr>
        <w:t xml:space="preserve">revised </w:t>
      </w:r>
      <w:r w:rsidRPr="00CE2376">
        <w:rPr>
          <w:rFonts w:ascii="Calibri" w:hAnsi="Calibri" w:cs="Times New Roman"/>
          <w:snapToGrid/>
        </w:rPr>
        <w:t>price proposed.</w:t>
      </w:r>
    </w:p>
    <w:p w14:paraId="25392E93" w14:textId="14459DCB" w:rsidR="00A2582A" w:rsidRDefault="00A2582A" w:rsidP="00A2582A">
      <w:pPr>
        <w:pStyle w:val="3-BodyText"/>
        <w:numPr>
          <w:ilvl w:val="1"/>
          <w:numId w:val="1"/>
        </w:numPr>
        <w:ind w:left="709" w:hanging="709"/>
        <w:rPr>
          <w:lang w:val="en-GB"/>
        </w:rPr>
      </w:pPr>
      <w:r>
        <w:rPr>
          <w:lang w:val="en-GB"/>
        </w:rPr>
        <w:t>T</w:t>
      </w:r>
      <w:r w:rsidRPr="008533B1">
        <w:rPr>
          <w:lang w:val="en-GB"/>
        </w:rPr>
        <w:t xml:space="preserve">he PBAC considered that the </w:t>
      </w:r>
      <w:r>
        <w:rPr>
          <w:lang w:val="en-GB"/>
        </w:rPr>
        <w:t>proposed</w:t>
      </w:r>
      <w:r w:rsidRPr="008533B1">
        <w:rPr>
          <w:lang w:val="en-GB"/>
        </w:rPr>
        <w:t xml:space="preserve"> changes to the financial estimates </w:t>
      </w:r>
      <w:r>
        <w:rPr>
          <w:lang w:val="en-GB"/>
        </w:rPr>
        <w:t xml:space="preserve">were consistent with its suggestions in the July and September 2022 PBAC </w:t>
      </w:r>
      <w:r w:rsidR="0001328A">
        <w:rPr>
          <w:lang w:val="en-GB"/>
        </w:rPr>
        <w:t>PSD</w:t>
      </w:r>
      <w:r w:rsidRPr="008533B1">
        <w:rPr>
          <w:lang w:val="en-GB"/>
        </w:rPr>
        <w:t>.</w:t>
      </w:r>
      <w:r>
        <w:rPr>
          <w:lang w:val="en-GB"/>
        </w:rPr>
        <w:t xml:space="preserve"> The PBAC considered that the revised estimated financial impact of listing ruxolitinib for cGVHD, as outlined in the pricing proposal, was reasonable. </w:t>
      </w:r>
    </w:p>
    <w:p w14:paraId="1DBC8D47" w14:textId="3B4F0093" w:rsidR="00A2582A" w:rsidRPr="00AC441C" w:rsidRDefault="00A2582A" w:rsidP="00A2582A">
      <w:pPr>
        <w:pStyle w:val="3-BodyText"/>
        <w:numPr>
          <w:ilvl w:val="1"/>
          <w:numId w:val="1"/>
        </w:numPr>
        <w:ind w:left="709" w:hanging="709"/>
        <w:rPr>
          <w:lang w:val="en-GB"/>
        </w:rPr>
      </w:pPr>
      <w:r>
        <w:rPr>
          <w:lang w:val="en-GB"/>
        </w:rPr>
        <w:t xml:space="preserve">The PBAC noted </w:t>
      </w:r>
      <w:r w:rsidRPr="001408D0">
        <w:rPr>
          <w:lang w:val="en-GB"/>
        </w:rPr>
        <w:t xml:space="preserve">a </w:t>
      </w:r>
      <w:r w:rsidR="007C7C5C" w:rsidRPr="002713AA">
        <w:rPr>
          <w:color w:val="000000"/>
          <w:w w:val="59"/>
          <w:shd w:val="solid" w:color="000000" w:fill="000000"/>
          <w:fitText w:val="456" w:id="-1305210865"/>
          <w:lang w:val="en-GB"/>
          <w14:textFill>
            <w14:solidFill>
              <w14:srgbClr w14:val="000000">
                <w14:alpha w14:val="100000"/>
              </w14:srgbClr>
            </w14:solidFill>
          </w14:textFill>
        </w:rPr>
        <w:t>|||  ||</w:t>
      </w:r>
      <w:r w:rsidR="007C7C5C" w:rsidRPr="002713AA">
        <w:rPr>
          <w:color w:val="000000"/>
          <w:spacing w:val="1"/>
          <w:w w:val="59"/>
          <w:shd w:val="solid" w:color="000000" w:fill="000000"/>
          <w:fitText w:val="456" w:id="-1305210865"/>
          <w:lang w:val="en-GB"/>
          <w14:textFill>
            <w14:solidFill>
              <w14:srgbClr w14:val="000000">
                <w14:alpha w14:val="100000"/>
              </w14:srgbClr>
            </w14:solidFill>
          </w14:textFill>
        </w:rPr>
        <w:t>|</w:t>
      </w:r>
      <w:r w:rsidRPr="001408D0">
        <w:rPr>
          <w:lang w:val="en-GB"/>
        </w:rPr>
        <w:t xml:space="preserve">% rebate </w:t>
      </w:r>
      <w:r>
        <w:rPr>
          <w:lang w:val="en-GB"/>
        </w:rPr>
        <w:t xml:space="preserve">was proposed for </w:t>
      </w:r>
      <w:r w:rsidRPr="001408D0">
        <w:rPr>
          <w:lang w:val="en-GB"/>
        </w:rPr>
        <w:t xml:space="preserve">use above the estimated financial implications. The </w:t>
      </w:r>
      <w:r w:rsidRPr="00AC441C">
        <w:rPr>
          <w:lang w:val="en-GB"/>
        </w:rPr>
        <w:t>PBAC considered this was appropriate and would adequately address the uncertainty around the duration of treatment and the lack of data on when patients should cease ruxolitinib treatment.</w:t>
      </w:r>
    </w:p>
    <w:p w14:paraId="6584A865" w14:textId="038B73A0" w:rsidR="00A2582A" w:rsidRPr="00AC441C" w:rsidRDefault="00A2582A" w:rsidP="00A2582A">
      <w:pPr>
        <w:widowControl w:val="0"/>
        <w:numPr>
          <w:ilvl w:val="1"/>
          <w:numId w:val="1"/>
        </w:numPr>
        <w:spacing w:after="120"/>
        <w:ind w:left="720" w:hanging="720"/>
        <w:rPr>
          <w:rFonts w:asciiTheme="minorHAnsi" w:hAnsiTheme="minorHAnsi"/>
          <w:snapToGrid w:val="0"/>
          <w:lang w:val="en-GB"/>
        </w:rPr>
      </w:pPr>
      <w:r w:rsidRPr="00AC441C">
        <w:rPr>
          <w:rFonts w:cs="Times New Roman"/>
        </w:rPr>
        <w:t>The PBAC considered that the restriction</w:t>
      </w:r>
      <w:r>
        <w:rPr>
          <w:rFonts w:cs="Times New Roman"/>
        </w:rPr>
        <w:t>s</w:t>
      </w:r>
      <w:r w:rsidRPr="00AC441C">
        <w:rPr>
          <w:rFonts w:cs="Times New Roman"/>
        </w:rPr>
        <w:t xml:space="preserve"> proposed in July 2022, w</w:t>
      </w:r>
      <w:r>
        <w:rPr>
          <w:rFonts w:cs="Times New Roman"/>
        </w:rPr>
        <w:t>ith</w:t>
      </w:r>
      <w:r w:rsidRPr="00AC441C">
        <w:rPr>
          <w:rFonts w:cs="Times New Roman"/>
        </w:rPr>
        <w:t xml:space="preserve"> the amendments previously suggested by the Secretariat and </w:t>
      </w:r>
      <w:r>
        <w:rPr>
          <w:rFonts w:cs="Times New Roman"/>
        </w:rPr>
        <w:t xml:space="preserve">the </w:t>
      </w:r>
      <w:r w:rsidRPr="00AC441C">
        <w:rPr>
          <w:rFonts w:cs="Times New Roman"/>
        </w:rPr>
        <w:t xml:space="preserve">PBAC in paragraph </w:t>
      </w:r>
      <w:r w:rsidRPr="00AC441C">
        <w:rPr>
          <w:rFonts w:cs="Times New Roman"/>
        </w:rPr>
        <w:fldChar w:fldCharType="begin"/>
      </w:r>
      <w:r w:rsidRPr="00AC441C">
        <w:rPr>
          <w:rFonts w:cs="Times New Roman"/>
        </w:rPr>
        <w:instrText xml:space="preserve"> REF _Ref118704135 \r \h </w:instrText>
      </w:r>
      <w:r>
        <w:rPr>
          <w:rFonts w:cs="Times New Roman"/>
        </w:rPr>
        <w:instrText xml:space="preserve"> \* MERGEFORMAT </w:instrText>
      </w:r>
      <w:r w:rsidRPr="00AC441C">
        <w:rPr>
          <w:rFonts w:cs="Times New Roman"/>
        </w:rPr>
        <w:fldChar w:fldCharType="separate"/>
      </w:r>
      <w:r w:rsidR="00BD1016">
        <w:rPr>
          <w:rFonts w:cs="Times New Roman"/>
          <w:b/>
          <w:bCs/>
          <w:lang w:val="en-US"/>
        </w:rPr>
        <w:t>Error! Reference source not found.</w:t>
      </w:r>
      <w:r w:rsidRPr="00AC441C">
        <w:rPr>
          <w:rFonts w:cs="Times New Roman"/>
        </w:rPr>
        <w:fldChar w:fldCharType="end"/>
      </w:r>
      <w:r>
        <w:rPr>
          <w:rFonts w:cs="Times New Roman"/>
        </w:rPr>
        <w:t>,</w:t>
      </w:r>
      <w:r w:rsidRPr="00AC441C">
        <w:rPr>
          <w:rFonts w:cs="Times New Roman"/>
        </w:rPr>
        <w:t xml:space="preserve"> w</w:t>
      </w:r>
      <w:r>
        <w:rPr>
          <w:rFonts w:cs="Times New Roman"/>
        </w:rPr>
        <w:t>ere</w:t>
      </w:r>
      <w:r w:rsidRPr="00AC441C">
        <w:rPr>
          <w:rFonts w:cs="Times New Roman"/>
        </w:rPr>
        <w:t xml:space="preserve"> </w:t>
      </w:r>
      <w:r>
        <w:rPr>
          <w:rFonts w:cs="Times New Roman"/>
        </w:rPr>
        <w:t>reasonable</w:t>
      </w:r>
      <w:r w:rsidRPr="00AC441C">
        <w:rPr>
          <w:rFonts w:cs="Times New Roman"/>
        </w:rPr>
        <w:t>.</w:t>
      </w:r>
      <w:r>
        <w:rPr>
          <w:rFonts w:cs="Times New Roman"/>
        </w:rPr>
        <w:t xml:space="preserve"> The PBAC also considered that a response to ruxolitinib should be confirmed after 24 weeks and that a prescribing instruction should be added to the continuing restriction regarding the tapering of corticosteroids and ruxolitinib.</w:t>
      </w:r>
      <w:r w:rsidRPr="00AC441C">
        <w:rPr>
          <w:rFonts w:cs="Times New Roman"/>
        </w:rPr>
        <w:t xml:space="preserve"> </w:t>
      </w:r>
    </w:p>
    <w:p w14:paraId="2D3D0F19" w14:textId="77777777" w:rsidR="00A2582A" w:rsidRPr="00AC441C" w:rsidRDefault="00A2582A" w:rsidP="00A2582A">
      <w:pPr>
        <w:widowControl w:val="0"/>
        <w:numPr>
          <w:ilvl w:val="1"/>
          <w:numId w:val="1"/>
        </w:numPr>
        <w:spacing w:after="120"/>
        <w:ind w:left="720" w:hanging="720"/>
        <w:rPr>
          <w:rFonts w:asciiTheme="minorHAnsi" w:hAnsiTheme="minorHAnsi"/>
          <w:snapToGrid w:val="0"/>
          <w:lang w:val="en-GB"/>
        </w:rPr>
      </w:pPr>
      <w:r w:rsidRPr="00AC441C">
        <w:rPr>
          <w:rFonts w:asciiTheme="minorHAnsi" w:hAnsiTheme="minorHAnsi"/>
          <w:snapToGrid w:val="0"/>
          <w:lang w:val="en-GB"/>
        </w:rPr>
        <w:t xml:space="preserve">The PBAC found that the criteria prescribed by the </w:t>
      </w:r>
      <w:r w:rsidRPr="00AC441C">
        <w:rPr>
          <w:rFonts w:asciiTheme="minorHAnsi" w:hAnsiTheme="minorHAnsi"/>
          <w:i/>
          <w:iCs/>
          <w:snapToGrid w:val="0"/>
          <w:lang w:val="en-GB"/>
        </w:rPr>
        <w:t>National Health (Pharmaceuticals and Vaccines – Cost Recovery) Regulations 2022</w:t>
      </w:r>
      <w:r w:rsidRPr="00AC441C">
        <w:rPr>
          <w:rFonts w:asciiTheme="minorHAnsi" w:hAnsiTheme="minorHAnsi"/>
          <w:snapToGrid w:val="0"/>
          <w:lang w:val="en-GB"/>
        </w:rPr>
        <w:t xml:space="preserve"> for Pricing Pathway A were met. Specifically, the PBAC found that in the circumstances of its recommendation for ruxolitinib for the treatment of cGVHD:</w:t>
      </w:r>
    </w:p>
    <w:p w14:paraId="1A78F4D9" w14:textId="77777777" w:rsidR="00A2582A" w:rsidRPr="00AC441C" w:rsidRDefault="00A2582A" w:rsidP="00A2582A">
      <w:pPr>
        <w:widowControl w:val="0"/>
        <w:numPr>
          <w:ilvl w:val="0"/>
          <w:numId w:val="29"/>
        </w:numPr>
        <w:spacing w:after="120"/>
        <w:ind w:left="1077" w:hanging="357"/>
        <w:rPr>
          <w:rFonts w:asciiTheme="minorHAnsi" w:hAnsiTheme="minorHAnsi"/>
          <w:snapToGrid w:val="0"/>
          <w:lang w:val="en-GB"/>
        </w:rPr>
      </w:pPr>
      <w:r w:rsidRPr="00AC441C">
        <w:rPr>
          <w:rFonts w:asciiTheme="minorHAnsi" w:hAnsiTheme="minorHAnsi"/>
          <w:snapToGrid w:val="0"/>
          <w:lang w:val="en-GB"/>
        </w:rPr>
        <w:t xml:space="preserve">The treatment is expected to provide a substantial and clinically relevant improvement in efficacy over </w:t>
      </w:r>
      <w:r w:rsidRPr="00AC441C">
        <w:t>BAT on the basis of the ORR gain observed in REACH3</w:t>
      </w:r>
      <w:r w:rsidRPr="00AC441C">
        <w:rPr>
          <w:rFonts w:asciiTheme="minorHAnsi" w:hAnsiTheme="minorHAnsi"/>
          <w:snapToGrid w:val="0"/>
          <w:lang w:val="en-GB"/>
        </w:rPr>
        <w:t>;</w:t>
      </w:r>
    </w:p>
    <w:p w14:paraId="2D55D63D" w14:textId="77777777" w:rsidR="00A2582A" w:rsidRPr="007D71EE" w:rsidRDefault="00A2582A" w:rsidP="00A2582A">
      <w:pPr>
        <w:pStyle w:val="ListParagraph"/>
        <w:numPr>
          <w:ilvl w:val="0"/>
          <w:numId w:val="29"/>
        </w:numPr>
        <w:autoSpaceDE w:val="0"/>
        <w:autoSpaceDN w:val="0"/>
        <w:adjustRightInd w:val="0"/>
        <w:spacing w:after="120"/>
      </w:pPr>
      <w:r w:rsidRPr="007D71EE">
        <w:t xml:space="preserve">The treatment is expected to address a high and urgent unmet clinical need </w:t>
      </w:r>
      <w:r>
        <w:t>in the proposed population;</w:t>
      </w:r>
    </w:p>
    <w:p w14:paraId="5108BED9" w14:textId="77777777" w:rsidR="00A2582A" w:rsidRPr="007D71EE" w:rsidRDefault="00A2582A" w:rsidP="00A2582A">
      <w:pPr>
        <w:pStyle w:val="ListParagraph"/>
        <w:numPr>
          <w:ilvl w:val="0"/>
          <w:numId w:val="29"/>
        </w:numPr>
        <w:autoSpaceDE w:val="0"/>
        <w:autoSpaceDN w:val="0"/>
        <w:adjustRightInd w:val="0"/>
        <w:spacing w:after="120"/>
      </w:pPr>
      <w:r w:rsidRPr="007D71EE">
        <w:t>It would be in the public interest for the subsequent pricing application to be progressed under Pricing Pathway A on the basis of the preceding findings</w:t>
      </w:r>
      <w:r>
        <w:t>.</w:t>
      </w:r>
    </w:p>
    <w:p w14:paraId="578E58C2" w14:textId="77777777" w:rsidR="00A2582A" w:rsidRPr="00647C81" w:rsidRDefault="00A2582A" w:rsidP="00A2582A">
      <w:pPr>
        <w:widowControl w:val="0"/>
        <w:numPr>
          <w:ilvl w:val="1"/>
          <w:numId w:val="1"/>
        </w:numPr>
        <w:spacing w:after="120"/>
        <w:ind w:left="720" w:hanging="720"/>
        <w:rPr>
          <w:rFonts w:asciiTheme="minorHAnsi" w:hAnsiTheme="minorHAnsi"/>
          <w:snapToGrid w:val="0"/>
          <w:lang w:val="en-GB"/>
        </w:rPr>
      </w:pPr>
      <w:r w:rsidRPr="00647C81">
        <w:rPr>
          <w:rFonts w:asciiTheme="minorHAnsi" w:hAnsiTheme="minorHAnsi"/>
          <w:snapToGrid w:val="0"/>
          <w:lang w:val="en-GB"/>
        </w:rPr>
        <w:t>The PBAC noted that this submission was not eligible for an Independent Review as it is a positive recommendation.</w:t>
      </w:r>
    </w:p>
    <w:p w14:paraId="0AEFE0B9" w14:textId="77777777" w:rsidR="00A2582A" w:rsidRPr="00647C81" w:rsidRDefault="00A2582A" w:rsidP="00A2582A">
      <w:pPr>
        <w:rPr>
          <w:rFonts w:asciiTheme="minorHAnsi" w:hAnsiTheme="minorHAnsi"/>
          <w:b/>
          <w:snapToGrid w:val="0"/>
          <w:lang w:val="en-GB"/>
        </w:rPr>
      </w:pPr>
      <w:r w:rsidRPr="00647C81">
        <w:rPr>
          <w:rFonts w:asciiTheme="minorHAnsi" w:hAnsiTheme="minorHAnsi"/>
          <w:b/>
          <w:snapToGrid w:val="0"/>
          <w:lang w:val="en-GB"/>
        </w:rPr>
        <w:t>Outcome:</w:t>
      </w:r>
    </w:p>
    <w:p w14:paraId="2F8CCF4E" w14:textId="77777777" w:rsidR="00A2582A" w:rsidRDefault="00A2582A" w:rsidP="00A2582A">
      <w:pPr>
        <w:rPr>
          <w:rFonts w:asciiTheme="minorHAnsi" w:hAnsiTheme="minorHAnsi"/>
          <w:bCs/>
          <w:snapToGrid w:val="0"/>
          <w:lang w:val="en-GB"/>
        </w:rPr>
      </w:pPr>
      <w:r w:rsidRPr="00647C81">
        <w:rPr>
          <w:rFonts w:asciiTheme="minorHAnsi" w:hAnsiTheme="minorHAnsi"/>
          <w:bCs/>
          <w:snapToGrid w:val="0"/>
          <w:lang w:val="en-GB"/>
        </w:rPr>
        <w:t>Recommended</w:t>
      </w:r>
    </w:p>
    <w:p w14:paraId="47F9C2B8" w14:textId="77777777" w:rsidR="00A2582A" w:rsidRDefault="00A2582A" w:rsidP="00A2582A">
      <w:pPr>
        <w:rPr>
          <w:rFonts w:asciiTheme="minorHAnsi" w:hAnsiTheme="minorHAnsi"/>
          <w:bCs/>
          <w:snapToGrid w:val="0"/>
          <w:lang w:val="en-GB"/>
        </w:rPr>
      </w:pPr>
    </w:p>
    <w:p w14:paraId="2036CB8F" w14:textId="77777777" w:rsidR="00A2582A" w:rsidRDefault="00A2582A">
      <w:pPr>
        <w:jc w:val="left"/>
        <w:rPr>
          <w:rFonts w:asciiTheme="minorHAnsi" w:hAnsiTheme="minorHAnsi"/>
          <w:b/>
          <w:snapToGrid w:val="0"/>
          <w:sz w:val="32"/>
          <w:szCs w:val="32"/>
        </w:rPr>
      </w:pPr>
      <w:r>
        <w:rPr>
          <w:rFonts w:asciiTheme="minorHAnsi" w:hAnsiTheme="minorHAnsi"/>
          <w:b/>
          <w:snapToGrid w:val="0"/>
          <w:sz w:val="32"/>
          <w:szCs w:val="32"/>
        </w:rPr>
        <w:br w:type="page"/>
      </w:r>
    </w:p>
    <w:p w14:paraId="3CF31CBE" w14:textId="3F9A8CBE" w:rsidR="00A2582A" w:rsidRPr="00647C81" w:rsidRDefault="00A2582A" w:rsidP="00A2582A">
      <w:pPr>
        <w:keepNext/>
        <w:spacing w:before="240" w:after="120"/>
        <w:ind w:left="720" w:hanging="720"/>
        <w:jc w:val="left"/>
        <w:outlineLvl w:val="0"/>
        <w:rPr>
          <w:rFonts w:asciiTheme="minorHAnsi" w:hAnsiTheme="minorHAnsi"/>
          <w:b/>
          <w:snapToGrid w:val="0"/>
          <w:sz w:val="32"/>
          <w:szCs w:val="32"/>
        </w:rPr>
      </w:pPr>
      <w:r>
        <w:rPr>
          <w:rFonts w:asciiTheme="minorHAnsi" w:hAnsiTheme="minorHAnsi"/>
          <w:b/>
          <w:snapToGrid w:val="0"/>
          <w:sz w:val="32"/>
          <w:szCs w:val="32"/>
        </w:rPr>
        <w:t>18</w:t>
      </w:r>
      <w:r>
        <w:rPr>
          <w:rFonts w:asciiTheme="minorHAnsi" w:hAnsiTheme="minorHAnsi"/>
          <w:b/>
          <w:snapToGrid w:val="0"/>
          <w:sz w:val="32"/>
          <w:szCs w:val="32"/>
        </w:rPr>
        <w:tab/>
      </w:r>
      <w:r w:rsidRPr="00647C81">
        <w:rPr>
          <w:rFonts w:asciiTheme="minorHAnsi" w:hAnsiTheme="minorHAnsi"/>
          <w:b/>
          <w:snapToGrid w:val="0"/>
          <w:sz w:val="32"/>
          <w:szCs w:val="32"/>
        </w:rPr>
        <w:t>Recommended listing</w:t>
      </w:r>
    </w:p>
    <w:p w14:paraId="55A27ABE" w14:textId="77777777" w:rsidR="00A2582A" w:rsidRPr="000611DC" w:rsidRDefault="00A2582A" w:rsidP="00A2582A">
      <w:pPr>
        <w:numPr>
          <w:ilvl w:val="1"/>
          <w:numId w:val="0"/>
        </w:numPr>
        <w:spacing w:after="120"/>
        <w:ind w:left="720" w:hanging="720"/>
        <w:jc w:val="left"/>
      </w:pPr>
      <w:r w:rsidRPr="00647C81">
        <w:rPr>
          <w:rFonts w:asciiTheme="minorHAnsi" w:eastAsiaTheme="minorHAnsi" w:hAnsiTheme="minorHAnsi" w:cstheme="minorBidi"/>
          <w:snapToGrid w:val="0"/>
          <w:szCs w:val="22"/>
          <w:lang w:val="en-GB"/>
        </w:rPr>
        <w:t>Add new item</w:t>
      </w:r>
      <w:r>
        <w:rPr>
          <w:rFonts w:asciiTheme="minorHAnsi" w:eastAsiaTheme="minorHAnsi" w:hAnsiTheme="minorHAnsi" w:cstheme="minorBidi"/>
          <w:snapToGrid w:val="0"/>
          <w:szCs w:val="22"/>
          <w:lang w:val="en-GB"/>
        </w:rPr>
        <w:t xml:space="preserve"> for cGVHD</w:t>
      </w:r>
      <w:r w:rsidRPr="00647C81">
        <w:rPr>
          <w:rFonts w:asciiTheme="minorHAnsi" w:eastAsiaTheme="minorHAnsi" w:hAnsiTheme="minorHAnsi" w:cstheme="minorBidi"/>
          <w:snapToGrid w:val="0"/>
          <w:szCs w:val="22"/>
          <w:lang w:val="en-GB"/>
        </w:rPr>
        <w:t>:</w:t>
      </w:r>
    </w:p>
    <w:tbl>
      <w:tblPr>
        <w:tblW w:w="9015" w:type="dxa"/>
        <w:tblBorders>
          <w:top w:val="single" w:sz="4" w:space="0" w:color="auto"/>
          <w:bottom w:val="single" w:sz="4" w:space="0" w:color="auto"/>
          <w:insideH w:val="single" w:sz="4" w:space="0" w:color="auto"/>
        </w:tblBorders>
        <w:tblLook w:val="04A0" w:firstRow="1" w:lastRow="0" w:firstColumn="1" w:lastColumn="0" w:noHBand="0" w:noVBand="1"/>
      </w:tblPr>
      <w:tblGrid>
        <w:gridCol w:w="2632"/>
        <w:gridCol w:w="1595"/>
        <w:gridCol w:w="1596"/>
        <w:gridCol w:w="1407"/>
        <w:gridCol w:w="1785"/>
      </w:tblGrid>
      <w:tr w:rsidR="00A2582A" w:rsidRPr="002C71CE" w14:paraId="2320B356" w14:textId="77777777" w:rsidTr="0045628D">
        <w:tc>
          <w:tcPr>
            <w:tcW w:w="2632" w:type="dxa"/>
          </w:tcPr>
          <w:p w14:paraId="554B9D12" w14:textId="77777777" w:rsidR="00A2582A" w:rsidRPr="002C71CE" w:rsidRDefault="00A2582A" w:rsidP="0045628D">
            <w:pPr>
              <w:pStyle w:val="TableFigureCaption"/>
            </w:pPr>
            <w:r w:rsidRPr="002C71CE">
              <w:t>Name, restriction, manner of administration, form</w:t>
            </w:r>
          </w:p>
        </w:tc>
        <w:tc>
          <w:tcPr>
            <w:tcW w:w="1595" w:type="dxa"/>
            <w:vAlign w:val="center"/>
          </w:tcPr>
          <w:p w14:paraId="50D59168" w14:textId="77777777" w:rsidR="00A2582A" w:rsidRPr="002C71CE" w:rsidRDefault="00A2582A" w:rsidP="0045628D">
            <w:pPr>
              <w:pStyle w:val="TableFigureCaption"/>
              <w:jc w:val="center"/>
            </w:pPr>
            <w:r w:rsidRPr="002C71CE">
              <w:t>Maximum quantity (packs)</w:t>
            </w:r>
          </w:p>
        </w:tc>
        <w:tc>
          <w:tcPr>
            <w:tcW w:w="1596" w:type="dxa"/>
            <w:vAlign w:val="center"/>
          </w:tcPr>
          <w:p w14:paraId="2C3822C4" w14:textId="77777777" w:rsidR="00A2582A" w:rsidRPr="002C71CE" w:rsidRDefault="00A2582A" w:rsidP="0045628D">
            <w:pPr>
              <w:pStyle w:val="TableFigureCaption"/>
              <w:jc w:val="center"/>
            </w:pPr>
            <w:r w:rsidRPr="002C71CE">
              <w:t>Maximum quantity (units)</w:t>
            </w:r>
          </w:p>
        </w:tc>
        <w:tc>
          <w:tcPr>
            <w:tcW w:w="1407" w:type="dxa"/>
            <w:vAlign w:val="center"/>
          </w:tcPr>
          <w:p w14:paraId="009A86D5" w14:textId="77777777" w:rsidR="00A2582A" w:rsidRPr="002C71CE" w:rsidRDefault="00A2582A" w:rsidP="0045628D">
            <w:pPr>
              <w:pStyle w:val="TableFigureCaption"/>
              <w:jc w:val="center"/>
            </w:pPr>
            <w:r w:rsidRPr="002C71CE">
              <w:t>No. of repeats</w:t>
            </w:r>
          </w:p>
        </w:tc>
        <w:tc>
          <w:tcPr>
            <w:tcW w:w="1785" w:type="dxa"/>
            <w:vAlign w:val="center"/>
          </w:tcPr>
          <w:p w14:paraId="433353C0" w14:textId="77777777" w:rsidR="00A2582A" w:rsidRPr="002C71CE" w:rsidRDefault="00A2582A" w:rsidP="0045628D">
            <w:pPr>
              <w:pStyle w:val="TableFigureCaption"/>
              <w:jc w:val="center"/>
            </w:pPr>
            <w:r w:rsidRPr="002C71CE">
              <w:t>Proprietary name and manufacturer</w:t>
            </w:r>
          </w:p>
        </w:tc>
      </w:tr>
      <w:tr w:rsidR="00A2582A" w:rsidRPr="002D04BB" w14:paraId="07DE72C0" w14:textId="77777777" w:rsidTr="0045628D">
        <w:tc>
          <w:tcPr>
            <w:tcW w:w="9015" w:type="dxa"/>
            <w:gridSpan w:val="5"/>
            <w:vAlign w:val="center"/>
          </w:tcPr>
          <w:p w14:paraId="388CAD3B" w14:textId="77777777" w:rsidR="00A2582A" w:rsidRPr="002D04BB" w:rsidRDefault="00A2582A" w:rsidP="0045628D">
            <w:pPr>
              <w:pStyle w:val="TableText"/>
              <w:rPr>
                <w:b/>
                <w:bCs w:val="0"/>
              </w:rPr>
            </w:pPr>
            <w:r>
              <w:rPr>
                <w:b/>
                <w:bCs w:val="0"/>
              </w:rPr>
              <w:t>Initial/continuing treatment</w:t>
            </w:r>
          </w:p>
        </w:tc>
      </w:tr>
      <w:tr w:rsidR="00A2582A" w:rsidRPr="0050174E" w14:paraId="7A46BC9B" w14:textId="77777777" w:rsidTr="0045628D">
        <w:tc>
          <w:tcPr>
            <w:tcW w:w="2632" w:type="dxa"/>
            <w:vAlign w:val="center"/>
          </w:tcPr>
          <w:p w14:paraId="7BE4D9B5" w14:textId="77777777" w:rsidR="00A2582A" w:rsidRPr="0050174E" w:rsidRDefault="00A2582A" w:rsidP="0045628D">
            <w:pPr>
              <w:pStyle w:val="TableText"/>
            </w:pPr>
            <w:r>
              <w:rPr>
                <w:smallCaps/>
              </w:rPr>
              <w:t>RUXOLITINIB</w:t>
            </w:r>
          </w:p>
          <w:p w14:paraId="1580EA2B" w14:textId="77777777" w:rsidR="00A2582A" w:rsidRPr="0050174E" w:rsidRDefault="00A2582A" w:rsidP="0045628D">
            <w:pPr>
              <w:pStyle w:val="TableText"/>
              <w:rPr>
                <w:b/>
              </w:rPr>
            </w:pPr>
            <w:r>
              <w:t>Tablet 5 mg, 56</w:t>
            </w:r>
          </w:p>
        </w:tc>
        <w:tc>
          <w:tcPr>
            <w:tcW w:w="1595" w:type="dxa"/>
            <w:vAlign w:val="center"/>
          </w:tcPr>
          <w:p w14:paraId="0DA43F61" w14:textId="77777777" w:rsidR="00A2582A" w:rsidRPr="0050174E" w:rsidRDefault="00A2582A" w:rsidP="0045628D">
            <w:pPr>
              <w:pStyle w:val="TableText"/>
              <w:jc w:val="center"/>
              <w:rPr>
                <w:rFonts w:ascii="Times" w:hAnsi="Times"/>
              </w:rPr>
            </w:pPr>
            <w:r>
              <w:t>1</w:t>
            </w:r>
          </w:p>
        </w:tc>
        <w:tc>
          <w:tcPr>
            <w:tcW w:w="1596" w:type="dxa"/>
            <w:vAlign w:val="center"/>
          </w:tcPr>
          <w:p w14:paraId="712011DA" w14:textId="77777777" w:rsidR="00A2582A" w:rsidRPr="0050174E" w:rsidRDefault="00A2582A" w:rsidP="0045628D">
            <w:pPr>
              <w:pStyle w:val="TableText"/>
              <w:jc w:val="center"/>
              <w:rPr>
                <w:rFonts w:ascii="Times" w:hAnsi="Times"/>
              </w:rPr>
            </w:pPr>
            <w:r>
              <w:t>56</w:t>
            </w:r>
          </w:p>
        </w:tc>
        <w:tc>
          <w:tcPr>
            <w:tcW w:w="1407" w:type="dxa"/>
            <w:vAlign w:val="center"/>
          </w:tcPr>
          <w:p w14:paraId="7659B913" w14:textId="77777777" w:rsidR="00A2582A" w:rsidRPr="005F7722" w:rsidRDefault="00A2582A" w:rsidP="0045628D">
            <w:pPr>
              <w:pStyle w:val="TableText"/>
              <w:jc w:val="center"/>
              <w:rPr>
                <w:rFonts w:ascii="Times" w:hAnsi="Times"/>
                <w:vertAlign w:val="superscript"/>
              </w:rPr>
            </w:pPr>
            <w:r>
              <w:t>5</w:t>
            </w:r>
          </w:p>
        </w:tc>
        <w:tc>
          <w:tcPr>
            <w:tcW w:w="1785" w:type="dxa"/>
            <w:vAlign w:val="center"/>
          </w:tcPr>
          <w:p w14:paraId="6B1E08DB" w14:textId="77777777" w:rsidR="00A2582A" w:rsidRPr="0050174E" w:rsidRDefault="00A2582A" w:rsidP="0045628D">
            <w:pPr>
              <w:pStyle w:val="TableText"/>
              <w:jc w:val="center"/>
              <w:rPr>
                <w:rFonts w:ascii="Times" w:hAnsi="Times"/>
              </w:rPr>
            </w:pPr>
            <w:r>
              <w:t>JAKAVI</w:t>
            </w:r>
            <w:r>
              <w:rPr>
                <w:vertAlign w:val="superscript"/>
              </w:rPr>
              <w:t>®</w:t>
            </w:r>
            <w:r w:rsidRPr="0050174E">
              <w:t xml:space="preserve">, </w:t>
            </w:r>
            <w:r>
              <w:t>Novartis</w:t>
            </w:r>
          </w:p>
        </w:tc>
      </w:tr>
      <w:tr w:rsidR="00A2582A" w14:paraId="395F458B" w14:textId="77777777" w:rsidTr="0045628D">
        <w:tc>
          <w:tcPr>
            <w:tcW w:w="2632" w:type="dxa"/>
            <w:vAlign w:val="center"/>
          </w:tcPr>
          <w:p w14:paraId="06BE7AAD" w14:textId="77777777" w:rsidR="00A2582A" w:rsidRPr="0050174E" w:rsidRDefault="00A2582A" w:rsidP="0045628D">
            <w:pPr>
              <w:pStyle w:val="TableText"/>
            </w:pPr>
            <w:r>
              <w:rPr>
                <w:smallCaps/>
              </w:rPr>
              <w:t>RUXOLITINIB</w:t>
            </w:r>
          </w:p>
          <w:p w14:paraId="5474F5C5" w14:textId="77777777" w:rsidR="00A2582A" w:rsidRDefault="00A2582A" w:rsidP="0045628D">
            <w:pPr>
              <w:pStyle w:val="TableText"/>
              <w:rPr>
                <w:smallCaps/>
              </w:rPr>
            </w:pPr>
            <w:r>
              <w:t>Tablet 10 mg, 56</w:t>
            </w:r>
          </w:p>
        </w:tc>
        <w:tc>
          <w:tcPr>
            <w:tcW w:w="1595" w:type="dxa"/>
            <w:vAlign w:val="center"/>
          </w:tcPr>
          <w:p w14:paraId="260565E1" w14:textId="77777777" w:rsidR="00A2582A" w:rsidRDefault="00A2582A" w:rsidP="0045628D">
            <w:pPr>
              <w:pStyle w:val="TableText"/>
              <w:jc w:val="center"/>
            </w:pPr>
            <w:r>
              <w:t>1</w:t>
            </w:r>
          </w:p>
        </w:tc>
        <w:tc>
          <w:tcPr>
            <w:tcW w:w="1596" w:type="dxa"/>
            <w:vAlign w:val="center"/>
          </w:tcPr>
          <w:p w14:paraId="38221E03" w14:textId="77777777" w:rsidR="00A2582A" w:rsidRDefault="00A2582A" w:rsidP="0045628D">
            <w:pPr>
              <w:pStyle w:val="TableText"/>
              <w:jc w:val="center"/>
            </w:pPr>
            <w:r>
              <w:t>56</w:t>
            </w:r>
          </w:p>
        </w:tc>
        <w:tc>
          <w:tcPr>
            <w:tcW w:w="1407" w:type="dxa"/>
            <w:vAlign w:val="center"/>
          </w:tcPr>
          <w:p w14:paraId="0FE6388D" w14:textId="77777777" w:rsidR="00A2582A" w:rsidRPr="0050174E" w:rsidRDefault="00A2582A" w:rsidP="0045628D">
            <w:pPr>
              <w:pStyle w:val="TableText"/>
              <w:jc w:val="center"/>
            </w:pPr>
            <w:r>
              <w:t>5</w:t>
            </w:r>
          </w:p>
        </w:tc>
        <w:tc>
          <w:tcPr>
            <w:tcW w:w="1785" w:type="dxa"/>
            <w:vAlign w:val="center"/>
          </w:tcPr>
          <w:p w14:paraId="0E143C70" w14:textId="77777777" w:rsidR="00A2582A" w:rsidRDefault="00A2582A" w:rsidP="0045628D">
            <w:pPr>
              <w:pStyle w:val="TableText"/>
              <w:jc w:val="center"/>
            </w:pPr>
            <w:r>
              <w:t>JAKAVI</w:t>
            </w:r>
            <w:r>
              <w:rPr>
                <w:vertAlign w:val="superscript"/>
              </w:rPr>
              <w:t>®</w:t>
            </w:r>
            <w:r w:rsidRPr="0050174E">
              <w:t xml:space="preserve">, </w:t>
            </w:r>
            <w:r>
              <w:t>Novartis</w:t>
            </w:r>
          </w:p>
        </w:tc>
      </w:tr>
    </w:tbl>
    <w:p w14:paraId="16FBA975" w14:textId="77777777" w:rsidR="00A2582A" w:rsidRDefault="00A2582A" w:rsidP="00A2582A">
      <w:pPr>
        <w:pStyle w:val="TableFooter"/>
        <w:rPr>
          <w:vertAlign w:val="superscript"/>
        </w:rPr>
      </w:pPr>
    </w:p>
    <w:tbl>
      <w:tblPr>
        <w:tblW w:w="5000" w:type="pct"/>
        <w:tblLook w:val="0000" w:firstRow="0" w:lastRow="0" w:firstColumn="0" w:lastColumn="0" w:noHBand="0" w:noVBand="0"/>
      </w:tblPr>
      <w:tblGrid>
        <w:gridCol w:w="9017"/>
      </w:tblGrid>
      <w:tr w:rsidR="00A2582A" w:rsidRPr="00532004" w14:paraId="64997D52"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4FA0BDAD" w14:textId="77777777" w:rsidR="00A2582A" w:rsidRPr="00532004" w:rsidRDefault="00A2582A" w:rsidP="0045628D">
            <w:pPr>
              <w:pStyle w:val="TableText"/>
              <w:keepNext w:val="0"/>
            </w:pPr>
            <w:r w:rsidRPr="00532004">
              <w:rPr>
                <w:b/>
              </w:rPr>
              <w:t xml:space="preserve">Category / Program: </w:t>
            </w:r>
            <w:r w:rsidRPr="00532004">
              <w:t>GENERAL – General Schedule (Code GE)</w:t>
            </w:r>
          </w:p>
        </w:tc>
      </w:tr>
      <w:tr w:rsidR="00A2582A" w:rsidRPr="00532004" w14:paraId="44217629"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6F69AD12" w14:textId="77777777" w:rsidR="00A2582A" w:rsidRPr="00532004" w:rsidRDefault="00A2582A" w:rsidP="0045628D">
            <w:pPr>
              <w:pStyle w:val="TableText"/>
              <w:keepNext w:val="0"/>
            </w:pPr>
            <w:r w:rsidRPr="00532004">
              <w:rPr>
                <w:b/>
              </w:rPr>
              <w:t xml:space="preserve">Prescriber type: </w:t>
            </w:r>
            <w:r w:rsidRPr="00532004">
              <w:fldChar w:fldCharType="begin">
                <w:ffData>
                  <w:name w:val="Check1"/>
                  <w:enabled/>
                  <w:calcOnExit w:val="0"/>
                  <w:checkBox>
                    <w:sizeAuto/>
                    <w:default w:val="0"/>
                  </w:checkBox>
                </w:ffData>
              </w:fldChar>
            </w:r>
            <w:r w:rsidRPr="00532004">
              <w:instrText xml:space="preserve"> FORMCHECKBOX </w:instrText>
            </w:r>
            <w:r w:rsidR="00BD1016">
              <w:fldChar w:fldCharType="separate"/>
            </w:r>
            <w:r w:rsidRPr="00532004">
              <w:fldChar w:fldCharType="end"/>
            </w:r>
            <w:r w:rsidRPr="00532004">
              <w:t xml:space="preserve">Dental  </w:t>
            </w:r>
            <w:r w:rsidRPr="00532004">
              <w:fldChar w:fldCharType="begin">
                <w:ffData>
                  <w:name w:val="Check1"/>
                  <w:enabled/>
                  <w:calcOnExit w:val="0"/>
                  <w:checkBox>
                    <w:sizeAuto/>
                    <w:default w:val="1"/>
                  </w:checkBox>
                </w:ffData>
              </w:fldChar>
            </w:r>
            <w:r w:rsidRPr="00532004">
              <w:instrText xml:space="preserve"> FORMCHECKBOX </w:instrText>
            </w:r>
            <w:r w:rsidR="00BD1016">
              <w:fldChar w:fldCharType="separate"/>
            </w:r>
            <w:r w:rsidRPr="00532004">
              <w:fldChar w:fldCharType="end"/>
            </w:r>
            <w:r w:rsidRPr="00532004">
              <w:t xml:space="preserve">Medical Practitioners  </w:t>
            </w:r>
            <w:r w:rsidRPr="00532004">
              <w:fldChar w:fldCharType="begin">
                <w:ffData>
                  <w:name w:val="Check1"/>
                  <w:enabled/>
                  <w:calcOnExit w:val="0"/>
                  <w:checkBox>
                    <w:sizeAuto/>
                    <w:default w:val="0"/>
                  </w:checkBox>
                </w:ffData>
              </w:fldChar>
            </w:r>
            <w:r w:rsidRPr="00532004">
              <w:instrText xml:space="preserve"> FORMCHECKBOX </w:instrText>
            </w:r>
            <w:r w:rsidR="00BD1016">
              <w:fldChar w:fldCharType="separate"/>
            </w:r>
            <w:r w:rsidRPr="00532004">
              <w:fldChar w:fldCharType="end"/>
            </w:r>
            <w:r w:rsidRPr="00532004">
              <w:t xml:space="preserve">Nurse practitioners </w:t>
            </w:r>
            <w:r w:rsidRPr="00532004">
              <w:fldChar w:fldCharType="begin">
                <w:ffData>
                  <w:name w:val="Check1"/>
                  <w:enabled/>
                  <w:calcOnExit w:val="0"/>
                  <w:checkBox>
                    <w:sizeAuto/>
                    <w:default w:val="0"/>
                  </w:checkBox>
                </w:ffData>
              </w:fldChar>
            </w:r>
            <w:r w:rsidRPr="00532004">
              <w:instrText xml:space="preserve"> FORMCHECKBOX </w:instrText>
            </w:r>
            <w:r w:rsidR="00BD1016">
              <w:fldChar w:fldCharType="separate"/>
            </w:r>
            <w:r w:rsidRPr="00532004">
              <w:fldChar w:fldCharType="end"/>
            </w:r>
            <w:r w:rsidRPr="00532004">
              <w:t xml:space="preserve">Optometrists </w:t>
            </w:r>
            <w:r w:rsidRPr="00532004">
              <w:fldChar w:fldCharType="begin">
                <w:ffData>
                  <w:name w:val="Check1"/>
                  <w:enabled/>
                  <w:calcOnExit w:val="0"/>
                  <w:checkBox>
                    <w:sizeAuto/>
                    <w:default w:val="0"/>
                  </w:checkBox>
                </w:ffData>
              </w:fldChar>
            </w:r>
            <w:r w:rsidRPr="00532004">
              <w:instrText xml:space="preserve"> FORMCHECKBOX </w:instrText>
            </w:r>
            <w:r w:rsidR="00BD1016">
              <w:fldChar w:fldCharType="separate"/>
            </w:r>
            <w:r w:rsidRPr="00532004">
              <w:fldChar w:fldCharType="end"/>
            </w:r>
            <w:r w:rsidRPr="00532004">
              <w:t>Midwives</w:t>
            </w:r>
          </w:p>
        </w:tc>
      </w:tr>
      <w:tr w:rsidR="00A2582A" w:rsidRPr="00532004" w14:paraId="01E44A6B"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52BEEF04" w14:textId="77777777" w:rsidR="00A2582A" w:rsidRPr="00532004" w:rsidRDefault="00A2582A" w:rsidP="0045628D">
            <w:pPr>
              <w:pStyle w:val="TableText"/>
              <w:keepNext w:val="0"/>
            </w:pPr>
            <w:r w:rsidRPr="00532004">
              <w:rPr>
                <w:b/>
              </w:rPr>
              <w:t xml:space="preserve">Condition: </w:t>
            </w:r>
            <w:r w:rsidRPr="00532004">
              <w:t>Chronic graft versus host disease (cGVHD)</w:t>
            </w:r>
          </w:p>
        </w:tc>
      </w:tr>
      <w:tr w:rsidR="00A2582A" w:rsidRPr="00532004" w14:paraId="740ADCBF" w14:textId="77777777" w:rsidTr="0045628D">
        <w:trPr>
          <w:cantSplit/>
          <w:trHeight w:val="95"/>
        </w:trPr>
        <w:tc>
          <w:tcPr>
            <w:tcW w:w="5000" w:type="pct"/>
            <w:tcBorders>
              <w:top w:val="single" w:sz="4" w:space="0" w:color="auto"/>
              <w:left w:val="single" w:sz="4" w:space="0" w:color="auto"/>
              <w:bottom w:val="single" w:sz="4" w:space="0" w:color="auto"/>
              <w:right w:val="single" w:sz="4" w:space="0" w:color="auto"/>
            </w:tcBorders>
          </w:tcPr>
          <w:p w14:paraId="2E0795CE" w14:textId="77777777" w:rsidR="00A2582A" w:rsidRPr="00532004" w:rsidRDefault="00A2582A" w:rsidP="0045628D">
            <w:pPr>
              <w:pStyle w:val="TableText"/>
              <w:keepNext w:val="0"/>
            </w:pPr>
            <w:r w:rsidRPr="00532004">
              <w:rPr>
                <w:b/>
              </w:rPr>
              <w:t xml:space="preserve">Severity: </w:t>
            </w:r>
            <w:r w:rsidRPr="00532004">
              <w:t>Moderate to severe</w:t>
            </w:r>
          </w:p>
        </w:tc>
      </w:tr>
      <w:tr w:rsidR="00A2582A" w:rsidRPr="00532004" w14:paraId="6ADA9CAB"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5FC38538" w14:textId="77777777" w:rsidR="00A2582A" w:rsidRPr="00532004" w:rsidRDefault="00A2582A" w:rsidP="0045628D">
            <w:pPr>
              <w:pStyle w:val="TableText"/>
              <w:keepNext w:val="0"/>
            </w:pPr>
            <w:r w:rsidRPr="00532004">
              <w:rPr>
                <w:b/>
              </w:rPr>
              <w:t xml:space="preserve">PBS Indication: </w:t>
            </w:r>
            <w:r w:rsidRPr="00532004">
              <w:t>Moderate to severe chronic graft versus host disease (cGVHD)</w:t>
            </w:r>
          </w:p>
        </w:tc>
      </w:tr>
      <w:tr w:rsidR="00A2582A" w:rsidRPr="00532004" w14:paraId="5FB8203E"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5FB93877" w14:textId="77777777" w:rsidR="00A2582A" w:rsidRPr="00532004" w:rsidRDefault="00A2582A" w:rsidP="0045628D">
            <w:pPr>
              <w:pStyle w:val="TableText"/>
              <w:keepNext w:val="0"/>
            </w:pPr>
            <w:r w:rsidRPr="00532004">
              <w:rPr>
                <w:b/>
              </w:rPr>
              <w:t xml:space="preserve">Treatment phase: </w:t>
            </w:r>
            <w:r w:rsidRPr="00532004">
              <w:t>Initial</w:t>
            </w:r>
          </w:p>
        </w:tc>
      </w:tr>
      <w:tr w:rsidR="00A2582A" w:rsidRPr="00532004" w14:paraId="37635F45"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35B9E3C2" w14:textId="77777777" w:rsidR="00A2582A" w:rsidRPr="00532004" w:rsidRDefault="00A2582A" w:rsidP="0045628D">
            <w:pPr>
              <w:pStyle w:val="TableText"/>
              <w:keepNext w:val="0"/>
            </w:pPr>
            <w:r w:rsidRPr="00532004">
              <w:rPr>
                <w:b/>
              </w:rPr>
              <w:t xml:space="preserve">Restriction type: </w:t>
            </w:r>
            <w:r w:rsidRPr="00532004">
              <w:fldChar w:fldCharType="begin">
                <w:ffData>
                  <w:name w:val="Check5"/>
                  <w:enabled/>
                  <w:calcOnExit w:val="0"/>
                  <w:checkBox>
                    <w:sizeAuto/>
                    <w:default w:val="1"/>
                  </w:checkBox>
                </w:ffData>
              </w:fldChar>
            </w:r>
            <w:r w:rsidRPr="00532004">
              <w:instrText xml:space="preserve"> FORMCHECKBOX </w:instrText>
            </w:r>
            <w:r w:rsidR="00BD1016">
              <w:fldChar w:fldCharType="separate"/>
            </w:r>
            <w:r w:rsidRPr="00532004">
              <w:fldChar w:fldCharType="end"/>
            </w:r>
            <w:r w:rsidRPr="00532004">
              <w:t>Authority Required - Streamlined</w:t>
            </w:r>
          </w:p>
        </w:tc>
      </w:tr>
      <w:tr w:rsidR="00A2582A" w:rsidRPr="00532004" w14:paraId="1EC4FE61"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7A4AB314" w14:textId="77777777" w:rsidR="00A2582A" w:rsidRPr="00532004" w:rsidRDefault="00A2582A" w:rsidP="0045628D">
            <w:pPr>
              <w:pStyle w:val="TableText"/>
              <w:keepNext w:val="0"/>
              <w:rPr>
                <w:b/>
              </w:rPr>
            </w:pPr>
          </w:p>
        </w:tc>
      </w:tr>
      <w:tr w:rsidR="00A2582A" w:rsidRPr="00532004" w14:paraId="1A236CC6"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065F8950" w14:textId="77777777" w:rsidR="00A2582A" w:rsidRPr="00895548" w:rsidRDefault="00A2582A" w:rsidP="0045628D">
            <w:pPr>
              <w:pStyle w:val="TableText"/>
              <w:keepNext w:val="0"/>
              <w:rPr>
                <w:b/>
              </w:rPr>
            </w:pPr>
            <w:r w:rsidRPr="00895548">
              <w:rPr>
                <w:b/>
              </w:rPr>
              <w:t xml:space="preserve">Administrative Advice: </w:t>
            </w:r>
            <w:r w:rsidRPr="00895548">
              <w:rPr>
                <w:bCs w:val="0"/>
              </w:rPr>
              <w:t>No increase in the maximum quantity or number of units may be authorised.</w:t>
            </w:r>
          </w:p>
        </w:tc>
      </w:tr>
      <w:tr w:rsidR="00A2582A" w:rsidRPr="00532004" w14:paraId="073A5306"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5C10AFEF" w14:textId="77777777" w:rsidR="00A2582A" w:rsidRPr="00895548" w:rsidRDefault="00A2582A" w:rsidP="0045628D">
            <w:pPr>
              <w:pStyle w:val="TableText"/>
              <w:keepNext w:val="0"/>
              <w:rPr>
                <w:b/>
              </w:rPr>
            </w:pPr>
            <w:r w:rsidRPr="00895548">
              <w:rPr>
                <w:b/>
              </w:rPr>
              <w:t xml:space="preserve">Administrative advice: </w:t>
            </w:r>
            <w:r w:rsidRPr="00895548">
              <w:rPr>
                <w:bCs w:val="0"/>
              </w:rPr>
              <w:t>No increase in the maximum number of repeats may be authorised.</w:t>
            </w:r>
          </w:p>
        </w:tc>
      </w:tr>
      <w:tr w:rsidR="00A2582A" w:rsidRPr="00532004" w14:paraId="1A4F5C31"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638FAF92" w14:textId="77777777" w:rsidR="00A2582A" w:rsidRPr="00532004" w:rsidRDefault="00A2582A" w:rsidP="0045628D">
            <w:pPr>
              <w:pStyle w:val="TableText"/>
              <w:keepNext w:val="0"/>
              <w:rPr>
                <w:b/>
              </w:rPr>
            </w:pPr>
          </w:p>
        </w:tc>
      </w:tr>
      <w:tr w:rsidR="00A2582A" w:rsidRPr="00532004" w14:paraId="50FFD0A6"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719089B5" w14:textId="77777777" w:rsidR="00A2582A" w:rsidRPr="00532004" w:rsidRDefault="00A2582A" w:rsidP="0045628D">
            <w:pPr>
              <w:pStyle w:val="TableText"/>
              <w:keepNext w:val="0"/>
              <w:rPr>
                <w:b/>
              </w:rPr>
            </w:pPr>
            <w:r w:rsidRPr="00532004">
              <w:rPr>
                <w:b/>
              </w:rPr>
              <w:t>Clinical criteria:</w:t>
            </w:r>
          </w:p>
        </w:tc>
      </w:tr>
      <w:tr w:rsidR="00A2582A" w:rsidRPr="006A6B6D" w14:paraId="3A0919DE"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00F45FBA" w14:textId="77777777" w:rsidR="00A2582A" w:rsidRPr="006A6B6D" w:rsidRDefault="00A2582A" w:rsidP="0045628D">
            <w:pPr>
              <w:pStyle w:val="TableText"/>
              <w:keepNext w:val="0"/>
              <w:rPr>
                <w:rFonts w:cs="Arial"/>
              </w:rPr>
            </w:pPr>
            <w:r w:rsidRPr="006A6B6D">
              <w:rPr>
                <w:rFonts w:cs="Arial"/>
              </w:rPr>
              <w:t xml:space="preserve">Patient </w:t>
            </w:r>
            <w:r w:rsidRPr="00AC441C">
              <w:rPr>
                <w:rFonts w:cs="Arial"/>
              </w:rPr>
              <w:t>must have</w:t>
            </w:r>
            <w:r w:rsidRPr="006A6B6D">
              <w:rPr>
                <w:rFonts w:cs="Arial"/>
              </w:rPr>
              <w:t xml:space="preserve"> received prior systemic steroid treatment for this condition </w:t>
            </w:r>
          </w:p>
        </w:tc>
      </w:tr>
      <w:tr w:rsidR="00A2582A" w:rsidRPr="006A6B6D" w14:paraId="4338DC2F"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0A323571" w14:textId="77777777" w:rsidR="00A2582A" w:rsidRPr="006A6B6D" w:rsidRDefault="00A2582A" w:rsidP="0045628D">
            <w:pPr>
              <w:pStyle w:val="TableText"/>
              <w:keepNext w:val="0"/>
              <w:rPr>
                <w:rFonts w:cs="Arial"/>
                <w:b/>
                <w:bCs w:val="0"/>
              </w:rPr>
            </w:pPr>
            <w:r w:rsidRPr="006A6B6D">
              <w:rPr>
                <w:rFonts w:cs="Arial"/>
                <w:b/>
                <w:bCs w:val="0"/>
              </w:rPr>
              <w:t>AND</w:t>
            </w:r>
          </w:p>
        </w:tc>
      </w:tr>
      <w:tr w:rsidR="00A2582A" w:rsidRPr="006A6B6D" w14:paraId="4B3E5396"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7763D063" w14:textId="77777777" w:rsidR="00A2582A" w:rsidRPr="006A6B6D" w:rsidRDefault="00A2582A" w:rsidP="0045628D">
            <w:pPr>
              <w:pStyle w:val="TableText"/>
              <w:keepNext w:val="0"/>
              <w:rPr>
                <w:rFonts w:cs="Arial"/>
                <w:b/>
                <w:bCs w:val="0"/>
              </w:rPr>
            </w:pPr>
            <w:r w:rsidRPr="006A6B6D">
              <w:rPr>
                <w:rFonts w:cs="Arial"/>
                <w:b/>
                <w:bCs w:val="0"/>
              </w:rPr>
              <w:t>Clinical criteria:</w:t>
            </w:r>
          </w:p>
        </w:tc>
      </w:tr>
      <w:tr w:rsidR="00A2582A" w:rsidRPr="006A6B6D" w14:paraId="3821CE9F"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31197171" w14:textId="77777777" w:rsidR="00A2582A" w:rsidRPr="00AC441C" w:rsidRDefault="00A2582A" w:rsidP="0045628D">
            <w:pPr>
              <w:pStyle w:val="TableText"/>
              <w:keepNext w:val="0"/>
              <w:rPr>
                <w:rFonts w:cs="Arial"/>
              </w:rPr>
            </w:pPr>
            <w:r w:rsidRPr="00AC441C">
              <w:rPr>
                <w:rFonts w:cs="Arial"/>
              </w:rPr>
              <w:t>Patient must be one of the following (i) refractory to steroid treatment, (ii) dependent on steroid treatment, (iii) intolerant to steroid treatment</w:t>
            </w:r>
          </w:p>
        </w:tc>
      </w:tr>
      <w:tr w:rsidR="00A2582A" w:rsidRPr="006A6B6D" w14:paraId="23BCB17F"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04008A0C" w14:textId="77777777" w:rsidR="00A2582A" w:rsidRPr="00AC441C" w:rsidDel="000E5613" w:rsidRDefault="00A2582A" w:rsidP="0045628D">
            <w:pPr>
              <w:pStyle w:val="TableText"/>
              <w:keepNext w:val="0"/>
              <w:rPr>
                <w:rFonts w:cs="Arial"/>
              </w:rPr>
            </w:pPr>
            <w:r w:rsidRPr="006A6B6D">
              <w:rPr>
                <w:rFonts w:cs="Arial"/>
                <w:b/>
                <w:bCs w:val="0"/>
              </w:rPr>
              <w:t>AND</w:t>
            </w:r>
          </w:p>
        </w:tc>
      </w:tr>
      <w:tr w:rsidR="00A2582A" w:rsidRPr="006A6B6D" w14:paraId="1C910F0C"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18F22563" w14:textId="77777777" w:rsidR="00A2582A" w:rsidRPr="00AC441C" w:rsidDel="000E5613" w:rsidRDefault="00A2582A" w:rsidP="0045628D">
            <w:pPr>
              <w:pStyle w:val="TableText"/>
              <w:keepNext w:val="0"/>
              <w:rPr>
                <w:rFonts w:cs="Arial"/>
              </w:rPr>
            </w:pPr>
            <w:r w:rsidRPr="006A6B6D">
              <w:rPr>
                <w:rFonts w:cs="Arial"/>
                <w:b/>
                <w:bCs w:val="0"/>
              </w:rPr>
              <w:t>Clinical criteria:</w:t>
            </w:r>
          </w:p>
        </w:tc>
      </w:tr>
      <w:tr w:rsidR="00A2582A" w:rsidRPr="006A6B6D" w14:paraId="51815C87"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03FB0F29" w14:textId="77777777" w:rsidR="00A2582A" w:rsidRPr="00AC441C" w:rsidDel="000E5613" w:rsidRDefault="00A2582A" w:rsidP="0045628D">
            <w:pPr>
              <w:pStyle w:val="TableText"/>
              <w:keepNext w:val="0"/>
              <w:rPr>
                <w:rFonts w:cs="Arial"/>
              </w:rPr>
            </w:pPr>
            <w:r w:rsidRPr="00AC441C">
              <w:rPr>
                <w:rFonts w:cs="Arial"/>
              </w:rPr>
              <w:t>The treatment must be the sole PBS subsidised treatment for this condition with the exception of: (i) corticosteroids, (ii) calcineurin inhibitors</w:t>
            </w:r>
          </w:p>
        </w:tc>
      </w:tr>
      <w:tr w:rsidR="00A2582A" w:rsidRPr="006A6B6D" w14:paraId="04DB966E"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6AC78F91" w14:textId="77777777" w:rsidR="00A2582A" w:rsidRPr="006A6B6D" w:rsidRDefault="00A2582A" w:rsidP="0045628D">
            <w:pPr>
              <w:pStyle w:val="TableText"/>
              <w:rPr>
                <w:rFonts w:cs="Arial"/>
              </w:rPr>
            </w:pPr>
          </w:p>
        </w:tc>
      </w:tr>
      <w:tr w:rsidR="00A2582A" w:rsidRPr="006A6B6D" w14:paraId="217C7780"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7726AB09" w14:textId="77777777" w:rsidR="00A2582A" w:rsidRPr="006A6B6D" w:rsidRDefault="00A2582A" w:rsidP="0045628D">
            <w:pPr>
              <w:pStyle w:val="TableText"/>
              <w:rPr>
                <w:rFonts w:cs="Arial"/>
              </w:rPr>
            </w:pPr>
            <w:r w:rsidRPr="006A6B6D">
              <w:rPr>
                <w:b/>
              </w:rPr>
              <w:t>Treatment criteria:</w:t>
            </w:r>
          </w:p>
        </w:tc>
      </w:tr>
      <w:tr w:rsidR="00A2582A" w:rsidRPr="006A6B6D" w14:paraId="2B39D80B"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3F012D76" w14:textId="77777777" w:rsidR="00A2582A" w:rsidRPr="006A6B6D" w:rsidRDefault="00A2582A" w:rsidP="0045628D">
            <w:pPr>
              <w:pStyle w:val="TableText"/>
              <w:rPr>
                <w:rFonts w:cs="Arial"/>
              </w:rPr>
            </w:pPr>
            <w:r w:rsidRPr="006A6B6D">
              <w:rPr>
                <w:rFonts w:cs="Arial"/>
              </w:rPr>
              <w:t xml:space="preserve">Must be treated by </w:t>
            </w:r>
            <w:r w:rsidRPr="00550A51">
              <w:rPr>
                <w:rFonts w:cs="Arial"/>
              </w:rPr>
              <w:t>a medical practitioner who is</w:t>
            </w:r>
            <w:r>
              <w:rPr>
                <w:rFonts w:cs="Arial"/>
                <w:i/>
                <w:iCs/>
              </w:rPr>
              <w:t xml:space="preserve"> </w:t>
            </w:r>
            <w:r w:rsidRPr="00AC441C">
              <w:rPr>
                <w:rFonts w:cs="Arial"/>
              </w:rPr>
              <w:t>either</w:t>
            </w:r>
            <w:r>
              <w:rPr>
                <w:rFonts w:cs="Arial"/>
              </w:rPr>
              <w:t>:</w:t>
            </w:r>
            <w:r w:rsidRPr="00AC441C">
              <w:rPr>
                <w:rFonts w:cs="Arial"/>
              </w:rPr>
              <w:t xml:space="preserve"> (i)</w:t>
            </w:r>
            <w:r w:rsidRPr="006A6B6D">
              <w:rPr>
                <w:rFonts w:cs="Arial"/>
              </w:rPr>
              <w:t xml:space="preserve"> a haematologist, </w:t>
            </w:r>
            <w:r w:rsidRPr="00AC441C">
              <w:rPr>
                <w:rFonts w:cs="Arial"/>
              </w:rPr>
              <w:t>(ii)</w:t>
            </w:r>
            <w:r w:rsidRPr="006A6B6D">
              <w:rPr>
                <w:rFonts w:cs="Arial"/>
              </w:rPr>
              <w:t xml:space="preserve"> an oncologist with allogeneic bone marrow transplantation experience,</w:t>
            </w:r>
            <w:r w:rsidRPr="00550A51">
              <w:rPr>
                <w:rFonts w:cs="Arial"/>
              </w:rPr>
              <w:t xml:space="preserve"> </w:t>
            </w:r>
            <w:r w:rsidRPr="00AC441C">
              <w:rPr>
                <w:rFonts w:cs="Arial"/>
              </w:rPr>
              <w:t>(iii)</w:t>
            </w:r>
            <w:r w:rsidRPr="006A6B6D">
              <w:rPr>
                <w:rFonts w:cs="Arial"/>
              </w:rPr>
              <w:t xml:space="preserve"> a medical practitioner working under the direct supervision of one of the afore</w:t>
            </w:r>
            <w:r>
              <w:rPr>
                <w:rFonts w:cs="Arial"/>
              </w:rPr>
              <w:t xml:space="preserve"> </w:t>
            </w:r>
            <w:r w:rsidRPr="006A6B6D">
              <w:rPr>
                <w:rFonts w:cs="Arial"/>
              </w:rPr>
              <w:t>mentioned specialist types</w:t>
            </w:r>
          </w:p>
        </w:tc>
      </w:tr>
      <w:tr w:rsidR="00A2582A" w:rsidRPr="006A6B6D" w14:paraId="5F790917"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6521DF1B" w14:textId="77777777" w:rsidR="00A2582A" w:rsidRPr="006A6B6D" w:rsidRDefault="00A2582A" w:rsidP="0045628D">
            <w:pPr>
              <w:pStyle w:val="TableText"/>
              <w:rPr>
                <w:rFonts w:cs="Arial"/>
                <w:b/>
                <w:bCs w:val="0"/>
              </w:rPr>
            </w:pPr>
            <w:r w:rsidRPr="006A6B6D">
              <w:rPr>
                <w:rFonts w:cs="Arial"/>
                <w:b/>
                <w:bCs w:val="0"/>
              </w:rPr>
              <w:t>AND</w:t>
            </w:r>
          </w:p>
        </w:tc>
      </w:tr>
      <w:tr w:rsidR="00A2582A" w:rsidRPr="006A6B6D" w14:paraId="6678DFDD"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415EA1FB" w14:textId="77777777" w:rsidR="00A2582A" w:rsidRPr="006A6B6D" w:rsidRDefault="00A2582A" w:rsidP="0045628D">
            <w:pPr>
              <w:pStyle w:val="TableText"/>
              <w:rPr>
                <w:rFonts w:cs="Arial"/>
              </w:rPr>
            </w:pPr>
            <w:r w:rsidRPr="006A6B6D">
              <w:rPr>
                <w:b/>
              </w:rPr>
              <w:t>Treatment criteria:</w:t>
            </w:r>
          </w:p>
        </w:tc>
      </w:tr>
      <w:tr w:rsidR="00A2582A" w:rsidRPr="006A6B6D" w14:paraId="65714EFF"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46311EA4" w14:textId="77777777" w:rsidR="00A2582A" w:rsidRPr="006A6B6D" w:rsidRDefault="00A2582A" w:rsidP="0045628D">
            <w:pPr>
              <w:pStyle w:val="TableText"/>
              <w:rPr>
                <w:rFonts w:cs="Arial"/>
              </w:rPr>
            </w:pPr>
            <w:r w:rsidRPr="006A6B6D">
              <w:rPr>
                <w:rFonts w:cs="Arial"/>
              </w:rPr>
              <w:t>Patient must be undergoing treatment with this drug following allogenic haematopoietic stem cell transplantation</w:t>
            </w:r>
          </w:p>
        </w:tc>
      </w:tr>
      <w:tr w:rsidR="00A2582A" w:rsidRPr="006A6B6D" w14:paraId="0FFFA357"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46F0692C" w14:textId="77777777" w:rsidR="00A2582A" w:rsidRPr="006A6B6D" w:rsidRDefault="00A2582A" w:rsidP="0045628D">
            <w:pPr>
              <w:pStyle w:val="TableText"/>
              <w:rPr>
                <w:rFonts w:cs="Arial"/>
              </w:rPr>
            </w:pPr>
          </w:p>
        </w:tc>
      </w:tr>
      <w:tr w:rsidR="00A2582A" w:rsidRPr="006A6B6D" w14:paraId="30DD2FB9"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5D29F8BA" w14:textId="77777777" w:rsidR="00A2582A" w:rsidRPr="006A6B6D" w:rsidRDefault="00A2582A" w:rsidP="0045628D">
            <w:pPr>
              <w:pStyle w:val="TableText"/>
              <w:rPr>
                <w:b/>
              </w:rPr>
            </w:pPr>
            <w:r w:rsidRPr="006A6B6D">
              <w:rPr>
                <w:b/>
              </w:rPr>
              <w:t>Prescriber instructions:</w:t>
            </w:r>
          </w:p>
          <w:p w14:paraId="2E37D349" w14:textId="77777777" w:rsidR="00A2582A" w:rsidRPr="006A6B6D" w:rsidRDefault="00A2582A" w:rsidP="0045628D">
            <w:pPr>
              <w:pStyle w:val="CommentText"/>
              <w:rPr>
                <w:rFonts w:ascii="Arial Narrow" w:hAnsi="Arial Narrow"/>
              </w:rPr>
            </w:pPr>
            <w:r w:rsidRPr="006A6B6D">
              <w:rPr>
                <w:rFonts w:ascii="Arial Narrow" w:hAnsi="Arial Narrow"/>
              </w:rPr>
              <w:t xml:space="preserve">The severity of cGVHD is defined by the </w:t>
            </w:r>
            <w:r w:rsidRPr="00550A51">
              <w:rPr>
                <w:rFonts w:ascii="Arial Narrow" w:hAnsi="Arial Narrow"/>
                <w:i/>
                <w:iCs/>
              </w:rPr>
              <w:t>National Institutes of Health</w:t>
            </w:r>
            <w:r w:rsidRPr="00AC441C">
              <w:rPr>
                <w:rFonts w:ascii="Arial Narrow" w:hAnsi="Arial Narrow"/>
              </w:rPr>
              <w:t xml:space="preserve"> (</w:t>
            </w:r>
            <w:r w:rsidRPr="006A6B6D">
              <w:rPr>
                <w:rFonts w:ascii="Arial Narrow" w:hAnsi="Arial Narrow"/>
              </w:rPr>
              <w:t>NIH</w:t>
            </w:r>
            <w:r w:rsidRPr="00AC441C">
              <w:rPr>
                <w:rFonts w:ascii="Arial Narrow" w:hAnsi="Arial Narrow"/>
              </w:rPr>
              <w:t>)</w:t>
            </w:r>
            <w:r w:rsidRPr="006A6B6D">
              <w:rPr>
                <w:rFonts w:ascii="Arial Narrow" w:hAnsi="Arial Narrow"/>
              </w:rPr>
              <w:t xml:space="preserve"> criteria</w:t>
            </w:r>
            <w:r>
              <w:rPr>
                <w:rFonts w:ascii="Arial Narrow" w:hAnsi="Arial Narrow"/>
              </w:rPr>
              <w:t xml:space="preserve"> (Jagasia et al, 2015)</w:t>
            </w:r>
            <w:r w:rsidRPr="006A6B6D">
              <w:rPr>
                <w:rFonts w:ascii="Arial Narrow" w:hAnsi="Arial Narrow"/>
              </w:rPr>
              <w:t>:</w:t>
            </w:r>
          </w:p>
          <w:p w14:paraId="2EB15796" w14:textId="77777777" w:rsidR="00A2582A" w:rsidRPr="006A6B6D" w:rsidRDefault="00A2582A" w:rsidP="0045628D">
            <w:pPr>
              <w:pStyle w:val="TableText"/>
              <w:ind w:left="227" w:hanging="227"/>
              <w:rPr>
                <w:rFonts w:cs="Arial"/>
              </w:rPr>
            </w:pPr>
            <w:r w:rsidRPr="006A6B6D">
              <w:rPr>
                <w:rFonts w:cs="Arial"/>
                <w:szCs w:val="20"/>
              </w:rPr>
              <w:t>(a) Moderate cGVHD</w:t>
            </w:r>
            <w:r w:rsidRPr="006A6B6D">
              <w:rPr>
                <w:rFonts w:cs="Arial"/>
              </w:rPr>
              <w:t>: At least one organ (not lung) with a score of 2, 3 or more organs involved with a score of 1 in each organ, or lung score of 1</w:t>
            </w:r>
          </w:p>
          <w:p w14:paraId="6479D494" w14:textId="77777777" w:rsidR="00A2582A" w:rsidRPr="006A6B6D" w:rsidRDefault="00A2582A" w:rsidP="0045628D">
            <w:pPr>
              <w:pStyle w:val="TableText"/>
              <w:ind w:left="227" w:hanging="227"/>
              <w:rPr>
                <w:rFonts w:cs="Arial"/>
              </w:rPr>
            </w:pPr>
            <w:r w:rsidRPr="006A6B6D">
              <w:rPr>
                <w:rFonts w:cs="Arial"/>
              </w:rPr>
              <w:t>(b) Severe cGVHD: at least 1 organ with a score of 3, or lung score of 2 or 3</w:t>
            </w:r>
          </w:p>
        </w:tc>
      </w:tr>
      <w:tr w:rsidR="00A2582A" w:rsidRPr="006A6B6D" w14:paraId="5A22C40B"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307C8CA6" w14:textId="77777777" w:rsidR="00A2582A" w:rsidRPr="006A6B6D" w:rsidRDefault="00A2582A" w:rsidP="0045628D">
            <w:pPr>
              <w:pStyle w:val="TableText"/>
              <w:rPr>
                <w:rFonts w:cs="Arial"/>
                <w:b/>
                <w:bCs w:val="0"/>
              </w:rPr>
            </w:pPr>
            <w:r w:rsidRPr="006A6B6D">
              <w:rPr>
                <w:rFonts w:cs="Arial"/>
                <w:b/>
                <w:bCs w:val="0"/>
              </w:rPr>
              <w:t>Prescriber instructions:</w:t>
            </w:r>
          </w:p>
          <w:p w14:paraId="352C77E0" w14:textId="77777777" w:rsidR="00A2582A" w:rsidRPr="006A6B6D" w:rsidRDefault="00A2582A" w:rsidP="0045628D">
            <w:pPr>
              <w:pStyle w:val="CommentText"/>
              <w:rPr>
                <w:rFonts w:ascii="Arial Narrow" w:hAnsi="Arial Narrow"/>
              </w:rPr>
            </w:pPr>
            <w:r w:rsidRPr="006A6B6D">
              <w:rPr>
                <w:rFonts w:ascii="Arial Narrow" w:hAnsi="Arial Narrow"/>
              </w:rPr>
              <w:t xml:space="preserve">Steroid-refractory disease is defined </w:t>
            </w:r>
            <w:r>
              <w:rPr>
                <w:rFonts w:ascii="Arial Narrow" w:hAnsi="Arial Narrow"/>
              </w:rPr>
              <w:t xml:space="preserve">as: </w:t>
            </w:r>
          </w:p>
          <w:p w14:paraId="05FF8F5D" w14:textId="77777777" w:rsidR="00A2582A" w:rsidRPr="006A6B6D" w:rsidRDefault="00A2582A" w:rsidP="0045628D">
            <w:pPr>
              <w:pStyle w:val="TableText"/>
              <w:rPr>
                <w:rFonts w:cs="Arial"/>
              </w:rPr>
            </w:pPr>
            <w:r w:rsidRPr="006A6B6D">
              <w:rPr>
                <w:rFonts w:cs="Arial"/>
              </w:rPr>
              <w:t>(a) A lack of response or disease progression after administration of minimum prednisone 1 mg/kg/day for at least 1 week (or equivalent) OR</w:t>
            </w:r>
          </w:p>
          <w:p w14:paraId="382BA519" w14:textId="77777777" w:rsidR="00A2582A" w:rsidRDefault="00A2582A" w:rsidP="0045628D">
            <w:pPr>
              <w:pStyle w:val="TableText"/>
              <w:rPr>
                <w:rFonts w:cs="Arial"/>
              </w:rPr>
            </w:pPr>
            <w:r w:rsidRPr="006A6B6D">
              <w:rPr>
                <w:rFonts w:cs="Arial"/>
              </w:rPr>
              <w:t>(b) Disease persistence without improvement despite continued treatment with prednisone at &gt; 0.5 mg/kg/day or 1 mg/kg/every other day for at least 4 weeks (or equivalent)</w:t>
            </w:r>
            <w:r>
              <w:rPr>
                <w:rFonts w:cs="Arial"/>
              </w:rPr>
              <w:t>.</w:t>
            </w:r>
            <w:r w:rsidRPr="006A6B6D">
              <w:rPr>
                <w:rFonts w:cs="Arial"/>
              </w:rPr>
              <w:t xml:space="preserve"> </w:t>
            </w:r>
          </w:p>
          <w:p w14:paraId="7D698067" w14:textId="77777777" w:rsidR="00A2582A" w:rsidRPr="006A6B6D" w:rsidRDefault="00A2582A" w:rsidP="0045628D">
            <w:pPr>
              <w:pStyle w:val="TableText"/>
              <w:ind w:left="108"/>
              <w:rPr>
                <w:rFonts w:cs="Arial"/>
              </w:rPr>
            </w:pPr>
          </w:p>
          <w:p w14:paraId="536FE4D4" w14:textId="77777777" w:rsidR="00A2582A" w:rsidRDefault="00A2582A" w:rsidP="0045628D">
            <w:pPr>
              <w:pStyle w:val="TableText"/>
              <w:rPr>
                <w:rFonts w:cs="Arial"/>
              </w:rPr>
            </w:pPr>
            <w:r w:rsidRPr="006A6B6D">
              <w:rPr>
                <w:rFonts w:cs="Arial"/>
              </w:rPr>
              <w:t xml:space="preserve">Steroid-dependent disease is </w:t>
            </w:r>
            <w:r w:rsidRPr="00AC441C">
              <w:rPr>
                <w:rFonts w:cs="Arial"/>
              </w:rPr>
              <w:t>defined</w:t>
            </w:r>
            <w:r w:rsidRPr="006A6B6D">
              <w:rPr>
                <w:rFonts w:cs="Arial"/>
              </w:rPr>
              <w:t xml:space="preserve"> as </w:t>
            </w:r>
            <w:r w:rsidRPr="00AC441C">
              <w:rPr>
                <w:rFonts w:cs="Arial"/>
              </w:rPr>
              <w:t xml:space="preserve">an </w:t>
            </w:r>
            <w:r w:rsidRPr="006A6B6D">
              <w:rPr>
                <w:rFonts w:cs="Arial"/>
              </w:rPr>
              <w:t>increased prednisone dose to &gt; 0.25 mg/kg/day after two unsuccessful attempts to taper the dose (or equivalent)</w:t>
            </w:r>
            <w:r>
              <w:rPr>
                <w:rFonts w:cs="Arial"/>
              </w:rPr>
              <w:t>.</w:t>
            </w:r>
          </w:p>
          <w:p w14:paraId="06AA8B23" w14:textId="77777777" w:rsidR="00A2582A" w:rsidRPr="006A6B6D" w:rsidRDefault="00A2582A" w:rsidP="0045628D">
            <w:pPr>
              <w:pStyle w:val="TableText"/>
              <w:rPr>
                <w:rFonts w:cs="Arial"/>
              </w:rPr>
            </w:pPr>
          </w:p>
          <w:p w14:paraId="57A86354" w14:textId="77777777" w:rsidR="00A2582A" w:rsidRDefault="00A2582A" w:rsidP="0045628D">
            <w:pPr>
              <w:pStyle w:val="TableText"/>
              <w:keepNext w:val="0"/>
              <w:rPr>
                <w:rFonts w:cs="Arial"/>
              </w:rPr>
            </w:pPr>
            <w:r w:rsidRPr="006A6B6D">
              <w:rPr>
                <w:rFonts w:cs="Arial"/>
              </w:rPr>
              <w:t xml:space="preserve">Steroid intolerance is defined as </w:t>
            </w:r>
            <w:r>
              <w:rPr>
                <w:rFonts w:cs="Arial"/>
              </w:rPr>
              <w:t xml:space="preserve">a </w:t>
            </w:r>
            <w:r w:rsidRPr="006A6B6D">
              <w:rPr>
                <w:rFonts w:cs="Arial"/>
              </w:rPr>
              <w:t>patient develop</w:t>
            </w:r>
            <w:r>
              <w:rPr>
                <w:rFonts w:cs="Arial"/>
              </w:rPr>
              <w:t>ing</w:t>
            </w:r>
            <w:r w:rsidRPr="006A6B6D">
              <w:rPr>
                <w:rFonts w:cs="Arial"/>
              </w:rPr>
              <w:t xml:space="preserve"> an intolerance of a severity necessitating treatment withdrawal.</w:t>
            </w:r>
          </w:p>
          <w:p w14:paraId="71F76E65" w14:textId="77777777" w:rsidR="00A2582A" w:rsidRDefault="00A2582A" w:rsidP="0045628D">
            <w:pPr>
              <w:pStyle w:val="TableText"/>
              <w:keepNext w:val="0"/>
              <w:rPr>
                <w:rFonts w:cs="Arial"/>
              </w:rPr>
            </w:pPr>
          </w:p>
          <w:p w14:paraId="3C531393" w14:textId="77777777" w:rsidR="00A2582A" w:rsidRPr="006A6B6D" w:rsidRDefault="00A2582A" w:rsidP="0045628D">
            <w:pPr>
              <w:pStyle w:val="TableText"/>
              <w:keepNext w:val="0"/>
              <w:rPr>
                <w:rFonts w:cs="Arial"/>
              </w:rPr>
            </w:pPr>
            <w:r>
              <w:rPr>
                <w:rFonts w:cs="Arial"/>
              </w:rPr>
              <w:t xml:space="preserve">Details of prior steroid use should be documented in the patient’s medical records. </w:t>
            </w:r>
          </w:p>
        </w:tc>
      </w:tr>
      <w:tr w:rsidR="00A2582A" w:rsidRPr="006A6B6D" w14:paraId="76FAFB49"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02C7CB71" w14:textId="77777777" w:rsidR="00A2582A" w:rsidRPr="00804971" w:rsidRDefault="00A2582A" w:rsidP="0045628D">
            <w:pPr>
              <w:pStyle w:val="TableText"/>
              <w:keepNext w:val="0"/>
              <w:rPr>
                <w:b/>
              </w:rPr>
            </w:pPr>
            <w:r w:rsidRPr="00804971">
              <w:rPr>
                <w:b/>
              </w:rPr>
              <w:t>Prescriber instructions:</w:t>
            </w:r>
          </w:p>
          <w:p w14:paraId="45D461AD" w14:textId="77777777" w:rsidR="00A2582A" w:rsidRPr="00804971" w:rsidRDefault="00A2582A" w:rsidP="0045628D">
            <w:pPr>
              <w:pStyle w:val="TableText"/>
              <w:keepNext w:val="0"/>
              <w:rPr>
                <w:rFonts w:cs="Arial"/>
              </w:rPr>
            </w:pPr>
            <w:r w:rsidRPr="00804971">
              <w:rPr>
                <w:rFonts w:cs="Arial"/>
              </w:rPr>
              <w:t>A patient must demonstrate a response</w:t>
            </w:r>
            <w:r>
              <w:rPr>
                <w:rFonts w:cs="Arial"/>
              </w:rPr>
              <w:t xml:space="preserve"> 24 weeks</w:t>
            </w:r>
            <w:r w:rsidRPr="00804971">
              <w:rPr>
                <w:rFonts w:cs="Arial"/>
              </w:rPr>
              <w:t xml:space="preserve"> after initiating treatment with ruxolitinib to be eligible for continuing treatment. </w:t>
            </w:r>
          </w:p>
          <w:p w14:paraId="7FB40974" w14:textId="77777777" w:rsidR="00A2582A" w:rsidRPr="00804971" w:rsidRDefault="00A2582A" w:rsidP="0045628D">
            <w:pPr>
              <w:pStyle w:val="TableText"/>
              <w:keepNext w:val="0"/>
              <w:rPr>
                <w:rFonts w:cs="Arial"/>
              </w:rPr>
            </w:pPr>
          </w:p>
          <w:p w14:paraId="38DBB5A8" w14:textId="77777777" w:rsidR="00A2582A" w:rsidRDefault="00A2582A" w:rsidP="0045628D">
            <w:pPr>
              <w:pStyle w:val="TableText"/>
              <w:rPr>
                <w:rFonts w:cs="Arial"/>
              </w:rPr>
            </w:pPr>
            <w:r>
              <w:rPr>
                <w:rFonts w:cs="Arial"/>
              </w:rPr>
              <w:t xml:space="preserve">Response is defined as attaining a complete or partial response as defined by the </w:t>
            </w:r>
            <w:r>
              <w:rPr>
                <w:rFonts w:cs="Arial"/>
                <w:i/>
                <w:iCs/>
              </w:rPr>
              <w:t>National Institutes of Health (</w:t>
            </w:r>
            <w:r>
              <w:rPr>
                <w:rFonts w:cs="Arial"/>
              </w:rPr>
              <w:t>NIH</w:t>
            </w:r>
            <w:r>
              <w:rPr>
                <w:rFonts w:cs="Arial"/>
                <w:i/>
                <w:iCs/>
              </w:rPr>
              <w:t>)</w:t>
            </w:r>
            <w:r>
              <w:rPr>
                <w:rFonts w:cs="Arial"/>
              </w:rPr>
              <w:t xml:space="preserve"> criteria (Lee et al., 2015). Note that response is relative to the assessment of organ function affected by cGVHD prior to commencing initial treatment with ruxolitinib.</w:t>
            </w:r>
          </w:p>
          <w:p w14:paraId="5FD4B416" w14:textId="77777777" w:rsidR="00A2582A" w:rsidRDefault="00A2582A" w:rsidP="0045628D">
            <w:pPr>
              <w:pStyle w:val="TableText"/>
              <w:rPr>
                <w:rFonts w:cs="Arial"/>
              </w:rPr>
            </w:pPr>
            <w:r>
              <w:rPr>
                <w:rFonts w:cs="Arial"/>
              </w:rPr>
              <w:t>(a) Complete response is defined as complete resolution of all signs and symptoms of cGVHD in all evaluable organs without initiation or addition of new systemic therapy.</w:t>
            </w:r>
          </w:p>
          <w:p w14:paraId="7E0DA9D2" w14:textId="77777777" w:rsidR="00A2582A" w:rsidRDefault="00A2582A" w:rsidP="0045628D">
            <w:pPr>
              <w:pStyle w:val="TableText"/>
              <w:rPr>
                <w:rFonts w:cs="Arial"/>
              </w:rPr>
            </w:pPr>
            <w:r>
              <w:rPr>
                <w:rFonts w:cs="Arial"/>
              </w:rPr>
              <w:t>(b) Partial response is defined as an improvement in at least one organ (e.g. improvement of 1 or more points on a 4-to-7-point scale, or an improvement of 2 or more points on a 10-to-12-point scale) without progression in other organs or sites, initiation or addition of new systemic therapies.</w:t>
            </w:r>
          </w:p>
          <w:p w14:paraId="6D38EAD4" w14:textId="77777777" w:rsidR="00A2582A" w:rsidRDefault="00A2582A" w:rsidP="0045628D">
            <w:pPr>
              <w:pStyle w:val="TableText"/>
              <w:keepNext w:val="0"/>
              <w:rPr>
                <w:rFonts w:cs="Arial"/>
                <w:b/>
              </w:rPr>
            </w:pPr>
          </w:p>
          <w:p w14:paraId="3B95A580" w14:textId="77777777" w:rsidR="00A2582A" w:rsidRPr="006A6B6D" w:rsidRDefault="00A2582A" w:rsidP="0045628D">
            <w:pPr>
              <w:pStyle w:val="TableText"/>
              <w:rPr>
                <w:rFonts w:cs="Arial"/>
                <w:b/>
                <w:bCs w:val="0"/>
              </w:rPr>
            </w:pPr>
            <w:r>
              <w:rPr>
                <w:bCs w:val="0"/>
              </w:rPr>
              <w:t>The assessment of response must be documented in the patient’s medical records.</w:t>
            </w:r>
          </w:p>
        </w:tc>
      </w:tr>
      <w:tr w:rsidR="00A2582A" w:rsidRPr="006A6B6D" w14:paraId="79074E56"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15870CEB" w14:textId="77777777" w:rsidR="00A2582A" w:rsidRPr="006A6B6D" w:rsidRDefault="00A2582A" w:rsidP="0045628D">
            <w:pPr>
              <w:pStyle w:val="TableText"/>
              <w:keepNext w:val="0"/>
              <w:rPr>
                <w:rFonts w:cs="Arial"/>
              </w:rPr>
            </w:pPr>
          </w:p>
        </w:tc>
      </w:tr>
      <w:tr w:rsidR="00A2582A" w:rsidRPr="006A6B6D" w14:paraId="6841BF77"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28553793" w14:textId="77777777" w:rsidR="00A2582A" w:rsidRPr="006A6B6D" w:rsidRDefault="00A2582A" w:rsidP="0045628D">
            <w:pPr>
              <w:pStyle w:val="TableText"/>
              <w:keepNext w:val="0"/>
              <w:rPr>
                <w:rFonts w:cs="Arial"/>
              </w:rPr>
            </w:pPr>
            <w:r w:rsidRPr="006A6B6D">
              <w:rPr>
                <w:b/>
              </w:rPr>
              <w:t xml:space="preserve">Administrative advice: </w:t>
            </w:r>
            <w:r w:rsidRPr="006A6B6D">
              <w:rPr>
                <w:rFonts w:cs="Arial"/>
              </w:rPr>
              <w:t>This drug is not PBS-subsidised if it is prescribed to an in-patient in a public hospital setting</w:t>
            </w:r>
          </w:p>
        </w:tc>
      </w:tr>
      <w:tr w:rsidR="00A2582A" w:rsidRPr="006A6B6D" w14:paraId="6FC76989"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3D5B39DB" w14:textId="77777777" w:rsidR="00A2582A" w:rsidRPr="00AC441C" w:rsidRDefault="00A2582A" w:rsidP="0045628D">
            <w:pPr>
              <w:pStyle w:val="TableText"/>
              <w:keepNext w:val="0"/>
              <w:rPr>
                <w:b/>
              </w:rPr>
            </w:pPr>
            <w:r w:rsidRPr="00AC441C">
              <w:rPr>
                <w:b/>
              </w:rPr>
              <w:t xml:space="preserve">Administrative advice: </w:t>
            </w:r>
            <w:r w:rsidRPr="00AC441C">
              <w:rPr>
                <w:bCs w:val="0"/>
              </w:rPr>
              <w:t>Special Pricing Arrangements apply</w:t>
            </w:r>
          </w:p>
        </w:tc>
      </w:tr>
    </w:tbl>
    <w:p w14:paraId="5028AAF3" w14:textId="77777777" w:rsidR="00A2582A" w:rsidRPr="006A6B6D" w:rsidRDefault="00A2582A" w:rsidP="00A2582A"/>
    <w:tbl>
      <w:tblPr>
        <w:tblW w:w="5000" w:type="pct"/>
        <w:tblLook w:val="0000" w:firstRow="0" w:lastRow="0" w:firstColumn="0" w:lastColumn="0" w:noHBand="0" w:noVBand="0"/>
      </w:tblPr>
      <w:tblGrid>
        <w:gridCol w:w="9017"/>
      </w:tblGrid>
      <w:tr w:rsidR="00A2582A" w:rsidRPr="006A6B6D" w14:paraId="16D20655"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4333019F" w14:textId="77777777" w:rsidR="00A2582A" w:rsidRPr="006A6B6D" w:rsidRDefault="00A2582A" w:rsidP="0045628D">
            <w:pPr>
              <w:pStyle w:val="TableText"/>
              <w:keepNext w:val="0"/>
            </w:pPr>
            <w:r w:rsidRPr="006A6B6D">
              <w:rPr>
                <w:b/>
              </w:rPr>
              <w:t xml:space="preserve">Category / Program: </w:t>
            </w:r>
            <w:r w:rsidRPr="006A6B6D">
              <w:t>GENERAL – General Schedule (Code GE)</w:t>
            </w:r>
          </w:p>
        </w:tc>
      </w:tr>
      <w:tr w:rsidR="00A2582A" w:rsidRPr="006A6B6D" w14:paraId="2FCAFE05"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1249AEFE" w14:textId="77777777" w:rsidR="00A2582A" w:rsidRPr="006A6B6D" w:rsidRDefault="00A2582A" w:rsidP="0045628D">
            <w:pPr>
              <w:pStyle w:val="TableText"/>
              <w:keepNext w:val="0"/>
            </w:pPr>
            <w:r w:rsidRPr="006A6B6D">
              <w:rPr>
                <w:b/>
              </w:rPr>
              <w:t xml:space="preserve">Prescriber type: </w:t>
            </w:r>
            <w:r w:rsidRPr="00AC441C">
              <w:fldChar w:fldCharType="begin">
                <w:ffData>
                  <w:name w:val="Check1"/>
                  <w:enabled/>
                  <w:calcOnExit w:val="0"/>
                  <w:checkBox>
                    <w:sizeAuto/>
                    <w:default w:val="0"/>
                  </w:checkBox>
                </w:ffData>
              </w:fldChar>
            </w:r>
            <w:r w:rsidRPr="006A6B6D">
              <w:instrText xml:space="preserve"> FORMCHECKBOX </w:instrText>
            </w:r>
            <w:r w:rsidR="00BD1016">
              <w:fldChar w:fldCharType="separate"/>
            </w:r>
            <w:r w:rsidRPr="00AC441C">
              <w:fldChar w:fldCharType="end"/>
            </w:r>
            <w:r w:rsidRPr="006A6B6D">
              <w:t xml:space="preserve">Dental  </w:t>
            </w:r>
            <w:r w:rsidRPr="00AC441C">
              <w:fldChar w:fldCharType="begin">
                <w:ffData>
                  <w:name w:val="Check1"/>
                  <w:enabled/>
                  <w:calcOnExit w:val="0"/>
                  <w:checkBox>
                    <w:sizeAuto/>
                    <w:default w:val="1"/>
                  </w:checkBox>
                </w:ffData>
              </w:fldChar>
            </w:r>
            <w:r w:rsidRPr="006A6B6D">
              <w:instrText xml:space="preserve"> FORMCHECKBOX </w:instrText>
            </w:r>
            <w:r w:rsidR="00BD1016">
              <w:fldChar w:fldCharType="separate"/>
            </w:r>
            <w:r w:rsidRPr="00AC441C">
              <w:fldChar w:fldCharType="end"/>
            </w:r>
            <w:r w:rsidRPr="006A6B6D">
              <w:t xml:space="preserve">Medical Practitioners  </w:t>
            </w:r>
            <w:r w:rsidRPr="00AC441C">
              <w:fldChar w:fldCharType="begin">
                <w:ffData>
                  <w:name w:val="Check1"/>
                  <w:enabled/>
                  <w:calcOnExit w:val="0"/>
                  <w:checkBox>
                    <w:sizeAuto/>
                    <w:default w:val="0"/>
                  </w:checkBox>
                </w:ffData>
              </w:fldChar>
            </w:r>
            <w:r w:rsidRPr="006A6B6D">
              <w:instrText xml:space="preserve"> FORMCHECKBOX </w:instrText>
            </w:r>
            <w:r w:rsidR="00BD1016">
              <w:fldChar w:fldCharType="separate"/>
            </w:r>
            <w:r w:rsidRPr="00AC441C">
              <w:fldChar w:fldCharType="end"/>
            </w:r>
            <w:r w:rsidRPr="006A6B6D">
              <w:t xml:space="preserve">Nurse practitioners </w:t>
            </w:r>
            <w:r w:rsidRPr="00AC441C">
              <w:fldChar w:fldCharType="begin">
                <w:ffData>
                  <w:name w:val="Check1"/>
                  <w:enabled/>
                  <w:calcOnExit w:val="0"/>
                  <w:checkBox>
                    <w:sizeAuto/>
                    <w:default w:val="0"/>
                  </w:checkBox>
                </w:ffData>
              </w:fldChar>
            </w:r>
            <w:r w:rsidRPr="006A6B6D">
              <w:instrText xml:space="preserve"> FORMCHECKBOX </w:instrText>
            </w:r>
            <w:r w:rsidR="00BD1016">
              <w:fldChar w:fldCharType="separate"/>
            </w:r>
            <w:r w:rsidRPr="00AC441C">
              <w:fldChar w:fldCharType="end"/>
            </w:r>
            <w:r w:rsidRPr="006A6B6D">
              <w:t xml:space="preserve">Optometrists </w:t>
            </w:r>
            <w:r w:rsidRPr="00AC441C">
              <w:fldChar w:fldCharType="begin">
                <w:ffData>
                  <w:name w:val="Check1"/>
                  <w:enabled/>
                  <w:calcOnExit w:val="0"/>
                  <w:checkBox>
                    <w:sizeAuto/>
                    <w:default w:val="0"/>
                  </w:checkBox>
                </w:ffData>
              </w:fldChar>
            </w:r>
            <w:r w:rsidRPr="006A6B6D">
              <w:instrText xml:space="preserve"> FORMCHECKBOX </w:instrText>
            </w:r>
            <w:r w:rsidR="00BD1016">
              <w:fldChar w:fldCharType="separate"/>
            </w:r>
            <w:r w:rsidRPr="00AC441C">
              <w:fldChar w:fldCharType="end"/>
            </w:r>
            <w:r w:rsidRPr="006A6B6D">
              <w:t>Midwives</w:t>
            </w:r>
          </w:p>
        </w:tc>
      </w:tr>
      <w:tr w:rsidR="00A2582A" w:rsidRPr="006A6B6D" w14:paraId="5A82F864"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197FE50E" w14:textId="77777777" w:rsidR="00A2582A" w:rsidRPr="006A6B6D" w:rsidRDefault="00A2582A" w:rsidP="0045628D">
            <w:pPr>
              <w:pStyle w:val="TableText"/>
              <w:keepNext w:val="0"/>
            </w:pPr>
            <w:r w:rsidRPr="006A6B6D">
              <w:rPr>
                <w:b/>
              </w:rPr>
              <w:t xml:space="preserve">Condition: </w:t>
            </w:r>
            <w:r w:rsidRPr="006A6B6D">
              <w:t>Chronic graft versus host disease (cGVHD)</w:t>
            </w:r>
          </w:p>
        </w:tc>
      </w:tr>
      <w:tr w:rsidR="00A2582A" w:rsidRPr="006A6B6D" w14:paraId="6156687B"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6D7FF7E8" w14:textId="77777777" w:rsidR="00A2582A" w:rsidRPr="006A6B6D" w:rsidRDefault="00A2582A" w:rsidP="0045628D">
            <w:pPr>
              <w:pStyle w:val="TableText"/>
              <w:keepNext w:val="0"/>
            </w:pPr>
            <w:r w:rsidRPr="006A6B6D">
              <w:rPr>
                <w:b/>
              </w:rPr>
              <w:t xml:space="preserve">Severity: </w:t>
            </w:r>
            <w:r w:rsidRPr="006A6B6D">
              <w:t>Moderate to severe</w:t>
            </w:r>
          </w:p>
        </w:tc>
      </w:tr>
      <w:tr w:rsidR="00A2582A" w:rsidRPr="006A6B6D" w14:paraId="69F034CC"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4AF3116C" w14:textId="77777777" w:rsidR="00A2582A" w:rsidRPr="006A6B6D" w:rsidRDefault="00A2582A" w:rsidP="0045628D">
            <w:pPr>
              <w:pStyle w:val="TableText"/>
              <w:keepNext w:val="0"/>
            </w:pPr>
            <w:r w:rsidRPr="006A6B6D">
              <w:rPr>
                <w:b/>
              </w:rPr>
              <w:t xml:space="preserve">PBS Indication: </w:t>
            </w:r>
            <w:r w:rsidRPr="006A6B6D">
              <w:t>Moderate to severe chronic graft versus host disease (cGVHD)</w:t>
            </w:r>
          </w:p>
        </w:tc>
      </w:tr>
      <w:tr w:rsidR="00A2582A" w:rsidRPr="006A6B6D" w14:paraId="3FDB00A7"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3F266AC6" w14:textId="77777777" w:rsidR="00A2582A" w:rsidRPr="006A6B6D" w:rsidRDefault="00A2582A" w:rsidP="0045628D">
            <w:pPr>
              <w:pStyle w:val="TableText"/>
              <w:keepNext w:val="0"/>
            </w:pPr>
            <w:r w:rsidRPr="006A6B6D">
              <w:rPr>
                <w:b/>
              </w:rPr>
              <w:t xml:space="preserve">Treatment phase: </w:t>
            </w:r>
            <w:r w:rsidRPr="006A6B6D">
              <w:t>Continuing</w:t>
            </w:r>
          </w:p>
        </w:tc>
      </w:tr>
      <w:tr w:rsidR="00A2582A" w:rsidRPr="006A6B6D" w14:paraId="6663CBEF"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4FB4CE86" w14:textId="77777777" w:rsidR="00A2582A" w:rsidRPr="006A6B6D" w:rsidRDefault="00A2582A" w:rsidP="0045628D">
            <w:pPr>
              <w:pStyle w:val="TableText"/>
              <w:keepNext w:val="0"/>
            </w:pPr>
            <w:r w:rsidRPr="006A6B6D">
              <w:rPr>
                <w:b/>
              </w:rPr>
              <w:t xml:space="preserve">Restriction type: </w:t>
            </w:r>
            <w:r w:rsidRPr="00AC441C">
              <w:fldChar w:fldCharType="begin">
                <w:ffData>
                  <w:name w:val="Check5"/>
                  <w:enabled/>
                  <w:calcOnExit w:val="0"/>
                  <w:checkBox>
                    <w:sizeAuto/>
                    <w:default w:val="1"/>
                  </w:checkBox>
                </w:ffData>
              </w:fldChar>
            </w:r>
            <w:r w:rsidRPr="006A6B6D">
              <w:instrText xml:space="preserve"> FORMCHECKBOX </w:instrText>
            </w:r>
            <w:r w:rsidR="00BD1016">
              <w:fldChar w:fldCharType="separate"/>
            </w:r>
            <w:r w:rsidRPr="00AC441C">
              <w:fldChar w:fldCharType="end"/>
            </w:r>
            <w:r w:rsidRPr="006A6B6D">
              <w:t>Streamlined</w:t>
            </w:r>
          </w:p>
        </w:tc>
      </w:tr>
      <w:tr w:rsidR="00A2582A" w:rsidRPr="006A6B6D" w14:paraId="3FB5FD7A"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1D938730" w14:textId="77777777" w:rsidR="00A2582A" w:rsidRPr="006A6B6D" w:rsidRDefault="00A2582A" w:rsidP="0045628D">
            <w:pPr>
              <w:pStyle w:val="TableText"/>
              <w:keepNext w:val="0"/>
              <w:rPr>
                <w:b/>
              </w:rPr>
            </w:pPr>
          </w:p>
        </w:tc>
      </w:tr>
      <w:tr w:rsidR="00A2582A" w:rsidRPr="006A6B6D" w14:paraId="372C8BD0"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43C9FE46" w14:textId="77777777" w:rsidR="00A2582A" w:rsidRPr="006A6B6D" w:rsidRDefault="00A2582A" w:rsidP="0045628D">
            <w:pPr>
              <w:pStyle w:val="TableText"/>
              <w:keepNext w:val="0"/>
              <w:rPr>
                <w:b/>
              </w:rPr>
            </w:pPr>
            <w:r w:rsidRPr="00895548">
              <w:rPr>
                <w:b/>
              </w:rPr>
              <w:t xml:space="preserve">Administrative Advice: </w:t>
            </w:r>
            <w:r w:rsidRPr="00895548">
              <w:rPr>
                <w:bCs w:val="0"/>
              </w:rPr>
              <w:t>No increase in the maximum quantity or number of units may be authorised.</w:t>
            </w:r>
          </w:p>
        </w:tc>
      </w:tr>
      <w:tr w:rsidR="00A2582A" w:rsidRPr="006A6B6D" w14:paraId="695C9886"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42FC6FDF" w14:textId="77777777" w:rsidR="00A2582A" w:rsidRPr="006A6B6D" w:rsidRDefault="00A2582A" w:rsidP="0045628D">
            <w:pPr>
              <w:pStyle w:val="TableText"/>
              <w:keepNext w:val="0"/>
              <w:rPr>
                <w:b/>
              </w:rPr>
            </w:pPr>
            <w:r w:rsidRPr="00895548">
              <w:rPr>
                <w:b/>
              </w:rPr>
              <w:t xml:space="preserve">Administrative advice: </w:t>
            </w:r>
            <w:r w:rsidRPr="00895548">
              <w:rPr>
                <w:bCs w:val="0"/>
              </w:rPr>
              <w:t>No increase in the maximum number of repeats may be authorised.</w:t>
            </w:r>
          </w:p>
        </w:tc>
      </w:tr>
      <w:tr w:rsidR="00A2582A" w:rsidRPr="006A6B6D" w14:paraId="59C3720D"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205436B5" w14:textId="77777777" w:rsidR="00A2582A" w:rsidRPr="006A6B6D" w:rsidRDefault="00A2582A" w:rsidP="0045628D">
            <w:pPr>
              <w:pStyle w:val="TableText"/>
              <w:keepNext w:val="0"/>
              <w:rPr>
                <w:b/>
              </w:rPr>
            </w:pPr>
          </w:p>
        </w:tc>
      </w:tr>
      <w:tr w:rsidR="00A2582A" w:rsidRPr="006A6B6D" w14:paraId="79EC8FFE"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39FB54AF" w14:textId="77777777" w:rsidR="00A2582A" w:rsidRPr="006A6B6D" w:rsidRDefault="00A2582A" w:rsidP="0045628D">
            <w:pPr>
              <w:pStyle w:val="TableText"/>
              <w:keepNext w:val="0"/>
              <w:rPr>
                <w:b/>
              </w:rPr>
            </w:pPr>
            <w:r w:rsidRPr="006A6B6D">
              <w:rPr>
                <w:b/>
              </w:rPr>
              <w:t>Clinical criteria:</w:t>
            </w:r>
          </w:p>
        </w:tc>
      </w:tr>
      <w:tr w:rsidR="00A2582A" w:rsidRPr="006A6B6D" w14:paraId="213BBE00"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035CFBFD" w14:textId="77777777" w:rsidR="00A2582A" w:rsidRPr="006A6B6D" w:rsidRDefault="00A2582A" w:rsidP="0045628D">
            <w:pPr>
              <w:pStyle w:val="TableText"/>
              <w:rPr>
                <w:rFonts w:cs="Arial"/>
              </w:rPr>
            </w:pPr>
            <w:r w:rsidRPr="006A6B6D">
              <w:rPr>
                <w:rFonts w:cs="Arial"/>
              </w:rPr>
              <w:t>Patient must have received initial PBS subsidised treatment with this drug for this condition</w:t>
            </w:r>
          </w:p>
        </w:tc>
      </w:tr>
      <w:tr w:rsidR="00A2582A" w:rsidRPr="006A6B6D" w14:paraId="4BBAB299"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0BF4DC79" w14:textId="77777777" w:rsidR="00A2582A" w:rsidRPr="006A6B6D" w:rsidRDefault="00A2582A" w:rsidP="0045628D">
            <w:pPr>
              <w:pStyle w:val="TableText"/>
              <w:rPr>
                <w:rFonts w:cs="Arial"/>
                <w:b/>
                <w:bCs w:val="0"/>
              </w:rPr>
            </w:pPr>
            <w:r w:rsidRPr="006A6B6D">
              <w:rPr>
                <w:rFonts w:cs="Arial"/>
                <w:b/>
                <w:bCs w:val="0"/>
              </w:rPr>
              <w:t>AND</w:t>
            </w:r>
          </w:p>
        </w:tc>
      </w:tr>
      <w:tr w:rsidR="00A2582A" w:rsidRPr="006A6B6D" w14:paraId="5EA079AC"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54626A9A" w14:textId="77777777" w:rsidR="00A2582A" w:rsidRPr="006A6B6D" w:rsidRDefault="00A2582A" w:rsidP="0045628D">
            <w:pPr>
              <w:pStyle w:val="TableText"/>
              <w:rPr>
                <w:rFonts w:cs="Arial"/>
              </w:rPr>
            </w:pPr>
            <w:r w:rsidRPr="006A6B6D">
              <w:rPr>
                <w:b/>
              </w:rPr>
              <w:t>Clinical criteria:</w:t>
            </w:r>
          </w:p>
        </w:tc>
      </w:tr>
      <w:tr w:rsidR="00A2582A" w:rsidRPr="006A6B6D" w14:paraId="44995042"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4D68B29F" w14:textId="77777777" w:rsidR="00A2582A" w:rsidRPr="006A6B6D" w:rsidRDefault="00A2582A" w:rsidP="0045628D">
            <w:pPr>
              <w:pStyle w:val="TableText"/>
              <w:rPr>
                <w:b/>
              </w:rPr>
            </w:pPr>
            <w:r w:rsidRPr="006A6B6D">
              <w:rPr>
                <w:rFonts w:cs="Arial"/>
              </w:rPr>
              <w:t>Patient must have responding disease</w:t>
            </w:r>
            <w:r>
              <w:rPr>
                <w:rFonts w:cs="Arial"/>
              </w:rPr>
              <w:t xml:space="preserve"> at 24 weeks compared with baseline, demonstrated by either a: (i) partial response, (ii) complete response</w:t>
            </w:r>
          </w:p>
        </w:tc>
      </w:tr>
      <w:tr w:rsidR="00A2582A" w:rsidRPr="006A6B6D" w14:paraId="0ED87D82"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48A8CD4A" w14:textId="77777777" w:rsidR="00A2582A" w:rsidRPr="006A6B6D" w:rsidRDefault="00A2582A" w:rsidP="0045628D">
            <w:pPr>
              <w:pStyle w:val="TableText"/>
              <w:rPr>
                <w:rFonts w:cs="Arial"/>
              </w:rPr>
            </w:pPr>
            <w:r w:rsidRPr="006A6B6D">
              <w:rPr>
                <w:rFonts w:cs="Arial"/>
                <w:b/>
                <w:bCs w:val="0"/>
              </w:rPr>
              <w:t>AND</w:t>
            </w:r>
          </w:p>
        </w:tc>
      </w:tr>
      <w:tr w:rsidR="00A2582A" w:rsidRPr="006A6B6D" w14:paraId="7A715742"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22538DBD" w14:textId="77777777" w:rsidR="00A2582A" w:rsidRPr="006A6B6D" w:rsidRDefault="00A2582A" w:rsidP="0045628D">
            <w:pPr>
              <w:pStyle w:val="TableText"/>
              <w:rPr>
                <w:rFonts w:cs="Arial"/>
              </w:rPr>
            </w:pPr>
            <w:r w:rsidRPr="006A6B6D">
              <w:rPr>
                <w:rFonts w:cs="Arial"/>
                <w:b/>
                <w:bCs w:val="0"/>
              </w:rPr>
              <w:t>Clinical criteria:</w:t>
            </w:r>
          </w:p>
        </w:tc>
      </w:tr>
      <w:tr w:rsidR="00A2582A" w:rsidRPr="006A6B6D" w14:paraId="130A2727"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692D89BE" w14:textId="77777777" w:rsidR="00A2582A" w:rsidRPr="006A6B6D" w:rsidRDefault="00A2582A" w:rsidP="0045628D">
            <w:pPr>
              <w:pStyle w:val="TableText"/>
              <w:rPr>
                <w:rFonts w:cs="Arial"/>
              </w:rPr>
            </w:pPr>
            <w:r w:rsidRPr="00AC441C">
              <w:rPr>
                <w:rFonts w:cs="Arial"/>
              </w:rPr>
              <w:t>The treatment must be the sole PBS subsidised treatment for this condition with the exception of: (i) corticosteroids, (ii)</w:t>
            </w:r>
            <w:r>
              <w:rPr>
                <w:rFonts w:cs="Arial"/>
              </w:rPr>
              <w:t xml:space="preserve"> </w:t>
            </w:r>
            <w:r w:rsidRPr="00AC441C">
              <w:rPr>
                <w:rFonts w:cs="Arial"/>
              </w:rPr>
              <w:t>calcineurin inhibitors</w:t>
            </w:r>
          </w:p>
        </w:tc>
      </w:tr>
      <w:tr w:rsidR="00A2582A" w:rsidRPr="006A6B6D" w14:paraId="3B5ED417"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078CB094" w14:textId="77777777" w:rsidR="00A2582A" w:rsidRPr="006A6B6D" w:rsidRDefault="00A2582A" w:rsidP="0045628D">
            <w:pPr>
              <w:pStyle w:val="TableText"/>
              <w:rPr>
                <w:rFonts w:cs="Arial"/>
              </w:rPr>
            </w:pPr>
          </w:p>
        </w:tc>
      </w:tr>
      <w:tr w:rsidR="00A2582A" w:rsidRPr="006A6B6D" w14:paraId="25775467"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3FFB4448" w14:textId="77777777" w:rsidR="00A2582A" w:rsidRPr="006A6B6D" w:rsidRDefault="00A2582A" w:rsidP="0045628D">
            <w:pPr>
              <w:pStyle w:val="TableText"/>
              <w:rPr>
                <w:rFonts w:cs="Arial"/>
              </w:rPr>
            </w:pPr>
            <w:r w:rsidRPr="006A6B6D">
              <w:rPr>
                <w:b/>
              </w:rPr>
              <w:t>Treatment criteria:</w:t>
            </w:r>
          </w:p>
        </w:tc>
      </w:tr>
      <w:tr w:rsidR="00A2582A" w:rsidRPr="006A6B6D" w14:paraId="518D0C56"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6DEDA984" w14:textId="77777777" w:rsidR="00A2582A" w:rsidRPr="006A6B6D" w:rsidRDefault="00A2582A" w:rsidP="0045628D">
            <w:pPr>
              <w:pStyle w:val="TableText"/>
              <w:rPr>
                <w:rFonts w:cs="Arial"/>
              </w:rPr>
            </w:pPr>
            <w:r w:rsidRPr="006A6B6D">
              <w:rPr>
                <w:rFonts w:cs="Arial"/>
              </w:rPr>
              <w:t xml:space="preserve">Must be treated by </w:t>
            </w:r>
            <w:r>
              <w:rPr>
                <w:rFonts w:cs="Arial"/>
              </w:rPr>
              <w:t xml:space="preserve">a medical practitioner who is </w:t>
            </w:r>
            <w:r w:rsidRPr="00AC441C">
              <w:rPr>
                <w:rFonts w:cs="Arial"/>
              </w:rPr>
              <w:t>either</w:t>
            </w:r>
            <w:r>
              <w:rPr>
                <w:rFonts w:cs="Arial"/>
              </w:rPr>
              <w:t>:</w:t>
            </w:r>
            <w:r w:rsidRPr="00AC441C">
              <w:rPr>
                <w:rFonts w:cs="Arial"/>
              </w:rPr>
              <w:t xml:space="preserve"> (i)</w:t>
            </w:r>
            <w:r w:rsidRPr="006A6B6D">
              <w:rPr>
                <w:rFonts w:cs="Arial"/>
              </w:rPr>
              <w:t xml:space="preserve"> a haematologist, </w:t>
            </w:r>
            <w:r w:rsidRPr="00AC441C">
              <w:rPr>
                <w:rFonts w:cs="Arial"/>
              </w:rPr>
              <w:t>(ii)</w:t>
            </w:r>
            <w:r w:rsidRPr="006A6B6D">
              <w:rPr>
                <w:rFonts w:cs="Arial"/>
              </w:rPr>
              <w:t xml:space="preserve"> an oncologist with allogeneic bone marrow transplantation experience, </w:t>
            </w:r>
            <w:r w:rsidRPr="00AC441C">
              <w:rPr>
                <w:rFonts w:cs="Arial"/>
              </w:rPr>
              <w:t>(iii)</w:t>
            </w:r>
            <w:r w:rsidRPr="006A6B6D">
              <w:rPr>
                <w:rFonts w:cs="Arial"/>
              </w:rPr>
              <w:t xml:space="preserve"> a medical practitioner working under the direct supervision of one of the afore</w:t>
            </w:r>
            <w:r>
              <w:rPr>
                <w:rFonts w:cs="Arial"/>
              </w:rPr>
              <w:t xml:space="preserve"> </w:t>
            </w:r>
            <w:r w:rsidRPr="006A6B6D">
              <w:rPr>
                <w:rFonts w:cs="Arial"/>
              </w:rPr>
              <w:t>mentioned specialist types</w:t>
            </w:r>
          </w:p>
        </w:tc>
      </w:tr>
      <w:tr w:rsidR="00A2582A" w:rsidRPr="006A6B6D" w14:paraId="64653D0A"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2B1F21ED" w14:textId="77777777" w:rsidR="00A2582A" w:rsidRPr="006A6B6D" w:rsidRDefault="00A2582A" w:rsidP="0045628D">
            <w:pPr>
              <w:pStyle w:val="TableText"/>
              <w:keepNext w:val="0"/>
              <w:rPr>
                <w:rFonts w:cs="Arial"/>
              </w:rPr>
            </w:pPr>
          </w:p>
        </w:tc>
      </w:tr>
      <w:tr w:rsidR="00A2582A" w:rsidRPr="006A6B6D" w14:paraId="47E22EC6"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1AE38E77" w14:textId="77777777" w:rsidR="00A2582A" w:rsidRPr="006A6B6D" w:rsidRDefault="00A2582A" w:rsidP="0045628D">
            <w:pPr>
              <w:pStyle w:val="TableText"/>
              <w:rPr>
                <w:rFonts w:cs="Arial"/>
              </w:rPr>
            </w:pPr>
            <w:r w:rsidRPr="006A6B6D">
              <w:rPr>
                <w:b/>
              </w:rPr>
              <w:t>Prescriber instructions:</w:t>
            </w:r>
          </w:p>
          <w:p w14:paraId="26DD18F0" w14:textId="77777777" w:rsidR="00A2582A" w:rsidRPr="006A6B6D" w:rsidRDefault="00A2582A" w:rsidP="0045628D">
            <w:pPr>
              <w:pStyle w:val="CommentText"/>
              <w:rPr>
                <w:rFonts w:ascii="Arial Narrow" w:hAnsi="Arial Narrow"/>
              </w:rPr>
            </w:pPr>
            <w:r w:rsidRPr="006A6B6D">
              <w:rPr>
                <w:rFonts w:ascii="Arial Narrow" w:hAnsi="Arial Narrow"/>
              </w:rPr>
              <w:t xml:space="preserve">Response is defined as attaining a complete or partial response as defined by </w:t>
            </w:r>
            <w:r w:rsidRPr="00AC441C">
              <w:rPr>
                <w:rFonts w:ascii="Arial Narrow" w:hAnsi="Arial Narrow"/>
              </w:rPr>
              <w:t xml:space="preserve">the </w:t>
            </w:r>
            <w:r w:rsidRPr="00550A51">
              <w:rPr>
                <w:rFonts w:ascii="Arial Narrow" w:hAnsi="Arial Narrow"/>
                <w:i/>
                <w:iCs/>
              </w:rPr>
              <w:t>National Institutes of Health</w:t>
            </w:r>
            <w:r w:rsidRPr="00AC441C">
              <w:rPr>
                <w:rFonts w:ascii="Arial Narrow" w:hAnsi="Arial Narrow"/>
              </w:rPr>
              <w:t xml:space="preserve"> (</w:t>
            </w:r>
            <w:r w:rsidRPr="006A6B6D">
              <w:rPr>
                <w:rFonts w:ascii="Arial Narrow" w:hAnsi="Arial Narrow"/>
              </w:rPr>
              <w:t>NIH</w:t>
            </w:r>
            <w:r w:rsidRPr="00AC441C">
              <w:rPr>
                <w:rFonts w:ascii="Arial Narrow" w:hAnsi="Arial Narrow"/>
              </w:rPr>
              <w:t>)</w:t>
            </w:r>
            <w:r w:rsidRPr="006A6B6D">
              <w:rPr>
                <w:rFonts w:ascii="Arial Narrow" w:hAnsi="Arial Narrow"/>
              </w:rPr>
              <w:t xml:space="preserve"> criteria</w:t>
            </w:r>
            <w:r>
              <w:rPr>
                <w:rFonts w:ascii="Arial Narrow" w:hAnsi="Arial Narrow"/>
              </w:rPr>
              <w:t xml:space="preserve"> (Lee et al., 2015)</w:t>
            </w:r>
            <w:r w:rsidRPr="006A6B6D">
              <w:rPr>
                <w:rFonts w:ascii="Arial Narrow" w:hAnsi="Arial Narrow"/>
              </w:rPr>
              <w:t>. Note that response is relative to the assessment of organ function affected by cGVHD prior to commencing initial treatment with ruxolitinib.</w:t>
            </w:r>
          </w:p>
          <w:p w14:paraId="0B128163" w14:textId="77777777" w:rsidR="00A2582A" w:rsidRPr="006A6B6D" w:rsidRDefault="00A2582A" w:rsidP="0045628D">
            <w:pPr>
              <w:pStyle w:val="TableText"/>
              <w:rPr>
                <w:rFonts w:cs="Arial"/>
              </w:rPr>
            </w:pPr>
            <w:r w:rsidRPr="006A6B6D">
              <w:rPr>
                <w:rFonts w:cs="Arial"/>
                <w:szCs w:val="20"/>
              </w:rPr>
              <w:t>(a) Complete response</w:t>
            </w:r>
            <w:r w:rsidRPr="006A6B6D">
              <w:rPr>
                <w:rFonts w:cs="Arial"/>
              </w:rPr>
              <w:t xml:space="preserve"> is defined as complete resolution of all signs and symptoms of cGVHD in all evaluable organs without initiation or addition of new systemic therapy.</w:t>
            </w:r>
          </w:p>
          <w:p w14:paraId="5FFA7068" w14:textId="77777777" w:rsidR="00A2582A" w:rsidRDefault="00A2582A" w:rsidP="0045628D">
            <w:pPr>
              <w:pStyle w:val="TableText"/>
              <w:keepNext w:val="0"/>
              <w:rPr>
                <w:rFonts w:cs="Arial"/>
              </w:rPr>
            </w:pPr>
            <w:r w:rsidRPr="006A6B6D">
              <w:rPr>
                <w:rFonts w:cs="Arial"/>
              </w:rPr>
              <w:t>(b) Partial response is defined as an improvement in at least one organ (e.g. improvement of 1 or more points on a 4-to-7-point scale, or an improvement of 2 or more points on a 10-to-12-point scale) without progression in other organs or sites, initiation or addition of new systemic therapies.</w:t>
            </w:r>
          </w:p>
          <w:p w14:paraId="25B71D86" w14:textId="77777777" w:rsidR="00A2582A" w:rsidRDefault="00A2582A" w:rsidP="0045628D">
            <w:pPr>
              <w:pStyle w:val="TableText"/>
              <w:keepNext w:val="0"/>
              <w:rPr>
                <w:rFonts w:cs="Arial"/>
              </w:rPr>
            </w:pPr>
          </w:p>
          <w:p w14:paraId="7CF46C0D" w14:textId="77777777" w:rsidR="00A2582A" w:rsidRPr="006A6B6D" w:rsidRDefault="00A2582A" w:rsidP="0045628D">
            <w:pPr>
              <w:pStyle w:val="TableText"/>
              <w:keepNext w:val="0"/>
              <w:rPr>
                <w:rFonts w:cs="Arial"/>
              </w:rPr>
            </w:pPr>
            <w:r>
              <w:rPr>
                <w:rFonts w:cs="Arial"/>
              </w:rPr>
              <w:t xml:space="preserve">The assessment of response must be documented in the patient’s medical records. </w:t>
            </w:r>
          </w:p>
        </w:tc>
      </w:tr>
      <w:tr w:rsidR="00A2582A" w:rsidRPr="006A6B6D" w14:paraId="234617B7"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4B294C1A" w14:textId="77777777" w:rsidR="00A2582A" w:rsidRPr="0016655D" w:rsidRDefault="00A2582A" w:rsidP="0045628D">
            <w:pPr>
              <w:pStyle w:val="TableText"/>
              <w:rPr>
                <w:b/>
              </w:rPr>
            </w:pPr>
            <w:r w:rsidRPr="0016655D">
              <w:rPr>
                <w:b/>
              </w:rPr>
              <w:t>Prescriber instructions:</w:t>
            </w:r>
          </w:p>
          <w:p w14:paraId="0A596A0C" w14:textId="77777777" w:rsidR="00A2582A" w:rsidRPr="006A6B6D" w:rsidRDefault="00A2582A" w:rsidP="0045628D">
            <w:pPr>
              <w:pStyle w:val="TableText"/>
              <w:rPr>
                <w:b/>
              </w:rPr>
            </w:pPr>
            <w:r w:rsidRPr="0016655D">
              <w:rPr>
                <w:bCs w:val="0"/>
              </w:rPr>
              <w:t>Tapering the dose of corticosteroids should be considered in patients</w:t>
            </w:r>
            <w:r>
              <w:rPr>
                <w:bCs w:val="0"/>
              </w:rPr>
              <w:t xml:space="preserve"> with responding disease</w:t>
            </w:r>
            <w:r w:rsidRPr="0016655D">
              <w:rPr>
                <w:bCs w:val="0"/>
              </w:rPr>
              <w:t>. Following successful taper</w:t>
            </w:r>
            <w:r>
              <w:rPr>
                <w:bCs w:val="0"/>
              </w:rPr>
              <w:t>ing</w:t>
            </w:r>
            <w:r w:rsidRPr="0016655D">
              <w:rPr>
                <w:bCs w:val="0"/>
              </w:rPr>
              <w:t xml:space="preserve"> of corticosteroids, tapering the dose of ruxolitinib can be initiated.</w:t>
            </w:r>
          </w:p>
        </w:tc>
      </w:tr>
      <w:tr w:rsidR="00A2582A" w:rsidRPr="006A6B6D" w14:paraId="0C21C3F9"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53089AA6" w14:textId="77777777" w:rsidR="00A2582A" w:rsidRPr="006A6B6D" w:rsidRDefault="00A2582A" w:rsidP="0045628D">
            <w:pPr>
              <w:pStyle w:val="TableText"/>
              <w:rPr>
                <w:b/>
              </w:rPr>
            </w:pPr>
          </w:p>
        </w:tc>
      </w:tr>
      <w:tr w:rsidR="00A2582A" w:rsidRPr="006A6B6D" w14:paraId="5C6E9027"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0667EFFE" w14:textId="77777777" w:rsidR="00A2582A" w:rsidRPr="00AC441C" w:rsidRDefault="00A2582A" w:rsidP="0045628D">
            <w:pPr>
              <w:pStyle w:val="TableText"/>
              <w:keepNext w:val="0"/>
              <w:rPr>
                <w:rFonts w:cs="Arial"/>
              </w:rPr>
            </w:pPr>
            <w:r w:rsidRPr="00AC441C">
              <w:rPr>
                <w:b/>
              </w:rPr>
              <w:t xml:space="preserve">Administrative advice: </w:t>
            </w:r>
            <w:r w:rsidRPr="00AC441C">
              <w:rPr>
                <w:rFonts w:cs="Arial"/>
              </w:rPr>
              <w:t>This drug is not PBS-subsidised if it is prescribed to an in-patient in a public hospital setting</w:t>
            </w:r>
          </w:p>
        </w:tc>
      </w:tr>
      <w:tr w:rsidR="00A2582A" w:rsidRPr="006A6B6D" w14:paraId="5F00433E"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189D20CE" w14:textId="77777777" w:rsidR="00A2582A" w:rsidRPr="00AC441C" w:rsidRDefault="00A2582A" w:rsidP="0045628D">
            <w:pPr>
              <w:pStyle w:val="TableText"/>
              <w:keepNext w:val="0"/>
              <w:rPr>
                <w:b/>
              </w:rPr>
            </w:pPr>
            <w:r w:rsidRPr="00AC441C">
              <w:rPr>
                <w:b/>
              </w:rPr>
              <w:t xml:space="preserve">Administrative advice: </w:t>
            </w:r>
            <w:r w:rsidRPr="00AC441C">
              <w:rPr>
                <w:bCs w:val="0"/>
              </w:rPr>
              <w:t>Special Pricing Arrangements apply</w:t>
            </w:r>
          </w:p>
        </w:tc>
      </w:tr>
    </w:tbl>
    <w:p w14:paraId="28209B82" w14:textId="77777777" w:rsidR="00A2582A" w:rsidRPr="006A6B6D" w:rsidRDefault="00A2582A" w:rsidP="00A2582A"/>
    <w:tbl>
      <w:tblPr>
        <w:tblW w:w="5000" w:type="pct"/>
        <w:tblInd w:w="-5" w:type="dxa"/>
        <w:tblLayout w:type="fixed"/>
        <w:tblLook w:val="0000" w:firstRow="0" w:lastRow="0" w:firstColumn="0" w:lastColumn="0" w:noHBand="0" w:noVBand="0"/>
      </w:tblPr>
      <w:tblGrid>
        <w:gridCol w:w="9017"/>
      </w:tblGrid>
      <w:tr w:rsidR="00A2582A" w:rsidRPr="006A6B6D" w14:paraId="79CB84FC"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05FA98FB" w14:textId="77777777" w:rsidR="00A2582A" w:rsidRPr="006A6B6D" w:rsidRDefault="00A2582A" w:rsidP="0045628D">
            <w:pPr>
              <w:pStyle w:val="TableText"/>
              <w:keepNext w:val="0"/>
            </w:pPr>
            <w:r w:rsidRPr="006A6B6D">
              <w:rPr>
                <w:b/>
              </w:rPr>
              <w:t xml:space="preserve">Category / Program: </w:t>
            </w:r>
            <w:r w:rsidRPr="006A6B6D">
              <w:t>GENERAL – General Schedule (Code GE)</w:t>
            </w:r>
          </w:p>
        </w:tc>
      </w:tr>
      <w:tr w:rsidR="00A2582A" w:rsidRPr="006A6B6D" w14:paraId="622459FF"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0FB9B368" w14:textId="77777777" w:rsidR="00A2582A" w:rsidRPr="006A6B6D" w:rsidRDefault="00A2582A" w:rsidP="0045628D">
            <w:pPr>
              <w:pStyle w:val="TableText"/>
              <w:keepNext w:val="0"/>
            </w:pPr>
            <w:r w:rsidRPr="006A6B6D">
              <w:rPr>
                <w:b/>
              </w:rPr>
              <w:t xml:space="preserve">Prescriber type: </w:t>
            </w:r>
            <w:r w:rsidRPr="00AC441C">
              <w:fldChar w:fldCharType="begin">
                <w:ffData>
                  <w:name w:val="Check1"/>
                  <w:enabled/>
                  <w:calcOnExit w:val="0"/>
                  <w:checkBox>
                    <w:sizeAuto/>
                    <w:default w:val="0"/>
                  </w:checkBox>
                </w:ffData>
              </w:fldChar>
            </w:r>
            <w:r w:rsidRPr="006A6B6D">
              <w:instrText xml:space="preserve"> FORMCHECKBOX </w:instrText>
            </w:r>
            <w:r w:rsidR="00BD1016">
              <w:fldChar w:fldCharType="separate"/>
            </w:r>
            <w:r w:rsidRPr="00AC441C">
              <w:fldChar w:fldCharType="end"/>
            </w:r>
            <w:r w:rsidRPr="006A6B6D">
              <w:t xml:space="preserve">Dental  </w:t>
            </w:r>
            <w:r w:rsidRPr="00AC441C">
              <w:fldChar w:fldCharType="begin">
                <w:ffData>
                  <w:name w:val="Check1"/>
                  <w:enabled/>
                  <w:calcOnExit w:val="0"/>
                  <w:checkBox>
                    <w:sizeAuto/>
                    <w:default w:val="1"/>
                  </w:checkBox>
                </w:ffData>
              </w:fldChar>
            </w:r>
            <w:r w:rsidRPr="006A6B6D">
              <w:instrText xml:space="preserve"> FORMCHECKBOX </w:instrText>
            </w:r>
            <w:r w:rsidR="00BD1016">
              <w:fldChar w:fldCharType="separate"/>
            </w:r>
            <w:r w:rsidRPr="00AC441C">
              <w:fldChar w:fldCharType="end"/>
            </w:r>
            <w:r w:rsidRPr="006A6B6D">
              <w:t xml:space="preserve">Medical Practitioners  </w:t>
            </w:r>
            <w:r w:rsidRPr="00AC441C">
              <w:fldChar w:fldCharType="begin">
                <w:ffData>
                  <w:name w:val="Check1"/>
                  <w:enabled/>
                  <w:calcOnExit w:val="0"/>
                  <w:checkBox>
                    <w:sizeAuto/>
                    <w:default w:val="0"/>
                  </w:checkBox>
                </w:ffData>
              </w:fldChar>
            </w:r>
            <w:r w:rsidRPr="006A6B6D">
              <w:instrText xml:space="preserve"> FORMCHECKBOX </w:instrText>
            </w:r>
            <w:r w:rsidR="00BD1016">
              <w:fldChar w:fldCharType="separate"/>
            </w:r>
            <w:r w:rsidRPr="00AC441C">
              <w:fldChar w:fldCharType="end"/>
            </w:r>
            <w:r w:rsidRPr="006A6B6D">
              <w:t xml:space="preserve">Nurse practitioners </w:t>
            </w:r>
            <w:r w:rsidRPr="00AC441C">
              <w:fldChar w:fldCharType="begin">
                <w:ffData>
                  <w:name w:val="Check1"/>
                  <w:enabled/>
                  <w:calcOnExit w:val="0"/>
                  <w:checkBox>
                    <w:sizeAuto/>
                    <w:default w:val="0"/>
                  </w:checkBox>
                </w:ffData>
              </w:fldChar>
            </w:r>
            <w:r w:rsidRPr="006A6B6D">
              <w:instrText xml:space="preserve"> FORMCHECKBOX </w:instrText>
            </w:r>
            <w:r w:rsidR="00BD1016">
              <w:fldChar w:fldCharType="separate"/>
            </w:r>
            <w:r w:rsidRPr="00AC441C">
              <w:fldChar w:fldCharType="end"/>
            </w:r>
            <w:r w:rsidRPr="006A6B6D">
              <w:t xml:space="preserve">Optometrists </w:t>
            </w:r>
            <w:r w:rsidRPr="00AC441C">
              <w:fldChar w:fldCharType="begin">
                <w:ffData>
                  <w:name w:val="Check1"/>
                  <w:enabled/>
                  <w:calcOnExit w:val="0"/>
                  <w:checkBox>
                    <w:sizeAuto/>
                    <w:default w:val="0"/>
                  </w:checkBox>
                </w:ffData>
              </w:fldChar>
            </w:r>
            <w:r w:rsidRPr="006A6B6D">
              <w:instrText xml:space="preserve"> FORMCHECKBOX </w:instrText>
            </w:r>
            <w:r w:rsidR="00BD1016">
              <w:fldChar w:fldCharType="separate"/>
            </w:r>
            <w:r w:rsidRPr="00AC441C">
              <w:fldChar w:fldCharType="end"/>
            </w:r>
            <w:r w:rsidRPr="006A6B6D">
              <w:t>Midwives</w:t>
            </w:r>
          </w:p>
        </w:tc>
      </w:tr>
      <w:tr w:rsidR="00A2582A" w:rsidRPr="006A6B6D" w14:paraId="5E98107B"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279D74D6" w14:textId="77777777" w:rsidR="00A2582A" w:rsidRPr="006A6B6D" w:rsidRDefault="00A2582A" w:rsidP="0045628D">
            <w:pPr>
              <w:pStyle w:val="TableText"/>
              <w:keepNext w:val="0"/>
            </w:pPr>
            <w:r w:rsidRPr="006A6B6D">
              <w:rPr>
                <w:b/>
              </w:rPr>
              <w:t xml:space="preserve">Condition: </w:t>
            </w:r>
            <w:r w:rsidRPr="006A6B6D">
              <w:t>Chronic graft versus host disease (cGVHD)</w:t>
            </w:r>
          </w:p>
        </w:tc>
      </w:tr>
      <w:tr w:rsidR="00A2582A" w:rsidRPr="006A6B6D" w14:paraId="1331C08E"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0ABD1741" w14:textId="77777777" w:rsidR="00A2582A" w:rsidRPr="006A6B6D" w:rsidRDefault="00A2582A" w:rsidP="0045628D">
            <w:pPr>
              <w:pStyle w:val="TableText"/>
              <w:keepNext w:val="0"/>
            </w:pPr>
            <w:r w:rsidRPr="006A6B6D">
              <w:rPr>
                <w:b/>
              </w:rPr>
              <w:t xml:space="preserve">Severity: </w:t>
            </w:r>
            <w:r w:rsidRPr="006A6B6D">
              <w:t>Moderate to severe</w:t>
            </w:r>
          </w:p>
        </w:tc>
      </w:tr>
      <w:tr w:rsidR="00A2582A" w:rsidRPr="006A6B6D" w14:paraId="0D6812C6"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76B4B3F1" w14:textId="77777777" w:rsidR="00A2582A" w:rsidRPr="006A6B6D" w:rsidRDefault="00A2582A" w:rsidP="0045628D">
            <w:pPr>
              <w:pStyle w:val="TableText"/>
              <w:keepNext w:val="0"/>
            </w:pPr>
            <w:r w:rsidRPr="006A6B6D">
              <w:rPr>
                <w:b/>
              </w:rPr>
              <w:t xml:space="preserve">PBS Indication: </w:t>
            </w:r>
            <w:r w:rsidRPr="006A6B6D">
              <w:t>Moderate to severe chronic graft versus host disease (cGVHD)</w:t>
            </w:r>
          </w:p>
        </w:tc>
      </w:tr>
      <w:tr w:rsidR="00A2582A" w:rsidRPr="006A6B6D" w14:paraId="0EBA7F86"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6CA4F0E5" w14:textId="77777777" w:rsidR="00A2582A" w:rsidRPr="006A6B6D" w:rsidRDefault="00A2582A" w:rsidP="0045628D">
            <w:pPr>
              <w:pStyle w:val="TableText"/>
              <w:keepNext w:val="0"/>
            </w:pPr>
            <w:r w:rsidRPr="006A6B6D">
              <w:rPr>
                <w:b/>
              </w:rPr>
              <w:t xml:space="preserve">Treatment phase: </w:t>
            </w:r>
            <w:r w:rsidRPr="006A6B6D">
              <w:t>Grandfather</w:t>
            </w:r>
          </w:p>
        </w:tc>
      </w:tr>
      <w:tr w:rsidR="00A2582A" w:rsidRPr="006A6B6D" w14:paraId="564C1EA6"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23BAF4C0" w14:textId="77777777" w:rsidR="00A2582A" w:rsidRPr="006A6B6D" w:rsidRDefault="00A2582A" w:rsidP="0045628D">
            <w:pPr>
              <w:pStyle w:val="TableText"/>
              <w:keepNext w:val="0"/>
            </w:pPr>
            <w:r w:rsidRPr="006A6B6D">
              <w:rPr>
                <w:b/>
              </w:rPr>
              <w:t xml:space="preserve">Restriction type: </w:t>
            </w:r>
            <w:r w:rsidRPr="00AC441C">
              <w:fldChar w:fldCharType="begin">
                <w:ffData>
                  <w:name w:val="Check5"/>
                  <w:enabled/>
                  <w:calcOnExit w:val="0"/>
                  <w:checkBox>
                    <w:sizeAuto/>
                    <w:default w:val="1"/>
                  </w:checkBox>
                </w:ffData>
              </w:fldChar>
            </w:r>
            <w:r w:rsidRPr="006A6B6D">
              <w:instrText xml:space="preserve"> FORMCHECKBOX </w:instrText>
            </w:r>
            <w:r w:rsidR="00BD1016">
              <w:fldChar w:fldCharType="separate"/>
            </w:r>
            <w:r w:rsidRPr="00AC441C">
              <w:fldChar w:fldCharType="end"/>
            </w:r>
            <w:r w:rsidRPr="006A6B6D">
              <w:t>Streamlined</w:t>
            </w:r>
          </w:p>
        </w:tc>
      </w:tr>
      <w:tr w:rsidR="00A2582A" w:rsidRPr="006A6B6D" w14:paraId="68AB2D55"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4140A949" w14:textId="77777777" w:rsidR="00A2582A" w:rsidRPr="006A6B6D" w:rsidRDefault="00A2582A" w:rsidP="0045628D">
            <w:pPr>
              <w:pStyle w:val="TableText"/>
              <w:keepNext w:val="0"/>
              <w:rPr>
                <w:b/>
              </w:rPr>
            </w:pPr>
          </w:p>
        </w:tc>
      </w:tr>
      <w:tr w:rsidR="00A2582A" w:rsidRPr="006A6B6D" w14:paraId="666A7D0F"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09F71197" w14:textId="77777777" w:rsidR="00A2582A" w:rsidRPr="006A6B6D" w:rsidRDefault="00A2582A" w:rsidP="0045628D">
            <w:pPr>
              <w:pStyle w:val="TableText"/>
              <w:keepNext w:val="0"/>
              <w:rPr>
                <w:b/>
              </w:rPr>
            </w:pPr>
            <w:r w:rsidRPr="00895548">
              <w:rPr>
                <w:b/>
              </w:rPr>
              <w:t xml:space="preserve">Administrative Advice: </w:t>
            </w:r>
            <w:r w:rsidRPr="00895548">
              <w:rPr>
                <w:bCs w:val="0"/>
              </w:rPr>
              <w:t xml:space="preserve"> No increase in the maximum quantity or number of units may be authorised.</w:t>
            </w:r>
          </w:p>
        </w:tc>
      </w:tr>
      <w:tr w:rsidR="00A2582A" w:rsidRPr="006A6B6D" w14:paraId="7AAD45D7"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1E4C92ED" w14:textId="77777777" w:rsidR="00A2582A" w:rsidRPr="006A6B6D" w:rsidRDefault="00A2582A" w:rsidP="0045628D">
            <w:pPr>
              <w:pStyle w:val="TableText"/>
              <w:keepNext w:val="0"/>
              <w:rPr>
                <w:b/>
              </w:rPr>
            </w:pPr>
            <w:r w:rsidRPr="00895548">
              <w:rPr>
                <w:b/>
              </w:rPr>
              <w:t xml:space="preserve">Administrative advice: </w:t>
            </w:r>
            <w:r w:rsidRPr="00895548">
              <w:rPr>
                <w:bCs w:val="0"/>
              </w:rPr>
              <w:t>No increase in the maximum number of repeats may be authorised.</w:t>
            </w:r>
          </w:p>
        </w:tc>
      </w:tr>
      <w:tr w:rsidR="00A2582A" w:rsidRPr="006A6B6D" w14:paraId="6AA12422"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645D4EB3" w14:textId="77777777" w:rsidR="00A2582A" w:rsidRPr="006A6B6D" w:rsidRDefault="00A2582A" w:rsidP="0045628D">
            <w:pPr>
              <w:pStyle w:val="TableText"/>
              <w:keepNext w:val="0"/>
              <w:rPr>
                <w:b/>
              </w:rPr>
            </w:pPr>
          </w:p>
        </w:tc>
      </w:tr>
      <w:tr w:rsidR="00A2582A" w:rsidRPr="006A6B6D" w14:paraId="291F5AA2"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42F416E6" w14:textId="77777777" w:rsidR="00A2582A" w:rsidRPr="006A6B6D" w:rsidRDefault="00A2582A" w:rsidP="0045628D">
            <w:pPr>
              <w:pStyle w:val="TableText"/>
              <w:keepNext w:val="0"/>
              <w:rPr>
                <w:b/>
              </w:rPr>
            </w:pPr>
            <w:r w:rsidRPr="006A6B6D">
              <w:rPr>
                <w:b/>
              </w:rPr>
              <w:t>Clinical criteria:</w:t>
            </w:r>
          </w:p>
        </w:tc>
      </w:tr>
      <w:tr w:rsidR="00A2582A" w:rsidRPr="006A6B6D" w14:paraId="0FA47FC7"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32E4D3F7" w14:textId="77777777" w:rsidR="00A2582A" w:rsidRPr="006A6B6D" w:rsidRDefault="00A2582A" w:rsidP="0045628D">
            <w:pPr>
              <w:pStyle w:val="TableText"/>
              <w:keepNext w:val="0"/>
              <w:rPr>
                <w:b/>
              </w:rPr>
            </w:pPr>
            <w:r w:rsidRPr="006A6B6D">
              <w:rPr>
                <w:rFonts w:cs="Arial"/>
              </w:rPr>
              <w:t>Patient must have received non-PBS-subsidised treatment with this drug for this PBS-indication prior to [insert date of PBS listing]</w:t>
            </w:r>
          </w:p>
        </w:tc>
      </w:tr>
      <w:tr w:rsidR="00A2582A" w:rsidRPr="006A6B6D" w14:paraId="4533F481"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34C6AEFD" w14:textId="77777777" w:rsidR="00A2582A" w:rsidRPr="006A6B6D" w:rsidRDefault="00A2582A" w:rsidP="0045628D">
            <w:pPr>
              <w:pStyle w:val="TableText"/>
              <w:keepNext w:val="0"/>
              <w:rPr>
                <w:b/>
              </w:rPr>
            </w:pPr>
            <w:r w:rsidRPr="006A6B6D">
              <w:rPr>
                <w:rFonts w:cs="Arial"/>
                <w:b/>
                <w:bCs w:val="0"/>
              </w:rPr>
              <w:t>AND</w:t>
            </w:r>
          </w:p>
        </w:tc>
      </w:tr>
      <w:tr w:rsidR="00A2582A" w:rsidRPr="006A6B6D" w14:paraId="7A057046"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7537D579" w14:textId="77777777" w:rsidR="00A2582A" w:rsidRPr="006A6B6D" w:rsidRDefault="00A2582A" w:rsidP="0045628D">
            <w:pPr>
              <w:pStyle w:val="TableText"/>
              <w:keepNext w:val="0"/>
              <w:rPr>
                <w:b/>
              </w:rPr>
            </w:pPr>
            <w:r w:rsidRPr="006A6B6D">
              <w:rPr>
                <w:b/>
              </w:rPr>
              <w:t>Clinical criteria:</w:t>
            </w:r>
          </w:p>
        </w:tc>
      </w:tr>
      <w:tr w:rsidR="00A2582A" w:rsidRPr="006A6B6D" w14:paraId="51477090"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3DB12E3B" w14:textId="77777777" w:rsidR="00A2582A" w:rsidRPr="006A6B6D" w:rsidRDefault="00A2582A" w:rsidP="0045628D">
            <w:pPr>
              <w:pStyle w:val="TableText"/>
              <w:keepNext w:val="0"/>
              <w:rPr>
                <w:b/>
              </w:rPr>
            </w:pPr>
            <w:r w:rsidRPr="00AC441C">
              <w:rPr>
                <w:rFonts w:cs="Arial"/>
              </w:rPr>
              <w:t xml:space="preserve">Patient must have received prior systemic steroid treatment prior to initiation of this drug for this condition </w:t>
            </w:r>
          </w:p>
        </w:tc>
      </w:tr>
      <w:tr w:rsidR="00A2582A" w:rsidRPr="006A6B6D" w14:paraId="33789B47"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3CB62A11" w14:textId="77777777" w:rsidR="00A2582A" w:rsidRPr="006A6B6D" w:rsidRDefault="00A2582A" w:rsidP="0045628D">
            <w:pPr>
              <w:pStyle w:val="TableText"/>
              <w:keepNext w:val="0"/>
              <w:rPr>
                <w:b/>
              </w:rPr>
            </w:pPr>
            <w:r w:rsidRPr="006A6B6D">
              <w:rPr>
                <w:rFonts w:cs="Arial"/>
                <w:b/>
                <w:bCs w:val="0"/>
              </w:rPr>
              <w:t>AND</w:t>
            </w:r>
          </w:p>
        </w:tc>
      </w:tr>
      <w:tr w:rsidR="00A2582A" w:rsidRPr="006A6B6D" w14:paraId="07D51A9B"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34E9C91D" w14:textId="77777777" w:rsidR="00A2582A" w:rsidRPr="006A6B6D" w:rsidRDefault="00A2582A" w:rsidP="0045628D">
            <w:pPr>
              <w:pStyle w:val="TableText"/>
              <w:keepNext w:val="0"/>
              <w:rPr>
                <w:b/>
              </w:rPr>
            </w:pPr>
            <w:r w:rsidRPr="006A6B6D">
              <w:rPr>
                <w:rFonts w:cs="Arial"/>
                <w:b/>
                <w:bCs w:val="0"/>
              </w:rPr>
              <w:t>Clinical criteria:</w:t>
            </w:r>
          </w:p>
        </w:tc>
      </w:tr>
      <w:tr w:rsidR="00A2582A" w:rsidRPr="006A6B6D" w14:paraId="2D20113C"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156A6136" w14:textId="77777777" w:rsidR="00A2582A" w:rsidRPr="006A6B6D" w:rsidRDefault="00A2582A" w:rsidP="0045628D">
            <w:pPr>
              <w:pStyle w:val="TableText"/>
              <w:keepNext w:val="0"/>
              <w:rPr>
                <w:b/>
              </w:rPr>
            </w:pPr>
            <w:r w:rsidRPr="00AC441C">
              <w:rPr>
                <w:rFonts w:cs="Arial"/>
              </w:rPr>
              <w:t>Patient must be one of the following (i) refractory to steroid treatment, (ii) dependent on steroid treatment, (iii) intolerant to steroid treatment</w:t>
            </w:r>
          </w:p>
        </w:tc>
      </w:tr>
      <w:tr w:rsidR="00A2582A" w:rsidRPr="006A6B6D" w14:paraId="796B1660"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4242029D" w14:textId="77777777" w:rsidR="00A2582A" w:rsidRPr="00895548" w:rsidRDefault="00A2582A" w:rsidP="0045628D">
            <w:pPr>
              <w:pStyle w:val="TableText"/>
              <w:keepNext w:val="0"/>
              <w:rPr>
                <w:b/>
                <w:bCs w:val="0"/>
              </w:rPr>
            </w:pPr>
            <w:r w:rsidRPr="00895548">
              <w:rPr>
                <w:rFonts w:cs="Arial"/>
                <w:b/>
                <w:bCs w:val="0"/>
              </w:rPr>
              <w:t>AND</w:t>
            </w:r>
          </w:p>
        </w:tc>
      </w:tr>
      <w:tr w:rsidR="00A2582A" w:rsidRPr="006A6B6D" w14:paraId="52633575"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1C465CCF" w14:textId="77777777" w:rsidR="00A2582A" w:rsidRPr="006A6B6D" w:rsidRDefault="00A2582A" w:rsidP="0045628D">
            <w:pPr>
              <w:pStyle w:val="TableText"/>
              <w:keepNext w:val="0"/>
              <w:rPr>
                <w:b/>
              </w:rPr>
            </w:pPr>
            <w:r w:rsidRPr="006A6B6D">
              <w:rPr>
                <w:b/>
              </w:rPr>
              <w:t>Clinical criteria:</w:t>
            </w:r>
          </w:p>
        </w:tc>
      </w:tr>
      <w:tr w:rsidR="00A2582A" w:rsidRPr="006A6B6D" w14:paraId="736FB936"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4306B58D" w14:textId="77777777" w:rsidR="00A2582A" w:rsidRPr="006A6B6D" w:rsidRDefault="00A2582A" w:rsidP="0045628D">
            <w:pPr>
              <w:pStyle w:val="TableText"/>
              <w:keepNext w:val="0"/>
              <w:rPr>
                <w:b/>
              </w:rPr>
            </w:pPr>
            <w:r w:rsidRPr="006A6B6D">
              <w:rPr>
                <w:rFonts w:cs="Arial"/>
              </w:rPr>
              <w:t>Patient must have responding disease</w:t>
            </w:r>
            <w:r>
              <w:rPr>
                <w:rFonts w:cs="Arial"/>
              </w:rPr>
              <w:t xml:space="preserve"> at 24 weeks compared with baseline, demonstrated by either a: (i) partial response, (ii) complete response</w:t>
            </w:r>
          </w:p>
        </w:tc>
      </w:tr>
      <w:tr w:rsidR="00A2582A" w:rsidRPr="006A6B6D" w14:paraId="37E34D98"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20214867" w14:textId="77777777" w:rsidR="00A2582A" w:rsidRPr="006A6B6D" w:rsidRDefault="00A2582A" w:rsidP="0045628D">
            <w:pPr>
              <w:pStyle w:val="TableText"/>
              <w:keepNext w:val="0"/>
              <w:rPr>
                <w:b/>
              </w:rPr>
            </w:pPr>
          </w:p>
        </w:tc>
      </w:tr>
      <w:tr w:rsidR="00A2582A" w:rsidRPr="006A6B6D" w14:paraId="61574FBD"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26248036" w14:textId="77777777" w:rsidR="00A2582A" w:rsidRPr="006A6B6D" w:rsidRDefault="00A2582A" w:rsidP="0045628D">
            <w:pPr>
              <w:pStyle w:val="TableText"/>
              <w:keepNext w:val="0"/>
              <w:rPr>
                <w:b/>
              </w:rPr>
            </w:pPr>
            <w:r w:rsidRPr="006A6B6D">
              <w:rPr>
                <w:b/>
              </w:rPr>
              <w:t>Treatment criteria:</w:t>
            </w:r>
          </w:p>
        </w:tc>
      </w:tr>
      <w:tr w:rsidR="00A2582A" w:rsidRPr="006A6B6D" w14:paraId="69C4DFF0"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6D9AE15F" w14:textId="77777777" w:rsidR="00A2582A" w:rsidRPr="006A6B6D" w:rsidRDefault="00A2582A" w:rsidP="0045628D">
            <w:pPr>
              <w:pStyle w:val="TableText"/>
              <w:keepNext w:val="0"/>
              <w:rPr>
                <w:b/>
              </w:rPr>
            </w:pPr>
            <w:r w:rsidRPr="006A6B6D">
              <w:rPr>
                <w:rFonts w:cs="Arial"/>
              </w:rPr>
              <w:t xml:space="preserve">Must be treated by </w:t>
            </w:r>
            <w:r>
              <w:rPr>
                <w:rFonts w:cs="Arial"/>
              </w:rPr>
              <w:t xml:space="preserve">a medical practitioner who is </w:t>
            </w:r>
            <w:r w:rsidRPr="00AC441C">
              <w:rPr>
                <w:rFonts w:cs="Arial"/>
              </w:rPr>
              <w:t>either (i)</w:t>
            </w:r>
            <w:r w:rsidRPr="006A6B6D">
              <w:rPr>
                <w:rFonts w:cs="Arial"/>
              </w:rPr>
              <w:t xml:space="preserve"> a haematologist, </w:t>
            </w:r>
            <w:r w:rsidRPr="00AC441C">
              <w:rPr>
                <w:rFonts w:cs="Arial"/>
              </w:rPr>
              <w:t>(ii)</w:t>
            </w:r>
            <w:r w:rsidRPr="006A6B6D">
              <w:rPr>
                <w:rFonts w:cs="Arial"/>
              </w:rPr>
              <w:t xml:space="preserve"> an oncologist with allogeneic bone marrow transplantation experience,</w:t>
            </w:r>
            <w:r w:rsidRPr="006A6B6D">
              <w:rPr>
                <w:rFonts w:cs="Arial"/>
                <w:strike/>
              </w:rPr>
              <w:t xml:space="preserve"> </w:t>
            </w:r>
            <w:r w:rsidRPr="00AC441C">
              <w:rPr>
                <w:rFonts w:cs="Arial"/>
              </w:rPr>
              <w:t>(iii)</w:t>
            </w:r>
            <w:r w:rsidRPr="006A6B6D">
              <w:rPr>
                <w:rFonts w:cs="Arial"/>
              </w:rPr>
              <w:t xml:space="preserve"> a medical practitioner working under the direct supervision of one of the afore</w:t>
            </w:r>
            <w:r>
              <w:rPr>
                <w:rFonts w:cs="Arial"/>
              </w:rPr>
              <w:t xml:space="preserve"> </w:t>
            </w:r>
            <w:r w:rsidRPr="006A6B6D">
              <w:rPr>
                <w:rFonts w:cs="Arial"/>
              </w:rPr>
              <w:t>mentioned specialist types</w:t>
            </w:r>
          </w:p>
        </w:tc>
      </w:tr>
      <w:tr w:rsidR="00A2582A" w:rsidRPr="006A6B6D" w14:paraId="01C64E0B"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40CFDFB7" w14:textId="77777777" w:rsidR="00A2582A" w:rsidRPr="00895548" w:rsidRDefault="00A2582A" w:rsidP="0045628D">
            <w:pPr>
              <w:pStyle w:val="TableText"/>
              <w:keepNext w:val="0"/>
              <w:rPr>
                <w:b/>
                <w:bCs w:val="0"/>
              </w:rPr>
            </w:pPr>
            <w:r w:rsidRPr="00895548">
              <w:rPr>
                <w:rFonts w:cs="Arial"/>
                <w:b/>
                <w:bCs w:val="0"/>
              </w:rPr>
              <w:t>AND</w:t>
            </w:r>
          </w:p>
        </w:tc>
      </w:tr>
      <w:tr w:rsidR="00A2582A" w:rsidRPr="006A6B6D" w14:paraId="1027B760"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2FACB851" w14:textId="77777777" w:rsidR="00A2582A" w:rsidRPr="006A6B6D" w:rsidRDefault="00A2582A" w:rsidP="0045628D">
            <w:pPr>
              <w:pStyle w:val="TableText"/>
              <w:keepNext w:val="0"/>
              <w:rPr>
                <w:b/>
              </w:rPr>
            </w:pPr>
            <w:r w:rsidRPr="006A6B6D">
              <w:rPr>
                <w:b/>
              </w:rPr>
              <w:t>Treatment criteria:</w:t>
            </w:r>
          </w:p>
        </w:tc>
      </w:tr>
      <w:tr w:rsidR="00A2582A" w:rsidRPr="006A6B6D" w14:paraId="02FDA131"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5EB28DFA" w14:textId="77777777" w:rsidR="00A2582A" w:rsidRPr="006A6B6D" w:rsidRDefault="00A2582A" w:rsidP="0045628D">
            <w:pPr>
              <w:pStyle w:val="TableText"/>
              <w:keepNext w:val="0"/>
              <w:rPr>
                <w:b/>
              </w:rPr>
            </w:pPr>
            <w:r w:rsidRPr="006A6B6D">
              <w:rPr>
                <w:rFonts w:cs="Arial"/>
              </w:rPr>
              <w:t>Patient must be undergoing treatment with this drug following allogenic haematopoietic stem cell transplantation</w:t>
            </w:r>
          </w:p>
        </w:tc>
      </w:tr>
      <w:tr w:rsidR="00A2582A" w:rsidRPr="006A6B6D" w14:paraId="21FC493D"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571D8175" w14:textId="77777777" w:rsidR="00A2582A" w:rsidRPr="006A6B6D" w:rsidRDefault="00A2582A" w:rsidP="0045628D">
            <w:pPr>
              <w:pStyle w:val="TableText"/>
              <w:keepNext w:val="0"/>
              <w:rPr>
                <w:rFonts w:cs="Arial"/>
              </w:rPr>
            </w:pPr>
          </w:p>
        </w:tc>
      </w:tr>
      <w:tr w:rsidR="00A2582A" w:rsidRPr="006A6B6D" w14:paraId="5DB0ADD5"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66926A92" w14:textId="77777777" w:rsidR="00A2582A" w:rsidRPr="006A6B6D" w:rsidRDefault="00A2582A" w:rsidP="0045628D">
            <w:pPr>
              <w:pStyle w:val="TableText"/>
              <w:keepNext w:val="0"/>
              <w:rPr>
                <w:rFonts w:cs="Arial"/>
                <w:b/>
                <w:bCs w:val="0"/>
              </w:rPr>
            </w:pPr>
            <w:r w:rsidRPr="006A6B6D">
              <w:rPr>
                <w:rFonts w:cs="Arial"/>
                <w:b/>
                <w:bCs w:val="0"/>
              </w:rPr>
              <w:t>Prescriber instructions:</w:t>
            </w:r>
          </w:p>
          <w:p w14:paraId="1A0F52D6" w14:textId="77777777" w:rsidR="00A2582A" w:rsidRDefault="00A2582A" w:rsidP="0045628D">
            <w:pPr>
              <w:pStyle w:val="CommentText"/>
              <w:rPr>
                <w:rFonts w:ascii="Arial Narrow" w:hAnsi="Arial Narrow" w:cstheme="minorBidi"/>
              </w:rPr>
            </w:pPr>
            <w:r>
              <w:rPr>
                <w:rFonts w:ascii="Arial Narrow" w:hAnsi="Arial Narrow"/>
              </w:rPr>
              <w:t>Steroid-refractory disease is defined as:</w:t>
            </w:r>
          </w:p>
          <w:p w14:paraId="58E98F84" w14:textId="77777777" w:rsidR="00A2582A" w:rsidRDefault="00A2582A" w:rsidP="0045628D">
            <w:pPr>
              <w:pStyle w:val="TableText"/>
              <w:keepNext w:val="0"/>
              <w:rPr>
                <w:rFonts w:cs="Arial"/>
              </w:rPr>
            </w:pPr>
            <w:r>
              <w:rPr>
                <w:rFonts w:cs="Arial"/>
              </w:rPr>
              <w:t>(a) A lack of response or disease progression after administration of minimum prednisone 1 mg/kg/day for at least 1 week (or equivalent) OR</w:t>
            </w:r>
          </w:p>
          <w:p w14:paraId="1333A880" w14:textId="77777777" w:rsidR="00A2582A" w:rsidRDefault="00A2582A" w:rsidP="0045628D">
            <w:pPr>
              <w:pStyle w:val="TableText"/>
              <w:keepNext w:val="0"/>
              <w:rPr>
                <w:rFonts w:cs="Arial"/>
              </w:rPr>
            </w:pPr>
            <w:r>
              <w:rPr>
                <w:rFonts w:cs="Arial"/>
              </w:rPr>
              <w:t xml:space="preserve">(b) Disease persistence without improvement despite continued treatment with prednisone at &gt; 0.5 mg/kg/day or 1 mg/kg/every other day for at least 4 weeks (or equivalent). </w:t>
            </w:r>
          </w:p>
          <w:p w14:paraId="3FD3FF68" w14:textId="77777777" w:rsidR="00A2582A" w:rsidRDefault="00A2582A" w:rsidP="0045628D">
            <w:pPr>
              <w:pStyle w:val="TableText"/>
              <w:keepNext w:val="0"/>
              <w:ind w:left="108"/>
              <w:rPr>
                <w:rFonts w:cs="Arial"/>
              </w:rPr>
            </w:pPr>
          </w:p>
          <w:p w14:paraId="42FA0881" w14:textId="77777777" w:rsidR="00A2582A" w:rsidRDefault="00A2582A" w:rsidP="0045628D">
            <w:pPr>
              <w:pStyle w:val="TableText"/>
              <w:keepNext w:val="0"/>
              <w:rPr>
                <w:rFonts w:cs="Arial"/>
                <w:strike/>
              </w:rPr>
            </w:pPr>
            <w:r>
              <w:rPr>
                <w:rFonts w:cs="Arial"/>
              </w:rPr>
              <w:t xml:space="preserve">Steroid-dependent </w:t>
            </w:r>
            <w:r w:rsidRPr="00214FA5">
              <w:rPr>
                <w:rFonts w:cs="Arial"/>
              </w:rPr>
              <w:t>disease is defined as an increased</w:t>
            </w:r>
            <w:r>
              <w:rPr>
                <w:rFonts w:cs="Arial"/>
              </w:rPr>
              <w:t xml:space="preserve"> prednisone dose to &gt; 0.25 mg/kg/day after two unsuccessful attempts to taper the dose (or equivalent).</w:t>
            </w:r>
          </w:p>
          <w:p w14:paraId="0D2520E5" w14:textId="77777777" w:rsidR="00A2582A" w:rsidRDefault="00A2582A" w:rsidP="0045628D">
            <w:pPr>
              <w:pStyle w:val="TableText"/>
              <w:keepNext w:val="0"/>
              <w:rPr>
                <w:rFonts w:cs="Arial"/>
              </w:rPr>
            </w:pPr>
          </w:p>
          <w:p w14:paraId="646BB779" w14:textId="77777777" w:rsidR="00A2582A" w:rsidRDefault="00A2582A" w:rsidP="0045628D">
            <w:pPr>
              <w:pStyle w:val="TableText"/>
              <w:keepNext w:val="0"/>
              <w:rPr>
                <w:rFonts w:cs="Arial"/>
              </w:rPr>
            </w:pPr>
            <w:r>
              <w:rPr>
                <w:rFonts w:cs="Arial"/>
              </w:rPr>
              <w:t>Steroid intolerance is defined as patient developing an intolerance of a severity necessitating treatment withdrawal.</w:t>
            </w:r>
          </w:p>
          <w:p w14:paraId="136A8556" w14:textId="77777777" w:rsidR="00A2582A" w:rsidRDefault="00A2582A" w:rsidP="0045628D">
            <w:pPr>
              <w:pStyle w:val="TableText"/>
              <w:keepNext w:val="0"/>
              <w:rPr>
                <w:rFonts w:cs="Arial"/>
              </w:rPr>
            </w:pPr>
          </w:p>
          <w:p w14:paraId="7889E8B0" w14:textId="77777777" w:rsidR="00A2582A" w:rsidRPr="006A6B6D" w:rsidRDefault="00A2582A" w:rsidP="0045628D">
            <w:pPr>
              <w:pStyle w:val="TableText"/>
              <w:keepNext w:val="0"/>
              <w:rPr>
                <w:b/>
              </w:rPr>
            </w:pPr>
            <w:r>
              <w:rPr>
                <w:rFonts w:cs="Arial"/>
              </w:rPr>
              <w:t>Details of prior steroid use should be documented in the patient’s medical records.</w:t>
            </w:r>
          </w:p>
        </w:tc>
      </w:tr>
      <w:tr w:rsidR="00A2582A" w:rsidRPr="006A6B6D" w14:paraId="270D2AAC"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5E09B4FF" w14:textId="77777777" w:rsidR="00A2582A" w:rsidRPr="006A6B6D" w:rsidRDefault="00A2582A" w:rsidP="0045628D">
            <w:pPr>
              <w:pStyle w:val="TableText"/>
              <w:keepNext w:val="0"/>
              <w:rPr>
                <w:rFonts w:cs="Arial"/>
                <w:b/>
                <w:bCs w:val="0"/>
              </w:rPr>
            </w:pPr>
            <w:r w:rsidRPr="006A6B6D">
              <w:rPr>
                <w:rFonts w:cs="Arial"/>
                <w:b/>
                <w:bCs w:val="0"/>
              </w:rPr>
              <w:t>Prescriber instructions:</w:t>
            </w:r>
          </w:p>
          <w:p w14:paraId="357174B4" w14:textId="77777777" w:rsidR="00A2582A" w:rsidRPr="006A6B6D" w:rsidRDefault="00A2582A" w:rsidP="0045628D">
            <w:pPr>
              <w:pStyle w:val="CommentText"/>
              <w:rPr>
                <w:rFonts w:ascii="Arial Narrow" w:hAnsi="Arial Narrow"/>
              </w:rPr>
            </w:pPr>
            <w:r w:rsidRPr="006A6B6D">
              <w:rPr>
                <w:rFonts w:ascii="Arial Narrow" w:hAnsi="Arial Narrow"/>
              </w:rPr>
              <w:t xml:space="preserve">Response is defined as attaining a complete or partial response as defined by the </w:t>
            </w:r>
            <w:r w:rsidRPr="00B54B84">
              <w:rPr>
                <w:rFonts w:ascii="Arial Narrow" w:hAnsi="Arial Narrow"/>
                <w:i/>
                <w:iCs/>
              </w:rPr>
              <w:t>National Institutes of Health</w:t>
            </w:r>
            <w:r w:rsidRPr="00AC441C">
              <w:rPr>
                <w:rFonts w:ascii="Arial Narrow" w:hAnsi="Arial Narrow"/>
              </w:rPr>
              <w:t xml:space="preserve"> (</w:t>
            </w:r>
            <w:r w:rsidRPr="006A6B6D">
              <w:rPr>
                <w:rFonts w:ascii="Arial Narrow" w:hAnsi="Arial Narrow"/>
              </w:rPr>
              <w:t>NIH</w:t>
            </w:r>
            <w:r w:rsidRPr="00AC441C">
              <w:rPr>
                <w:rFonts w:ascii="Arial Narrow" w:hAnsi="Arial Narrow"/>
              </w:rPr>
              <w:t>)</w:t>
            </w:r>
            <w:r w:rsidRPr="006A6B6D">
              <w:rPr>
                <w:rFonts w:ascii="Arial Narrow" w:hAnsi="Arial Narrow"/>
              </w:rPr>
              <w:t xml:space="preserve"> criteria</w:t>
            </w:r>
            <w:r>
              <w:rPr>
                <w:rFonts w:ascii="Arial Narrow" w:hAnsi="Arial Narrow"/>
              </w:rPr>
              <w:t xml:space="preserve"> (Lee et al., 2015)</w:t>
            </w:r>
            <w:r w:rsidRPr="006A6B6D">
              <w:rPr>
                <w:rFonts w:ascii="Arial Narrow" w:hAnsi="Arial Narrow"/>
              </w:rPr>
              <w:t>. Note that response is relative to the assessment of organ function affected by cGVHD prior to commencing initial treatment with ruxolitinib.</w:t>
            </w:r>
          </w:p>
          <w:p w14:paraId="5C96DD9A" w14:textId="77777777" w:rsidR="00A2582A" w:rsidRPr="006A6B6D" w:rsidRDefault="00A2582A" w:rsidP="0045628D">
            <w:pPr>
              <w:pStyle w:val="TableText"/>
              <w:keepNext w:val="0"/>
              <w:rPr>
                <w:rFonts w:cs="Arial"/>
              </w:rPr>
            </w:pPr>
            <w:r w:rsidRPr="006A6B6D">
              <w:rPr>
                <w:rFonts w:cs="Arial"/>
              </w:rPr>
              <w:t>(a) Complete response is defined as complete resolution of all signs and symptoms of cGVHD in all evaluable organs without initiation or addition of new systemic therapy.</w:t>
            </w:r>
          </w:p>
          <w:p w14:paraId="22C05056" w14:textId="77777777" w:rsidR="00A2582A" w:rsidRDefault="00A2582A" w:rsidP="0045628D">
            <w:pPr>
              <w:pStyle w:val="TableText"/>
              <w:keepNext w:val="0"/>
              <w:rPr>
                <w:rFonts w:cs="Arial"/>
              </w:rPr>
            </w:pPr>
            <w:r w:rsidRPr="006A6B6D">
              <w:rPr>
                <w:rFonts w:cs="Arial"/>
              </w:rPr>
              <w:t>(b) Partial response is defined as an improvement in at least one organ (e.g. improvement of 1 or more points on a 4 to 7 point scale, or an improvement of 2 or more points on a 10 to 12 point scale) without progression in other organs or sites, initiation or addition of new systemic therapies.</w:t>
            </w:r>
          </w:p>
          <w:p w14:paraId="46D6C297" w14:textId="77777777" w:rsidR="00A2582A" w:rsidRDefault="00A2582A" w:rsidP="0045628D">
            <w:pPr>
              <w:pStyle w:val="TableText"/>
              <w:keepNext w:val="0"/>
              <w:rPr>
                <w:rFonts w:cs="Arial"/>
              </w:rPr>
            </w:pPr>
          </w:p>
          <w:p w14:paraId="37F40268" w14:textId="77777777" w:rsidR="00A2582A" w:rsidRPr="006A6B6D" w:rsidRDefault="00A2582A" w:rsidP="0045628D">
            <w:pPr>
              <w:pStyle w:val="TableText"/>
              <w:keepNext w:val="0"/>
              <w:rPr>
                <w:b/>
              </w:rPr>
            </w:pPr>
            <w:r>
              <w:rPr>
                <w:rFonts w:cs="Arial"/>
              </w:rPr>
              <w:t>The assessment of response must be documented in the patient’s medical records.</w:t>
            </w:r>
          </w:p>
        </w:tc>
      </w:tr>
      <w:tr w:rsidR="00A2582A" w:rsidRPr="006A6B6D" w14:paraId="522CA68B"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3F2AC8A0" w14:textId="77777777" w:rsidR="00A2582A" w:rsidRPr="0016655D" w:rsidRDefault="00A2582A" w:rsidP="0045628D">
            <w:pPr>
              <w:pStyle w:val="TableText"/>
              <w:keepNext w:val="0"/>
              <w:rPr>
                <w:b/>
              </w:rPr>
            </w:pPr>
            <w:r w:rsidRPr="0016655D">
              <w:rPr>
                <w:b/>
              </w:rPr>
              <w:t>Prescriber instructions:</w:t>
            </w:r>
          </w:p>
          <w:p w14:paraId="675F682E" w14:textId="77777777" w:rsidR="00A2582A" w:rsidRPr="006A6B6D" w:rsidRDefault="00A2582A" w:rsidP="0045628D">
            <w:pPr>
              <w:pStyle w:val="TableText"/>
              <w:keepNext w:val="0"/>
              <w:rPr>
                <w:rFonts w:cs="Arial"/>
                <w:b/>
                <w:bCs w:val="0"/>
              </w:rPr>
            </w:pPr>
            <w:r w:rsidRPr="0016655D">
              <w:rPr>
                <w:bCs w:val="0"/>
              </w:rPr>
              <w:t>Tapering the dose of corticosteroids should be considered in patients</w:t>
            </w:r>
            <w:r>
              <w:rPr>
                <w:bCs w:val="0"/>
              </w:rPr>
              <w:t xml:space="preserve"> with responding disease</w:t>
            </w:r>
            <w:r w:rsidRPr="0016655D">
              <w:rPr>
                <w:bCs w:val="0"/>
              </w:rPr>
              <w:t>. Following successful taper</w:t>
            </w:r>
            <w:r>
              <w:rPr>
                <w:bCs w:val="0"/>
              </w:rPr>
              <w:t>ing</w:t>
            </w:r>
            <w:r w:rsidRPr="0016655D">
              <w:rPr>
                <w:bCs w:val="0"/>
              </w:rPr>
              <w:t xml:space="preserve"> of corticosteroids, tapering the dose of ruxolitinib can be initiated.</w:t>
            </w:r>
          </w:p>
        </w:tc>
      </w:tr>
      <w:tr w:rsidR="00A2582A" w:rsidRPr="006A6B6D" w14:paraId="4DC5E9E5"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15FE09AD" w14:textId="77777777" w:rsidR="00A2582A" w:rsidRPr="006A6B6D" w:rsidRDefault="00A2582A" w:rsidP="0045628D">
            <w:pPr>
              <w:pStyle w:val="TableText"/>
              <w:keepNext w:val="0"/>
              <w:rPr>
                <w:b/>
              </w:rPr>
            </w:pPr>
          </w:p>
        </w:tc>
      </w:tr>
      <w:tr w:rsidR="00A2582A" w:rsidRPr="006A6B6D" w14:paraId="7F381D5E"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3CAACAF0" w14:textId="77777777" w:rsidR="00A2582A" w:rsidRPr="006A6B6D" w:rsidRDefault="00A2582A" w:rsidP="0045628D">
            <w:pPr>
              <w:pStyle w:val="TableText"/>
              <w:keepNext w:val="0"/>
              <w:rPr>
                <w:b/>
              </w:rPr>
            </w:pPr>
            <w:r w:rsidRPr="00AC441C">
              <w:rPr>
                <w:rFonts w:cs="Arial"/>
                <w:b/>
                <w:bCs w:val="0"/>
              </w:rPr>
              <w:t xml:space="preserve">Administrative advice: </w:t>
            </w:r>
            <w:r w:rsidRPr="00AC441C">
              <w:rPr>
                <w:rFonts w:cs="Arial"/>
              </w:rPr>
              <w:t>This drug is not PBS-subsidised if it is prescribed to an in-patient in a public hospital setting</w:t>
            </w:r>
          </w:p>
        </w:tc>
      </w:tr>
      <w:tr w:rsidR="00A2582A" w:rsidRPr="006A6B6D" w14:paraId="6E5C3E0A"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26CBAA98" w14:textId="77777777" w:rsidR="00A2582A" w:rsidRPr="006A6B6D" w:rsidRDefault="00A2582A" w:rsidP="0045628D">
            <w:pPr>
              <w:pStyle w:val="TableText"/>
              <w:keepNext w:val="0"/>
              <w:rPr>
                <w:b/>
              </w:rPr>
            </w:pPr>
            <w:r w:rsidRPr="00AC441C">
              <w:rPr>
                <w:rFonts w:cs="Arial"/>
                <w:b/>
                <w:bCs w:val="0"/>
              </w:rPr>
              <w:t xml:space="preserve">Administrative advice: </w:t>
            </w:r>
            <w:r w:rsidRPr="00AC441C">
              <w:rPr>
                <w:rFonts w:cs="Arial"/>
              </w:rPr>
              <w:t>Special Pricing Arrangements apply</w:t>
            </w:r>
          </w:p>
        </w:tc>
      </w:tr>
      <w:tr w:rsidR="00A2582A" w:rsidRPr="006A6B6D" w14:paraId="18D110AB" w14:textId="77777777" w:rsidTr="0045628D">
        <w:trPr>
          <w:cantSplit/>
        </w:trPr>
        <w:tc>
          <w:tcPr>
            <w:tcW w:w="5000" w:type="pct"/>
            <w:tcBorders>
              <w:top w:val="single" w:sz="4" w:space="0" w:color="auto"/>
              <w:left w:val="single" w:sz="4" w:space="0" w:color="auto"/>
              <w:bottom w:val="single" w:sz="4" w:space="0" w:color="auto"/>
              <w:right w:val="single" w:sz="4" w:space="0" w:color="auto"/>
            </w:tcBorders>
          </w:tcPr>
          <w:p w14:paraId="63C50802" w14:textId="77777777" w:rsidR="00A2582A" w:rsidRPr="006A6B6D" w:rsidRDefault="00A2582A" w:rsidP="0045628D">
            <w:pPr>
              <w:pStyle w:val="TableText"/>
              <w:keepNext w:val="0"/>
              <w:rPr>
                <w:b/>
              </w:rPr>
            </w:pPr>
            <w:r w:rsidRPr="00AC441C">
              <w:rPr>
                <w:rFonts w:cs="Arial"/>
                <w:b/>
                <w:bCs w:val="0"/>
              </w:rPr>
              <w:t xml:space="preserve">Administrative Advice: </w:t>
            </w:r>
            <w:r w:rsidRPr="00AC441C">
              <w:rPr>
                <w:rFonts w:cs="Arial"/>
              </w:rPr>
              <w:t>This grandfather restriction will cease to operate from 12 months after the date specified in the clinical criteria.</w:t>
            </w:r>
          </w:p>
        </w:tc>
      </w:tr>
    </w:tbl>
    <w:p w14:paraId="27791EBA" w14:textId="77777777" w:rsidR="00A2582A" w:rsidRDefault="00A2582A" w:rsidP="00A2582A">
      <w:pPr>
        <w:widowControl w:val="0"/>
        <w:spacing w:after="120"/>
        <w:rPr>
          <w:rFonts w:asciiTheme="minorHAnsi" w:hAnsiTheme="minorHAnsi"/>
          <w:b/>
          <w:bCs/>
          <w:snapToGrid w:val="0"/>
          <w:lang w:val="en-GB"/>
        </w:rPr>
      </w:pPr>
    </w:p>
    <w:p w14:paraId="6C9C9EA8" w14:textId="77777777" w:rsidR="00A2582A" w:rsidRDefault="00A2582A" w:rsidP="00A2582A">
      <w:r w:rsidRPr="00CA76F0">
        <w:rPr>
          <w:b/>
          <w:i/>
        </w:rPr>
        <w:t>This restriction may be subject to further review. Should there be any changes made to the restriction the sponsor will be informed</w:t>
      </w:r>
      <w:r w:rsidRPr="007F262A">
        <w:t>.</w:t>
      </w:r>
    </w:p>
    <w:p w14:paraId="16791FEB" w14:textId="199B0AB1" w:rsidR="00A2582A" w:rsidRPr="00A2582A" w:rsidRDefault="00A2582A" w:rsidP="00A2582A">
      <w:pPr>
        <w:keepNext/>
        <w:spacing w:before="240" w:after="120"/>
        <w:ind w:left="720" w:hanging="720"/>
        <w:jc w:val="left"/>
        <w:outlineLvl w:val="0"/>
        <w:rPr>
          <w:rFonts w:asciiTheme="minorHAnsi" w:hAnsiTheme="minorHAnsi"/>
          <w:b/>
          <w:snapToGrid w:val="0"/>
          <w:sz w:val="32"/>
          <w:szCs w:val="32"/>
        </w:rPr>
      </w:pPr>
      <w:r w:rsidRPr="00A2582A">
        <w:rPr>
          <w:rFonts w:asciiTheme="minorHAnsi" w:hAnsiTheme="minorHAnsi"/>
          <w:b/>
          <w:snapToGrid w:val="0"/>
          <w:sz w:val="32"/>
          <w:szCs w:val="32"/>
        </w:rPr>
        <w:t>19 Context for Decision</w:t>
      </w:r>
    </w:p>
    <w:p w14:paraId="3FCA2DD9" w14:textId="77777777" w:rsidR="00A2582A" w:rsidRPr="007129F2" w:rsidRDefault="00A2582A" w:rsidP="00A2582A">
      <w:pPr>
        <w:spacing w:after="120"/>
        <w:ind w:left="426"/>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A4DAF81" w14:textId="12F74675" w:rsidR="00A2582A" w:rsidRPr="00A2582A" w:rsidRDefault="00A2582A" w:rsidP="00A2582A">
      <w:pPr>
        <w:keepNext/>
        <w:spacing w:before="240" w:after="120"/>
        <w:ind w:left="720" w:hanging="720"/>
        <w:jc w:val="left"/>
        <w:outlineLvl w:val="0"/>
        <w:rPr>
          <w:rFonts w:asciiTheme="minorHAnsi" w:hAnsiTheme="minorHAnsi"/>
          <w:b/>
          <w:snapToGrid w:val="0"/>
          <w:sz w:val="32"/>
          <w:szCs w:val="32"/>
        </w:rPr>
      </w:pPr>
      <w:r w:rsidRPr="00A2582A">
        <w:rPr>
          <w:rFonts w:asciiTheme="minorHAnsi" w:hAnsiTheme="minorHAnsi"/>
          <w:b/>
          <w:snapToGrid w:val="0"/>
          <w:sz w:val="32"/>
          <w:szCs w:val="32"/>
        </w:rPr>
        <w:t>20 Sponsor’s Comment</w:t>
      </w:r>
    </w:p>
    <w:p w14:paraId="7ECCA8D6" w14:textId="77777777" w:rsidR="00A2582A" w:rsidRPr="001179AC" w:rsidRDefault="00A2582A" w:rsidP="00A2582A">
      <w:pPr>
        <w:spacing w:after="120"/>
        <w:ind w:left="426"/>
        <w:rPr>
          <w:rFonts w:asciiTheme="minorHAnsi" w:hAnsiTheme="minorHAnsi"/>
          <w:bCs/>
        </w:rPr>
      </w:pPr>
      <w:r w:rsidRPr="00C07617">
        <w:rPr>
          <w:rFonts w:asciiTheme="minorHAnsi" w:hAnsiTheme="minorHAnsi"/>
          <w:bCs/>
        </w:rPr>
        <w:t>The sponsor had no comment.</w:t>
      </w:r>
    </w:p>
    <w:p w14:paraId="16D1BFD3" w14:textId="77777777" w:rsidR="00A2582A" w:rsidRDefault="00A2582A" w:rsidP="00A2582A">
      <w:pPr>
        <w:widowControl w:val="0"/>
        <w:spacing w:after="120"/>
        <w:rPr>
          <w:rFonts w:asciiTheme="minorHAnsi" w:hAnsiTheme="minorHAnsi"/>
          <w:b/>
          <w:bCs/>
          <w:snapToGrid w:val="0"/>
          <w:lang w:val="en-GB"/>
        </w:rPr>
      </w:pPr>
    </w:p>
    <w:sectPr w:rsidR="00A2582A" w:rsidSect="00FB0D10">
      <w:headerReference w:type="even" r:id="rId23"/>
      <w:headerReference w:type="default" r:id="rId24"/>
      <w:footerReference w:type="even" r:id="rId25"/>
      <w:footerReference w:type="default" r:id="rId26"/>
      <w:headerReference w:type="first" r:id="rId27"/>
      <w:footerReference w:type="first" r:id="rId28"/>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D138B" w14:textId="77777777" w:rsidR="00E37023" w:rsidRDefault="00E37023" w:rsidP="00124A51">
      <w:r>
        <w:separator/>
      </w:r>
    </w:p>
    <w:p w14:paraId="7D136873" w14:textId="77777777" w:rsidR="00E37023" w:rsidRDefault="00E37023"/>
  </w:endnote>
  <w:endnote w:type="continuationSeparator" w:id="0">
    <w:p w14:paraId="11DD86F8" w14:textId="77777777" w:rsidR="00E37023" w:rsidRDefault="00E37023" w:rsidP="00124A51">
      <w:r>
        <w:continuationSeparator/>
      </w:r>
    </w:p>
    <w:p w14:paraId="7A8F8CC4" w14:textId="77777777" w:rsidR="00E37023" w:rsidRDefault="00E37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1FCA" w14:textId="77777777" w:rsidR="007C7C5C" w:rsidRDefault="007C7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8EB4" w14:textId="77777777" w:rsidR="00E37023" w:rsidRDefault="00E37023">
    <w:pPr>
      <w:pStyle w:val="Footer"/>
      <w:jc w:val="center"/>
    </w:pPr>
  </w:p>
  <w:sdt>
    <w:sdtPr>
      <w:id w:val="1949580439"/>
      <w:docPartObj>
        <w:docPartGallery w:val="Page Numbers (Bottom of Page)"/>
        <w:docPartUnique/>
      </w:docPartObj>
    </w:sdtPr>
    <w:sdtEndPr>
      <w:rPr>
        <w:b/>
        <w:bCs/>
        <w:noProof/>
      </w:rPr>
    </w:sdtEndPr>
    <w:sdtContent>
      <w:p w14:paraId="56FED6C2" w14:textId="5FE35883" w:rsidR="00E37023" w:rsidRPr="005A7A1C" w:rsidRDefault="00E37023">
        <w:pPr>
          <w:pStyle w:val="Footer"/>
          <w:jc w:val="center"/>
          <w:rPr>
            <w:b/>
            <w:bCs/>
          </w:rPr>
        </w:pPr>
        <w:r w:rsidRPr="005A7A1C">
          <w:rPr>
            <w:b/>
            <w:bCs/>
          </w:rPr>
          <w:fldChar w:fldCharType="begin"/>
        </w:r>
        <w:r w:rsidRPr="005A7A1C">
          <w:rPr>
            <w:b/>
            <w:bCs/>
          </w:rPr>
          <w:instrText xml:space="preserve"> PAGE   \* MERGEFORMAT </w:instrText>
        </w:r>
        <w:r w:rsidRPr="005A7A1C">
          <w:rPr>
            <w:b/>
            <w:bCs/>
          </w:rPr>
          <w:fldChar w:fldCharType="separate"/>
        </w:r>
        <w:r w:rsidRPr="005A7A1C">
          <w:rPr>
            <w:b/>
            <w:bCs/>
            <w:noProof/>
          </w:rPr>
          <w:t>2</w:t>
        </w:r>
        <w:r w:rsidRPr="005A7A1C">
          <w:rPr>
            <w:b/>
            <w:bCs/>
            <w:noProof/>
          </w:rPr>
          <w:fldChar w:fldCharType="end"/>
        </w:r>
      </w:p>
    </w:sdtContent>
  </w:sdt>
  <w:p w14:paraId="09F5D8C1" w14:textId="69941D70" w:rsidR="00E37023" w:rsidRDefault="00E37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2B96" w14:textId="77777777" w:rsidR="007C7C5C" w:rsidRDefault="007C7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37B5" w14:textId="77777777" w:rsidR="00E37023" w:rsidRDefault="00E37023" w:rsidP="00124A51">
      <w:r>
        <w:separator/>
      </w:r>
    </w:p>
    <w:p w14:paraId="00E301C9" w14:textId="77777777" w:rsidR="00E37023" w:rsidRDefault="00E37023"/>
  </w:footnote>
  <w:footnote w:type="continuationSeparator" w:id="0">
    <w:p w14:paraId="5C6B9CF9" w14:textId="77777777" w:rsidR="00E37023" w:rsidRDefault="00E37023" w:rsidP="00124A51">
      <w:r>
        <w:continuationSeparator/>
      </w:r>
    </w:p>
    <w:p w14:paraId="2771F1C2" w14:textId="77777777" w:rsidR="00E37023" w:rsidRDefault="00E37023"/>
  </w:footnote>
  <w:footnote w:id="1">
    <w:p w14:paraId="6EBBB217" w14:textId="73F3809D" w:rsidR="00E37023" w:rsidRPr="002B27DB" w:rsidRDefault="00E37023" w:rsidP="002B27DB">
      <w:pPr>
        <w:pStyle w:val="FootnoteText"/>
        <w:spacing w:before="0" w:after="0" w:line="240" w:lineRule="auto"/>
        <w:rPr>
          <w:rFonts w:asciiTheme="minorHAnsi" w:hAnsiTheme="minorHAnsi" w:cstheme="minorHAnsi"/>
        </w:rPr>
      </w:pPr>
      <w:r w:rsidRPr="002B27DB">
        <w:rPr>
          <w:rStyle w:val="FootnoteReference"/>
          <w:rFonts w:asciiTheme="minorHAnsi" w:hAnsiTheme="minorHAnsi" w:cstheme="minorHAnsi"/>
        </w:rPr>
        <w:footnoteRef/>
      </w:r>
      <w:r w:rsidRPr="002B27DB">
        <w:rPr>
          <w:rFonts w:asciiTheme="minorHAnsi" w:hAnsiTheme="minorHAnsi" w:cstheme="minorHAnsi"/>
        </w:rPr>
        <w:t xml:space="preserve"> Mohty M, Holler E, Jagasia M, et al. Refractory acute graft-versus-host disease: a new working definition beyond corticosteroid refractoriness. Blood. 2020. DOI: 10.1182/blood.2020007336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46C6" w14:textId="77777777" w:rsidR="007C7C5C" w:rsidRDefault="007C7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C49F" w14:textId="0F6B6885" w:rsidR="00E37023" w:rsidRPr="00A6154D" w:rsidRDefault="00732096" w:rsidP="00A6154D">
    <w:pPr>
      <w:pStyle w:val="Header"/>
      <w:jc w:val="center"/>
      <w:rPr>
        <w:i/>
        <w:iCs/>
      </w:rPr>
    </w:pPr>
    <w:r>
      <w:rPr>
        <w:i/>
        <w:iCs/>
      </w:rPr>
      <w:t>Public Summary Document</w:t>
    </w:r>
    <w:r w:rsidR="00E37023" w:rsidRPr="00A6154D">
      <w:rPr>
        <w:i/>
        <w:iCs/>
      </w:rPr>
      <w:t xml:space="preserve"> – </w:t>
    </w:r>
    <w:r w:rsidR="00E37023">
      <w:rPr>
        <w:i/>
        <w:iCs/>
      </w:rPr>
      <w:t>July</w:t>
    </w:r>
    <w:r w:rsidR="00E37023" w:rsidRPr="00A6154D">
      <w:rPr>
        <w:i/>
        <w:iCs/>
      </w:rPr>
      <w:t xml:space="preserve"> 2022 PBAC Meeting</w:t>
    </w:r>
    <w:r w:rsidR="00E00F4A">
      <w:rPr>
        <w:i/>
        <w:iCs/>
      </w:rPr>
      <w:t xml:space="preserve"> with September 2022 </w:t>
    </w:r>
    <w:r w:rsidR="00A2582A">
      <w:rPr>
        <w:i/>
        <w:iCs/>
      </w:rPr>
      <w:t xml:space="preserve">and November 2022 </w:t>
    </w:r>
    <w:r w:rsidR="00E00F4A">
      <w:rPr>
        <w:i/>
        <w:iCs/>
      </w:rPr>
      <w:t>Addendum</w:t>
    </w:r>
  </w:p>
  <w:p w14:paraId="68F67C1B" w14:textId="77777777" w:rsidR="00E37023" w:rsidRDefault="00E37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2403" w14:textId="77777777" w:rsidR="007C7C5C" w:rsidRDefault="007C7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701C0F"/>
    <w:multiLevelType w:val="hybridMultilevel"/>
    <w:tmpl w:val="5ADC2712"/>
    <w:lvl w:ilvl="0" w:tplc="24A669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E1401A"/>
    <w:multiLevelType w:val="hybridMultilevel"/>
    <w:tmpl w:val="C66E1A2A"/>
    <w:lvl w:ilvl="0" w:tplc="25268B0A">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FF79D0"/>
    <w:multiLevelType w:val="hybridMultilevel"/>
    <w:tmpl w:val="99B2C1B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CA9603B"/>
    <w:multiLevelType w:val="multilevel"/>
    <w:tmpl w:val="22B035C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E70E91"/>
    <w:multiLevelType w:val="hybridMultilevel"/>
    <w:tmpl w:val="F03E2028"/>
    <w:lvl w:ilvl="0" w:tplc="3F4CB1B0">
      <w:start w:val="100"/>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C67480"/>
    <w:multiLevelType w:val="multilevel"/>
    <w:tmpl w:val="4D6A73DC"/>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BA2B85"/>
    <w:multiLevelType w:val="multilevel"/>
    <w:tmpl w:val="7F92907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EC3315"/>
    <w:multiLevelType w:val="hybridMultilevel"/>
    <w:tmpl w:val="D09C9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547299"/>
    <w:multiLevelType w:val="multilevel"/>
    <w:tmpl w:val="B0347058"/>
    <w:lvl w:ilvl="0">
      <w:start w:val="1"/>
      <w:numFmt w:val="decimal"/>
      <w:lvlText w:val="%1"/>
      <w:lvlJc w:val="left"/>
      <w:pPr>
        <w:ind w:left="720" w:hanging="720"/>
      </w:pPr>
      <w:rPr>
        <w:rFonts w:hint="default"/>
        <w:b/>
      </w:rPr>
    </w:lvl>
    <w:lvl w:ilvl="1">
      <w:start w:val="1"/>
      <w:numFmt w:val="bullet"/>
      <w:lvlText w:val=""/>
      <w:lvlJc w:val="left"/>
      <w:rPr>
        <w:rFonts w:ascii="Symbol" w:hAnsi="Symbol"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BA6C75"/>
    <w:multiLevelType w:val="hybridMultilevel"/>
    <w:tmpl w:val="2CC04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C11760"/>
    <w:multiLevelType w:val="multilevel"/>
    <w:tmpl w:val="D0EEF6EC"/>
    <w:lvl w:ilvl="0">
      <w:start w:val="1"/>
      <w:numFmt w:val="decimal"/>
      <w:lvlText w:val="%1"/>
      <w:lvlJc w:val="left"/>
      <w:pPr>
        <w:ind w:left="720" w:hanging="720"/>
      </w:pPr>
      <w:rPr>
        <w:rFonts w:hint="default"/>
        <w:b/>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DF698D"/>
    <w:multiLevelType w:val="hybridMultilevel"/>
    <w:tmpl w:val="1D267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8B67AD"/>
    <w:multiLevelType w:val="multilevel"/>
    <w:tmpl w:val="6200288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B54C5C"/>
    <w:multiLevelType w:val="hybridMultilevel"/>
    <w:tmpl w:val="5546E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0D2475"/>
    <w:multiLevelType w:val="hybridMultilevel"/>
    <w:tmpl w:val="935CC3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F1D638E"/>
    <w:multiLevelType w:val="multilevel"/>
    <w:tmpl w:val="2E7811DC"/>
    <w:styleLink w:val="SectionBi"/>
    <w:lvl w:ilvl="0">
      <w:start w:val="2"/>
      <w:numFmt w:val="upperLetter"/>
      <w:lvlText w:val="%1(i)."/>
      <w:lvlJc w:val="left"/>
      <w:pPr>
        <w:ind w:left="1134" w:hanging="1134"/>
      </w:pPr>
      <w:rPr>
        <w:rFonts w:ascii="Arial" w:hAnsi="Arial" w:hint="default"/>
        <w:b/>
        <w:sz w:val="22"/>
        <w:szCs w:val="22"/>
      </w:rPr>
    </w:lvl>
    <w:lvl w:ilvl="1">
      <w:start w:val="1"/>
      <w:numFmt w:val="decimal"/>
      <w:lvlText w:val="%1(i).%2"/>
      <w:lvlJc w:val="left"/>
      <w:pPr>
        <w:ind w:left="1134" w:hanging="1134"/>
      </w:pPr>
      <w:rPr>
        <w:rFonts w:ascii="Arial" w:hAnsi="Arial" w:hint="default"/>
        <w:sz w:val="22"/>
      </w:rPr>
    </w:lvl>
    <w:lvl w:ilvl="2">
      <w:start w:val="1"/>
      <w:numFmt w:val="decimal"/>
      <w:lvlText w:val="%1(i).%2.%3"/>
      <w:lvlJc w:val="left"/>
      <w:pPr>
        <w:ind w:left="1134" w:hanging="1134"/>
      </w:pPr>
      <w:rPr>
        <w:rFonts w:ascii="Arial" w:hAnsi="Arial" w:hint="default"/>
        <w:sz w:val="22"/>
      </w:rPr>
    </w:lvl>
    <w:lvl w:ilvl="3">
      <w:start w:val="1"/>
      <w:numFmt w:val="decimal"/>
      <w:lvlText w:val="%1(i).%2.%3.%4"/>
      <w:lvlJc w:val="left"/>
      <w:pPr>
        <w:ind w:left="1134" w:hanging="1134"/>
      </w:pPr>
      <w:rPr>
        <w:rFonts w:ascii="Arial" w:hAnsi="Arial" w:hint="default"/>
        <w:sz w:val="22"/>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8" w15:restartNumberingAfterBreak="0">
    <w:nsid w:val="52D167E9"/>
    <w:multiLevelType w:val="hybridMultilevel"/>
    <w:tmpl w:val="5D8E65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7BC03B7"/>
    <w:multiLevelType w:val="multilevel"/>
    <w:tmpl w:val="6FBA938C"/>
    <w:lvl w:ilvl="0">
      <w:start w:val="1"/>
      <w:numFmt w:val="decimal"/>
      <w:lvlText w:val="%1"/>
      <w:lvlJc w:val="left"/>
      <w:pPr>
        <w:ind w:left="720" w:hanging="720"/>
      </w:pPr>
      <w:rPr>
        <w:rFonts w:hint="default"/>
        <w:b/>
      </w:rPr>
    </w:lvl>
    <w:lvl w:ilvl="1">
      <w:start w:val="1"/>
      <w:numFmt w:val="bullet"/>
      <w:lvlText w:val=""/>
      <w:lvlJc w:val="left"/>
      <w:rPr>
        <w:rFonts w:ascii="Symbol" w:hAnsi="Symbol"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FB7709"/>
    <w:multiLevelType w:val="hybridMultilevel"/>
    <w:tmpl w:val="E454FF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617B16"/>
    <w:multiLevelType w:val="multilevel"/>
    <w:tmpl w:val="B0347058"/>
    <w:lvl w:ilvl="0">
      <w:start w:val="1"/>
      <w:numFmt w:val="decimal"/>
      <w:lvlText w:val="%1"/>
      <w:lvlJc w:val="left"/>
      <w:pPr>
        <w:ind w:left="720" w:hanging="720"/>
      </w:pPr>
      <w:rPr>
        <w:rFonts w:hint="default"/>
        <w:b/>
      </w:rPr>
    </w:lvl>
    <w:lvl w:ilvl="1">
      <w:start w:val="1"/>
      <w:numFmt w:val="bullet"/>
      <w:lvlText w:val=""/>
      <w:lvlJc w:val="left"/>
      <w:rPr>
        <w:rFonts w:ascii="Symbol" w:hAnsi="Symbol"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CE4F80"/>
    <w:multiLevelType w:val="multilevel"/>
    <w:tmpl w:val="822A021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D06AFE"/>
    <w:multiLevelType w:val="hybridMultilevel"/>
    <w:tmpl w:val="A2BA36C0"/>
    <w:lvl w:ilvl="0" w:tplc="25268B0A">
      <w:start w:val="5"/>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0845EC"/>
    <w:multiLevelType w:val="hybridMultilevel"/>
    <w:tmpl w:val="5EECE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57547B"/>
    <w:multiLevelType w:val="multilevel"/>
    <w:tmpl w:val="822A021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4D033C"/>
    <w:multiLevelType w:val="multilevel"/>
    <w:tmpl w:val="CC92A7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D4C26F7"/>
    <w:multiLevelType w:val="multilevel"/>
    <w:tmpl w:val="1370258C"/>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FA138C"/>
    <w:multiLevelType w:val="multilevel"/>
    <w:tmpl w:val="1C2E6830"/>
    <w:lvl w:ilvl="0">
      <w:start w:val="1"/>
      <w:numFmt w:val="decimal"/>
      <w:lvlText w:val="%1"/>
      <w:lvlJc w:val="left"/>
      <w:pPr>
        <w:ind w:left="720" w:hanging="720"/>
      </w:pPr>
      <w:rPr>
        <w:rFonts w:hint="default"/>
        <w:b/>
      </w:rPr>
    </w:lvl>
    <w:lvl w:ilvl="1">
      <w:start w:val="4"/>
      <w:numFmt w:val="bullet"/>
      <w:lvlText w:val="-"/>
      <w:lvlJc w:val="left"/>
      <w:pPr>
        <w:ind w:left="360" w:hanging="360"/>
      </w:pPr>
      <w:rPr>
        <w:rFonts w:ascii="Arial Narrow" w:eastAsiaTheme="majorEastAsia" w:hAnsi="Arial Narrow"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5"/>
  </w:num>
  <w:num w:numId="3">
    <w:abstractNumId w:val="0"/>
  </w:num>
  <w:num w:numId="4">
    <w:abstractNumId w:val="26"/>
  </w:num>
  <w:num w:numId="5">
    <w:abstractNumId w:val="23"/>
  </w:num>
  <w:num w:numId="6">
    <w:abstractNumId w:val="10"/>
  </w:num>
  <w:num w:numId="7">
    <w:abstractNumId w:val="8"/>
  </w:num>
  <w:num w:numId="8">
    <w:abstractNumId w:val="5"/>
  </w:num>
  <w:num w:numId="9">
    <w:abstractNumId w:val="17"/>
  </w:num>
  <w:num w:numId="10">
    <w:abstractNumId w:val="2"/>
  </w:num>
  <w:num w:numId="11">
    <w:abstractNumId w:val="6"/>
  </w:num>
  <w:num w:numId="12">
    <w:abstractNumId w:val="13"/>
  </w:num>
  <w:num w:numId="13">
    <w:abstractNumId w:val="28"/>
  </w:num>
  <w:num w:numId="14">
    <w:abstractNumId w:val="18"/>
  </w:num>
  <w:num w:numId="15">
    <w:abstractNumId w:val="4"/>
  </w:num>
  <w:num w:numId="16">
    <w:abstractNumId w:val="7"/>
  </w:num>
  <w:num w:numId="17">
    <w:abstractNumId w:val="14"/>
  </w:num>
  <w:num w:numId="18">
    <w:abstractNumId w:val="24"/>
  </w:num>
  <w:num w:numId="19">
    <w:abstractNumId w:val="16"/>
  </w:num>
  <w:num w:numId="20">
    <w:abstractNumId w:val="12"/>
  </w:num>
  <w:num w:numId="21">
    <w:abstractNumId w:val="25"/>
  </w:num>
  <w:num w:numId="22">
    <w:abstractNumId w:val="22"/>
  </w:num>
  <w:num w:numId="23">
    <w:abstractNumId w:val="11"/>
  </w:num>
  <w:num w:numId="24">
    <w:abstractNumId w:val="27"/>
  </w:num>
  <w:num w:numId="25">
    <w:abstractNumId w:val="21"/>
  </w:num>
  <w:num w:numId="26">
    <w:abstractNumId w:val="9"/>
  </w:num>
  <w:num w:numId="27">
    <w:abstractNumId w:val="3"/>
  </w:num>
  <w:num w:numId="28">
    <w:abstractNumId w:val="19"/>
  </w:num>
  <w:num w:numId="29">
    <w:abstractNumId w:val="1"/>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5D9"/>
    <w:rsid w:val="00000790"/>
    <w:rsid w:val="00000E14"/>
    <w:rsid w:val="0000110B"/>
    <w:rsid w:val="000013A9"/>
    <w:rsid w:val="00002794"/>
    <w:rsid w:val="0000284B"/>
    <w:rsid w:val="00003296"/>
    <w:rsid w:val="0000340E"/>
    <w:rsid w:val="00003499"/>
    <w:rsid w:val="000039B7"/>
    <w:rsid w:val="00004D57"/>
    <w:rsid w:val="00004ED7"/>
    <w:rsid w:val="00005069"/>
    <w:rsid w:val="00005582"/>
    <w:rsid w:val="00005640"/>
    <w:rsid w:val="000056D3"/>
    <w:rsid w:val="0000639A"/>
    <w:rsid w:val="00006941"/>
    <w:rsid w:val="0000784D"/>
    <w:rsid w:val="00007878"/>
    <w:rsid w:val="00010C67"/>
    <w:rsid w:val="000112CD"/>
    <w:rsid w:val="00011A4A"/>
    <w:rsid w:val="00013247"/>
    <w:rsid w:val="0001328A"/>
    <w:rsid w:val="0001359B"/>
    <w:rsid w:val="00013E2C"/>
    <w:rsid w:val="000142CF"/>
    <w:rsid w:val="000148C5"/>
    <w:rsid w:val="00014A9C"/>
    <w:rsid w:val="0001527D"/>
    <w:rsid w:val="00015886"/>
    <w:rsid w:val="00015F58"/>
    <w:rsid w:val="000162EF"/>
    <w:rsid w:val="00016572"/>
    <w:rsid w:val="00016F8B"/>
    <w:rsid w:val="0001798D"/>
    <w:rsid w:val="000207C9"/>
    <w:rsid w:val="00020953"/>
    <w:rsid w:val="00021A38"/>
    <w:rsid w:val="00021DE3"/>
    <w:rsid w:val="0002225F"/>
    <w:rsid w:val="0002241A"/>
    <w:rsid w:val="000225A3"/>
    <w:rsid w:val="00022D52"/>
    <w:rsid w:val="0002327E"/>
    <w:rsid w:val="00023429"/>
    <w:rsid w:val="00023763"/>
    <w:rsid w:val="0002382C"/>
    <w:rsid w:val="00023DAA"/>
    <w:rsid w:val="00023F37"/>
    <w:rsid w:val="00026060"/>
    <w:rsid w:val="0002613C"/>
    <w:rsid w:val="000263B5"/>
    <w:rsid w:val="000266FC"/>
    <w:rsid w:val="00026785"/>
    <w:rsid w:val="00026E6D"/>
    <w:rsid w:val="0002703B"/>
    <w:rsid w:val="00027290"/>
    <w:rsid w:val="000274B8"/>
    <w:rsid w:val="000278B1"/>
    <w:rsid w:val="00027F32"/>
    <w:rsid w:val="000308CB"/>
    <w:rsid w:val="0003159F"/>
    <w:rsid w:val="00031714"/>
    <w:rsid w:val="00031930"/>
    <w:rsid w:val="00031EED"/>
    <w:rsid w:val="00032342"/>
    <w:rsid w:val="00032C6B"/>
    <w:rsid w:val="00032F13"/>
    <w:rsid w:val="00033421"/>
    <w:rsid w:val="000337D4"/>
    <w:rsid w:val="00033863"/>
    <w:rsid w:val="00033908"/>
    <w:rsid w:val="00034152"/>
    <w:rsid w:val="00034452"/>
    <w:rsid w:val="00034C02"/>
    <w:rsid w:val="00034E30"/>
    <w:rsid w:val="00035766"/>
    <w:rsid w:val="0003578A"/>
    <w:rsid w:val="00035941"/>
    <w:rsid w:val="00035AB5"/>
    <w:rsid w:val="00035DC0"/>
    <w:rsid w:val="00036738"/>
    <w:rsid w:val="00036769"/>
    <w:rsid w:val="00036829"/>
    <w:rsid w:val="00037674"/>
    <w:rsid w:val="00037D42"/>
    <w:rsid w:val="0004052E"/>
    <w:rsid w:val="0004060D"/>
    <w:rsid w:val="00040895"/>
    <w:rsid w:val="00040B0A"/>
    <w:rsid w:val="00040DDC"/>
    <w:rsid w:val="000412B9"/>
    <w:rsid w:val="00041C66"/>
    <w:rsid w:val="00042467"/>
    <w:rsid w:val="000435EE"/>
    <w:rsid w:val="000435FA"/>
    <w:rsid w:val="00043C37"/>
    <w:rsid w:val="00043FC5"/>
    <w:rsid w:val="0004413D"/>
    <w:rsid w:val="00044277"/>
    <w:rsid w:val="00044BDC"/>
    <w:rsid w:val="00044D4A"/>
    <w:rsid w:val="00045017"/>
    <w:rsid w:val="00045332"/>
    <w:rsid w:val="00045A2B"/>
    <w:rsid w:val="0004698F"/>
    <w:rsid w:val="00050E4B"/>
    <w:rsid w:val="00052643"/>
    <w:rsid w:val="00052A86"/>
    <w:rsid w:val="00053350"/>
    <w:rsid w:val="000539D0"/>
    <w:rsid w:val="00054621"/>
    <w:rsid w:val="000546D7"/>
    <w:rsid w:val="0005489F"/>
    <w:rsid w:val="00055221"/>
    <w:rsid w:val="0005581A"/>
    <w:rsid w:val="000558D1"/>
    <w:rsid w:val="00055930"/>
    <w:rsid w:val="00055CD7"/>
    <w:rsid w:val="00056ECF"/>
    <w:rsid w:val="00057072"/>
    <w:rsid w:val="00057409"/>
    <w:rsid w:val="000575D7"/>
    <w:rsid w:val="000601C2"/>
    <w:rsid w:val="000604DF"/>
    <w:rsid w:val="000611DC"/>
    <w:rsid w:val="0006133D"/>
    <w:rsid w:val="00061C15"/>
    <w:rsid w:val="0006380F"/>
    <w:rsid w:val="00064296"/>
    <w:rsid w:val="00064528"/>
    <w:rsid w:val="00064AE8"/>
    <w:rsid w:val="00064BF6"/>
    <w:rsid w:val="00064D1F"/>
    <w:rsid w:val="00064DEC"/>
    <w:rsid w:val="000653B5"/>
    <w:rsid w:val="0006590B"/>
    <w:rsid w:val="00066360"/>
    <w:rsid w:val="000663DE"/>
    <w:rsid w:val="000666E0"/>
    <w:rsid w:val="000668A2"/>
    <w:rsid w:val="00066AF8"/>
    <w:rsid w:val="00067339"/>
    <w:rsid w:val="00070945"/>
    <w:rsid w:val="00070B36"/>
    <w:rsid w:val="00071152"/>
    <w:rsid w:val="00071248"/>
    <w:rsid w:val="00071420"/>
    <w:rsid w:val="00071D20"/>
    <w:rsid w:val="000720B9"/>
    <w:rsid w:val="00073075"/>
    <w:rsid w:val="000737F7"/>
    <w:rsid w:val="0007652B"/>
    <w:rsid w:val="0007672F"/>
    <w:rsid w:val="00076B24"/>
    <w:rsid w:val="00076B54"/>
    <w:rsid w:val="00076CFC"/>
    <w:rsid w:val="000774F0"/>
    <w:rsid w:val="0007762D"/>
    <w:rsid w:val="00080909"/>
    <w:rsid w:val="000812CA"/>
    <w:rsid w:val="000816A6"/>
    <w:rsid w:val="00081E4A"/>
    <w:rsid w:val="00081E63"/>
    <w:rsid w:val="00082014"/>
    <w:rsid w:val="0008258D"/>
    <w:rsid w:val="000831D7"/>
    <w:rsid w:val="000833F9"/>
    <w:rsid w:val="00083E99"/>
    <w:rsid w:val="00084D8D"/>
    <w:rsid w:val="00084FA8"/>
    <w:rsid w:val="000856C5"/>
    <w:rsid w:val="00085B0F"/>
    <w:rsid w:val="00085C31"/>
    <w:rsid w:val="00086110"/>
    <w:rsid w:val="0008630D"/>
    <w:rsid w:val="00086C6F"/>
    <w:rsid w:val="00087313"/>
    <w:rsid w:val="000902D9"/>
    <w:rsid w:val="0009032D"/>
    <w:rsid w:val="00090651"/>
    <w:rsid w:val="00090C7E"/>
    <w:rsid w:val="000918B4"/>
    <w:rsid w:val="000919B8"/>
    <w:rsid w:val="00091F22"/>
    <w:rsid w:val="0009235C"/>
    <w:rsid w:val="00092600"/>
    <w:rsid w:val="0009262B"/>
    <w:rsid w:val="00092DF9"/>
    <w:rsid w:val="0009323E"/>
    <w:rsid w:val="00093310"/>
    <w:rsid w:val="00093CF3"/>
    <w:rsid w:val="00094294"/>
    <w:rsid w:val="0009445C"/>
    <w:rsid w:val="00094485"/>
    <w:rsid w:val="00095200"/>
    <w:rsid w:val="000952B9"/>
    <w:rsid w:val="00095CAD"/>
    <w:rsid w:val="00095FE5"/>
    <w:rsid w:val="00096284"/>
    <w:rsid w:val="0009632B"/>
    <w:rsid w:val="0009681B"/>
    <w:rsid w:val="00096F45"/>
    <w:rsid w:val="00097FE4"/>
    <w:rsid w:val="000A0653"/>
    <w:rsid w:val="000A0E91"/>
    <w:rsid w:val="000A1519"/>
    <w:rsid w:val="000A1BC0"/>
    <w:rsid w:val="000A226A"/>
    <w:rsid w:val="000A375D"/>
    <w:rsid w:val="000A463A"/>
    <w:rsid w:val="000A480F"/>
    <w:rsid w:val="000A4930"/>
    <w:rsid w:val="000A4A24"/>
    <w:rsid w:val="000A4C7B"/>
    <w:rsid w:val="000A541E"/>
    <w:rsid w:val="000A5D79"/>
    <w:rsid w:val="000A6039"/>
    <w:rsid w:val="000A7453"/>
    <w:rsid w:val="000A7C0E"/>
    <w:rsid w:val="000A7D08"/>
    <w:rsid w:val="000B0000"/>
    <w:rsid w:val="000B0121"/>
    <w:rsid w:val="000B01D7"/>
    <w:rsid w:val="000B01EF"/>
    <w:rsid w:val="000B05AD"/>
    <w:rsid w:val="000B0670"/>
    <w:rsid w:val="000B0A6C"/>
    <w:rsid w:val="000B0E75"/>
    <w:rsid w:val="000B0EE4"/>
    <w:rsid w:val="000B10AC"/>
    <w:rsid w:val="000B2858"/>
    <w:rsid w:val="000B2DCB"/>
    <w:rsid w:val="000B4DBD"/>
    <w:rsid w:val="000B5015"/>
    <w:rsid w:val="000B5CE0"/>
    <w:rsid w:val="000B6CAC"/>
    <w:rsid w:val="000B73EC"/>
    <w:rsid w:val="000B74D5"/>
    <w:rsid w:val="000B7612"/>
    <w:rsid w:val="000B78AE"/>
    <w:rsid w:val="000C0777"/>
    <w:rsid w:val="000C0B6F"/>
    <w:rsid w:val="000C11F1"/>
    <w:rsid w:val="000C1555"/>
    <w:rsid w:val="000C2FE7"/>
    <w:rsid w:val="000C3DF9"/>
    <w:rsid w:val="000C4DFF"/>
    <w:rsid w:val="000C5407"/>
    <w:rsid w:val="000C5C99"/>
    <w:rsid w:val="000C630B"/>
    <w:rsid w:val="000C6713"/>
    <w:rsid w:val="000C681D"/>
    <w:rsid w:val="000C6E99"/>
    <w:rsid w:val="000C74DE"/>
    <w:rsid w:val="000C7988"/>
    <w:rsid w:val="000C7C37"/>
    <w:rsid w:val="000D0018"/>
    <w:rsid w:val="000D18ED"/>
    <w:rsid w:val="000D1BFC"/>
    <w:rsid w:val="000D1D5D"/>
    <w:rsid w:val="000D281A"/>
    <w:rsid w:val="000D2848"/>
    <w:rsid w:val="000D2CC4"/>
    <w:rsid w:val="000D2DA7"/>
    <w:rsid w:val="000D326A"/>
    <w:rsid w:val="000D3327"/>
    <w:rsid w:val="000D3361"/>
    <w:rsid w:val="000D3CC9"/>
    <w:rsid w:val="000D45F4"/>
    <w:rsid w:val="000D4814"/>
    <w:rsid w:val="000D4D15"/>
    <w:rsid w:val="000D51FB"/>
    <w:rsid w:val="000D535C"/>
    <w:rsid w:val="000D55BE"/>
    <w:rsid w:val="000D5665"/>
    <w:rsid w:val="000D629D"/>
    <w:rsid w:val="000D664F"/>
    <w:rsid w:val="000D6BC7"/>
    <w:rsid w:val="000D6E13"/>
    <w:rsid w:val="000D6EED"/>
    <w:rsid w:val="000D7BEB"/>
    <w:rsid w:val="000D7EC8"/>
    <w:rsid w:val="000E044B"/>
    <w:rsid w:val="000E0640"/>
    <w:rsid w:val="000E0A62"/>
    <w:rsid w:val="000E0FF3"/>
    <w:rsid w:val="000E135D"/>
    <w:rsid w:val="000E1516"/>
    <w:rsid w:val="000E1A0D"/>
    <w:rsid w:val="000E2052"/>
    <w:rsid w:val="000E22EE"/>
    <w:rsid w:val="000E2444"/>
    <w:rsid w:val="000E28C3"/>
    <w:rsid w:val="000E2F35"/>
    <w:rsid w:val="000E38C4"/>
    <w:rsid w:val="000E3A32"/>
    <w:rsid w:val="000E3A4F"/>
    <w:rsid w:val="000E3AAD"/>
    <w:rsid w:val="000E3B7A"/>
    <w:rsid w:val="000E3C71"/>
    <w:rsid w:val="000E5F83"/>
    <w:rsid w:val="000E67CE"/>
    <w:rsid w:val="000E6C81"/>
    <w:rsid w:val="000E6D20"/>
    <w:rsid w:val="000E729A"/>
    <w:rsid w:val="000F009A"/>
    <w:rsid w:val="000F00BA"/>
    <w:rsid w:val="000F078C"/>
    <w:rsid w:val="000F0C19"/>
    <w:rsid w:val="000F0EE1"/>
    <w:rsid w:val="000F0FF5"/>
    <w:rsid w:val="000F1EBD"/>
    <w:rsid w:val="000F2050"/>
    <w:rsid w:val="000F2226"/>
    <w:rsid w:val="000F2539"/>
    <w:rsid w:val="000F26B9"/>
    <w:rsid w:val="000F2D53"/>
    <w:rsid w:val="000F316A"/>
    <w:rsid w:val="000F31CE"/>
    <w:rsid w:val="000F33C9"/>
    <w:rsid w:val="000F3511"/>
    <w:rsid w:val="000F35D0"/>
    <w:rsid w:val="000F3C74"/>
    <w:rsid w:val="000F4111"/>
    <w:rsid w:val="000F45F2"/>
    <w:rsid w:val="000F4BB8"/>
    <w:rsid w:val="000F4FA9"/>
    <w:rsid w:val="000F52B0"/>
    <w:rsid w:val="000F53FB"/>
    <w:rsid w:val="000F61BA"/>
    <w:rsid w:val="000F6912"/>
    <w:rsid w:val="000F6CF6"/>
    <w:rsid w:val="000F7127"/>
    <w:rsid w:val="000F749D"/>
    <w:rsid w:val="000F797C"/>
    <w:rsid w:val="000F7B54"/>
    <w:rsid w:val="00100676"/>
    <w:rsid w:val="00100F8A"/>
    <w:rsid w:val="0010425A"/>
    <w:rsid w:val="0010452E"/>
    <w:rsid w:val="00104A42"/>
    <w:rsid w:val="00105076"/>
    <w:rsid w:val="00105AE2"/>
    <w:rsid w:val="001060C6"/>
    <w:rsid w:val="001060D9"/>
    <w:rsid w:val="00106610"/>
    <w:rsid w:val="00106B80"/>
    <w:rsid w:val="0011032E"/>
    <w:rsid w:val="00111C02"/>
    <w:rsid w:val="00112095"/>
    <w:rsid w:val="001126BF"/>
    <w:rsid w:val="0011348B"/>
    <w:rsid w:val="00113565"/>
    <w:rsid w:val="00113A36"/>
    <w:rsid w:val="00113D30"/>
    <w:rsid w:val="00114303"/>
    <w:rsid w:val="001156B5"/>
    <w:rsid w:val="00115982"/>
    <w:rsid w:val="00116C53"/>
    <w:rsid w:val="00117284"/>
    <w:rsid w:val="001203D5"/>
    <w:rsid w:val="00121111"/>
    <w:rsid w:val="00121655"/>
    <w:rsid w:val="001216FB"/>
    <w:rsid w:val="00121799"/>
    <w:rsid w:val="001222FC"/>
    <w:rsid w:val="00123032"/>
    <w:rsid w:val="00123902"/>
    <w:rsid w:val="00124A51"/>
    <w:rsid w:val="00124FF3"/>
    <w:rsid w:val="00125555"/>
    <w:rsid w:val="00126621"/>
    <w:rsid w:val="001268D4"/>
    <w:rsid w:val="00126B1D"/>
    <w:rsid w:val="00127AC3"/>
    <w:rsid w:val="001301E9"/>
    <w:rsid w:val="001307E8"/>
    <w:rsid w:val="00131220"/>
    <w:rsid w:val="00131D82"/>
    <w:rsid w:val="00132B22"/>
    <w:rsid w:val="00133D36"/>
    <w:rsid w:val="0013492A"/>
    <w:rsid w:val="00135B91"/>
    <w:rsid w:val="00137575"/>
    <w:rsid w:val="00137645"/>
    <w:rsid w:val="00137EE7"/>
    <w:rsid w:val="0014015A"/>
    <w:rsid w:val="00140430"/>
    <w:rsid w:val="001409CB"/>
    <w:rsid w:val="00140E99"/>
    <w:rsid w:val="00141380"/>
    <w:rsid w:val="00141C23"/>
    <w:rsid w:val="001435F5"/>
    <w:rsid w:val="0014364C"/>
    <w:rsid w:val="0014365D"/>
    <w:rsid w:val="00143F67"/>
    <w:rsid w:val="001442E1"/>
    <w:rsid w:val="00144FA8"/>
    <w:rsid w:val="00145540"/>
    <w:rsid w:val="001455D3"/>
    <w:rsid w:val="001456B0"/>
    <w:rsid w:val="0014621A"/>
    <w:rsid w:val="0014677B"/>
    <w:rsid w:val="001469A6"/>
    <w:rsid w:val="001474AF"/>
    <w:rsid w:val="001477D2"/>
    <w:rsid w:val="001479F6"/>
    <w:rsid w:val="001505DE"/>
    <w:rsid w:val="0015061D"/>
    <w:rsid w:val="00150D31"/>
    <w:rsid w:val="001534FC"/>
    <w:rsid w:val="00154E83"/>
    <w:rsid w:val="00154FD0"/>
    <w:rsid w:val="00155672"/>
    <w:rsid w:val="00155850"/>
    <w:rsid w:val="00156ABA"/>
    <w:rsid w:val="00156CDE"/>
    <w:rsid w:val="00156F8F"/>
    <w:rsid w:val="00157130"/>
    <w:rsid w:val="001576B1"/>
    <w:rsid w:val="0016047B"/>
    <w:rsid w:val="0016071B"/>
    <w:rsid w:val="00160A4C"/>
    <w:rsid w:val="00160B3B"/>
    <w:rsid w:val="00160B82"/>
    <w:rsid w:val="0016117B"/>
    <w:rsid w:val="00161407"/>
    <w:rsid w:val="0016219C"/>
    <w:rsid w:val="001627AD"/>
    <w:rsid w:val="001628C2"/>
    <w:rsid w:val="00162913"/>
    <w:rsid w:val="001639B3"/>
    <w:rsid w:val="00163AC5"/>
    <w:rsid w:val="00163EFF"/>
    <w:rsid w:val="00163F66"/>
    <w:rsid w:val="001658CC"/>
    <w:rsid w:val="00165C3D"/>
    <w:rsid w:val="00165D3A"/>
    <w:rsid w:val="001660F7"/>
    <w:rsid w:val="001661FB"/>
    <w:rsid w:val="0016655D"/>
    <w:rsid w:val="00166B28"/>
    <w:rsid w:val="00166D18"/>
    <w:rsid w:val="001671A0"/>
    <w:rsid w:val="0016767F"/>
    <w:rsid w:val="001705A8"/>
    <w:rsid w:val="00170B06"/>
    <w:rsid w:val="00170CD6"/>
    <w:rsid w:val="00170D8E"/>
    <w:rsid w:val="001717C1"/>
    <w:rsid w:val="00171F16"/>
    <w:rsid w:val="00172F83"/>
    <w:rsid w:val="00173078"/>
    <w:rsid w:val="001731F3"/>
    <w:rsid w:val="00173565"/>
    <w:rsid w:val="00173B07"/>
    <w:rsid w:val="001745F1"/>
    <w:rsid w:val="001748FA"/>
    <w:rsid w:val="001751FA"/>
    <w:rsid w:val="001758CF"/>
    <w:rsid w:val="00176748"/>
    <w:rsid w:val="00177312"/>
    <w:rsid w:val="00177812"/>
    <w:rsid w:val="00177AB3"/>
    <w:rsid w:val="0018056D"/>
    <w:rsid w:val="001813D8"/>
    <w:rsid w:val="00181C30"/>
    <w:rsid w:val="00181D9C"/>
    <w:rsid w:val="00182A60"/>
    <w:rsid w:val="00182C2B"/>
    <w:rsid w:val="0018488C"/>
    <w:rsid w:val="00184B0E"/>
    <w:rsid w:val="00184B7F"/>
    <w:rsid w:val="0018752F"/>
    <w:rsid w:val="00190F93"/>
    <w:rsid w:val="00191590"/>
    <w:rsid w:val="001923A8"/>
    <w:rsid w:val="00193733"/>
    <w:rsid w:val="00193838"/>
    <w:rsid w:val="00193BD5"/>
    <w:rsid w:val="001940E8"/>
    <w:rsid w:val="0019429B"/>
    <w:rsid w:val="001942D2"/>
    <w:rsid w:val="00194AD8"/>
    <w:rsid w:val="00195220"/>
    <w:rsid w:val="00195222"/>
    <w:rsid w:val="00195D6F"/>
    <w:rsid w:val="00196ACC"/>
    <w:rsid w:val="00196E9D"/>
    <w:rsid w:val="00197201"/>
    <w:rsid w:val="001975D8"/>
    <w:rsid w:val="001A02B8"/>
    <w:rsid w:val="001A03E6"/>
    <w:rsid w:val="001A09DF"/>
    <w:rsid w:val="001A0E0B"/>
    <w:rsid w:val="001A13ED"/>
    <w:rsid w:val="001A178E"/>
    <w:rsid w:val="001A1E6F"/>
    <w:rsid w:val="001A21A6"/>
    <w:rsid w:val="001A2F8C"/>
    <w:rsid w:val="001A3B2E"/>
    <w:rsid w:val="001A3D6C"/>
    <w:rsid w:val="001A3DE4"/>
    <w:rsid w:val="001A43FA"/>
    <w:rsid w:val="001A47C5"/>
    <w:rsid w:val="001A48EC"/>
    <w:rsid w:val="001A4BB3"/>
    <w:rsid w:val="001A59FB"/>
    <w:rsid w:val="001A5E9E"/>
    <w:rsid w:val="001A5FFF"/>
    <w:rsid w:val="001A6300"/>
    <w:rsid w:val="001A6354"/>
    <w:rsid w:val="001A6366"/>
    <w:rsid w:val="001A6B12"/>
    <w:rsid w:val="001A6E8B"/>
    <w:rsid w:val="001A7127"/>
    <w:rsid w:val="001A7AE8"/>
    <w:rsid w:val="001B034A"/>
    <w:rsid w:val="001B0BEE"/>
    <w:rsid w:val="001B1198"/>
    <w:rsid w:val="001B14DC"/>
    <w:rsid w:val="001B1BEB"/>
    <w:rsid w:val="001B204E"/>
    <w:rsid w:val="001B2372"/>
    <w:rsid w:val="001B261E"/>
    <w:rsid w:val="001B273C"/>
    <w:rsid w:val="001B2EB9"/>
    <w:rsid w:val="001B3443"/>
    <w:rsid w:val="001B4D20"/>
    <w:rsid w:val="001B5AC0"/>
    <w:rsid w:val="001B5F6B"/>
    <w:rsid w:val="001B65AA"/>
    <w:rsid w:val="001B65E1"/>
    <w:rsid w:val="001B6602"/>
    <w:rsid w:val="001B6A58"/>
    <w:rsid w:val="001B6A7D"/>
    <w:rsid w:val="001B6C59"/>
    <w:rsid w:val="001B74CE"/>
    <w:rsid w:val="001B7CBB"/>
    <w:rsid w:val="001B7E53"/>
    <w:rsid w:val="001C012A"/>
    <w:rsid w:val="001C0DDB"/>
    <w:rsid w:val="001C1DD7"/>
    <w:rsid w:val="001C2609"/>
    <w:rsid w:val="001C2A9B"/>
    <w:rsid w:val="001C2DC6"/>
    <w:rsid w:val="001C38FE"/>
    <w:rsid w:val="001C3EBD"/>
    <w:rsid w:val="001C403A"/>
    <w:rsid w:val="001C4299"/>
    <w:rsid w:val="001C47F4"/>
    <w:rsid w:val="001C4874"/>
    <w:rsid w:val="001C4E75"/>
    <w:rsid w:val="001C4E7E"/>
    <w:rsid w:val="001C5AC0"/>
    <w:rsid w:val="001C5F94"/>
    <w:rsid w:val="001C68D9"/>
    <w:rsid w:val="001C6ADA"/>
    <w:rsid w:val="001C6DC7"/>
    <w:rsid w:val="001C6E66"/>
    <w:rsid w:val="001C714E"/>
    <w:rsid w:val="001C7A2D"/>
    <w:rsid w:val="001C7A57"/>
    <w:rsid w:val="001D0333"/>
    <w:rsid w:val="001D03AA"/>
    <w:rsid w:val="001D07DF"/>
    <w:rsid w:val="001D1100"/>
    <w:rsid w:val="001D1391"/>
    <w:rsid w:val="001D1F86"/>
    <w:rsid w:val="001D20DE"/>
    <w:rsid w:val="001D25D7"/>
    <w:rsid w:val="001D2637"/>
    <w:rsid w:val="001D3A42"/>
    <w:rsid w:val="001D3DD1"/>
    <w:rsid w:val="001D40ED"/>
    <w:rsid w:val="001D432D"/>
    <w:rsid w:val="001D434F"/>
    <w:rsid w:val="001D49BB"/>
    <w:rsid w:val="001D50B2"/>
    <w:rsid w:val="001D53A1"/>
    <w:rsid w:val="001D558F"/>
    <w:rsid w:val="001D5FEA"/>
    <w:rsid w:val="001D70FB"/>
    <w:rsid w:val="001D7645"/>
    <w:rsid w:val="001D772D"/>
    <w:rsid w:val="001D7774"/>
    <w:rsid w:val="001D7947"/>
    <w:rsid w:val="001E15CB"/>
    <w:rsid w:val="001E1800"/>
    <w:rsid w:val="001E1E86"/>
    <w:rsid w:val="001E238E"/>
    <w:rsid w:val="001E2483"/>
    <w:rsid w:val="001E25CF"/>
    <w:rsid w:val="001E2B1E"/>
    <w:rsid w:val="001E2CFF"/>
    <w:rsid w:val="001E2DD6"/>
    <w:rsid w:val="001E2F24"/>
    <w:rsid w:val="001E30D4"/>
    <w:rsid w:val="001E34DF"/>
    <w:rsid w:val="001E3C9F"/>
    <w:rsid w:val="001E41D5"/>
    <w:rsid w:val="001E52EB"/>
    <w:rsid w:val="001E551D"/>
    <w:rsid w:val="001E5743"/>
    <w:rsid w:val="001E61D2"/>
    <w:rsid w:val="001E63B1"/>
    <w:rsid w:val="001E65E0"/>
    <w:rsid w:val="001E6A34"/>
    <w:rsid w:val="001E740C"/>
    <w:rsid w:val="001E7642"/>
    <w:rsid w:val="001E7D5D"/>
    <w:rsid w:val="001E7F09"/>
    <w:rsid w:val="001F1235"/>
    <w:rsid w:val="001F1B95"/>
    <w:rsid w:val="001F1CB3"/>
    <w:rsid w:val="001F26BB"/>
    <w:rsid w:val="001F2998"/>
    <w:rsid w:val="001F2DC6"/>
    <w:rsid w:val="001F2F88"/>
    <w:rsid w:val="001F38B5"/>
    <w:rsid w:val="001F3D7D"/>
    <w:rsid w:val="001F4081"/>
    <w:rsid w:val="001F4CE4"/>
    <w:rsid w:val="001F5053"/>
    <w:rsid w:val="001F6151"/>
    <w:rsid w:val="001F6753"/>
    <w:rsid w:val="001F68F6"/>
    <w:rsid w:val="001F700A"/>
    <w:rsid w:val="001F704F"/>
    <w:rsid w:val="001F7361"/>
    <w:rsid w:val="001F7F00"/>
    <w:rsid w:val="001F7FA5"/>
    <w:rsid w:val="00200974"/>
    <w:rsid w:val="00200EF8"/>
    <w:rsid w:val="002011B0"/>
    <w:rsid w:val="0020222B"/>
    <w:rsid w:val="00202D1F"/>
    <w:rsid w:val="00202D2F"/>
    <w:rsid w:val="002030F7"/>
    <w:rsid w:val="00203181"/>
    <w:rsid w:val="00203783"/>
    <w:rsid w:val="0020385F"/>
    <w:rsid w:val="00203EC2"/>
    <w:rsid w:val="00204A03"/>
    <w:rsid w:val="002063F3"/>
    <w:rsid w:val="002064BE"/>
    <w:rsid w:val="002068A0"/>
    <w:rsid w:val="00206A90"/>
    <w:rsid w:val="00206D1B"/>
    <w:rsid w:val="00207021"/>
    <w:rsid w:val="0020732F"/>
    <w:rsid w:val="0020784E"/>
    <w:rsid w:val="00207D00"/>
    <w:rsid w:val="00207FEA"/>
    <w:rsid w:val="0021038D"/>
    <w:rsid w:val="002105C1"/>
    <w:rsid w:val="002110BE"/>
    <w:rsid w:val="00211788"/>
    <w:rsid w:val="00212194"/>
    <w:rsid w:val="002125CE"/>
    <w:rsid w:val="00212CB0"/>
    <w:rsid w:val="00212F96"/>
    <w:rsid w:val="00213EF5"/>
    <w:rsid w:val="002144E3"/>
    <w:rsid w:val="00214BFE"/>
    <w:rsid w:val="00215062"/>
    <w:rsid w:val="002157A0"/>
    <w:rsid w:val="00215C45"/>
    <w:rsid w:val="00215FB5"/>
    <w:rsid w:val="00216088"/>
    <w:rsid w:val="00216333"/>
    <w:rsid w:val="0021682F"/>
    <w:rsid w:val="00216BF5"/>
    <w:rsid w:val="00216EDE"/>
    <w:rsid w:val="00217453"/>
    <w:rsid w:val="00217666"/>
    <w:rsid w:val="00220334"/>
    <w:rsid w:val="0022099D"/>
    <w:rsid w:val="00220A8D"/>
    <w:rsid w:val="00221339"/>
    <w:rsid w:val="00221BF3"/>
    <w:rsid w:val="00221E15"/>
    <w:rsid w:val="00223359"/>
    <w:rsid w:val="00223B49"/>
    <w:rsid w:val="00223CA0"/>
    <w:rsid w:val="00223D5A"/>
    <w:rsid w:val="00223E15"/>
    <w:rsid w:val="00224400"/>
    <w:rsid w:val="00224DD4"/>
    <w:rsid w:val="0022544E"/>
    <w:rsid w:val="00225575"/>
    <w:rsid w:val="00226FDA"/>
    <w:rsid w:val="00226FED"/>
    <w:rsid w:val="00227624"/>
    <w:rsid w:val="002278A0"/>
    <w:rsid w:val="00227EAC"/>
    <w:rsid w:val="00230989"/>
    <w:rsid w:val="002309CC"/>
    <w:rsid w:val="00230DB1"/>
    <w:rsid w:val="002311A3"/>
    <w:rsid w:val="00231261"/>
    <w:rsid w:val="002313FA"/>
    <w:rsid w:val="00231FCB"/>
    <w:rsid w:val="0023209F"/>
    <w:rsid w:val="00232E20"/>
    <w:rsid w:val="00232FA4"/>
    <w:rsid w:val="00233C01"/>
    <w:rsid w:val="00233F58"/>
    <w:rsid w:val="0023413C"/>
    <w:rsid w:val="002346F0"/>
    <w:rsid w:val="0023629D"/>
    <w:rsid w:val="00236C62"/>
    <w:rsid w:val="00236FD9"/>
    <w:rsid w:val="00237220"/>
    <w:rsid w:val="00237255"/>
    <w:rsid w:val="00237858"/>
    <w:rsid w:val="002408D1"/>
    <w:rsid w:val="00240915"/>
    <w:rsid w:val="00240B64"/>
    <w:rsid w:val="002411F7"/>
    <w:rsid w:val="002412DB"/>
    <w:rsid w:val="0024173E"/>
    <w:rsid w:val="00242402"/>
    <w:rsid w:val="002424AF"/>
    <w:rsid w:val="002428DC"/>
    <w:rsid w:val="002429F9"/>
    <w:rsid w:val="00243800"/>
    <w:rsid w:val="002439DC"/>
    <w:rsid w:val="00243CDC"/>
    <w:rsid w:val="002441D2"/>
    <w:rsid w:val="00244366"/>
    <w:rsid w:val="00244A56"/>
    <w:rsid w:val="00244A67"/>
    <w:rsid w:val="00244DC8"/>
    <w:rsid w:val="00245697"/>
    <w:rsid w:val="002456D2"/>
    <w:rsid w:val="0024584D"/>
    <w:rsid w:val="002458BA"/>
    <w:rsid w:val="00245CE9"/>
    <w:rsid w:val="00245F7C"/>
    <w:rsid w:val="0024636C"/>
    <w:rsid w:val="00246570"/>
    <w:rsid w:val="0024708B"/>
    <w:rsid w:val="00247568"/>
    <w:rsid w:val="00247925"/>
    <w:rsid w:val="002479ED"/>
    <w:rsid w:val="002501ED"/>
    <w:rsid w:val="0025050A"/>
    <w:rsid w:val="00250597"/>
    <w:rsid w:val="00250A79"/>
    <w:rsid w:val="00251006"/>
    <w:rsid w:val="0025166F"/>
    <w:rsid w:val="00252267"/>
    <w:rsid w:val="002524D5"/>
    <w:rsid w:val="0025292F"/>
    <w:rsid w:val="00253162"/>
    <w:rsid w:val="00253B1D"/>
    <w:rsid w:val="00254DCF"/>
    <w:rsid w:val="002551F1"/>
    <w:rsid w:val="00255310"/>
    <w:rsid w:val="0025534B"/>
    <w:rsid w:val="00255BB7"/>
    <w:rsid w:val="0025614B"/>
    <w:rsid w:val="00256397"/>
    <w:rsid w:val="0025701F"/>
    <w:rsid w:val="00257274"/>
    <w:rsid w:val="00257469"/>
    <w:rsid w:val="00257541"/>
    <w:rsid w:val="0025777F"/>
    <w:rsid w:val="00257A39"/>
    <w:rsid w:val="00257AC4"/>
    <w:rsid w:val="002600F5"/>
    <w:rsid w:val="00260533"/>
    <w:rsid w:val="002605E5"/>
    <w:rsid w:val="002612DA"/>
    <w:rsid w:val="00261CAB"/>
    <w:rsid w:val="00261EEF"/>
    <w:rsid w:val="00262A1A"/>
    <w:rsid w:val="00262A87"/>
    <w:rsid w:val="0026353C"/>
    <w:rsid w:val="00264B90"/>
    <w:rsid w:val="00264D26"/>
    <w:rsid w:val="00265884"/>
    <w:rsid w:val="00266329"/>
    <w:rsid w:val="00266437"/>
    <w:rsid w:val="00267642"/>
    <w:rsid w:val="00267AEA"/>
    <w:rsid w:val="002700E6"/>
    <w:rsid w:val="00270772"/>
    <w:rsid w:val="00270BD2"/>
    <w:rsid w:val="002713AA"/>
    <w:rsid w:val="00271D8F"/>
    <w:rsid w:val="0027294B"/>
    <w:rsid w:val="00272A7E"/>
    <w:rsid w:val="0027384B"/>
    <w:rsid w:val="00273EB4"/>
    <w:rsid w:val="00274682"/>
    <w:rsid w:val="002751FB"/>
    <w:rsid w:val="00275BB6"/>
    <w:rsid w:val="00275C5A"/>
    <w:rsid w:val="002760DD"/>
    <w:rsid w:val="00277E85"/>
    <w:rsid w:val="0028013F"/>
    <w:rsid w:val="00280DDC"/>
    <w:rsid w:val="00281014"/>
    <w:rsid w:val="002811D0"/>
    <w:rsid w:val="002820C8"/>
    <w:rsid w:val="00282AAF"/>
    <w:rsid w:val="0028338A"/>
    <w:rsid w:val="0028388C"/>
    <w:rsid w:val="0028396D"/>
    <w:rsid w:val="00283B7E"/>
    <w:rsid w:val="00283E77"/>
    <w:rsid w:val="00283F86"/>
    <w:rsid w:val="00284397"/>
    <w:rsid w:val="00285188"/>
    <w:rsid w:val="0028523C"/>
    <w:rsid w:val="00285604"/>
    <w:rsid w:val="00285E95"/>
    <w:rsid w:val="0028665D"/>
    <w:rsid w:val="00286A06"/>
    <w:rsid w:val="00286C4F"/>
    <w:rsid w:val="002874C3"/>
    <w:rsid w:val="00287F23"/>
    <w:rsid w:val="00290D66"/>
    <w:rsid w:val="002912E3"/>
    <w:rsid w:val="002916E9"/>
    <w:rsid w:val="0029276B"/>
    <w:rsid w:val="00292786"/>
    <w:rsid w:val="002930E0"/>
    <w:rsid w:val="002937E2"/>
    <w:rsid w:val="00294A78"/>
    <w:rsid w:val="00295EEB"/>
    <w:rsid w:val="002961B6"/>
    <w:rsid w:val="00296B07"/>
    <w:rsid w:val="002970F0"/>
    <w:rsid w:val="00297CA4"/>
    <w:rsid w:val="002A0F1D"/>
    <w:rsid w:val="002A1407"/>
    <w:rsid w:val="002A14AB"/>
    <w:rsid w:val="002A28BB"/>
    <w:rsid w:val="002A2ADE"/>
    <w:rsid w:val="002A2B10"/>
    <w:rsid w:val="002A2B1B"/>
    <w:rsid w:val="002A2DE0"/>
    <w:rsid w:val="002A2F50"/>
    <w:rsid w:val="002A2F5D"/>
    <w:rsid w:val="002A4063"/>
    <w:rsid w:val="002A4D6C"/>
    <w:rsid w:val="002A4EF4"/>
    <w:rsid w:val="002A5751"/>
    <w:rsid w:val="002A57B0"/>
    <w:rsid w:val="002A70BF"/>
    <w:rsid w:val="002A712D"/>
    <w:rsid w:val="002A73DA"/>
    <w:rsid w:val="002A7436"/>
    <w:rsid w:val="002B05A1"/>
    <w:rsid w:val="002B09A4"/>
    <w:rsid w:val="002B0BBE"/>
    <w:rsid w:val="002B0CCB"/>
    <w:rsid w:val="002B1C1F"/>
    <w:rsid w:val="002B27DB"/>
    <w:rsid w:val="002B28F5"/>
    <w:rsid w:val="002B3003"/>
    <w:rsid w:val="002B32B1"/>
    <w:rsid w:val="002B432F"/>
    <w:rsid w:val="002B5852"/>
    <w:rsid w:val="002B62B3"/>
    <w:rsid w:val="002B6754"/>
    <w:rsid w:val="002B6A5D"/>
    <w:rsid w:val="002B6CCE"/>
    <w:rsid w:val="002B71CA"/>
    <w:rsid w:val="002B7665"/>
    <w:rsid w:val="002B7B61"/>
    <w:rsid w:val="002C0407"/>
    <w:rsid w:val="002C0B8B"/>
    <w:rsid w:val="002C13D8"/>
    <w:rsid w:val="002C1B5B"/>
    <w:rsid w:val="002C2510"/>
    <w:rsid w:val="002C266E"/>
    <w:rsid w:val="002C276C"/>
    <w:rsid w:val="002C2775"/>
    <w:rsid w:val="002C27C1"/>
    <w:rsid w:val="002C354A"/>
    <w:rsid w:val="002C3C8F"/>
    <w:rsid w:val="002C4D98"/>
    <w:rsid w:val="002C5099"/>
    <w:rsid w:val="002C552F"/>
    <w:rsid w:val="002C5889"/>
    <w:rsid w:val="002C6515"/>
    <w:rsid w:val="002C66F6"/>
    <w:rsid w:val="002C71CE"/>
    <w:rsid w:val="002C7B4F"/>
    <w:rsid w:val="002C7C88"/>
    <w:rsid w:val="002D0130"/>
    <w:rsid w:val="002D04BB"/>
    <w:rsid w:val="002D08F8"/>
    <w:rsid w:val="002D12FB"/>
    <w:rsid w:val="002D14B5"/>
    <w:rsid w:val="002D184B"/>
    <w:rsid w:val="002D204F"/>
    <w:rsid w:val="002D2396"/>
    <w:rsid w:val="002D26B2"/>
    <w:rsid w:val="002D2D2F"/>
    <w:rsid w:val="002D32FB"/>
    <w:rsid w:val="002D3AC3"/>
    <w:rsid w:val="002D42A2"/>
    <w:rsid w:val="002D4D38"/>
    <w:rsid w:val="002D4D69"/>
    <w:rsid w:val="002D565C"/>
    <w:rsid w:val="002D577C"/>
    <w:rsid w:val="002D5E2A"/>
    <w:rsid w:val="002D6936"/>
    <w:rsid w:val="002D6A95"/>
    <w:rsid w:val="002D742E"/>
    <w:rsid w:val="002E070C"/>
    <w:rsid w:val="002E1071"/>
    <w:rsid w:val="002E15B9"/>
    <w:rsid w:val="002E19BA"/>
    <w:rsid w:val="002E1E85"/>
    <w:rsid w:val="002E1FE4"/>
    <w:rsid w:val="002E2158"/>
    <w:rsid w:val="002E2CF6"/>
    <w:rsid w:val="002E3000"/>
    <w:rsid w:val="002E37BF"/>
    <w:rsid w:val="002E3C66"/>
    <w:rsid w:val="002E4F02"/>
    <w:rsid w:val="002E50CD"/>
    <w:rsid w:val="002E57E1"/>
    <w:rsid w:val="002E586D"/>
    <w:rsid w:val="002E60B7"/>
    <w:rsid w:val="002E6E2E"/>
    <w:rsid w:val="002E6EED"/>
    <w:rsid w:val="002E7722"/>
    <w:rsid w:val="002F048E"/>
    <w:rsid w:val="002F07BA"/>
    <w:rsid w:val="002F0BB2"/>
    <w:rsid w:val="002F0DA9"/>
    <w:rsid w:val="002F1014"/>
    <w:rsid w:val="002F1D26"/>
    <w:rsid w:val="002F25A3"/>
    <w:rsid w:val="002F2714"/>
    <w:rsid w:val="002F307C"/>
    <w:rsid w:val="002F3B9E"/>
    <w:rsid w:val="002F46AE"/>
    <w:rsid w:val="002F5909"/>
    <w:rsid w:val="002F643C"/>
    <w:rsid w:val="002F6807"/>
    <w:rsid w:val="002F6BF3"/>
    <w:rsid w:val="002F71C0"/>
    <w:rsid w:val="002F74F1"/>
    <w:rsid w:val="00300348"/>
    <w:rsid w:val="0030098A"/>
    <w:rsid w:val="00301017"/>
    <w:rsid w:val="003010C5"/>
    <w:rsid w:val="0030144E"/>
    <w:rsid w:val="0030155F"/>
    <w:rsid w:val="0030277E"/>
    <w:rsid w:val="003030D3"/>
    <w:rsid w:val="00304361"/>
    <w:rsid w:val="00304FEF"/>
    <w:rsid w:val="0030587B"/>
    <w:rsid w:val="00306166"/>
    <w:rsid w:val="00306542"/>
    <w:rsid w:val="003066B4"/>
    <w:rsid w:val="00306D98"/>
    <w:rsid w:val="0030772F"/>
    <w:rsid w:val="0030786C"/>
    <w:rsid w:val="00307E5A"/>
    <w:rsid w:val="00310108"/>
    <w:rsid w:val="0031031A"/>
    <w:rsid w:val="00310475"/>
    <w:rsid w:val="00310981"/>
    <w:rsid w:val="00310C08"/>
    <w:rsid w:val="00311630"/>
    <w:rsid w:val="00311930"/>
    <w:rsid w:val="003124D9"/>
    <w:rsid w:val="00312594"/>
    <w:rsid w:val="0031266A"/>
    <w:rsid w:val="00312B30"/>
    <w:rsid w:val="00312E07"/>
    <w:rsid w:val="003137E8"/>
    <w:rsid w:val="00313EB6"/>
    <w:rsid w:val="003148C2"/>
    <w:rsid w:val="00314F8E"/>
    <w:rsid w:val="003150B9"/>
    <w:rsid w:val="003153C9"/>
    <w:rsid w:val="00315498"/>
    <w:rsid w:val="00315A52"/>
    <w:rsid w:val="0031622A"/>
    <w:rsid w:val="00316474"/>
    <w:rsid w:val="00316D7B"/>
    <w:rsid w:val="00316D8D"/>
    <w:rsid w:val="00317C7F"/>
    <w:rsid w:val="003201E4"/>
    <w:rsid w:val="003206E7"/>
    <w:rsid w:val="00320844"/>
    <w:rsid w:val="00322107"/>
    <w:rsid w:val="00322139"/>
    <w:rsid w:val="00322355"/>
    <w:rsid w:val="00322846"/>
    <w:rsid w:val="00322C1E"/>
    <w:rsid w:val="003234FD"/>
    <w:rsid w:val="00323780"/>
    <w:rsid w:val="00323B99"/>
    <w:rsid w:val="00323D61"/>
    <w:rsid w:val="00324947"/>
    <w:rsid w:val="00324C00"/>
    <w:rsid w:val="00325736"/>
    <w:rsid w:val="00326317"/>
    <w:rsid w:val="00326A6D"/>
    <w:rsid w:val="00326DA7"/>
    <w:rsid w:val="003270D9"/>
    <w:rsid w:val="003270E4"/>
    <w:rsid w:val="00330DAA"/>
    <w:rsid w:val="00330F5C"/>
    <w:rsid w:val="0033342B"/>
    <w:rsid w:val="0033399A"/>
    <w:rsid w:val="0033454C"/>
    <w:rsid w:val="00334792"/>
    <w:rsid w:val="00334E3F"/>
    <w:rsid w:val="00335A2F"/>
    <w:rsid w:val="003366C9"/>
    <w:rsid w:val="003366E0"/>
    <w:rsid w:val="0033681D"/>
    <w:rsid w:val="00336AE8"/>
    <w:rsid w:val="00336E1E"/>
    <w:rsid w:val="003371B0"/>
    <w:rsid w:val="0033733D"/>
    <w:rsid w:val="00337903"/>
    <w:rsid w:val="003379A4"/>
    <w:rsid w:val="00337DA8"/>
    <w:rsid w:val="00340084"/>
    <w:rsid w:val="003407A8"/>
    <w:rsid w:val="00340DF1"/>
    <w:rsid w:val="0034154D"/>
    <w:rsid w:val="00342050"/>
    <w:rsid w:val="00342BF7"/>
    <w:rsid w:val="0034370F"/>
    <w:rsid w:val="00343E4B"/>
    <w:rsid w:val="003452E1"/>
    <w:rsid w:val="00345655"/>
    <w:rsid w:val="00345C98"/>
    <w:rsid w:val="00346110"/>
    <w:rsid w:val="00346B5F"/>
    <w:rsid w:val="00347648"/>
    <w:rsid w:val="00347E53"/>
    <w:rsid w:val="0035036F"/>
    <w:rsid w:val="003517F9"/>
    <w:rsid w:val="00351B0E"/>
    <w:rsid w:val="00351B2D"/>
    <w:rsid w:val="00351BA9"/>
    <w:rsid w:val="003520FC"/>
    <w:rsid w:val="003528DE"/>
    <w:rsid w:val="003532B5"/>
    <w:rsid w:val="00354B84"/>
    <w:rsid w:val="00354F64"/>
    <w:rsid w:val="0035575F"/>
    <w:rsid w:val="00355989"/>
    <w:rsid w:val="00355FDB"/>
    <w:rsid w:val="0035620E"/>
    <w:rsid w:val="0035649D"/>
    <w:rsid w:val="0035662D"/>
    <w:rsid w:val="003571BB"/>
    <w:rsid w:val="003571C9"/>
    <w:rsid w:val="00357A28"/>
    <w:rsid w:val="00357BA5"/>
    <w:rsid w:val="00357CA5"/>
    <w:rsid w:val="00357DA8"/>
    <w:rsid w:val="00360025"/>
    <w:rsid w:val="00360250"/>
    <w:rsid w:val="003602C9"/>
    <w:rsid w:val="00360345"/>
    <w:rsid w:val="00360572"/>
    <w:rsid w:val="00360732"/>
    <w:rsid w:val="00360A04"/>
    <w:rsid w:val="00360A2D"/>
    <w:rsid w:val="00360A36"/>
    <w:rsid w:val="00361A05"/>
    <w:rsid w:val="00361B55"/>
    <w:rsid w:val="00362254"/>
    <w:rsid w:val="003624C4"/>
    <w:rsid w:val="00362CD3"/>
    <w:rsid w:val="003638AA"/>
    <w:rsid w:val="00363B00"/>
    <w:rsid w:val="00363B1B"/>
    <w:rsid w:val="003641FE"/>
    <w:rsid w:val="003646F4"/>
    <w:rsid w:val="00364750"/>
    <w:rsid w:val="00364A49"/>
    <w:rsid w:val="00364A9E"/>
    <w:rsid w:val="00364E5F"/>
    <w:rsid w:val="0036511C"/>
    <w:rsid w:val="003654AC"/>
    <w:rsid w:val="00365E03"/>
    <w:rsid w:val="0036626F"/>
    <w:rsid w:val="00366539"/>
    <w:rsid w:val="003673E8"/>
    <w:rsid w:val="00367623"/>
    <w:rsid w:val="00367822"/>
    <w:rsid w:val="00367972"/>
    <w:rsid w:val="003679FB"/>
    <w:rsid w:val="0037047F"/>
    <w:rsid w:val="00370DDF"/>
    <w:rsid w:val="003710CF"/>
    <w:rsid w:val="00371A65"/>
    <w:rsid w:val="0037232B"/>
    <w:rsid w:val="00372561"/>
    <w:rsid w:val="0037298B"/>
    <w:rsid w:val="0037358A"/>
    <w:rsid w:val="00373F3A"/>
    <w:rsid w:val="0037425C"/>
    <w:rsid w:val="00374338"/>
    <w:rsid w:val="003750F6"/>
    <w:rsid w:val="00375379"/>
    <w:rsid w:val="003760FC"/>
    <w:rsid w:val="00376452"/>
    <w:rsid w:val="0037654D"/>
    <w:rsid w:val="003770D6"/>
    <w:rsid w:val="003806ED"/>
    <w:rsid w:val="00380C05"/>
    <w:rsid w:val="003812D0"/>
    <w:rsid w:val="003819E8"/>
    <w:rsid w:val="00382565"/>
    <w:rsid w:val="003825FF"/>
    <w:rsid w:val="00383090"/>
    <w:rsid w:val="003833E5"/>
    <w:rsid w:val="00383502"/>
    <w:rsid w:val="0038365C"/>
    <w:rsid w:val="0038369B"/>
    <w:rsid w:val="003838AD"/>
    <w:rsid w:val="00383B78"/>
    <w:rsid w:val="00384553"/>
    <w:rsid w:val="0038473A"/>
    <w:rsid w:val="0038473F"/>
    <w:rsid w:val="00384B39"/>
    <w:rsid w:val="00384D1F"/>
    <w:rsid w:val="00385A9D"/>
    <w:rsid w:val="00385CDF"/>
    <w:rsid w:val="00385EE8"/>
    <w:rsid w:val="00386183"/>
    <w:rsid w:val="00386AE7"/>
    <w:rsid w:val="00386B97"/>
    <w:rsid w:val="003873E5"/>
    <w:rsid w:val="0038744C"/>
    <w:rsid w:val="003879DA"/>
    <w:rsid w:val="00387FE5"/>
    <w:rsid w:val="003902B1"/>
    <w:rsid w:val="00390A70"/>
    <w:rsid w:val="0039179C"/>
    <w:rsid w:val="003918C2"/>
    <w:rsid w:val="00392273"/>
    <w:rsid w:val="00392290"/>
    <w:rsid w:val="00392BC4"/>
    <w:rsid w:val="003937AD"/>
    <w:rsid w:val="0039466E"/>
    <w:rsid w:val="0039483A"/>
    <w:rsid w:val="0039572F"/>
    <w:rsid w:val="00395EF5"/>
    <w:rsid w:val="003964A7"/>
    <w:rsid w:val="0039655C"/>
    <w:rsid w:val="00396896"/>
    <w:rsid w:val="00396FD0"/>
    <w:rsid w:val="0039760F"/>
    <w:rsid w:val="003A03EE"/>
    <w:rsid w:val="003A09C7"/>
    <w:rsid w:val="003A0E1D"/>
    <w:rsid w:val="003A1473"/>
    <w:rsid w:val="003A1A7A"/>
    <w:rsid w:val="003A1C28"/>
    <w:rsid w:val="003A2392"/>
    <w:rsid w:val="003A2443"/>
    <w:rsid w:val="003A2714"/>
    <w:rsid w:val="003A2831"/>
    <w:rsid w:val="003A28BC"/>
    <w:rsid w:val="003A2D62"/>
    <w:rsid w:val="003A3CB6"/>
    <w:rsid w:val="003A3ED1"/>
    <w:rsid w:val="003A44DB"/>
    <w:rsid w:val="003A6400"/>
    <w:rsid w:val="003A6839"/>
    <w:rsid w:val="003A6845"/>
    <w:rsid w:val="003A6A82"/>
    <w:rsid w:val="003A712F"/>
    <w:rsid w:val="003A7571"/>
    <w:rsid w:val="003B0206"/>
    <w:rsid w:val="003B069D"/>
    <w:rsid w:val="003B0788"/>
    <w:rsid w:val="003B13F9"/>
    <w:rsid w:val="003B2F88"/>
    <w:rsid w:val="003B2FF6"/>
    <w:rsid w:val="003B3971"/>
    <w:rsid w:val="003B49B0"/>
    <w:rsid w:val="003B55D1"/>
    <w:rsid w:val="003B5B61"/>
    <w:rsid w:val="003B600E"/>
    <w:rsid w:val="003B728B"/>
    <w:rsid w:val="003C1654"/>
    <w:rsid w:val="003C1A12"/>
    <w:rsid w:val="003C24AD"/>
    <w:rsid w:val="003C4465"/>
    <w:rsid w:val="003C4D34"/>
    <w:rsid w:val="003C4EDA"/>
    <w:rsid w:val="003C53B5"/>
    <w:rsid w:val="003C5542"/>
    <w:rsid w:val="003C5C8E"/>
    <w:rsid w:val="003C642D"/>
    <w:rsid w:val="003C696C"/>
    <w:rsid w:val="003C6C63"/>
    <w:rsid w:val="003C70CE"/>
    <w:rsid w:val="003C7119"/>
    <w:rsid w:val="003C7876"/>
    <w:rsid w:val="003C7D19"/>
    <w:rsid w:val="003C7D2F"/>
    <w:rsid w:val="003D0ADA"/>
    <w:rsid w:val="003D0F6F"/>
    <w:rsid w:val="003D139E"/>
    <w:rsid w:val="003D1828"/>
    <w:rsid w:val="003D1DE4"/>
    <w:rsid w:val="003D1E9A"/>
    <w:rsid w:val="003D2422"/>
    <w:rsid w:val="003D2495"/>
    <w:rsid w:val="003D3179"/>
    <w:rsid w:val="003D33F2"/>
    <w:rsid w:val="003D39A1"/>
    <w:rsid w:val="003D3FBF"/>
    <w:rsid w:val="003D4552"/>
    <w:rsid w:val="003D4A30"/>
    <w:rsid w:val="003D53DD"/>
    <w:rsid w:val="003D6041"/>
    <w:rsid w:val="003D6043"/>
    <w:rsid w:val="003D60E7"/>
    <w:rsid w:val="003D625E"/>
    <w:rsid w:val="003D6A75"/>
    <w:rsid w:val="003D6B7C"/>
    <w:rsid w:val="003D7452"/>
    <w:rsid w:val="003D79BB"/>
    <w:rsid w:val="003D7A72"/>
    <w:rsid w:val="003D7C98"/>
    <w:rsid w:val="003D7D9D"/>
    <w:rsid w:val="003D7F39"/>
    <w:rsid w:val="003E003C"/>
    <w:rsid w:val="003E0311"/>
    <w:rsid w:val="003E0543"/>
    <w:rsid w:val="003E112D"/>
    <w:rsid w:val="003E1724"/>
    <w:rsid w:val="003E193C"/>
    <w:rsid w:val="003E1B3A"/>
    <w:rsid w:val="003E1DD1"/>
    <w:rsid w:val="003E2377"/>
    <w:rsid w:val="003E2F4B"/>
    <w:rsid w:val="003E2FC1"/>
    <w:rsid w:val="003E749E"/>
    <w:rsid w:val="003E766F"/>
    <w:rsid w:val="003F032C"/>
    <w:rsid w:val="003F065B"/>
    <w:rsid w:val="003F0ACD"/>
    <w:rsid w:val="003F19E6"/>
    <w:rsid w:val="003F2B86"/>
    <w:rsid w:val="003F2B87"/>
    <w:rsid w:val="003F4156"/>
    <w:rsid w:val="003F452A"/>
    <w:rsid w:val="003F4AB2"/>
    <w:rsid w:val="003F4CA3"/>
    <w:rsid w:val="003F4E28"/>
    <w:rsid w:val="003F4E42"/>
    <w:rsid w:val="003F5ADF"/>
    <w:rsid w:val="003F6607"/>
    <w:rsid w:val="003F660A"/>
    <w:rsid w:val="003F6BC7"/>
    <w:rsid w:val="003F6C5E"/>
    <w:rsid w:val="003F7165"/>
    <w:rsid w:val="003F793F"/>
    <w:rsid w:val="0040026D"/>
    <w:rsid w:val="0040040B"/>
    <w:rsid w:val="00400B29"/>
    <w:rsid w:val="00401F9B"/>
    <w:rsid w:val="00402848"/>
    <w:rsid w:val="004033DB"/>
    <w:rsid w:val="0040399E"/>
    <w:rsid w:val="00403B93"/>
    <w:rsid w:val="00403ECF"/>
    <w:rsid w:val="00404758"/>
    <w:rsid w:val="00404A9A"/>
    <w:rsid w:val="00404C2C"/>
    <w:rsid w:val="0040504B"/>
    <w:rsid w:val="00405810"/>
    <w:rsid w:val="004059F4"/>
    <w:rsid w:val="004063D2"/>
    <w:rsid w:val="00406E3B"/>
    <w:rsid w:val="00407143"/>
    <w:rsid w:val="00407FE5"/>
    <w:rsid w:val="00410066"/>
    <w:rsid w:val="004100E0"/>
    <w:rsid w:val="004101B0"/>
    <w:rsid w:val="00410326"/>
    <w:rsid w:val="00410708"/>
    <w:rsid w:val="00410EC7"/>
    <w:rsid w:val="00411B39"/>
    <w:rsid w:val="00411BCA"/>
    <w:rsid w:val="00411DC1"/>
    <w:rsid w:val="004127A7"/>
    <w:rsid w:val="0041317E"/>
    <w:rsid w:val="00413A1E"/>
    <w:rsid w:val="00413C1D"/>
    <w:rsid w:val="00414029"/>
    <w:rsid w:val="00414476"/>
    <w:rsid w:val="00414C2E"/>
    <w:rsid w:val="004151CF"/>
    <w:rsid w:val="004153CD"/>
    <w:rsid w:val="0041566A"/>
    <w:rsid w:val="00416364"/>
    <w:rsid w:val="0041636C"/>
    <w:rsid w:val="00416400"/>
    <w:rsid w:val="00417414"/>
    <w:rsid w:val="004175AE"/>
    <w:rsid w:val="00417D77"/>
    <w:rsid w:val="00420036"/>
    <w:rsid w:val="004202DD"/>
    <w:rsid w:val="0042047F"/>
    <w:rsid w:val="00420AA6"/>
    <w:rsid w:val="00420B9F"/>
    <w:rsid w:val="00421203"/>
    <w:rsid w:val="00421487"/>
    <w:rsid w:val="004217E7"/>
    <w:rsid w:val="0042192C"/>
    <w:rsid w:val="00422260"/>
    <w:rsid w:val="00423983"/>
    <w:rsid w:val="00423A51"/>
    <w:rsid w:val="00423E3A"/>
    <w:rsid w:val="0042413F"/>
    <w:rsid w:val="004248A6"/>
    <w:rsid w:val="00424BBF"/>
    <w:rsid w:val="004259BC"/>
    <w:rsid w:val="00426388"/>
    <w:rsid w:val="00427676"/>
    <w:rsid w:val="004301D2"/>
    <w:rsid w:val="00430F74"/>
    <w:rsid w:val="004314BC"/>
    <w:rsid w:val="0043158E"/>
    <w:rsid w:val="004319F8"/>
    <w:rsid w:val="00431E55"/>
    <w:rsid w:val="004321F6"/>
    <w:rsid w:val="004326F6"/>
    <w:rsid w:val="00432E54"/>
    <w:rsid w:val="00433044"/>
    <w:rsid w:val="00434088"/>
    <w:rsid w:val="00434286"/>
    <w:rsid w:val="00434D62"/>
    <w:rsid w:val="00434F1B"/>
    <w:rsid w:val="0043567D"/>
    <w:rsid w:val="00435D47"/>
    <w:rsid w:val="004375B9"/>
    <w:rsid w:val="00437867"/>
    <w:rsid w:val="00442031"/>
    <w:rsid w:val="004424B3"/>
    <w:rsid w:val="004427BE"/>
    <w:rsid w:val="004428D0"/>
    <w:rsid w:val="004440BE"/>
    <w:rsid w:val="00444185"/>
    <w:rsid w:val="004443A7"/>
    <w:rsid w:val="0044442C"/>
    <w:rsid w:val="00444436"/>
    <w:rsid w:val="004444AD"/>
    <w:rsid w:val="00444AE2"/>
    <w:rsid w:val="00445941"/>
    <w:rsid w:val="00445FAC"/>
    <w:rsid w:val="004464EB"/>
    <w:rsid w:val="00446741"/>
    <w:rsid w:val="004472AC"/>
    <w:rsid w:val="00447B16"/>
    <w:rsid w:val="00447D26"/>
    <w:rsid w:val="00447DFC"/>
    <w:rsid w:val="00450E68"/>
    <w:rsid w:val="00451415"/>
    <w:rsid w:val="004520AD"/>
    <w:rsid w:val="004528FB"/>
    <w:rsid w:val="00452B88"/>
    <w:rsid w:val="00452E27"/>
    <w:rsid w:val="004536EF"/>
    <w:rsid w:val="00455047"/>
    <w:rsid w:val="004555C1"/>
    <w:rsid w:val="00455906"/>
    <w:rsid w:val="00455CAF"/>
    <w:rsid w:val="00455D45"/>
    <w:rsid w:val="00455F92"/>
    <w:rsid w:val="0045662C"/>
    <w:rsid w:val="00456C6D"/>
    <w:rsid w:val="00456CB6"/>
    <w:rsid w:val="00456DC5"/>
    <w:rsid w:val="00461471"/>
    <w:rsid w:val="004617D2"/>
    <w:rsid w:val="00461854"/>
    <w:rsid w:val="00461BB8"/>
    <w:rsid w:val="004626EA"/>
    <w:rsid w:val="004632BF"/>
    <w:rsid w:val="0046375B"/>
    <w:rsid w:val="00463D38"/>
    <w:rsid w:val="00464595"/>
    <w:rsid w:val="00464B19"/>
    <w:rsid w:val="0046514B"/>
    <w:rsid w:val="004658B5"/>
    <w:rsid w:val="004659CC"/>
    <w:rsid w:val="00465AA9"/>
    <w:rsid w:val="00466886"/>
    <w:rsid w:val="00467D75"/>
    <w:rsid w:val="0047021A"/>
    <w:rsid w:val="00470673"/>
    <w:rsid w:val="00470A54"/>
    <w:rsid w:val="004716E7"/>
    <w:rsid w:val="00471C36"/>
    <w:rsid w:val="00471EA5"/>
    <w:rsid w:val="0047206B"/>
    <w:rsid w:val="004722DD"/>
    <w:rsid w:val="004722E8"/>
    <w:rsid w:val="00472393"/>
    <w:rsid w:val="00472827"/>
    <w:rsid w:val="004729B2"/>
    <w:rsid w:val="00472A79"/>
    <w:rsid w:val="004731A7"/>
    <w:rsid w:val="00473F19"/>
    <w:rsid w:val="00474420"/>
    <w:rsid w:val="00474DAD"/>
    <w:rsid w:val="00475E22"/>
    <w:rsid w:val="00476381"/>
    <w:rsid w:val="0047652D"/>
    <w:rsid w:val="004765C1"/>
    <w:rsid w:val="004767F2"/>
    <w:rsid w:val="00476B14"/>
    <w:rsid w:val="0047754F"/>
    <w:rsid w:val="00477D98"/>
    <w:rsid w:val="004800BE"/>
    <w:rsid w:val="004800D3"/>
    <w:rsid w:val="004803DE"/>
    <w:rsid w:val="0048088E"/>
    <w:rsid w:val="00480F2B"/>
    <w:rsid w:val="00482444"/>
    <w:rsid w:val="00482720"/>
    <w:rsid w:val="00483573"/>
    <w:rsid w:val="004835E7"/>
    <w:rsid w:val="004836E9"/>
    <w:rsid w:val="00483B0B"/>
    <w:rsid w:val="00483CA0"/>
    <w:rsid w:val="00484E7F"/>
    <w:rsid w:val="004857E2"/>
    <w:rsid w:val="00485D3B"/>
    <w:rsid w:val="00486765"/>
    <w:rsid w:val="004867E2"/>
    <w:rsid w:val="004875AF"/>
    <w:rsid w:val="00487D32"/>
    <w:rsid w:val="00490B17"/>
    <w:rsid w:val="00490B80"/>
    <w:rsid w:val="0049126D"/>
    <w:rsid w:val="00491951"/>
    <w:rsid w:val="00491B3A"/>
    <w:rsid w:val="00491B9B"/>
    <w:rsid w:val="00492457"/>
    <w:rsid w:val="004926A1"/>
    <w:rsid w:val="00492773"/>
    <w:rsid w:val="00492BAB"/>
    <w:rsid w:val="00492CFD"/>
    <w:rsid w:val="00493C7C"/>
    <w:rsid w:val="00493CAC"/>
    <w:rsid w:val="00493EEF"/>
    <w:rsid w:val="00493FE4"/>
    <w:rsid w:val="00494164"/>
    <w:rsid w:val="00494207"/>
    <w:rsid w:val="00494B75"/>
    <w:rsid w:val="00494DD5"/>
    <w:rsid w:val="0049603A"/>
    <w:rsid w:val="004962D2"/>
    <w:rsid w:val="0049698A"/>
    <w:rsid w:val="00496DE3"/>
    <w:rsid w:val="004974F2"/>
    <w:rsid w:val="004A0879"/>
    <w:rsid w:val="004A0B0E"/>
    <w:rsid w:val="004A0DA1"/>
    <w:rsid w:val="004A0F70"/>
    <w:rsid w:val="004A13D6"/>
    <w:rsid w:val="004A2499"/>
    <w:rsid w:val="004A25FA"/>
    <w:rsid w:val="004A283C"/>
    <w:rsid w:val="004A2A37"/>
    <w:rsid w:val="004A3D24"/>
    <w:rsid w:val="004A40DD"/>
    <w:rsid w:val="004A497C"/>
    <w:rsid w:val="004A4D0E"/>
    <w:rsid w:val="004A52E9"/>
    <w:rsid w:val="004A5550"/>
    <w:rsid w:val="004A6040"/>
    <w:rsid w:val="004A60CD"/>
    <w:rsid w:val="004A6597"/>
    <w:rsid w:val="004A6E54"/>
    <w:rsid w:val="004A6F27"/>
    <w:rsid w:val="004A7440"/>
    <w:rsid w:val="004A7848"/>
    <w:rsid w:val="004A7E96"/>
    <w:rsid w:val="004B082F"/>
    <w:rsid w:val="004B171B"/>
    <w:rsid w:val="004B1CB4"/>
    <w:rsid w:val="004B2511"/>
    <w:rsid w:val="004B2B79"/>
    <w:rsid w:val="004B2F18"/>
    <w:rsid w:val="004B349A"/>
    <w:rsid w:val="004B39DF"/>
    <w:rsid w:val="004B3C5E"/>
    <w:rsid w:val="004B3DDB"/>
    <w:rsid w:val="004B44FD"/>
    <w:rsid w:val="004B4A49"/>
    <w:rsid w:val="004B56B1"/>
    <w:rsid w:val="004B572B"/>
    <w:rsid w:val="004B5AD7"/>
    <w:rsid w:val="004B5C93"/>
    <w:rsid w:val="004B5CFC"/>
    <w:rsid w:val="004B6050"/>
    <w:rsid w:val="004B67C1"/>
    <w:rsid w:val="004B6DB6"/>
    <w:rsid w:val="004B6F79"/>
    <w:rsid w:val="004B774D"/>
    <w:rsid w:val="004C02CB"/>
    <w:rsid w:val="004C02E9"/>
    <w:rsid w:val="004C05C9"/>
    <w:rsid w:val="004C1590"/>
    <w:rsid w:val="004C23D5"/>
    <w:rsid w:val="004C2731"/>
    <w:rsid w:val="004C2D40"/>
    <w:rsid w:val="004C2F88"/>
    <w:rsid w:val="004C3096"/>
    <w:rsid w:val="004C31F0"/>
    <w:rsid w:val="004C379A"/>
    <w:rsid w:val="004C398A"/>
    <w:rsid w:val="004C3DC6"/>
    <w:rsid w:val="004C4011"/>
    <w:rsid w:val="004C46CD"/>
    <w:rsid w:val="004C4AED"/>
    <w:rsid w:val="004C505F"/>
    <w:rsid w:val="004C58E4"/>
    <w:rsid w:val="004C5921"/>
    <w:rsid w:val="004C6415"/>
    <w:rsid w:val="004C6B79"/>
    <w:rsid w:val="004C7272"/>
    <w:rsid w:val="004D034B"/>
    <w:rsid w:val="004D0C1A"/>
    <w:rsid w:val="004D1927"/>
    <w:rsid w:val="004D2135"/>
    <w:rsid w:val="004D2244"/>
    <w:rsid w:val="004D2C2D"/>
    <w:rsid w:val="004D2E87"/>
    <w:rsid w:val="004D37C9"/>
    <w:rsid w:val="004D3B62"/>
    <w:rsid w:val="004D3D5D"/>
    <w:rsid w:val="004D43D8"/>
    <w:rsid w:val="004D44AD"/>
    <w:rsid w:val="004D49CB"/>
    <w:rsid w:val="004D567C"/>
    <w:rsid w:val="004D6354"/>
    <w:rsid w:val="004D69B5"/>
    <w:rsid w:val="004D706B"/>
    <w:rsid w:val="004D7227"/>
    <w:rsid w:val="004E0548"/>
    <w:rsid w:val="004E0E7F"/>
    <w:rsid w:val="004E0EB8"/>
    <w:rsid w:val="004E18E9"/>
    <w:rsid w:val="004E1C73"/>
    <w:rsid w:val="004E24EE"/>
    <w:rsid w:val="004E2ADC"/>
    <w:rsid w:val="004E2EA9"/>
    <w:rsid w:val="004E35DB"/>
    <w:rsid w:val="004E3EED"/>
    <w:rsid w:val="004E4312"/>
    <w:rsid w:val="004E43B2"/>
    <w:rsid w:val="004E64C2"/>
    <w:rsid w:val="004E6C60"/>
    <w:rsid w:val="004F1499"/>
    <w:rsid w:val="004F1506"/>
    <w:rsid w:val="004F195D"/>
    <w:rsid w:val="004F1D02"/>
    <w:rsid w:val="004F1EC9"/>
    <w:rsid w:val="004F2679"/>
    <w:rsid w:val="004F28E2"/>
    <w:rsid w:val="004F2BD6"/>
    <w:rsid w:val="004F2F21"/>
    <w:rsid w:val="004F3A56"/>
    <w:rsid w:val="004F3DE5"/>
    <w:rsid w:val="004F5FD9"/>
    <w:rsid w:val="004F6239"/>
    <w:rsid w:val="004F6503"/>
    <w:rsid w:val="004F6913"/>
    <w:rsid w:val="004F6D09"/>
    <w:rsid w:val="004F6FAF"/>
    <w:rsid w:val="004F7865"/>
    <w:rsid w:val="004F79F3"/>
    <w:rsid w:val="004F7D2B"/>
    <w:rsid w:val="005002B6"/>
    <w:rsid w:val="00501064"/>
    <w:rsid w:val="005016EE"/>
    <w:rsid w:val="0050174E"/>
    <w:rsid w:val="00501854"/>
    <w:rsid w:val="0050219B"/>
    <w:rsid w:val="005021DE"/>
    <w:rsid w:val="005029DF"/>
    <w:rsid w:val="00503618"/>
    <w:rsid w:val="00503B4B"/>
    <w:rsid w:val="00503B71"/>
    <w:rsid w:val="00503F17"/>
    <w:rsid w:val="0050426B"/>
    <w:rsid w:val="005047A5"/>
    <w:rsid w:val="005048CA"/>
    <w:rsid w:val="00504C25"/>
    <w:rsid w:val="0050541D"/>
    <w:rsid w:val="005055DD"/>
    <w:rsid w:val="00505CCF"/>
    <w:rsid w:val="00505EAF"/>
    <w:rsid w:val="005062B8"/>
    <w:rsid w:val="005062DE"/>
    <w:rsid w:val="00506928"/>
    <w:rsid w:val="00506B7D"/>
    <w:rsid w:val="00506F7E"/>
    <w:rsid w:val="005077EF"/>
    <w:rsid w:val="005100C8"/>
    <w:rsid w:val="0051016F"/>
    <w:rsid w:val="00510A92"/>
    <w:rsid w:val="00510B0D"/>
    <w:rsid w:val="0051143F"/>
    <w:rsid w:val="00511802"/>
    <w:rsid w:val="00511AD5"/>
    <w:rsid w:val="00511D39"/>
    <w:rsid w:val="00511DC7"/>
    <w:rsid w:val="00511F71"/>
    <w:rsid w:val="0051225C"/>
    <w:rsid w:val="00512B45"/>
    <w:rsid w:val="005136CE"/>
    <w:rsid w:val="0051378D"/>
    <w:rsid w:val="00513C76"/>
    <w:rsid w:val="00514059"/>
    <w:rsid w:val="005140D3"/>
    <w:rsid w:val="005142C5"/>
    <w:rsid w:val="00514AAB"/>
    <w:rsid w:val="0051501B"/>
    <w:rsid w:val="00515093"/>
    <w:rsid w:val="005152B5"/>
    <w:rsid w:val="00515650"/>
    <w:rsid w:val="00515D80"/>
    <w:rsid w:val="00515F07"/>
    <w:rsid w:val="00516B8E"/>
    <w:rsid w:val="00517285"/>
    <w:rsid w:val="005176EF"/>
    <w:rsid w:val="0052010F"/>
    <w:rsid w:val="0052065E"/>
    <w:rsid w:val="00520935"/>
    <w:rsid w:val="00520DBA"/>
    <w:rsid w:val="0052123C"/>
    <w:rsid w:val="00521319"/>
    <w:rsid w:val="00521687"/>
    <w:rsid w:val="005217C1"/>
    <w:rsid w:val="00521EFF"/>
    <w:rsid w:val="00522BC8"/>
    <w:rsid w:val="00522F12"/>
    <w:rsid w:val="0052309A"/>
    <w:rsid w:val="00523C28"/>
    <w:rsid w:val="00524B73"/>
    <w:rsid w:val="00524F63"/>
    <w:rsid w:val="005253CF"/>
    <w:rsid w:val="00525DB0"/>
    <w:rsid w:val="005265E2"/>
    <w:rsid w:val="0052706F"/>
    <w:rsid w:val="0052786A"/>
    <w:rsid w:val="00530656"/>
    <w:rsid w:val="00531094"/>
    <w:rsid w:val="00531281"/>
    <w:rsid w:val="00531410"/>
    <w:rsid w:val="0053176B"/>
    <w:rsid w:val="00532004"/>
    <w:rsid w:val="00532D5D"/>
    <w:rsid w:val="0053307D"/>
    <w:rsid w:val="005343FC"/>
    <w:rsid w:val="005351D1"/>
    <w:rsid w:val="005358ED"/>
    <w:rsid w:val="00536655"/>
    <w:rsid w:val="00536881"/>
    <w:rsid w:val="00536C85"/>
    <w:rsid w:val="00536D78"/>
    <w:rsid w:val="00536F42"/>
    <w:rsid w:val="00537182"/>
    <w:rsid w:val="00537553"/>
    <w:rsid w:val="00537576"/>
    <w:rsid w:val="00537D00"/>
    <w:rsid w:val="00537EAD"/>
    <w:rsid w:val="00540625"/>
    <w:rsid w:val="00540CCE"/>
    <w:rsid w:val="00541EDD"/>
    <w:rsid w:val="00542743"/>
    <w:rsid w:val="005429BA"/>
    <w:rsid w:val="00542B32"/>
    <w:rsid w:val="00542C2D"/>
    <w:rsid w:val="00542DAD"/>
    <w:rsid w:val="00542FBB"/>
    <w:rsid w:val="005431C6"/>
    <w:rsid w:val="005432A8"/>
    <w:rsid w:val="005436C5"/>
    <w:rsid w:val="00544F42"/>
    <w:rsid w:val="005451F1"/>
    <w:rsid w:val="0054583D"/>
    <w:rsid w:val="00547875"/>
    <w:rsid w:val="005478BD"/>
    <w:rsid w:val="005479E3"/>
    <w:rsid w:val="0055010E"/>
    <w:rsid w:val="005515D5"/>
    <w:rsid w:val="00551742"/>
    <w:rsid w:val="00551985"/>
    <w:rsid w:val="00551A15"/>
    <w:rsid w:val="00551A33"/>
    <w:rsid w:val="00551BD8"/>
    <w:rsid w:val="00552570"/>
    <w:rsid w:val="0055273E"/>
    <w:rsid w:val="00552A2A"/>
    <w:rsid w:val="00552BD3"/>
    <w:rsid w:val="005532A0"/>
    <w:rsid w:val="005541CC"/>
    <w:rsid w:val="00554230"/>
    <w:rsid w:val="00554752"/>
    <w:rsid w:val="005549FB"/>
    <w:rsid w:val="00555109"/>
    <w:rsid w:val="005553CE"/>
    <w:rsid w:val="00555E9A"/>
    <w:rsid w:val="00555F4D"/>
    <w:rsid w:val="0055686A"/>
    <w:rsid w:val="00556B35"/>
    <w:rsid w:val="0055741A"/>
    <w:rsid w:val="00557B9F"/>
    <w:rsid w:val="0056111D"/>
    <w:rsid w:val="005611B7"/>
    <w:rsid w:val="005618D4"/>
    <w:rsid w:val="00561B61"/>
    <w:rsid w:val="005626CD"/>
    <w:rsid w:val="00562F22"/>
    <w:rsid w:val="00563401"/>
    <w:rsid w:val="005646DD"/>
    <w:rsid w:val="005652FA"/>
    <w:rsid w:val="005657B6"/>
    <w:rsid w:val="005657C4"/>
    <w:rsid w:val="0056583C"/>
    <w:rsid w:val="00565DF0"/>
    <w:rsid w:val="0056696F"/>
    <w:rsid w:val="00567DE1"/>
    <w:rsid w:val="00570B8F"/>
    <w:rsid w:val="00571253"/>
    <w:rsid w:val="005712CE"/>
    <w:rsid w:val="00572269"/>
    <w:rsid w:val="0057230B"/>
    <w:rsid w:val="00572402"/>
    <w:rsid w:val="0057244A"/>
    <w:rsid w:val="00572DC5"/>
    <w:rsid w:val="00572E71"/>
    <w:rsid w:val="00572EF0"/>
    <w:rsid w:val="00572F26"/>
    <w:rsid w:val="00572F61"/>
    <w:rsid w:val="00572F99"/>
    <w:rsid w:val="005730EE"/>
    <w:rsid w:val="00573212"/>
    <w:rsid w:val="00573319"/>
    <w:rsid w:val="00573573"/>
    <w:rsid w:val="00573CE4"/>
    <w:rsid w:val="00573EC7"/>
    <w:rsid w:val="00574872"/>
    <w:rsid w:val="005750C5"/>
    <w:rsid w:val="0057528D"/>
    <w:rsid w:val="005752DE"/>
    <w:rsid w:val="00575D8D"/>
    <w:rsid w:val="0057642A"/>
    <w:rsid w:val="00576692"/>
    <w:rsid w:val="00576779"/>
    <w:rsid w:val="00576794"/>
    <w:rsid w:val="00576972"/>
    <w:rsid w:val="00577CC5"/>
    <w:rsid w:val="00580984"/>
    <w:rsid w:val="0058146F"/>
    <w:rsid w:val="005814BD"/>
    <w:rsid w:val="005815C3"/>
    <w:rsid w:val="00581B93"/>
    <w:rsid w:val="0058246A"/>
    <w:rsid w:val="00583699"/>
    <w:rsid w:val="00583935"/>
    <w:rsid w:val="00583FEC"/>
    <w:rsid w:val="00584EC4"/>
    <w:rsid w:val="005853B9"/>
    <w:rsid w:val="00585495"/>
    <w:rsid w:val="00585CDD"/>
    <w:rsid w:val="0058608D"/>
    <w:rsid w:val="0058610D"/>
    <w:rsid w:val="005866B1"/>
    <w:rsid w:val="00586741"/>
    <w:rsid w:val="00587058"/>
    <w:rsid w:val="0058730E"/>
    <w:rsid w:val="0058767D"/>
    <w:rsid w:val="005905DF"/>
    <w:rsid w:val="00591520"/>
    <w:rsid w:val="00591957"/>
    <w:rsid w:val="00591E67"/>
    <w:rsid w:val="00592212"/>
    <w:rsid w:val="00592CBC"/>
    <w:rsid w:val="00592D96"/>
    <w:rsid w:val="0059448E"/>
    <w:rsid w:val="00595739"/>
    <w:rsid w:val="00595D3C"/>
    <w:rsid w:val="00597627"/>
    <w:rsid w:val="00597BF9"/>
    <w:rsid w:val="005A1423"/>
    <w:rsid w:val="005A1C3C"/>
    <w:rsid w:val="005A2606"/>
    <w:rsid w:val="005A2821"/>
    <w:rsid w:val="005A309A"/>
    <w:rsid w:val="005A3117"/>
    <w:rsid w:val="005A3334"/>
    <w:rsid w:val="005A373D"/>
    <w:rsid w:val="005A42CB"/>
    <w:rsid w:val="005A5443"/>
    <w:rsid w:val="005A61FE"/>
    <w:rsid w:val="005A6493"/>
    <w:rsid w:val="005A7223"/>
    <w:rsid w:val="005A7240"/>
    <w:rsid w:val="005A7A1C"/>
    <w:rsid w:val="005B0404"/>
    <w:rsid w:val="005B07C7"/>
    <w:rsid w:val="005B0986"/>
    <w:rsid w:val="005B09A6"/>
    <w:rsid w:val="005B0B58"/>
    <w:rsid w:val="005B0FCB"/>
    <w:rsid w:val="005B17C5"/>
    <w:rsid w:val="005B1A2B"/>
    <w:rsid w:val="005B2072"/>
    <w:rsid w:val="005B2079"/>
    <w:rsid w:val="005B2401"/>
    <w:rsid w:val="005B2DCA"/>
    <w:rsid w:val="005B363D"/>
    <w:rsid w:val="005B4D48"/>
    <w:rsid w:val="005B4E53"/>
    <w:rsid w:val="005B5857"/>
    <w:rsid w:val="005B5D7F"/>
    <w:rsid w:val="005B6834"/>
    <w:rsid w:val="005B7930"/>
    <w:rsid w:val="005B7A5D"/>
    <w:rsid w:val="005B7B03"/>
    <w:rsid w:val="005B7B83"/>
    <w:rsid w:val="005B7E15"/>
    <w:rsid w:val="005C02C2"/>
    <w:rsid w:val="005C0468"/>
    <w:rsid w:val="005C04C7"/>
    <w:rsid w:val="005C105D"/>
    <w:rsid w:val="005C179E"/>
    <w:rsid w:val="005C1B2B"/>
    <w:rsid w:val="005C1B83"/>
    <w:rsid w:val="005C25FF"/>
    <w:rsid w:val="005C2864"/>
    <w:rsid w:val="005C29AE"/>
    <w:rsid w:val="005C2D55"/>
    <w:rsid w:val="005C3016"/>
    <w:rsid w:val="005C346B"/>
    <w:rsid w:val="005C4A1F"/>
    <w:rsid w:val="005C4B08"/>
    <w:rsid w:val="005C55A5"/>
    <w:rsid w:val="005C57F0"/>
    <w:rsid w:val="005C5DF5"/>
    <w:rsid w:val="005C6AD0"/>
    <w:rsid w:val="005C70AE"/>
    <w:rsid w:val="005C7746"/>
    <w:rsid w:val="005C7F00"/>
    <w:rsid w:val="005C7FF6"/>
    <w:rsid w:val="005D044D"/>
    <w:rsid w:val="005D0ABD"/>
    <w:rsid w:val="005D0C1B"/>
    <w:rsid w:val="005D0E82"/>
    <w:rsid w:val="005D0E98"/>
    <w:rsid w:val="005D18AD"/>
    <w:rsid w:val="005D191F"/>
    <w:rsid w:val="005D26B4"/>
    <w:rsid w:val="005D2DBF"/>
    <w:rsid w:val="005D3832"/>
    <w:rsid w:val="005D39A8"/>
    <w:rsid w:val="005D39C3"/>
    <w:rsid w:val="005D3DA5"/>
    <w:rsid w:val="005D4130"/>
    <w:rsid w:val="005D42F6"/>
    <w:rsid w:val="005D46D5"/>
    <w:rsid w:val="005D4C29"/>
    <w:rsid w:val="005D5700"/>
    <w:rsid w:val="005D64DF"/>
    <w:rsid w:val="005E0BBC"/>
    <w:rsid w:val="005E109B"/>
    <w:rsid w:val="005E1DC3"/>
    <w:rsid w:val="005E28A1"/>
    <w:rsid w:val="005E292F"/>
    <w:rsid w:val="005E45C0"/>
    <w:rsid w:val="005E4743"/>
    <w:rsid w:val="005E594B"/>
    <w:rsid w:val="005E5A03"/>
    <w:rsid w:val="005E66F1"/>
    <w:rsid w:val="005E6CBC"/>
    <w:rsid w:val="005E70FB"/>
    <w:rsid w:val="005E72FF"/>
    <w:rsid w:val="005E73C0"/>
    <w:rsid w:val="005F0FFD"/>
    <w:rsid w:val="005F22EE"/>
    <w:rsid w:val="005F2706"/>
    <w:rsid w:val="005F2926"/>
    <w:rsid w:val="005F341A"/>
    <w:rsid w:val="005F3433"/>
    <w:rsid w:val="005F38D5"/>
    <w:rsid w:val="005F5DF1"/>
    <w:rsid w:val="005F6A8F"/>
    <w:rsid w:val="005F6BB7"/>
    <w:rsid w:val="005F6CAC"/>
    <w:rsid w:val="005F7588"/>
    <w:rsid w:val="005F7722"/>
    <w:rsid w:val="00600087"/>
    <w:rsid w:val="00600332"/>
    <w:rsid w:val="0060165C"/>
    <w:rsid w:val="00601C57"/>
    <w:rsid w:val="00602D3A"/>
    <w:rsid w:val="00602EA4"/>
    <w:rsid w:val="00603934"/>
    <w:rsid w:val="00603DB9"/>
    <w:rsid w:val="00603E95"/>
    <w:rsid w:val="00604389"/>
    <w:rsid w:val="006049C8"/>
    <w:rsid w:val="0060648F"/>
    <w:rsid w:val="00606A02"/>
    <w:rsid w:val="00606AF6"/>
    <w:rsid w:val="00606EF0"/>
    <w:rsid w:val="00606FBA"/>
    <w:rsid w:val="006070C7"/>
    <w:rsid w:val="00607669"/>
    <w:rsid w:val="006076F4"/>
    <w:rsid w:val="00607929"/>
    <w:rsid w:val="00607AFD"/>
    <w:rsid w:val="00607B1F"/>
    <w:rsid w:val="0061021F"/>
    <w:rsid w:val="00610359"/>
    <w:rsid w:val="006105A6"/>
    <w:rsid w:val="006119A2"/>
    <w:rsid w:val="00612533"/>
    <w:rsid w:val="00612C91"/>
    <w:rsid w:val="00612E67"/>
    <w:rsid w:val="00612F97"/>
    <w:rsid w:val="0061345D"/>
    <w:rsid w:val="0061348A"/>
    <w:rsid w:val="0061549B"/>
    <w:rsid w:val="00616802"/>
    <w:rsid w:val="00617E12"/>
    <w:rsid w:val="00617E75"/>
    <w:rsid w:val="006206FC"/>
    <w:rsid w:val="00620790"/>
    <w:rsid w:val="00620C04"/>
    <w:rsid w:val="00620C25"/>
    <w:rsid w:val="00621477"/>
    <w:rsid w:val="00621A10"/>
    <w:rsid w:val="00621ADA"/>
    <w:rsid w:val="00622539"/>
    <w:rsid w:val="006226A1"/>
    <w:rsid w:val="00622FAE"/>
    <w:rsid w:val="0062384B"/>
    <w:rsid w:val="00623F7B"/>
    <w:rsid w:val="006246A6"/>
    <w:rsid w:val="00624F07"/>
    <w:rsid w:val="0062532A"/>
    <w:rsid w:val="00625CD8"/>
    <w:rsid w:val="00625F5B"/>
    <w:rsid w:val="006261AE"/>
    <w:rsid w:val="00627379"/>
    <w:rsid w:val="00627B41"/>
    <w:rsid w:val="00627D99"/>
    <w:rsid w:val="00630A94"/>
    <w:rsid w:val="00630E89"/>
    <w:rsid w:val="0063158F"/>
    <w:rsid w:val="00631D6B"/>
    <w:rsid w:val="00632183"/>
    <w:rsid w:val="00632DE5"/>
    <w:rsid w:val="006330A1"/>
    <w:rsid w:val="0063479F"/>
    <w:rsid w:val="006347F7"/>
    <w:rsid w:val="006349D7"/>
    <w:rsid w:val="00634EAF"/>
    <w:rsid w:val="006353F0"/>
    <w:rsid w:val="006357B5"/>
    <w:rsid w:val="006358EB"/>
    <w:rsid w:val="00635E90"/>
    <w:rsid w:val="006364A1"/>
    <w:rsid w:val="0063678E"/>
    <w:rsid w:val="0063792E"/>
    <w:rsid w:val="00637B2A"/>
    <w:rsid w:val="00637BFD"/>
    <w:rsid w:val="006403D0"/>
    <w:rsid w:val="00641180"/>
    <w:rsid w:val="006411DF"/>
    <w:rsid w:val="00641776"/>
    <w:rsid w:val="00641C4E"/>
    <w:rsid w:val="00641FB3"/>
    <w:rsid w:val="00643898"/>
    <w:rsid w:val="00643BA3"/>
    <w:rsid w:val="00643FB4"/>
    <w:rsid w:val="0064434C"/>
    <w:rsid w:val="00644C04"/>
    <w:rsid w:val="00645089"/>
    <w:rsid w:val="0064553B"/>
    <w:rsid w:val="00646589"/>
    <w:rsid w:val="00646761"/>
    <w:rsid w:val="00646F25"/>
    <w:rsid w:val="006471CC"/>
    <w:rsid w:val="0064757A"/>
    <w:rsid w:val="00647A29"/>
    <w:rsid w:val="0065079F"/>
    <w:rsid w:val="006507B7"/>
    <w:rsid w:val="0065095F"/>
    <w:rsid w:val="00650CE6"/>
    <w:rsid w:val="0065102F"/>
    <w:rsid w:val="00651829"/>
    <w:rsid w:val="00652495"/>
    <w:rsid w:val="006524EF"/>
    <w:rsid w:val="006525EB"/>
    <w:rsid w:val="00652A28"/>
    <w:rsid w:val="0065379F"/>
    <w:rsid w:val="0065380F"/>
    <w:rsid w:val="00653BCE"/>
    <w:rsid w:val="00653C8D"/>
    <w:rsid w:val="00653F65"/>
    <w:rsid w:val="00654032"/>
    <w:rsid w:val="006552A4"/>
    <w:rsid w:val="00655B4D"/>
    <w:rsid w:val="00656188"/>
    <w:rsid w:val="006565D1"/>
    <w:rsid w:val="00656B40"/>
    <w:rsid w:val="00657085"/>
    <w:rsid w:val="0065715A"/>
    <w:rsid w:val="006574CF"/>
    <w:rsid w:val="00657B9F"/>
    <w:rsid w:val="00657DF0"/>
    <w:rsid w:val="006610F1"/>
    <w:rsid w:val="00661C6B"/>
    <w:rsid w:val="00662178"/>
    <w:rsid w:val="0066229C"/>
    <w:rsid w:val="00663E8F"/>
    <w:rsid w:val="006642F3"/>
    <w:rsid w:val="00664550"/>
    <w:rsid w:val="00664649"/>
    <w:rsid w:val="00664994"/>
    <w:rsid w:val="00665980"/>
    <w:rsid w:val="00665CE8"/>
    <w:rsid w:val="006671E7"/>
    <w:rsid w:val="00667357"/>
    <w:rsid w:val="00667C7A"/>
    <w:rsid w:val="00670A42"/>
    <w:rsid w:val="00671004"/>
    <w:rsid w:val="006722ED"/>
    <w:rsid w:val="00672646"/>
    <w:rsid w:val="00672A4B"/>
    <w:rsid w:val="00672B00"/>
    <w:rsid w:val="00673B18"/>
    <w:rsid w:val="00673D6B"/>
    <w:rsid w:val="00673D85"/>
    <w:rsid w:val="00674E25"/>
    <w:rsid w:val="00674E42"/>
    <w:rsid w:val="00675ABE"/>
    <w:rsid w:val="0067677D"/>
    <w:rsid w:val="006774B0"/>
    <w:rsid w:val="006808DE"/>
    <w:rsid w:val="00680995"/>
    <w:rsid w:val="00680E0A"/>
    <w:rsid w:val="00680EA3"/>
    <w:rsid w:val="00680EAC"/>
    <w:rsid w:val="006811B3"/>
    <w:rsid w:val="006813F8"/>
    <w:rsid w:val="00682112"/>
    <w:rsid w:val="00682ADA"/>
    <w:rsid w:val="00682B47"/>
    <w:rsid w:val="00682BA6"/>
    <w:rsid w:val="006836FA"/>
    <w:rsid w:val="00683783"/>
    <w:rsid w:val="00683B0C"/>
    <w:rsid w:val="0068461F"/>
    <w:rsid w:val="006848C9"/>
    <w:rsid w:val="00684AA7"/>
    <w:rsid w:val="00684E03"/>
    <w:rsid w:val="0068572F"/>
    <w:rsid w:val="00685974"/>
    <w:rsid w:val="00685C4E"/>
    <w:rsid w:val="00686384"/>
    <w:rsid w:val="00686508"/>
    <w:rsid w:val="00686957"/>
    <w:rsid w:val="0068703C"/>
    <w:rsid w:val="006872BA"/>
    <w:rsid w:val="00690551"/>
    <w:rsid w:val="00690795"/>
    <w:rsid w:val="00690C68"/>
    <w:rsid w:val="00690E41"/>
    <w:rsid w:val="00691648"/>
    <w:rsid w:val="006917D7"/>
    <w:rsid w:val="00691B79"/>
    <w:rsid w:val="006920C6"/>
    <w:rsid w:val="00692EA0"/>
    <w:rsid w:val="00693AFF"/>
    <w:rsid w:val="0069434C"/>
    <w:rsid w:val="00694F44"/>
    <w:rsid w:val="00695509"/>
    <w:rsid w:val="006957DF"/>
    <w:rsid w:val="00696ED6"/>
    <w:rsid w:val="00696F51"/>
    <w:rsid w:val="006979A5"/>
    <w:rsid w:val="006A0E3E"/>
    <w:rsid w:val="006A100A"/>
    <w:rsid w:val="006A1C33"/>
    <w:rsid w:val="006A2572"/>
    <w:rsid w:val="006A2742"/>
    <w:rsid w:val="006A2894"/>
    <w:rsid w:val="006A30B6"/>
    <w:rsid w:val="006A4081"/>
    <w:rsid w:val="006A48E9"/>
    <w:rsid w:val="006A4D19"/>
    <w:rsid w:val="006A51F7"/>
    <w:rsid w:val="006A5D2A"/>
    <w:rsid w:val="006A5DB4"/>
    <w:rsid w:val="006A67EA"/>
    <w:rsid w:val="006A6B99"/>
    <w:rsid w:val="006A7316"/>
    <w:rsid w:val="006A75A1"/>
    <w:rsid w:val="006A7A48"/>
    <w:rsid w:val="006A7BB2"/>
    <w:rsid w:val="006A7E5F"/>
    <w:rsid w:val="006B01BE"/>
    <w:rsid w:val="006B14AF"/>
    <w:rsid w:val="006B16F3"/>
    <w:rsid w:val="006B171B"/>
    <w:rsid w:val="006B1845"/>
    <w:rsid w:val="006B22FE"/>
    <w:rsid w:val="006B2481"/>
    <w:rsid w:val="006B251C"/>
    <w:rsid w:val="006B261B"/>
    <w:rsid w:val="006B27F0"/>
    <w:rsid w:val="006B2C90"/>
    <w:rsid w:val="006B35E6"/>
    <w:rsid w:val="006B4190"/>
    <w:rsid w:val="006B465A"/>
    <w:rsid w:val="006B4A24"/>
    <w:rsid w:val="006B5B80"/>
    <w:rsid w:val="006B5D6E"/>
    <w:rsid w:val="006B65F0"/>
    <w:rsid w:val="006B6CE7"/>
    <w:rsid w:val="006B6DD0"/>
    <w:rsid w:val="006B7454"/>
    <w:rsid w:val="006C0399"/>
    <w:rsid w:val="006C052F"/>
    <w:rsid w:val="006C1EF5"/>
    <w:rsid w:val="006C26E9"/>
    <w:rsid w:val="006C2A8E"/>
    <w:rsid w:val="006C3255"/>
    <w:rsid w:val="006C3257"/>
    <w:rsid w:val="006C3F26"/>
    <w:rsid w:val="006C4BC0"/>
    <w:rsid w:val="006C580E"/>
    <w:rsid w:val="006C5B5A"/>
    <w:rsid w:val="006C5C70"/>
    <w:rsid w:val="006C5CD9"/>
    <w:rsid w:val="006C6B2A"/>
    <w:rsid w:val="006C739C"/>
    <w:rsid w:val="006D044A"/>
    <w:rsid w:val="006D04C4"/>
    <w:rsid w:val="006D0697"/>
    <w:rsid w:val="006D0D17"/>
    <w:rsid w:val="006D11E3"/>
    <w:rsid w:val="006D22F3"/>
    <w:rsid w:val="006D2AA4"/>
    <w:rsid w:val="006D31D3"/>
    <w:rsid w:val="006D36A0"/>
    <w:rsid w:val="006D385E"/>
    <w:rsid w:val="006D3B81"/>
    <w:rsid w:val="006D3C7D"/>
    <w:rsid w:val="006D460E"/>
    <w:rsid w:val="006D4659"/>
    <w:rsid w:val="006D47E1"/>
    <w:rsid w:val="006D59F5"/>
    <w:rsid w:val="006D5D28"/>
    <w:rsid w:val="006D5D5F"/>
    <w:rsid w:val="006D5E9A"/>
    <w:rsid w:val="006D62AB"/>
    <w:rsid w:val="006D63DC"/>
    <w:rsid w:val="006D65F1"/>
    <w:rsid w:val="006D68A0"/>
    <w:rsid w:val="006D68FB"/>
    <w:rsid w:val="006D6F09"/>
    <w:rsid w:val="006D7E6F"/>
    <w:rsid w:val="006E09E8"/>
    <w:rsid w:val="006E0CE2"/>
    <w:rsid w:val="006E0DD2"/>
    <w:rsid w:val="006E1873"/>
    <w:rsid w:val="006E27ED"/>
    <w:rsid w:val="006E2868"/>
    <w:rsid w:val="006E3572"/>
    <w:rsid w:val="006E3F7B"/>
    <w:rsid w:val="006E3FF3"/>
    <w:rsid w:val="006E4C58"/>
    <w:rsid w:val="006E5280"/>
    <w:rsid w:val="006E55F6"/>
    <w:rsid w:val="006E5A20"/>
    <w:rsid w:val="006E5BB1"/>
    <w:rsid w:val="006E676B"/>
    <w:rsid w:val="006E6899"/>
    <w:rsid w:val="006E7317"/>
    <w:rsid w:val="006F0AF1"/>
    <w:rsid w:val="006F0F45"/>
    <w:rsid w:val="006F306C"/>
    <w:rsid w:val="006F30C7"/>
    <w:rsid w:val="006F37E7"/>
    <w:rsid w:val="006F3ACF"/>
    <w:rsid w:val="006F5AC3"/>
    <w:rsid w:val="006F63A5"/>
    <w:rsid w:val="006F66CC"/>
    <w:rsid w:val="006F670C"/>
    <w:rsid w:val="006F6F8F"/>
    <w:rsid w:val="007002B9"/>
    <w:rsid w:val="007006AE"/>
    <w:rsid w:val="007010C3"/>
    <w:rsid w:val="0070124F"/>
    <w:rsid w:val="0070142B"/>
    <w:rsid w:val="007017BA"/>
    <w:rsid w:val="00701C82"/>
    <w:rsid w:val="0070276E"/>
    <w:rsid w:val="00702F8F"/>
    <w:rsid w:val="007037B0"/>
    <w:rsid w:val="00703BD5"/>
    <w:rsid w:val="0070428C"/>
    <w:rsid w:val="007045DD"/>
    <w:rsid w:val="00704B90"/>
    <w:rsid w:val="007052CF"/>
    <w:rsid w:val="00705EA7"/>
    <w:rsid w:val="00706675"/>
    <w:rsid w:val="007079FC"/>
    <w:rsid w:val="00707B9F"/>
    <w:rsid w:val="007108C2"/>
    <w:rsid w:val="007114DC"/>
    <w:rsid w:val="00711A36"/>
    <w:rsid w:val="00712527"/>
    <w:rsid w:val="0071384B"/>
    <w:rsid w:val="00714C26"/>
    <w:rsid w:val="0071529C"/>
    <w:rsid w:val="00715517"/>
    <w:rsid w:val="00716CBE"/>
    <w:rsid w:val="007170DA"/>
    <w:rsid w:val="007172AD"/>
    <w:rsid w:val="00717906"/>
    <w:rsid w:val="00717A90"/>
    <w:rsid w:val="0072053E"/>
    <w:rsid w:val="00720801"/>
    <w:rsid w:val="00721B25"/>
    <w:rsid w:val="007222B2"/>
    <w:rsid w:val="00722B1B"/>
    <w:rsid w:val="00722FAC"/>
    <w:rsid w:val="00723727"/>
    <w:rsid w:val="00723792"/>
    <w:rsid w:val="00723C84"/>
    <w:rsid w:val="007240C5"/>
    <w:rsid w:val="0072416F"/>
    <w:rsid w:val="007248EC"/>
    <w:rsid w:val="00724C50"/>
    <w:rsid w:val="00726203"/>
    <w:rsid w:val="00727183"/>
    <w:rsid w:val="00727C94"/>
    <w:rsid w:val="00730F8E"/>
    <w:rsid w:val="00731284"/>
    <w:rsid w:val="0073171F"/>
    <w:rsid w:val="00731B0A"/>
    <w:rsid w:val="00731CDB"/>
    <w:rsid w:val="00731EAE"/>
    <w:rsid w:val="00732096"/>
    <w:rsid w:val="007324B3"/>
    <w:rsid w:val="00733073"/>
    <w:rsid w:val="00733D97"/>
    <w:rsid w:val="0073421F"/>
    <w:rsid w:val="00735033"/>
    <w:rsid w:val="00735328"/>
    <w:rsid w:val="00735587"/>
    <w:rsid w:val="00735A18"/>
    <w:rsid w:val="00736684"/>
    <w:rsid w:val="0073685B"/>
    <w:rsid w:val="00736F05"/>
    <w:rsid w:val="00737B75"/>
    <w:rsid w:val="00740821"/>
    <w:rsid w:val="00740DEE"/>
    <w:rsid w:val="007415F4"/>
    <w:rsid w:val="00741905"/>
    <w:rsid w:val="007419D3"/>
    <w:rsid w:val="0074201C"/>
    <w:rsid w:val="00742210"/>
    <w:rsid w:val="007423E1"/>
    <w:rsid w:val="0074294C"/>
    <w:rsid w:val="00742A03"/>
    <w:rsid w:val="007440AF"/>
    <w:rsid w:val="007446F4"/>
    <w:rsid w:val="007449BF"/>
    <w:rsid w:val="00744CA9"/>
    <w:rsid w:val="0074546E"/>
    <w:rsid w:val="00745AE1"/>
    <w:rsid w:val="00745C46"/>
    <w:rsid w:val="00746615"/>
    <w:rsid w:val="00746686"/>
    <w:rsid w:val="00746971"/>
    <w:rsid w:val="00746BC0"/>
    <w:rsid w:val="00746D3F"/>
    <w:rsid w:val="00747AC1"/>
    <w:rsid w:val="00747B25"/>
    <w:rsid w:val="00750338"/>
    <w:rsid w:val="007506EB"/>
    <w:rsid w:val="007510B4"/>
    <w:rsid w:val="007517A6"/>
    <w:rsid w:val="007520CE"/>
    <w:rsid w:val="00752142"/>
    <w:rsid w:val="007523F9"/>
    <w:rsid w:val="00753421"/>
    <w:rsid w:val="0075357E"/>
    <w:rsid w:val="00753F59"/>
    <w:rsid w:val="00754781"/>
    <w:rsid w:val="00754CA2"/>
    <w:rsid w:val="007554D0"/>
    <w:rsid w:val="00755E48"/>
    <w:rsid w:val="00756171"/>
    <w:rsid w:val="007568B3"/>
    <w:rsid w:val="00756B4B"/>
    <w:rsid w:val="007573E8"/>
    <w:rsid w:val="00757BD0"/>
    <w:rsid w:val="00760503"/>
    <w:rsid w:val="00760C4E"/>
    <w:rsid w:val="00760D9E"/>
    <w:rsid w:val="00760F9E"/>
    <w:rsid w:val="007617D3"/>
    <w:rsid w:val="00761D2B"/>
    <w:rsid w:val="0076226D"/>
    <w:rsid w:val="007627BE"/>
    <w:rsid w:val="00762B1A"/>
    <w:rsid w:val="00763406"/>
    <w:rsid w:val="00763ED5"/>
    <w:rsid w:val="007641C1"/>
    <w:rsid w:val="00764CA0"/>
    <w:rsid w:val="00764CEF"/>
    <w:rsid w:val="00764F03"/>
    <w:rsid w:val="00765466"/>
    <w:rsid w:val="00765B1A"/>
    <w:rsid w:val="00765E77"/>
    <w:rsid w:val="00765F0A"/>
    <w:rsid w:val="00766BE7"/>
    <w:rsid w:val="00766C89"/>
    <w:rsid w:val="00767AE0"/>
    <w:rsid w:val="007705E1"/>
    <w:rsid w:val="0077061F"/>
    <w:rsid w:val="00770A7F"/>
    <w:rsid w:val="00770C6E"/>
    <w:rsid w:val="0077112F"/>
    <w:rsid w:val="00771B8B"/>
    <w:rsid w:val="007727D2"/>
    <w:rsid w:val="00773CDA"/>
    <w:rsid w:val="0077415F"/>
    <w:rsid w:val="00774609"/>
    <w:rsid w:val="00774755"/>
    <w:rsid w:val="0077477D"/>
    <w:rsid w:val="00774FA8"/>
    <w:rsid w:val="0077564E"/>
    <w:rsid w:val="00775B58"/>
    <w:rsid w:val="00776738"/>
    <w:rsid w:val="00776B0A"/>
    <w:rsid w:val="00776C9F"/>
    <w:rsid w:val="00777316"/>
    <w:rsid w:val="00777335"/>
    <w:rsid w:val="007779BC"/>
    <w:rsid w:val="00777DE5"/>
    <w:rsid w:val="007817C8"/>
    <w:rsid w:val="00782E9D"/>
    <w:rsid w:val="007837F0"/>
    <w:rsid w:val="00784100"/>
    <w:rsid w:val="007842BD"/>
    <w:rsid w:val="007843F2"/>
    <w:rsid w:val="007851D6"/>
    <w:rsid w:val="00785A9F"/>
    <w:rsid w:val="00785D96"/>
    <w:rsid w:val="007863F5"/>
    <w:rsid w:val="00786EFB"/>
    <w:rsid w:val="007873E3"/>
    <w:rsid w:val="00787AB0"/>
    <w:rsid w:val="00787B96"/>
    <w:rsid w:val="00790776"/>
    <w:rsid w:val="00790CCE"/>
    <w:rsid w:val="00791439"/>
    <w:rsid w:val="00791EC2"/>
    <w:rsid w:val="00792405"/>
    <w:rsid w:val="007925DF"/>
    <w:rsid w:val="00792A5B"/>
    <w:rsid w:val="00792E2D"/>
    <w:rsid w:val="00793238"/>
    <w:rsid w:val="0079324A"/>
    <w:rsid w:val="00793331"/>
    <w:rsid w:val="00793671"/>
    <w:rsid w:val="00793B63"/>
    <w:rsid w:val="00794286"/>
    <w:rsid w:val="00794F53"/>
    <w:rsid w:val="007952C7"/>
    <w:rsid w:val="00795B3F"/>
    <w:rsid w:val="00796811"/>
    <w:rsid w:val="00796F14"/>
    <w:rsid w:val="00797E65"/>
    <w:rsid w:val="007A072C"/>
    <w:rsid w:val="007A08AA"/>
    <w:rsid w:val="007A0A12"/>
    <w:rsid w:val="007A131D"/>
    <w:rsid w:val="007A132D"/>
    <w:rsid w:val="007A1345"/>
    <w:rsid w:val="007A23A7"/>
    <w:rsid w:val="007A2DDB"/>
    <w:rsid w:val="007A31FA"/>
    <w:rsid w:val="007A3B6E"/>
    <w:rsid w:val="007A446D"/>
    <w:rsid w:val="007A44B9"/>
    <w:rsid w:val="007A4E40"/>
    <w:rsid w:val="007A631A"/>
    <w:rsid w:val="007A652A"/>
    <w:rsid w:val="007A665E"/>
    <w:rsid w:val="007A66CE"/>
    <w:rsid w:val="007A70BA"/>
    <w:rsid w:val="007A73A7"/>
    <w:rsid w:val="007A780D"/>
    <w:rsid w:val="007A7F1D"/>
    <w:rsid w:val="007B0D68"/>
    <w:rsid w:val="007B1F2E"/>
    <w:rsid w:val="007B1F93"/>
    <w:rsid w:val="007B20AE"/>
    <w:rsid w:val="007B251D"/>
    <w:rsid w:val="007B2D2C"/>
    <w:rsid w:val="007B2DC4"/>
    <w:rsid w:val="007B358D"/>
    <w:rsid w:val="007B3A49"/>
    <w:rsid w:val="007B4795"/>
    <w:rsid w:val="007B4CF0"/>
    <w:rsid w:val="007B4F58"/>
    <w:rsid w:val="007B528D"/>
    <w:rsid w:val="007B63CA"/>
    <w:rsid w:val="007B7160"/>
    <w:rsid w:val="007B77D1"/>
    <w:rsid w:val="007C07C7"/>
    <w:rsid w:val="007C0806"/>
    <w:rsid w:val="007C0B31"/>
    <w:rsid w:val="007C0C20"/>
    <w:rsid w:val="007C0F1E"/>
    <w:rsid w:val="007C143F"/>
    <w:rsid w:val="007C15E6"/>
    <w:rsid w:val="007C18D6"/>
    <w:rsid w:val="007C1CC5"/>
    <w:rsid w:val="007C1CD9"/>
    <w:rsid w:val="007C20DB"/>
    <w:rsid w:val="007C2A53"/>
    <w:rsid w:val="007C32EF"/>
    <w:rsid w:val="007C34B5"/>
    <w:rsid w:val="007C361D"/>
    <w:rsid w:val="007C45D6"/>
    <w:rsid w:val="007C4B84"/>
    <w:rsid w:val="007C57CD"/>
    <w:rsid w:val="007C5E6E"/>
    <w:rsid w:val="007C6ADE"/>
    <w:rsid w:val="007C6D7A"/>
    <w:rsid w:val="007C6FE5"/>
    <w:rsid w:val="007C70FF"/>
    <w:rsid w:val="007C73AA"/>
    <w:rsid w:val="007C7C25"/>
    <w:rsid w:val="007C7C5C"/>
    <w:rsid w:val="007C7F3E"/>
    <w:rsid w:val="007D004F"/>
    <w:rsid w:val="007D0AFE"/>
    <w:rsid w:val="007D0B38"/>
    <w:rsid w:val="007D10E9"/>
    <w:rsid w:val="007D1528"/>
    <w:rsid w:val="007D2458"/>
    <w:rsid w:val="007D261B"/>
    <w:rsid w:val="007D268F"/>
    <w:rsid w:val="007D26E1"/>
    <w:rsid w:val="007D2B84"/>
    <w:rsid w:val="007D3016"/>
    <w:rsid w:val="007D3053"/>
    <w:rsid w:val="007D3BD2"/>
    <w:rsid w:val="007D3EFD"/>
    <w:rsid w:val="007D4ADA"/>
    <w:rsid w:val="007D4BD3"/>
    <w:rsid w:val="007D4BEB"/>
    <w:rsid w:val="007D538A"/>
    <w:rsid w:val="007D5440"/>
    <w:rsid w:val="007D5EF1"/>
    <w:rsid w:val="007D5F05"/>
    <w:rsid w:val="007D65A8"/>
    <w:rsid w:val="007D69EB"/>
    <w:rsid w:val="007D6C2B"/>
    <w:rsid w:val="007D6D8A"/>
    <w:rsid w:val="007D6FB2"/>
    <w:rsid w:val="007D7D01"/>
    <w:rsid w:val="007D7FC8"/>
    <w:rsid w:val="007E0480"/>
    <w:rsid w:val="007E128F"/>
    <w:rsid w:val="007E3ABB"/>
    <w:rsid w:val="007E43D4"/>
    <w:rsid w:val="007E4664"/>
    <w:rsid w:val="007E4818"/>
    <w:rsid w:val="007E4E5C"/>
    <w:rsid w:val="007E605D"/>
    <w:rsid w:val="007E6550"/>
    <w:rsid w:val="007E6795"/>
    <w:rsid w:val="007E783B"/>
    <w:rsid w:val="007F0830"/>
    <w:rsid w:val="007F0CD3"/>
    <w:rsid w:val="007F1017"/>
    <w:rsid w:val="007F1BAA"/>
    <w:rsid w:val="007F3BCB"/>
    <w:rsid w:val="007F46FE"/>
    <w:rsid w:val="007F4A3F"/>
    <w:rsid w:val="007F4A61"/>
    <w:rsid w:val="007F4B82"/>
    <w:rsid w:val="007F4C11"/>
    <w:rsid w:val="007F4E46"/>
    <w:rsid w:val="007F5255"/>
    <w:rsid w:val="007F56CC"/>
    <w:rsid w:val="007F59EA"/>
    <w:rsid w:val="007F5A46"/>
    <w:rsid w:val="007F5F59"/>
    <w:rsid w:val="007F5F8E"/>
    <w:rsid w:val="007F61C2"/>
    <w:rsid w:val="007F642D"/>
    <w:rsid w:val="007F6DA9"/>
    <w:rsid w:val="008007C4"/>
    <w:rsid w:val="00802360"/>
    <w:rsid w:val="00804063"/>
    <w:rsid w:val="00805142"/>
    <w:rsid w:val="008056A3"/>
    <w:rsid w:val="00805FCE"/>
    <w:rsid w:val="00806820"/>
    <w:rsid w:val="00807062"/>
    <w:rsid w:val="00807A8B"/>
    <w:rsid w:val="00807C32"/>
    <w:rsid w:val="008102C4"/>
    <w:rsid w:val="00810D2D"/>
    <w:rsid w:val="00811383"/>
    <w:rsid w:val="00811977"/>
    <w:rsid w:val="00811A75"/>
    <w:rsid w:val="00812149"/>
    <w:rsid w:val="00812CAC"/>
    <w:rsid w:val="00812E55"/>
    <w:rsid w:val="00814191"/>
    <w:rsid w:val="00815038"/>
    <w:rsid w:val="00815277"/>
    <w:rsid w:val="00815E75"/>
    <w:rsid w:val="00816361"/>
    <w:rsid w:val="008166A3"/>
    <w:rsid w:val="008166EF"/>
    <w:rsid w:val="008169ED"/>
    <w:rsid w:val="00816FEF"/>
    <w:rsid w:val="008202CD"/>
    <w:rsid w:val="00820572"/>
    <w:rsid w:val="00820A8C"/>
    <w:rsid w:val="008215FB"/>
    <w:rsid w:val="00822483"/>
    <w:rsid w:val="00822DC8"/>
    <w:rsid w:val="00823174"/>
    <w:rsid w:val="008233BA"/>
    <w:rsid w:val="00823687"/>
    <w:rsid w:val="0082382B"/>
    <w:rsid w:val="008244E6"/>
    <w:rsid w:val="008247B3"/>
    <w:rsid w:val="00825557"/>
    <w:rsid w:val="0082571F"/>
    <w:rsid w:val="00825751"/>
    <w:rsid w:val="008264EB"/>
    <w:rsid w:val="008301BF"/>
    <w:rsid w:val="00830519"/>
    <w:rsid w:val="008308BE"/>
    <w:rsid w:val="008314CF"/>
    <w:rsid w:val="00831F44"/>
    <w:rsid w:val="0083251B"/>
    <w:rsid w:val="00832C71"/>
    <w:rsid w:val="00833B05"/>
    <w:rsid w:val="008340FD"/>
    <w:rsid w:val="00834692"/>
    <w:rsid w:val="008362B4"/>
    <w:rsid w:val="0083694B"/>
    <w:rsid w:val="008369C4"/>
    <w:rsid w:val="008375E5"/>
    <w:rsid w:val="00840CA2"/>
    <w:rsid w:val="00841518"/>
    <w:rsid w:val="008419AB"/>
    <w:rsid w:val="00841C7C"/>
    <w:rsid w:val="00842F59"/>
    <w:rsid w:val="008433E4"/>
    <w:rsid w:val="008434C3"/>
    <w:rsid w:val="0084360C"/>
    <w:rsid w:val="0084374F"/>
    <w:rsid w:val="00843D7D"/>
    <w:rsid w:val="00844A22"/>
    <w:rsid w:val="00845EEA"/>
    <w:rsid w:val="00846004"/>
    <w:rsid w:val="008465F5"/>
    <w:rsid w:val="008466FB"/>
    <w:rsid w:val="00847076"/>
    <w:rsid w:val="00847588"/>
    <w:rsid w:val="00847703"/>
    <w:rsid w:val="00847DF5"/>
    <w:rsid w:val="008504E2"/>
    <w:rsid w:val="0085170F"/>
    <w:rsid w:val="00851860"/>
    <w:rsid w:val="00852CA9"/>
    <w:rsid w:val="0085309D"/>
    <w:rsid w:val="0085469C"/>
    <w:rsid w:val="00854BE6"/>
    <w:rsid w:val="00854ED9"/>
    <w:rsid w:val="00854EFF"/>
    <w:rsid w:val="008553D6"/>
    <w:rsid w:val="00855B01"/>
    <w:rsid w:val="0085613D"/>
    <w:rsid w:val="00856897"/>
    <w:rsid w:val="00856E9A"/>
    <w:rsid w:val="008575E3"/>
    <w:rsid w:val="00857BC0"/>
    <w:rsid w:val="0086016F"/>
    <w:rsid w:val="00860642"/>
    <w:rsid w:val="0086075D"/>
    <w:rsid w:val="00860A9F"/>
    <w:rsid w:val="00860EBF"/>
    <w:rsid w:val="00861E2B"/>
    <w:rsid w:val="00861EC7"/>
    <w:rsid w:val="008621F4"/>
    <w:rsid w:val="008621FD"/>
    <w:rsid w:val="00862502"/>
    <w:rsid w:val="00862CC1"/>
    <w:rsid w:val="00862FC5"/>
    <w:rsid w:val="008657DA"/>
    <w:rsid w:val="008659AB"/>
    <w:rsid w:val="008660D4"/>
    <w:rsid w:val="00866323"/>
    <w:rsid w:val="008668CA"/>
    <w:rsid w:val="008669B1"/>
    <w:rsid w:val="00866BB1"/>
    <w:rsid w:val="0086722E"/>
    <w:rsid w:val="00867CB0"/>
    <w:rsid w:val="00870518"/>
    <w:rsid w:val="00870CE5"/>
    <w:rsid w:val="008719AA"/>
    <w:rsid w:val="00871FA9"/>
    <w:rsid w:val="008726A2"/>
    <w:rsid w:val="008728E9"/>
    <w:rsid w:val="008732F7"/>
    <w:rsid w:val="00873499"/>
    <w:rsid w:val="008734A3"/>
    <w:rsid w:val="0087532E"/>
    <w:rsid w:val="008763BB"/>
    <w:rsid w:val="0087724B"/>
    <w:rsid w:val="00880056"/>
    <w:rsid w:val="00880216"/>
    <w:rsid w:val="0088081D"/>
    <w:rsid w:val="00880B98"/>
    <w:rsid w:val="00881CA7"/>
    <w:rsid w:val="00881DB4"/>
    <w:rsid w:val="00882874"/>
    <w:rsid w:val="00882E3C"/>
    <w:rsid w:val="00883787"/>
    <w:rsid w:val="00884EDE"/>
    <w:rsid w:val="008855E4"/>
    <w:rsid w:val="0088572B"/>
    <w:rsid w:val="00885746"/>
    <w:rsid w:val="00886725"/>
    <w:rsid w:val="00886CD2"/>
    <w:rsid w:val="00886DA4"/>
    <w:rsid w:val="008874B0"/>
    <w:rsid w:val="008879C0"/>
    <w:rsid w:val="00890BE7"/>
    <w:rsid w:val="00890E41"/>
    <w:rsid w:val="00891948"/>
    <w:rsid w:val="00891B30"/>
    <w:rsid w:val="00891E6F"/>
    <w:rsid w:val="00891EAA"/>
    <w:rsid w:val="00892030"/>
    <w:rsid w:val="0089235F"/>
    <w:rsid w:val="0089275D"/>
    <w:rsid w:val="00892A36"/>
    <w:rsid w:val="00893239"/>
    <w:rsid w:val="00894489"/>
    <w:rsid w:val="0089467C"/>
    <w:rsid w:val="008949A8"/>
    <w:rsid w:val="00896191"/>
    <w:rsid w:val="0089635D"/>
    <w:rsid w:val="008963A5"/>
    <w:rsid w:val="00896D5D"/>
    <w:rsid w:val="00896ED1"/>
    <w:rsid w:val="0089736A"/>
    <w:rsid w:val="00897F41"/>
    <w:rsid w:val="008A087F"/>
    <w:rsid w:val="008A1250"/>
    <w:rsid w:val="008A2012"/>
    <w:rsid w:val="008A2791"/>
    <w:rsid w:val="008A30CC"/>
    <w:rsid w:val="008A3363"/>
    <w:rsid w:val="008A3371"/>
    <w:rsid w:val="008A359C"/>
    <w:rsid w:val="008A3698"/>
    <w:rsid w:val="008A3C3E"/>
    <w:rsid w:val="008A3C88"/>
    <w:rsid w:val="008A3E9A"/>
    <w:rsid w:val="008A4097"/>
    <w:rsid w:val="008A4267"/>
    <w:rsid w:val="008A4D33"/>
    <w:rsid w:val="008A57A3"/>
    <w:rsid w:val="008A6158"/>
    <w:rsid w:val="008A6C32"/>
    <w:rsid w:val="008A7306"/>
    <w:rsid w:val="008A76A3"/>
    <w:rsid w:val="008A79DE"/>
    <w:rsid w:val="008B0E29"/>
    <w:rsid w:val="008B1757"/>
    <w:rsid w:val="008B1BB0"/>
    <w:rsid w:val="008B223A"/>
    <w:rsid w:val="008B237F"/>
    <w:rsid w:val="008B2A5E"/>
    <w:rsid w:val="008B44C0"/>
    <w:rsid w:val="008B4780"/>
    <w:rsid w:val="008B5354"/>
    <w:rsid w:val="008B5772"/>
    <w:rsid w:val="008B596F"/>
    <w:rsid w:val="008B5D23"/>
    <w:rsid w:val="008B61C8"/>
    <w:rsid w:val="008B61DE"/>
    <w:rsid w:val="008B6A22"/>
    <w:rsid w:val="008B6AC3"/>
    <w:rsid w:val="008B7620"/>
    <w:rsid w:val="008B763B"/>
    <w:rsid w:val="008B7992"/>
    <w:rsid w:val="008B7D7E"/>
    <w:rsid w:val="008C04CD"/>
    <w:rsid w:val="008C0819"/>
    <w:rsid w:val="008C09A8"/>
    <w:rsid w:val="008C3753"/>
    <w:rsid w:val="008C4698"/>
    <w:rsid w:val="008C476E"/>
    <w:rsid w:val="008C5299"/>
    <w:rsid w:val="008C5610"/>
    <w:rsid w:val="008C5739"/>
    <w:rsid w:val="008C6B24"/>
    <w:rsid w:val="008C7759"/>
    <w:rsid w:val="008C77F1"/>
    <w:rsid w:val="008C7ECB"/>
    <w:rsid w:val="008D026B"/>
    <w:rsid w:val="008D03A8"/>
    <w:rsid w:val="008D0610"/>
    <w:rsid w:val="008D0F3F"/>
    <w:rsid w:val="008D141D"/>
    <w:rsid w:val="008D15BB"/>
    <w:rsid w:val="008D227C"/>
    <w:rsid w:val="008D27EE"/>
    <w:rsid w:val="008D2B73"/>
    <w:rsid w:val="008D342A"/>
    <w:rsid w:val="008D3451"/>
    <w:rsid w:val="008D3990"/>
    <w:rsid w:val="008D3B86"/>
    <w:rsid w:val="008D3B8B"/>
    <w:rsid w:val="008D4755"/>
    <w:rsid w:val="008D478B"/>
    <w:rsid w:val="008D4C3D"/>
    <w:rsid w:val="008D4FE8"/>
    <w:rsid w:val="008D7033"/>
    <w:rsid w:val="008D73C1"/>
    <w:rsid w:val="008D743C"/>
    <w:rsid w:val="008D747D"/>
    <w:rsid w:val="008D7BFD"/>
    <w:rsid w:val="008D7D66"/>
    <w:rsid w:val="008E0D3C"/>
    <w:rsid w:val="008E0EC0"/>
    <w:rsid w:val="008E1B9E"/>
    <w:rsid w:val="008E2210"/>
    <w:rsid w:val="008E26C0"/>
    <w:rsid w:val="008E494C"/>
    <w:rsid w:val="008E4C9B"/>
    <w:rsid w:val="008E55AB"/>
    <w:rsid w:val="008F05F6"/>
    <w:rsid w:val="008F120A"/>
    <w:rsid w:val="008F189A"/>
    <w:rsid w:val="008F190F"/>
    <w:rsid w:val="008F1C73"/>
    <w:rsid w:val="008F1E38"/>
    <w:rsid w:val="008F2076"/>
    <w:rsid w:val="008F27E0"/>
    <w:rsid w:val="008F2F5D"/>
    <w:rsid w:val="008F3E82"/>
    <w:rsid w:val="008F42AD"/>
    <w:rsid w:val="008F48EB"/>
    <w:rsid w:val="008F4F0B"/>
    <w:rsid w:val="008F4FEB"/>
    <w:rsid w:val="008F527B"/>
    <w:rsid w:val="008F53DF"/>
    <w:rsid w:val="008F5A2B"/>
    <w:rsid w:val="008F5AEA"/>
    <w:rsid w:val="008F6C1E"/>
    <w:rsid w:val="008F725F"/>
    <w:rsid w:val="008F78FE"/>
    <w:rsid w:val="00901A5F"/>
    <w:rsid w:val="00902B3D"/>
    <w:rsid w:val="00903D05"/>
    <w:rsid w:val="0090405F"/>
    <w:rsid w:val="0090457F"/>
    <w:rsid w:val="009046C4"/>
    <w:rsid w:val="009048C6"/>
    <w:rsid w:val="00904AC9"/>
    <w:rsid w:val="00904C16"/>
    <w:rsid w:val="009050F8"/>
    <w:rsid w:val="009052AF"/>
    <w:rsid w:val="009054A4"/>
    <w:rsid w:val="009062A5"/>
    <w:rsid w:val="009065FD"/>
    <w:rsid w:val="0090704F"/>
    <w:rsid w:val="0091039B"/>
    <w:rsid w:val="0091053D"/>
    <w:rsid w:val="00910BF9"/>
    <w:rsid w:val="00910FA7"/>
    <w:rsid w:val="009110D7"/>
    <w:rsid w:val="00911272"/>
    <w:rsid w:val="00911599"/>
    <w:rsid w:val="009116AC"/>
    <w:rsid w:val="00911A7A"/>
    <w:rsid w:val="00912C46"/>
    <w:rsid w:val="009135D6"/>
    <w:rsid w:val="0091362B"/>
    <w:rsid w:val="009137C8"/>
    <w:rsid w:val="00913F39"/>
    <w:rsid w:val="0091411E"/>
    <w:rsid w:val="00914C77"/>
    <w:rsid w:val="00914CAE"/>
    <w:rsid w:val="009158EC"/>
    <w:rsid w:val="009160D7"/>
    <w:rsid w:val="009163F3"/>
    <w:rsid w:val="00916ABC"/>
    <w:rsid w:val="00916FB7"/>
    <w:rsid w:val="00917F2B"/>
    <w:rsid w:val="00920031"/>
    <w:rsid w:val="009200D9"/>
    <w:rsid w:val="0092148B"/>
    <w:rsid w:val="0092167C"/>
    <w:rsid w:val="009216B3"/>
    <w:rsid w:val="00921ACB"/>
    <w:rsid w:val="00922B0C"/>
    <w:rsid w:val="0092369B"/>
    <w:rsid w:val="00924284"/>
    <w:rsid w:val="0092588D"/>
    <w:rsid w:val="009265FD"/>
    <w:rsid w:val="00926725"/>
    <w:rsid w:val="00926AD4"/>
    <w:rsid w:val="00926DC0"/>
    <w:rsid w:val="00926E76"/>
    <w:rsid w:val="00927767"/>
    <w:rsid w:val="00927FA9"/>
    <w:rsid w:val="009301EB"/>
    <w:rsid w:val="009301EF"/>
    <w:rsid w:val="009312AF"/>
    <w:rsid w:val="009316AB"/>
    <w:rsid w:val="00932C33"/>
    <w:rsid w:val="00932E65"/>
    <w:rsid w:val="009335F5"/>
    <w:rsid w:val="00934829"/>
    <w:rsid w:val="00934988"/>
    <w:rsid w:val="00934B54"/>
    <w:rsid w:val="00935142"/>
    <w:rsid w:val="009351B1"/>
    <w:rsid w:val="00935390"/>
    <w:rsid w:val="00935391"/>
    <w:rsid w:val="009359E7"/>
    <w:rsid w:val="00936474"/>
    <w:rsid w:val="0093702F"/>
    <w:rsid w:val="00937089"/>
    <w:rsid w:val="00941E62"/>
    <w:rsid w:val="00941F25"/>
    <w:rsid w:val="00942C3E"/>
    <w:rsid w:val="0094373E"/>
    <w:rsid w:val="00943874"/>
    <w:rsid w:val="0094454F"/>
    <w:rsid w:val="0094486C"/>
    <w:rsid w:val="00944C19"/>
    <w:rsid w:val="00944D0C"/>
    <w:rsid w:val="00944F8A"/>
    <w:rsid w:val="00945407"/>
    <w:rsid w:val="0094680C"/>
    <w:rsid w:val="00947404"/>
    <w:rsid w:val="00947618"/>
    <w:rsid w:val="009504DC"/>
    <w:rsid w:val="00950654"/>
    <w:rsid w:val="0095107F"/>
    <w:rsid w:val="009510A2"/>
    <w:rsid w:val="00951CCA"/>
    <w:rsid w:val="0095236E"/>
    <w:rsid w:val="0095269C"/>
    <w:rsid w:val="00952963"/>
    <w:rsid w:val="00953257"/>
    <w:rsid w:val="00953407"/>
    <w:rsid w:val="00953C8C"/>
    <w:rsid w:val="0095474C"/>
    <w:rsid w:val="00955590"/>
    <w:rsid w:val="00957295"/>
    <w:rsid w:val="00957399"/>
    <w:rsid w:val="0095757F"/>
    <w:rsid w:val="00961127"/>
    <w:rsid w:val="00962CB9"/>
    <w:rsid w:val="00962F5D"/>
    <w:rsid w:val="00963000"/>
    <w:rsid w:val="00963082"/>
    <w:rsid w:val="0096352A"/>
    <w:rsid w:val="00963741"/>
    <w:rsid w:val="0096395A"/>
    <w:rsid w:val="00964264"/>
    <w:rsid w:val="00964312"/>
    <w:rsid w:val="009647B0"/>
    <w:rsid w:val="0096484F"/>
    <w:rsid w:val="00965B8A"/>
    <w:rsid w:val="00965EFA"/>
    <w:rsid w:val="0096653D"/>
    <w:rsid w:val="0096663B"/>
    <w:rsid w:val="0096697A"/>
    <w:rsid w:val="00966B56"/>
    <w:rsid w:val="009670D2"/>
    <w:rsid w:val="00967564"/>
    <w:rsid w:val="00970198"/>
    <w:rsid w:val="0097071F"/>
    <w:rsid w:val="00970A08"/>
    <w:rsid w:val="00970E24"/>
    <w:rsid w:val="009717AC"/>
    <w:rsid w:val="00971B12"/>
    <w:rsid w:val="00971C1E"/>
    <w:rsid w:val="00972005"/>
    <w:rsid w:val="009720AB"/>
    <w:rsid w:val="009723F2"/>
    <w:rsid w:val="009732CF"/>
    <w:rsid w:val="00973972"/>
    <w:rsid w:val="00973BC5"/>
    <w:rsid w:val="00973CB5"/>
    <w:rsid w:val="009745A5"/>
    <w:rsid w:val="00974735"/>
    <w:rsid w:val="00974DDF"/>
    <w:rsid w:val="009751C1"/>
    <w:rsid w:val="00975379"/>
    <w:rsid w:val="009754F0"/>
    <w:rsid w:val="009756C9"/>
    <w:rsid w:val="009757F6"/>
    <w:rsid w:val="00976397"/>
    <w:rsid w:val="009774EA"/>
    <w:rsid w:val="00977AE9"/>
    <w:rsid w:val="00977CCE"/>
    <w:rsid w:val="00977D96"/>
    <w:rsid w:val="009800C7"/>
    <w:rsid w:val="009800C8"/>
    <w:rsid w:val="009805B0"/>
    <w:rsid w:val="009811F1"/>
    <w:rsid w:val="00981515"/>
    <w:rsid w:val="0098155F"/>
    <w:rsid w:val="00981BC1"/>
    <w:rsid w:val="009825B5"/>
    <w:rsid w:val="00982767"/>
    <w:rsid w:val="00983065"/>
    <w:rsid w:val="0098383D"/>
    <w:rsid w:val="00983CCD"/>
    <w:rsid w:val="00983E57"/>
    <w:rsid w:val="00985623"/>
    <w:rsid w:val="00985BD9"/>
    <w:rsid w:val="00985DE2"/>
    <w:rsid w:val="009861B6"/>
    <w:rsid w:val="0098675D"/>
    <w:rsid w:val="00986D19"/>
    <w:rsid w:val="00987C41"/>
    <w:rsid w:val="00990A9C"/>
    <w:rsid w:val="00991ADD"/>
    <w:rsid w:val="00991B6C"/>
    <w:rsid w:val="00991E39"/>
    <w:rsid w:val="00991FCA"/>
    <w:rsid w:val="009926E0"/>
    <w:rsid w:val="00992A17"/>
    <w:rsid w:val="00992B07"/>
    <w:rsid w:val="0099451E"/>
    <w:rsid w:val="00994EE4"/>
    <w:rsid w:val="0099607D"/>
    <w:rsid w:val="00996B1A"/>
    <w:rsid w:val="009A0541"/>
    <w:rsid w:val="009A27E8"/>
    <w:rsid w:val="009A2DCC"/>
    <w:rsid w:val="009A443B"/>
    <w:rsid w:val="009A4765"/>
    <w:rsid w:val="009A4832"/>
    <w:rsid w:val="009A4E26"/>
    <w:rsid w:val="009A5ABC"/>
    <w:rsid w:val="009A6127"/>
    <w:rsid w:val="009A68A8"/>
    <w:rsid w:val="009A6C39"/>
    <w:rsid w:val="009A73AD"/>
    <w:rsid w:val="009A7920"/>
    <w:rsid w:val="009A7F10"/>
    <w:rsid w:val="009B00B2"/>
    <w:rsid w:val="009B0213"/>
    <w:rsid w:val="009B0A52"/>
    <w:rsid w:val="009B0B26"/>
    <w:rsid w:val="009B10E9"/>
    <w:rsid w:val="009B13B3"/>
    <w:rsid w:val="009B3D2D"/>
    <w:rsid w:val="009B3E26"/>
    <w:rsid w:val="009B4093"/>
    <w:rsid w:val="009B4C64"/>
    <w:rsid w:val="009B51FD"/>
    <w:rsid w:val="009B599D"/>
    <w:rsid w:val="009B66C6"/>
    <w:rsid w:val="009B7488"/>
    <w:rsid w:val="009B77E8"/>
    <w:rsid w:val="009B7F7B"/>
    <w:rsid w:val="009C00CB"/>
    <w:rsid w:val="009C05F0"/>
    <w:rsid w:val="009C10BA"/>
    <w:rsid w:val="009C21DB"/>
    <w:rsid w:val="009C21EA"/>
    <w:rsid w:val="009C2291"/>
    <w:rsid w:val="009C320A"/>
    <w:rsid w:val="009C3706"/>
    <w:rsid w:val="009C3A3A"/>
    <w:rsid w:val="009C462A"/>
    <w:rsid w:val="009C4E01"/>
    <w:rsid w:val="009C51E7"/>
    <w:rsid w:val="009C5549"/>
    <w:rsid w:val="009C5774"/>
    <w:rsid w:val="009C669B"/>
    <w:rsid w:val="009C6905"/>
    <w:rsid w:val="009C6CEA"/>
    <w:rsid w:val="009C7407"/>
    <w:rsid w:val="009C7B85"/>
    <w:rsid w:val="009D00C8"/>
    <w:rsid w:val="009D0139"/>
    <w:rsid w:val="009D0254"/>
    <w:rsid w:val="009D05BB"/>
    <w:rsid w:val="009D14B1"/>
    <w:rsid w:val="009D1A64"/>
    <w:rsid w:val="009D232E"/>
    <w:rsid w:val="009D2E02"/>
    <w:rsid w:val="009D3727"/>
    <w:rsid w:val="009D375C"/>
    <w:rsid w:val="009D39E7"/>
    <w:rsid w:val="009D428C"/>
    <w:rsid w:val="009D48A6"/>
    <w:rsid w:val="009D51FB"/>
    <w:rsid w:val="009D573C"/>
    <w:rsid w:val="009D5B91"/>
    <w:rsid w:val="009D5F8A"/>
    <w:rsid w:val="009D602F"/>
    <w:rsid w:val="009D603E"/>
    <w:rsid w:val="009D792E"/>
    <w:rsid w:val="009D79EF"/>
    <w:rsid w:val="009D7C04"/>
    <w:rsid w:val="009E055B"/>
    <w:rsid w:val="009E074C"/>
    <w:rsid w:val="009E0DFE"/>
    <w:rsid w:val="009E1B6D"/>
    <w:rsid w:val="009E1B97"/>
    <w:rsid w:val="009E2302"/>
    <w:rsid w:val="009E2F7A"/>
    <w:rsid w:val="009E31F6"/>
    <w:rsid w:val="009E31FF"/>
    <w:rsid w:val="009E4753"/>
    <w:rsid w:val="009E490F"/>
    <w:rsid w:val="009E4C07"/>
    <w:rsid w:val="009E5CDA"/>
    <w:rsid w:val="009E5D8A"/>
    <w:rsid w:val="009E5E65"/>
    <w:rsid w:val="009E6D70"/>
    <w:rsid w:val="009E7E59"/>
    <w:rsid w:val="009F0897"/>
    <w:rsid w:val="009F0A35"/>
    <w:rsid w:val="009F1DFA"/>
    <w:rsid w:val="009F3173"/>
    <w:rsid w:val="009F3AA1"/>
    <w:rsid w:val="009F5214"/>
    <w:rsid w:val="009F778A"/>
    <w:rsid w:val="00A00590"/>
    <w:rsid w:val="00A01184"/>
    <w:rsid w:val="00A032A5"/>
    <w:rsid w:val="00A037C2"/>
    <w:rsid w:val="00A03ACB"/>
    <w:rsid w:val="00A03D43"/>
    <w:rsid w:val="00A04380"/>
    <w:rsid w:val="00A043C7"/>
    <w:rsid w:val="00A04DEF"/>
    <w:rsid w:val="00A05472"/>
    <w:rsid w:val="00A05984"/>
    <w:rsid w:val="00A05C32"/>
    <w:rsid w:val="00A05F4D"/>
    <w:rsid w:val="00A0653F"/>
    <w:rsid w:val="00A075FD"/>
    <w:rsid w:val="00A07E79"/>
    <w:rsid w:val="00A10820"/>
    <w:rsid w:val="00A10FF3"/>
    <w:rsid w:val="00A11237"/>
    <w:rsid w:val="00A115F1"/>
    <w:rsid w:val="00A11CD0"/>
    <w:rsid w:val="00A131E8"/>
    <w:rsid w:val="00A13948"/>
    <w:rsid w:val="00A13F6B"/>
    <w:rsid w:val="00A14508"/>
    <w:rsid w:val="00A14DFD"/>
    <w:rsid w:val="00A15372"/>
    <w:rsid w:val="00A1555B"/>
    <w:rsid w:val="00A155C5"/>
    <w:rsid w:val="00A15E36"/>
    <w:rsid w:val="00A16AD8"/>
    <w:rsid w:val="00A16ECA"/>
    <w:rsid w:val="00A17949"/>
    <w:rsid w:val="00A17BFB"/>
    <w:rsid w:val="00A17F9D"/>
    <w:rsid w:val="00A21C95"/>
    <w:rsid w:val="00A21CF3"/>
    <w:rsid w:val="00A220D0"/>
    <w:rsid w:val="00A22379"/>
    <w:rsid w:val="00A227F3"/>
    <w:rsid w:val="00A234A0"/>
    <w:rsid w:val="00A23C5D"/>
    <w:rsid w:val="00A23D96"/>
    <w:rsid w:val="00A24813"/>
    <w:rsid w:val="00A24B04"/>
    <w:rsid w:val="00A24DF2"/>
    <w:rsid w:val="00A24ECB"/>
    <w:rsid w:val="00A2582A"/>
    <w:rsid w:val="00A25F2E"/>
    <w:rsid w:val="00A2647B"/>
    <w:rsid w:val="00A26961"/>
    <w:rsid w:val="00A2707E"/>
    <w:rsid w:val="00A27191"/>
    <w:rsid w:val="00A27853"/>
    <w:rsid w:val="00A27AEC"/>
    <w:rsid w:val="00A30D32"/>
    <w:rsid w:val="00A31231"/>
    <w:rsid w:val="00A320DB"/>
    <w:rsid w:val="00A322C4"/>
    <w:rsid w:val="00A32B71"/>
    <w:rsid w:val="00A33166"/>
    <w:rsid w:val="00A342F6"/>
    <w:rsid w:val="00A347F4"/>
    <w:rsid w:val="00A34A11"/>
    <w:rsid w:val="00A35092"/>
    <w:rsid w:val="00A3554B"/>
    <w:rsid w:val="00A35D16"/>
    <w:rsid w:val="00A3619A"/>
    <w:rsid w:val="00A361A7"/>
    <w:rsid w:val="00A36C81"/>
    <w:rsid w:val="00A377D1"/>
    <w:rsid w:val="00A379D1"/>
    <w:rsid w:val="00A37A2E"/>
    <w:rsid w:val="00A37BCD"/>
    <w:rsid w:val="00A41689"/>
    <w:rsid w:val="00A41D12"/>
    <w:rsid w:val="00A42592"/>
    <w:rsid w:val="00A43C59"/>
    <w:rsid w:val="00A4470D"/>
    <w:rsid w:val="00A44E3D"/>
    <w:rsid w:val="00A45AD6"/>
    <w:rsid w:val="00A4713C"/>
    <w:rsid w:val="00A5077E"/>
    <w:rsid w:val="00A508E6"/>
    <w:rsid w:val="00A50ECD"/>
    <w:rsid w:val="00A518F3"/>
    <w:rsid w:val="00A51A22"/>
    <w:rsid w:val="00A52729"/>
    <w:rsid w:val="00A52E60"/>
    <w:rsid w:val="00A52FDE"/>
    <w:rsid w:val="00A534C1"/>
    <w:rsid w:val="00A53675"/>
    <w:rsid w:val="00A53D22"/>
    <w:rsid w:val="00A54240"/>
    <w:rsid w:val="00A545FB"/>
    <w:rsid w:val="00A551D5"/>
    <w:rsid w:val="00A552C4"/>
    <w:rsid w:val="00A55A4F"/>
    <w:rsid w:val="00A55A6A"/>
    <w:rsid w:val="00A55DDA"/>
    <w:rsid w:val="00A56243"/>
    <w:rsid w:val="00A5646E"/>
    <w:rsid w:val="00A564D7"/>
    <w:rsid w:val="00A568F5"/>
    <w:rsid w:val="00A56B6A"/>
    <w:rsid w:val="00A576D5"/>
    <w:rsid w:val="00A578DC"/>
    <w:rsid w:val="00A57D6D"/>
    <w:rsid w:val="00A600F2"/>
    <w:rsid w:val="00A6154D"/>
    <w:rsid w:val="00A61D96"/>
    <w:rsid w:val="00A62265"/>
    <w:rsid w:val="00A62FE4"/>
    <w:rsid w:val="00A6325C"/>
    <w:rsid w:val="00A640E2"/>
    <w:rsid w:val="00A64891"/>
    <w:rsid w:val="00A64AFC"/>
    <w:rsid w:val="00A64D65"/>
    <w:rsid w:val="00A65578"/>
    <w:rsid w:val="00A666A5"/>
    <w:rsid w:val="00A6725B"/>
    <w:rsid w:val="00A67636"/>
    <w:rsid w:val="00A67B12"/>
    <w:rsid w:val="00A70605"/>
    <w:rsid w:val="00A70A86"/>
    <w:rsid w:val="00A71A28"/>
    <w:rsid w:val="00A7257C"/>
    <w:rsid w:val="00A72A6E"/>
    <w:rsid w:val="00A73134"/>
    <w:rsid w:val="00A73C4B"/>
    <w:rsid w:val="00A73EC1"/>
    <w:rsid w:val="00A745AC"/>
    <w:rsid w:val="00A751DB"/>
    <w:rsid w:val="00A75B26"/>
    <w:rsid w:val="00A76001"/>
    <w:rsid w:val="00A7610F"/>
    <w:rsid w:val="00A766DB"/>
    <w:rsid w:val="00A766DC"/>
    <w:rsid w:val="00A777B2"/>
    <w:rsid w:val="00A77FCE"/>
    <w:rsid w:val="00A801C4"/>
    <w:rsid w:val="00A806DB"/>
    <w:rsid w:val="00A80B8A"/>
    <w:rsid w:val="00A82521"/>
    <w:rsid w:val="00A825D4"/>
    <w:rsid w:val="00A828F6"/>
    <w:rsid w:val="00A82AB2"/>
    <w:rsid w:val="00A82B73"/>
    <w:rsid w:val="00A846BB"/>
    <w:rsid w:val="00A847A2"/>
    <w:rsid w:val="00A848BE"/>
    <w:rsid w:val="00A852E7"/>
    <w:rsid w:val="00A854BE"/>
    <w:rsid w:val="00A85C18"/>
    <w:rsid w:val="00A86899"/>
    <w:rsid w:val="00A86E8B"/>
    <w:rsid w:val="00A87164"/>
    <w:rsid w:val="00A900CE"/>
    <w:rsid w:val="00A90C7E"/>
    <w:rsid w:val="00A9166F"/>
    <w:rsid w:val="00A918A1"/>
    <w:rsid w:val="00A923B7"/>
    <w:rsid w:val="00A92826"/>
    <w:rsid w:val="00A92881"/>
    <w:rsid w:val="00A928E8"/>
    <w:rsid w:val="00A92AFA"/>
    <w:rsid w:val="00A93072"/>
    <w:rsid w:val="00A938BD"/>
    <w:rsid w:val="00A93953"/>
    <w:rsid w:val="00A9473F"/>
    <w:rsid w:val="00A94795"/>
    <w:rsid w:val="00A94E15"/>
    <w:rsid w:val="00A9557E"/>
    <w:rsid w:val="00A957CC"/>
    <w:rsid w:val="00A959D8"/>
    <w:rsid w:val="00A95F55"/>
    <w:rsid w:val="00A969F0"/>
    <w:rsid w:val="00A96D4C"/>
    <w:rsid w:val="00A972D2"/>
    <w:rsid w:val="00AA03BC"/>
    <w:rsid w:val="00AA09D3"/>
    <w:rsid w:val="00AA113D"/>
    <w:rsid w:val="00AA139D"/>
    <w:rsid w:val="00AA1475"/>
    <w:rsid w:val="00AA15A7"/>
    <w:rsid w:val="00AA1761"/>
    <w:rsid w:val="00AA1EBE"/>
    <w:rsid w:val="00AA1FE6"/>
    <w:rsid w:val="00AA36E9"/>
    <w:rsid w:val="00AA3808"/>
    <w:rsid w:val="00AA3C00"/>
    <w:rsid w:val="00AA40CA"/>
    <w:rsid w:val="00AA4B51"/>
    <w:rsid w:val="00AA4FFC"/>
    <w:rsid w:val="00AA5577"/>
    <w:rsid w:val="00AA5D9D"/>
    <w:rsid w:val="00AA5FDB"/>
    <w:rsid w:val="00AA6AFD"/>
    <w:rsid w:val="00AA6BD5"/>
    <w:rsid w:val="00AA6BD8"/>
    <w:rsid w:val="00AA6C7D"/>
    <w:rsid w:val="00AA77CE"/>
    <w:rsid w:val="00AA7C96"/>
    <w:rsid w:val="00AA7FD6"/>
    <w:rsid w:val="00AB042A"/>
    <w:rsid w:val="00AB0C49"/>
    <w:rsid w:val="00AB11F2"/>
    <w:rsid w:val="00AB12DB"/>
    <w:rsid w:val="00AB13BD"/>
    <w:rsid w:val="00AB19EF"/>
    <w:rsid w:val="00AB2114"/>
    <w:rsid w:val="00AB2D34"/>
    <w:rsid w:val="00AB3184"/>
    <w:rsid w:val="00AB3430"/>
    <w:rsid w:val="00AB37B9"/>
    <w:rsid w:val="00AB3DFF"/>
    <w:rsid w:val="00AB485A"/>
    <w:rsid w:val="00AB4AD1"/>
    <w:rsid w:val="00AB4D75"/>
    <w:rsid w:val="00AB5197"/>
    <w:rsid w:val="00AB51ED"/>
    <w:rsid w:val="00AB5612"/>
    <w:rsid w:val="00AB5E00"/>
    <w:rsid w:val="00AB5E07"/>
    <w:rsid w:val="00AB5F34"/>
    <w:rsid w:val="00AB6A00"/>
    <w:rsid w:val="00AB720F"/>
    <w:rsid w:val="00AB7CFA"/>
    <w:rsid w:val="00AB7EF7"/>
    <w:rsid w:val="00AC07A9"/>
    <w:rsid w:val="00AC1180"/>
    <w:rsid w:val="00AC1421"/>
    <w:rsid w:val="00AC1F4B"/>
    <w:rsid w:val="00AC20EB"/>
    <w:rsid w:val="00AC2D08"/>
    <w:rsid w:val="00AC41BA"/>
    <w:rsid w:val="00AC43FA"/>
    <w:rsid w:val="00AC565E"/>
    <w:rsid w:val="00AC5B48"/>
    <w:rsid w:val="00AC5C04"/>
    <w:rsid w:val="00AC6056"/>
    <w:rsid w:val="00AC6991"/>
    <w:rsid w:val="00AD046D"/>
    <w:rsid w:val="00AD0EEA"/>
    <w:rsid w:val="00AD1204"/>
    <w:rsid w:val="00AD1450"/>
    <w:rsid w:val="00AD170B"/>
    <w:rsid w:val="00AD26CB"/>
    <w:rsid w:val="00AD3EF3"/>
    <w:rsid w:val="00AD49AE"/>
    <w:rsid w:val="00AD52E1"/>
    <w:rsid w:val="00AD553B"/>
    <w:rsid w:val="00AD571F"/>
    <w:rsid w:val="00AD576D"/>
    <w:rsid w:val="00AD5D49"/>
    <w:rsid w:val="00AD610F"/>
    <w:rsid w:val="00AD6502"/>
    <w:rsid w:val="00AD6FA2"/>
    <w:rsid w:val="00AD7578"/>
    <w:rsid w:val="00AE0695"/>
    <w:rsid w:val="00AE0B90"/>
    <w:rsid w:val="00AE0DC1"/>
    <w:rsid w:val="00AE1D67"/>
    <w:rsid w:val="00AE228A"/>
    <w:rsid w:val="00AE23EB"/>
    <w:rsid w:val="00AE28FC"/>
    <w:rsid w:val="00AE2E74"/>
    <w:rsid w:val="00AE358B"/>
    <w:rsid w:val="00AE3E7B"/>
    <w:rsid w:val="00AE3E7E"/>
    <w:rsid w:val="00AE43E2"/>
    <w:rsid w:val="00AE4912"/>
    <w:rsid w:val="00AE4E3E"/>
    <w:rsid w:val="00AE5C9E"/>
    <w:rsid w:val="00AE68DD"/>
    <w:rsid w:val="00AE6D89"/>
    <w:rsid w:val="00AE7311"/>
    <w:rsid w:val="00AE758B"/>
    <w:rsid w:val="00AE776B"/>
    <w:rsid w:val="00AE7CA4"/>
    <w:rsid w:val="00AF00C6"/>
    <w:rsid w:val="00AF033B"/>
    <w:rsid w:val="00AF0E02"/>
    <w:rsid w:val="00AF12CE"/>
    <w:rsid w:val="00AF1315"/>
    <w:rsid w:val="00AF19BF"/>
    <w:rsid w:val="00AF1A3F"/>
    <w:rsid w:val="00AF1E9D"/>
    <w:rsid w:val="00AF23ED"/>
    <w:rsid w:val="00AF29B7"/>
    <w:rsid w:val="00AF2D8E"/>
    <w:rsid w:val="00AF2DC3"/>
    <w:rsid w:val="00AF2F81"/>
    <w:rsid w:val="00AF32D5"/>
    <w:rsid w:val="00AF3824"/>
    <w:rsid w:val="00AF3D1D"/>
    <w:rsid w:val="00AF4B06"/>
    <w:rsid w:val="00AF53DE"/>
    <w:rsid w:val="00AF60CB"/>
    <w:rsid w:val="00AF6886"/>
    <w:rsid w:val="00B0004C"/>
    <w:rsid w:val="00B014F5"/>
    <w:rsid w:val="00B01B5B"/>
    <w:rsid w:val="00B024CF"/>
    <w:rsid w:val="00B02DE6"/>
    <w:rsid w:val="00B02ED9"/>
    <w:rsid w:val="00B033E5"/>
    <w:rsid w:val="00B03A63"/>
    <w:rsid w:val="00B0406F"/>
    <w:rsid w:val="00B04343"/>
    <w:rsid w:val="00B05872"/>
    <w:rsid w:val="00B0628A"/>
    <w:rsid w:val="00B07603"/>
    <w:rsid w:val="00B07B37"/>
    <w:rsid w:val="00B12339"/>
    <w:rsid w:val="00B12759"/>
    <w:rsid w:val="00B12B0C"/>
    <w:rsid w:val="00B13A4D"/>
    <w:rsid w:val="00B1527B"/>
    <w:rsid w:val="00B16209"/>
    <w:rsid w:val="00B16322"/>
    <w:rsid w:val="00B16AC8"/>
    <w:rsid w:val="00B20056"/>
    <w:rsid w:val="00B201A4"/>
    <w:rsid w:val="00B201D1"/>
    <w:rsid w:val="00B20396"/>
    <w:rsid w:val="00B20DD7"/>
    <w:rsid w:val="00B20E0A"/>
    <w:rsid w:val="00B213A6"/>
    <w:rsid w:val="00B22025"/>
    <w:rsid w:val="00B220A7"/>
    <w:rsid w:val="00B221BD"/>
    <w:rsid w:val="00B22907"/>
    <w:rsid w:val="00B22DA7"/>
    <w:rsid w:val="00B22EBD"/>
    <w:rsid w:val="00B23145"/>
    <w:rsid w:val="00B2330E"/>
    <w:rsid w:val="00B23476"/>
    <w:rsid w:val="00B235B0"/>
    <w:rsid w:val="00B23DFF"/>
    <w:rsid w:val="00B24140"/>
    <w:rsid w:val="00B24162"/>
    <w:rsid w:val="00B24DF6"/>
    <w:rsid w:val="00B253D7"/>
    <w:rsid w:val="00B25676"/>
    <w:rsid w:val="00B2578F"/>
    <w:rsid w:val="00B259CC"/>
    <w:rsid w:val="00B26831"/>
    <w:rsid w:val="00B26E5F"/>
    <w:rsid w:val="00B27F23"/>
    <w:rsid w:val="00B303BA"/>
    <w:rsid w:val="00B308B7"/>
    <w:rsid w:val="00B316CF"/>
    <w:rsid w:val="00B32166"/>
    <w:rsid w:val="00B32519"/>
    <w:rsid w:val="00B32812"/>
    <w:rsid w:val="00B333F4"/>
    <w:rsid w:val="00B34D38"/>
    <w:rsid w:val="00B34FE2"/>
    <w:rsid w:val="00B35166"/>
    <w:rsid w:val="00B357D8"/>
    <w:rsid w:val="00B35CCD"/>
    <w:rsid w:val="00B360F4"/>
    <w:rsid w:val="00B362F9"/>
    <w:rsid w:val="00B363C8"/>
    <w:rsid w:val="00B36A00"/>
    <w:rsid w:val="00B36AED"/>
    <w:rsid w:val="00B36C4C"/>
    <w:rsid w:val="00B37106"/>
    <w:rsid w:val="00B373FB"/>
    <w:rsid w:val="00B375B2"/>
    <w:rsid w:val="00B37BFC"/>
    <w:rsid w:val="00B37F23"/>
    <w:rsid w:val="00B40358"/>
    <w:rsid w:val="00B40F02"/>
    <w:rsid w:val="00B41019"/>
    <w:rsid w:val="00B412E9"/>
    <w:rsid w:val="00B41614"/>
    <w:rsid w:val="00B41AA4"/>
    <w:rsid w:val="00B42851"/>
    <w:rsid w:val="00B42903"/>
    <w:rsid w:val="00B42F80"/>
    <w:rsid w:val="00B43189"/>
    <w:rsid w:val="00B435CB"/>
    <w:rsid w:val="00B438EC"/>
    <w:rsid w:val="00B443D8"/>
    <w:rsid w:val="00B444D5"/>
    <w:rsid w:val="00B45ABF"/>
    <w:rsid w:val="00B45C6F"/>
    <w:rsid w:val="00B45F07"/>
    <w:rsid w:val="00B46324"/>
    <w:rsid w:val="00B46B06"/>
    <w:rsid w:val="00B47537"/>
    <w:rsid w:val="00B504A3"/>
    <w:rsid w:val="00B50569"/>
    <w:rsid w:val="00B505C8"/>
    <w:rsid w:val="00B50695"/>
    <w:rsid w:val="00B509B8"/>
    <w:rsid w:val="00B50DB8"/>
    <w:rsid w:val="00B50F5F"/>
    <w:rsid w:val="00B511C7"/>
    <w:rsid w:val="00B5164A"/>
    <w:rsid w:val="00B51773"/>
    <w:rsid w:val="00B51802"/>
    <w:rsid w:val="00B5328B"/>
    <w:rsid w:val="00B53594"/>
    <w:rsid w:val="00B53654"/>
    <w:rsid w:val="00B53905"/>
    <w:rsid w:val="00B53E1B"/>
    <w:rsid w:val="00B54383"/>
    <w:rsid w:val="00B54B5B"/>
    <w:rsid w:val="00B551B4"/>
    <w:rsid w:val="00B5562E"/>
    <w:rsid w:val="00B55816"/>
    <w:rsid w:val="00B558FF"/>
    <w:rsid w:val="00B55B5A"/>
    <w:rsid w:val="00B55D65"/>
    <w:rsid w:val="00B57000"/>
    <w:rsid w:val="00B57C04"/>
    <w:rsid w:val="00B60939"/>
    <w:rsid w:val="00B60AFD"/>
    <w:rsid w:val="00B619BF"/>
    <w:rsid w:val="00B61B79"/>
    <w:rsid w:val="00B61D75"/>
    <w:rsid w:val="00B623F1"/>
    <w:rsid w:val="00B62715"/>
    <w:rsid w:val="00B62795"/>
    <w:rsid w:val="00B6282D"/>
    <w:rsid w:val="00B62859"/>
    <w:rsid w:val="00B6391C"/>
    <w:rsid w:val="00B64797"/>
    <w:rsid w:val="00B64946"/>
    <w:rsid w:val="00B64F74"/>
    <w:rsid w:val="00B65611"/>
    <w:rsid w:val="00B656B0"/>
    <w:rsid w:val="00B65C01"/>
    <w:rsid w:val="00B67C84"/>
    <w:rsid w:val="00B67EA1"/>
    <w:rsid w:val="00B67F9B"/>
    <w:rsid w:val="00B70E8E"/>
    <w:rsid w:val="00B71140"/>
    <w:rsid w:val="00B71CA6"/>
    <w:rsid w:val="00B7258F"/>
    <w:rsid w:val="00B729DD"/>
    <w:rsid w:val="00B72FFF"/>
    <w:rsid w:val="00B740DC"/>
    <w:rsid w:val="00B74843"/>
    <w:rsid w:val="00B74C64"/>
    <w:rsid w:val="00B74C8C"/>
    <w:rsid w:val="00B7521E"/>
    <w:rsid w:val="00B75479"/>
    <w:rsid w:val="00B75DC4"/>
    <w:rsid w:val="00B760DC"/>
    <w:rsid w:val="00B7675B"/>
    <w:rsid w:val="00B76C92"/>
    <w:rsid w:val="00B76E5E"/>
    <w:rsid w:val="00B7714C"/>
    <w:rsid w:val="00B80219"/>
    <w:rsid w:val="00B806F8"/>
    <w:rsid w:val="00B81205"/>
    <w:rsid w:val="00B81466"/>
    <w:rsid w:val="00B816E9"/>
    <w:rsid w:val="00B818A4"/>
    <w:rsid w:val="00B81CF7"/>
    <w:rsid w:val="00B8211E"/>
    <w:rsid w:val="00B830B5"/>
    <w:rsid w:val="00B8386E"/>
    <w:rsid w:val="00B83C02"/>
    <w:rsid w:val="00B84117"/>
    <w:rsid w:val="00B84606"/>
    <w:rsid w:val="00B84DD2"/>
    <w:rsid w:val="00B852D3"/>
    <w:rsid w:val="00B858F0"/>
    <w:rsid w:val="00B85AA2"/>
    <w:rsid w:val="00B8649C"/>
    <w:rsid w:val="00B86641"/>
    <w:rsid w:val="00B86908"/>
    <w:rsid w:val="00B8695D"/>
    <w:rsid w:val="00B87F0A"/>
    <w:rsid w:val="00B901CE"/>
    <w:rsid w:val="00B90243"/>
    <w:rsid w:val="00B902A1"/>
    <w:rsid w:val="00B91586"/>
    <w:rsid w:val="00B91C71"/>
    <w:rsid w:val="00B91D0E"/>
    <w:rsid w:val="00B91D8B"/>
    <w:rsid w:val="00B924DD"/>
    <w:rsid w:val="00B92D0B"/>
    <w:rsid w:val="00B92FB5"/>
    <w:rsid w:val="00B93115"/>
    <w:rsid w:val="00B94945"/>
    <w:rsid w:val="00B94DD6"/>
    <w:rsid w:val="00B95009"/>
    <w:rsid w:val="00B952DE"/>
    <w:rsid w:val="00B959BE"/>
    <w:rsid w:val="00B95E93"/>
    <w:rsid w:val="00B95E99"/>
    <w:rsid w:val="00B95E9E"/>
    <w:rsid w:val="00B965F4"/>
    <w:rsid w:val="00B96ABE"/>
    <w:rsid w:val="00B9755D"/>
    <w:rsid w:val="00B97668"/>
    <w:rsid w:val="00B97770"/>
    <w:rsid w:val="00B97B64"/>
    <w:rsid w:val="00B97E94"/>
    <w:rsid w:val="00B97FC9"/>
    <w:rsid w:val="00BA0488"/>
    <w:rsid w:val="00BA0DD0"/>
    <w:rsid w:val="00BA3071"/>
    <w:rsid w:val="00BA322D"/>
    <w:rsid w:val="00BA32AF"/>
    <w:rsid w:val="00BA3B7B"/>
    <w:rsid w:val="00BA45A2"/>
    <w:rsid w:val="00BA501F"/>
    <w:rsid w:val="00BA504B"/>
    <w:rsid w:val="00BA5C10"/>
    <w:rsid w:val="00BA63FA"/>
    <w:rsid w:val="00BA677E"/>
    <w:rsid w:val="00BA75DB"/>
    <w:rsid w:val="00BA78DA"/>
    <w:rsid w:val="00BB00B3"/>
    <w:rsid w:val="00BB0715"/>
    <w:rsid w:val="00BB0BDD"/>
    <w:rsid w:val="00BB114D"/>
    <w:rsid w:val="00BB176C"/>
    <w:rsid w:val="00BB1D1A"/>
    <w:rsid w:val="00BB2115"/>
    <w:rsid w:val="00BB27F7"/>
    <w:rsid w:val="00BB2953"/>
    <w:rsid w:val="00BB2A73"/>
    <w:rsid w:val="00BB338D"/>
    <w:rsid w:val="00BB35B3"/>
    <w:rsid w:val="00BB380A"/>
    <w:rsid w:val="00BB3A45"/>
    <w:rsid w:val="00BB4828"/>
    <w:rsid w:val="00BB4ACC"/>
    <w:rsid w:val="00BB532A"/>
    <w:rsid w:val="00BB5481"/>
    <w:rsid w:val="00BB6FF6"/>
    <w:rsid w:val="00BB703E"/>
    <w:rsid w:val="00BB732D"/>
    <w:rsid w:val="00BB7405"/>
    <w:rsid w:val="00BB76FC"/>
    <w:rsid w:val="00BB7EA7"/>
    <w:rsid w:val="00BC0435"/>
    <w:rsid w:val="00BC0AC7"/>
    <w:rsid w:val="00BC1D83"/>
    <w:rsid w:val="00BC1E29"/>
    <w:rsid w:val="00BC31AD"/>
    <w:rsid w:val="00BC3631"/>
    <w:rsid w:val="00BC3A22"/>
    <w:rsid w:val="00BC4317"/>
    <w:rsid w:val="00BC4C01"/>
    <w:rsid w:val="00BC591F"/>
    <w:rsid w:val="00BC6941"/>
    <w:rsid w:val="00BC6A60"/>
    <w:rsid w:val="00BC6A9A"/>
    <w:rsid w:val="00BC7D6D"/>
    <w:rsid w:val="00BD0E04"/>
    <w:rsid w:val="00BD0E80"/>
    <w:rsid w:val="00BD1016"/>
    <w:rsid w:val="00BD10F6"/>
    <w:rsid w:val="00BD147A"/>
    <w:rsid w:val="00BD15A4"/>
    <w:rsid w:val="00BD2108"/>
    <w:rsid w:val="00BD221F"/>
    <w:rsid w:val="00BD2338"/>
    <w:rsid w:val="00BD34F1"/>
    <w:rsid w:val="00BD3624"/>
    <w:rsid w:val="00BD37A8"/>
    <w:rsid w:val="00BD49C3"/>
    <w:rsid w:val="00BD4EEA"/>
    <w:rsid w:val="00BD5780"/>
    <w:rsid w:val="00BD5C91"/>
    <w:rsid w:val="00BD65DB"/>
    <w:rsid w:val="00BD68A3"/>
    <w:rsid w:val="00BD6938"/>
    <w:rsid w:val="00BD6BA5"/>
    <w:rsid w:val="00BD6CF3"/>
    <w:rsid w:val="00BD79BE"/>
    <w:rsid w:val="00BE0ECA"/>
    <w:rsid w:val="00BE163B"/>
    <w:rsid w:val="00BE1E56"/>
    <w:rsid w:val="00BE1F32"/>
    <w:rsid w:val="00BE2180"/>
    <w:rsid w:val="00BE21F2"/>
    <w:rsid w:val="00BE258F"/>
    <w:rsid w:val="00BE2769"/>
    <w:rsid w:val="00BE3363"/>
    <w:rsid w:val="00BE3C32"/>
    <w:rsid w:val="00BE3D19"/>
    <w:rsid w:val="00BE410D"/>
    <w:rsid w:val="00BE4275"/>
    <w:rsid w:val="00BE44CA"/>
    <w:rsid w:val="00BE4599"/>
    <w:rsid w:val="00BE4944"/>
    <w:rsid w:val="00BE5C2A"/>
    <w:rsid w:val="00BE5DD9"/>
    <w:rsid w:val="00BE60D9"/>
    <w:rsid w:val="00BE65F9"/>
    <w:rsid w:val="00BF06AE"/>
    <w:rsid w:val="00BF0F95"/>
    <w:rsid w:val="00BF1A3C"/>
    <w:rsid w:val="00BF1A6D"/>
    <w:rsid w:val="00BF2433"/>
    <w:rsid w:val="00BF295F"/>
    <w:rsid w:val="00BF6027"/>
    <w:rsid w:val="00BF60A9"/>
    <w:rsid w:val="00BF61C9"/>
    <w:rsid w:val="00BF6C4F"/>
    <w:rsid w:val="00BF6C94"/>
    <w:rsid w:val="00BF76A6"/>
    <w:rsid w:val="00C00424"/>
    <w:rsid w:val="00C00A31"/>
    <w:rsid w:val="00C01FA7"/>
    <w:rsid w:val="00C02082"/>
    <w:rsid w:val="00C0226B"/>
    <w:rsid w:val="00C023EE"/>
    <w:rsid w:val="00C02D56"/>
    <w:rsid w:val="00C02E02"/>
    <w:rsid w:val="00C03054"/>
    <w:rsid w:val="00C03806"/>
    <w:rsid w:val="00C04010"/>
    <w:rsid w:val="00C044BE"/>
    <w:rsid w:val="00C051C1"/>
    <w:rsid w:val="00C0585B"/>
    <w:rsid w:val="00C05AB9"/>
    <w:rsid w:val="00C06531"/>
    <w:rsid w:val="00C0720A"/>
    <w:rsid w:val="00C11583"/>
    <w:rsid w:val="00C1179F"/>
    <w:rsid w:val="00C12341"/>
    <w:rsid w:val="00C12C14"/>
    <w:rsid w:val="00C1465F"/>
    <w:rsid w:val="00C1500F"/>
    <w:rsid w:val="00C1531F"/>
    <w:rsid w:val="00C15ACC"/>
    <w:rsid w:val="00C15B2F"/>
    <w:rsid w:val="00C15C01"/>
    <w:rsid w:val="00C15CD0"/>
    <w:rsid w:val="00C15F04"/>
    <w:rsid w:val="00C16713"/>
    <w:rsid w:val="00C16A92"/>
    <w:rsid w:val="00C179B3"/>
    <w:rsid w:val="00C17C61"/>
    <w:rsid w:val="00C17D02"/>
    <w:rsid w:val="00C17E3F"/>
    <w:rsid w:val="00C200AA"/>
    <w:rsid w:val="00C203A3"/>
    <w:rsid w:val="00C22180"/>
    <w:rsid w:val="00C2236B"/>
    <w:rsid w:val="00C22837"/>
    <w:rsid w:val="00C22AD2"/>
    <w:rsid w:val="00C237ED"/>
    <w:rsid w:val="00C244A7"/>
    <w:rsid w:val="00C24611"/>
    <w:rsid w:val="00C24632"/>
    <w:rsid w:val="00C249EA"/>
    <w:rsid w:val="00C25305"/>
    <w:rsid w:val="00C25418"/>
    <w:rsid w:val="00C25D9C"/>
    <w:rsid w:val="00C26470"/>
    <w:rsid w:val="00C265F7"/>
    <w:rsid w:val="00C273D0"/>
    <w:rsid w:val="00C2778B"/>
    <w:rsid w:val="00C305D7"/>
    <w:rsid w:val="00C30861"/>
    <w:rsid w:val="00C30A3F"/>
    <w:rsid w:val="00C30FDA"/>
    <w:rsid w:val="00C31649"/>
    <w:rsid w:val="00C317A3"/>
    <w:rsid w:val="00C32F24"/>
    <w:rsid w:val="00C3305F"/>
    <w:rsid w:val="00C3434C"/>
    <w:rsid w:val="00C34445"/>
    <w:rsid w:val="00C349E8"/>
    <w:rsid w:val="00C34F41"/>
    <w:rsid w:val="00C353BA"/>
    <w:rsid w:val="00C357C8"/>
    <w:rsid w:val="00C35A23"/>
    <w:rsid w:val="00C3723D"/>
    <w:rsid w:val="00C376D0"/>
    <w:rsid w:val="00C37A3E"/>
    <w:rsid w:val="00C400D0"/>
    <w:rsid w:val="00C40385"/>
    <w:rsid w:val="00C408C2"/>
    <w:rsid w:val="00C414BA"/>
    <w:rsid w:val="00C41768"/>
    <w:rsid w:val="00C41CFE"/>
    <w:rsid w:val="00C425C1"/>
    <w:rsid w:val="00C431B1"/>
    <w:rsid w:val="00C432F9"/>
    <w:rsid w:val="00C434A4"/>
    <w:rsid w:val="00C447ED"/>
    <w:rsid w:val="00C455B7"/>
    <w:rsid w:val="00C47548"/>
    <w:rsid w:val="00C475AA"/>
    <w:rsid w:val="00C501D5"/>
    <w:rsid w:val="00C509A7"/>
    <w:rsid w:val="00C51C81"/>
    <w:rsid w:val="00C522B9"/>
    <w:rsid w:val="00C526F3"/>
    <w:rsid w:val="00C534E1"/>
    <w:rsid w:val="00C53B5D"/>
    <w:rsid w:val="00C53C98"/>
    <w:rsid w:val="00C5491A"/>
    <w:rsid w:val="00C54971"/>
    <w:rsid w:val="00C54B73"/>
    <w:rsid w:val="00C55BFC"/>
    <w:rsid w:val="00C55F88"/>
    <w:rsid w:val="00C562BC"/>
    <w:rsid w:val="00C56368"/>
    <w:rsid w:val="00C56BDF"/>
    <w:rsid w:val="00C56FCF"/>
    <w:rsid w:val="00C579BD"/>
    <w:rsid w:val="00C57AD1"/>
    <w:rsid w:val="00C57B6C"/>
    <w:rsid w:val="00C60114"/>
    <w:rsid w:val="00C60A97"/>
    <w:rsid w:val="00C60ECC"/>
    <w:rsid w:val="00C61067"/>
    <w:rsid w:val="00C6126A"/>
    <w:rsid w:val="00C61F6F"/>
    <w:rsid w:val="00C62741"/>
    <w:rsid w:val="00C628A6"/>
    <w:rsid w:val="00C62A1D"/>
    <w:rsid w:val="00C62ED5"/>
    <w:rsid w:val="00C636A9"/>
    <w:rsid w:val="00C63826"/>
    <w:rsid w:val="00C639DF"/>
    <w:rsid w:val="00C63CE8"/>
    <w:rsid w:val="00C6427D"/>
    <w:rsid w:val="00C64336"/>
    <w:rsid w:val="00C64344"/>
    <w:rsid w:val="00C646D6"/>
    <w:rsid w:val="00C647CA"/>
    <w:rsid w:val="00C6496A"/>
    <w:rsid w:val="00C65108"/>
    <w:rsid w:val="00C65576"/>
    <w:rsid w:val="00C66165"/>
    <w:rsid w:val="00C662CE"/>
    <w:rsid w:val="00C670F1"/>
    <w:rsid w:val="00C67D1C"/>
    <w:rsid w:val="00C70148"/>
    <w:rsid w:val="00C7060A"/>
    <w:rsid w:val="00C7095C"/>
    <w:rsid w:val="00C70C30"/>
    <w:rsid w:val="00C71095"/>
    <w:rsid w:val="00C7151A"/>
    <w:rsid w:val="00C717E3"/>
    <w:rsid w:val="00C71F60"/>
    <w:rsid w:val="00C72241"/>
    <w:rsid w:val="00C7248E"/>
    <w:rsid w:val="00C72578"/>
    <w:rsid w:val="00C73EA0"/>
    <w:rsid w:val="00C740BF"/>
    <w:rsid w:val="00C74237"/>
    <w:rsid w:val="00C744F9"/>
    <w:rsid w:val="00C74EAD"/>
    <w:rsid w:val="00C750C8"/>
    <w:rsid w:val="00C7535E"/>
    <w:rsid w:val="00C7560F"/>
    <w:rsid w:val="00C7574B"/>
    <w:rsid w:val="00C76087"/>
    <w:rsid w:val="00C7638E"/>
    <w:rsid w:val="00C7641A"/>
    <w:rsid w:val="00C76AFC"/>
    <w:rsid w:val="00C76D27"/>
    <w:rsid w:val="00C76D62"/>
    <w:rsid w:val="00C80A0E"/>
    <w:rsid w:val="00C80DAE"/>
    <w:rsid w:val="00C80FD5"/>
    <w:rsid w:val="00C8213F"/>
    <w:rsid w:val="00C823CB"/>
    <w:rsid w:val="00C828FB"/>
    <w:rsid w:val="00C82BB1"/>
    <w:rsid w:val="00C8381F"/>
    <w:rsid w:val="00C83ECC"/>
    <w:rsid w:val="00C84665"/>
    <w:rsid w:val="00C84FE3"/>
    <w:rsid w:val="00C85123"/>
    <w:rsid w:val="00C85154"/>
    <w:rsid w:val="00C85659"/>
    <w:rsid w:val="00C8696A"/>
    <w:rsid w:val="00C8797A"/>
    <w:rsid w:val="00C879B7"/>
    <w:rsid w:val="00C900B8"/>
    <w:rsid w:val="00C90562"/>
    <w:rsid w:val="00C90C71"/>
    <w:rsid w:val="00C9133C"/>
    <w:rsid w:val="00C91D52"/>
    <w:rsid w:val="00C91FD1"/>
    <w:rsid w:val="00C924E7"/>
    <w:rsid w:val="00C931CF"/>
    <w:rsid w:val="00C93565"/>
    <w:rsid w:val="00C938CF"/>
    <w:rsid w:val="00C94053"/>
    <w:rsid w:val="00C94639"/>
    <w:rsid w:val="00C94B83"/>
    <w:rsid w:val="00C950B3"/>
    <w:rsid w:val="00C958AE"/>
    <w:rsid w:val="00C95927"/>
    <w:rsid w:val="00C9624D"/>
    <w:rsid w:val="00C969DA"/>
    <w:rsid w:val="00C977EC"/>
    <w:rsid w:val="00CA0668"/>
    <w:rsid w:val="00CA12C2"/>
    <w:rsid w:val="00CA1F88"/>
    <w:rsid w:val="00CA2151"/>
    <w:rsid w:val="00CA2166"/>
    <w:rsid w:val="00CA2C77"/>
    <w:rsid w:val="00CA2DC2"/>
    <w:rsid w:val="00CA36BF"/>
    <w:rsid w:val="00CA3737"/>
    <w:rsid w:val="00CA444F"/>
    <w:rsid w:val="00CA4550"/>
    <w:rsid w:val="00CA4572"/>
    <w:rsid w:val="00CA45D9"/>
    <w:rsid w:val="00CA47EA"/>
    <w:rsid w:val="00CA5245"/>
    <w:rsid w:val="00CA53CD"/>
    <w:rsid w:val="00CA6310"/>
    <w:rsid w:val="00CA657E"/>
    <w:rsid w:val="00CA6700"/>
    <w:rsid w:val="00CA71C2"/>
    <w:rsid w:val="00CA71F4"/>
    <w:rsid w:val="00CA7B09"/>
    <w:rsid w:val="00CA7E00"/>
    <w:rsid w:val="00CA7E23"/>
    <w:rsid w:val="00CB00BF"/>
    <w:rsid w:val="00CB038C"/>
    <w:rsid w:val="00CB07FD"/>
    <w:rsid w:val="00CB12A5"/>
    <w:rsid w:val="00CB1A7A"/>
    <w:rsid w:val="00CB1CAC"/>
    <w:rsid w:val="00CB1E04"/>
    <w:rsid w:val="00CB22BE"/>
    <w:rsid w:val="00CB244E"/>
    <w:rsid w:val="00CB2A6B"/>
    <w:rsid w:val="00CB2F2A"/>
    <w:rsid w:val="00CB2F8F"/>
    <w:rsid w:val="00CB3791"/>
    <w:rsid w:val="00CB450B"/>
    <w:rsid w:val="00CB46B7"/>
    <w:rsid w:val="00CB481D"/>
    <w:rsid w:val="00CB4BC4"/>
    <w:rsid w:val="00CB573B"/>
    <w:rsid w:val="00CB5B1A"/>
    <w:rsid w:val="00CB6074"/>
    <w:rsid w:val="00CB620D"/>
    <w:rsid w:val="00CB69DB"/>
    <w:rsid w:val="00CB6B22"/>
    <w:rsid w:val="00CB7A80"/>
    <w:rsid w:val="00CB7DE9"/>
    <w:rsid w:val="00CB7F5F"/>
    <w:rsid w:val="00CC0989"/>
    <w:rsid w:val="00CC11CB"/>
    <w:rsid w:val="00CC14A2"/>
    <w:rsid w:val="00CC151E"/>
    <w:rsid w:val="00CC1B39"/>
    <w:rsid w:val="00CC32C9"/>
    <w:rsid w:val="00CC33B2"/>
    <w:rsid w:val="00CC35EA"/>
    <w:rsid w:val="00CC3848"/>
    <w:rsid w:val="00CC3E43"/>
    <w:rsid w:val="00CC4997"/>
    <w:rsid w:val="00CC4CDD"/>
    <w:rsid w:val="00CC4FAF"/>
    <w:rsid w:val="00CC55C1"/>
    <w:rsid w:val="00CC5AFB"/>
    <w:rsid w:val="00CC5AFE"/>
    <w:rsid w:val="00CC5B72"/>
    <w:rsid w:val="00CC5FC1"/>
    <w:rsid w:val="00CC650D"/>
    <w:rsid w:val="00CC6991"/>
    <w:rsid w:val="00CC7DD6"/>
    <w:rsid w:val="00CD1844"/>
    <w:rsid w:val="00CD1DF1"/>
    <w:rsid w:val="00CD1E48"/>
    <w:rsid w:val="00CD1FB2"/>
    <w:rsid w:val="00CD21A2"/>
    <w:rsid w:val="00CD2292"/>
    <w:rsid w:val="00CD30DE"/>
    <w:rsid w:val="00CD3338"/>
    <w:rsid w:val="00CD3722"/>
    <w:rsid w:val="00CD38E3"/>
    <w:rsid w:val="00CD3C9F"/>
    <w:rsid w:val="00CD3F77"/>
    <w:rsid w:val="00CD4E59"/>
    <w:rsid w:val="00CD56D8"/>
    <w:rsid w:val="00CD579E"/>
    <w:rsid w:val="00CD58BD"/>
    <w:rsid w:val="00CD6989"/>
    <w:rsid w:val="00CD6ADC"/>
    <w:rsid w:val="00CD6CBF"/>
    <w:rsid w:val="00CD70CA"/>
    <w:rsid w:val="00CD7193"/>
    <w:rsid w:val="00CD7490"/>
    <w:rsid w:val="00CE081C"/>
    <w:rsid w:val="00CE08E0"/>
    <w:rsid w:val="00CE12FE"/>
    <w:rsid w:val="00CE22BD"/>
    <w:rsid w:val="00CE25DF"/>
    <w:rsid w:val="00CE38C8"/>
    <w:rsid w:val="00CE40C0"/>
    <w:rsid w:val="00CE46A3"/>
    <w:rsid w:val="00CE4977"/>
    <w:rsid w:val="00CE4FDD"/>
    <w:rsid w:val="00CE5378"/>
    <w:rsid w:val="00CE587B"/>
    <w:rsid w:val="00CE6274"/>
    <w:rsid w:val="00CE64F8"/>
    <w:rsid w:val="00CE68B0"/>
    <w:rsid w:val="00CE6E0B"/>
    <w:rsid w:val="00CE77B6"/>
    <w:rsid w:val="00CE7C2C"/>
    <w:rsid w:val="00CE7D6A"/>
    <w:rsid w:val="00CE7FA9"/>
    <w:rsid w:val="00CF006C"/>
    <w:rsid w:val="00CF0302"/>
    <w:rsid w:val="00CF0506"/>
    <w:rsid w:val="00CF070A"/>
    <w:rsid w:val="00CF082D"/>
    <w:rsid w:val="00CF0CF1"/>
    <w:rsid w:val="00CF116C"/>
    <w:rsid w:val="00CF14AC"/>
    <w:rsid w:val="00CF1929"/>
    <w:rsid w:val="00CF1A7F"/>
    <w:rsid w:val="00CF2063"/>
    <w:rsid w:val="00CF2968"/>
    <w:rsid w:val="00CF2A7A"/>
    <w:rsid w:val="00CF2B8D"/>
    <w:rsid w:val="00CF38C2"/>
    <w:rsid w:val="00CF3CE6"/>
    <w:rsid w:val="00CF3F05"/>
    <w:rsid w:val="00CF456B"/>
    <w:rsid w:val="00CF4920"/>
    <w:rsid w:val="00CF523D"/>
    <w:rsid w:val="00CF52D9"/>
    <w:rsid w:val="00CF58FA"/>
    <w:rsid w:val="00CF5A22"/>
    <w:rsid w:val="00CF651E"/>
    <w:rsid w:val="00CF68BE"/>
    <w:rsid w:val="00CF6CDB"/>
    <w:rsid w:val="00CF7791"/>
    <w:rsid w:val="00CF7D1A"/>
    <w:rsid w:val="00D0051D"/>
    <w:rsid w:val="00D01FF3"/>
    <w:rsid w:val="00D0254E"/>
    <w:rsid w:val="00D0262E"/>
    <w:rsid w:val="00D045BF"/>
    <w:rsid w:val="00D05776"/>
    <w:rsid w:val="00D05C09"/>
    <w:rsid w:val="00D05E3D"/>
    <w:rsid w:val="00D06139"/>
    <w:rsid w:val="00D07080"/>
    <w:rsid w:val="00D1025C"/>
    <w:rsid w:val="00D110BD"/>
    <w:rsid w:val="00D118FA"/>
    <w:rsid w:val="00D11E7F"/>
    <w:rsid w:val="00D11F67"/>
    <w:rsid w:val="00D1270A"/>
    <w:rsid w:val="00D12D12"/>
    <w:rsid w:val="00D13675"/>
    <w:rsid w:val="00D137F4"/>
    <w:rsid w:val="00D13B99"/>
    <w:rsid w:val="00D141E1"/>
    <w:rsid w:val="00D144C1"/>
    <w:rsid w:val="00D14EE5"/>
    <w:rsid w:val="00D15314"/>
    <w:rsid w:val="00D162A8"/>
    <w:rsid w:val="00D16B0C"/>
    <w:rsid w:val="00D16B3A"/>
    <w:rsid w:val="00D16B48"/>
    <w:rsid w:val="00D16BC1"/>
    <w:rsid w:val="00D16BE0"/>
    <w:rsid w:val="00D1782D"/>
    <w:rsid w:val="00D17D6C"/>
    <w:rsid w:val="00D2155B"/>
    <w:rsid w:val="00D2255E"/>
    <w:rsid w:val="00D22624"/>
    <w:rsid w:val="00D2346A"/>
    <w:rsid w:val="00D235E8"/>
    <w:rsid w:val="00D2364C"/>
    <w:rsid w:val="00D238A8"/>
    <w:rsid w:val="00D23D11"/>
    <w:rsid w:val="00D23D55"/>
    <w:rsid w:val="00D244B6"/>
    <w:rsid w:val="00D24534"/>
    <w:rsid w:val="00D24752"/>
    <w:rsid w:val="00D25339"/>
    <w:rsid w:val="00D25835"/>
    <w:rsid w:val="00D26031"/>
    <w:rsid w:val="00D27395"/>
    <w:rsid w:val="00D2754D"/>
    <w:rsid w:val="00D2764B"/>
    <w:rsid w:val="00D27ACD"/>
    <w:rsid w:val="00D27B27"/>
    <w:rsid w:val="00D27BCC"/>
    <w:rsid w:val="00D27D5C"/>
    <w:rsid w:val="00D27E0B"/>
    <w:rsid w:val="00D27E11"/>
    <w:rsid w:val="00D30093"/>
    <w:rsid w:val="00D3033A"/>
    <w:rsid w:val="00D3052B"/>
    <w:rsid w:val="00D32719"/>
    <w:rsid w:val="00D33BE9"/>
    <w:rsid w:val="00D33F93"/>
    <w:rsid w:val="00D3544F"/>
    <w:rsid w:val="00D3579B"/>
    <w:rsid w:val="00D357FF"/>
    <w:rsid w:val="00D3597B"/>
    <w:rsid w:val="00D36662"/>
    <w:rsid w:val="00D368DA"/>
    <w:rsid w:val="00D36B93"/>
    <w:rsid w:val="00D371FA"/>
    <w:rsid w:val="00D3735E"/>
    <w:rsid w:val="00D3776A"/>
    <w:rsid w:val="00D37CD4"/>
    <w:rsid w:val="00D37FD6"/>
    <w:rsid w:val="00D4094B"/>
    <w:rsid w:val="00D40B2D"/>
    <w:rsid w:val="00D411B4"/>
    <w:rsid w:val="00D41319"/>
    <w:rsid w:val="00D413C2"/>
    <w:rsid w:val="00D4195E"/>
    <w:rsid w:val="00D424C7"/>
    <w:rsid w:val="00D4252E"/>
    <w:rsid w:val="00D42740"/>
    <w:rsid w:val="00D4298B"/>
    <w:rsid w:val="00D42AEA"/>
    <w:rsid w:val="00D42C3E"/>
    <w:rsid w:val="00D434EB"/>
    <w:rsid w:val="00D43B2A"/>
    <w:rsid w:val="00D43D83"/>
    <w:rsid w:val="00D44409"/>
    <w:rsid w:val="00D44697"/>
    <w:rsid w:val="00D4505A"/>
    <w:rsid w:val="00D45333"/>
    <w:rsid w:val="00D46576"/>
    <w:rsid w:val="00D4668E"/>
    <w:rsid w:val="00D467EF"/>
    <w:rsid w:val="00D47575"/>
    <w:rsid w:val="00D478E4"/>
    <w:rsid w:val="00D50527"/>
    <w:rsid w:val="00D50F0B"/>
    <w:rsid w:val="00D510EF"/>
    <w:rsid w:val="00D5197C"/>
    <w:rsid w:val="00D5243B"/>
    <w:rsid w:val="00D533EC"/>
    <w:rsid w:val="00D53780"/>
    <w:rsid w:val="00D53BB3"/>
    <w:rsid w:val="00D544C2"/>
    <w:rsid w:val="00D547C9"/>
    <w:rsid w:val="00D5493D"/>
    <w:rsid w:val="00D54DA6"/>
    <w:rsid w:val="00D55225"/>
    <w:rsid w:val="00D55499"/>
    <w:rsid w:val="00D55738"/>
    <w:rsid w:val="00D56A95"/>
    <w:rsid w:val="00D602CF"/>
    <w:rsid w:val="00D606B5"/>
    <w:rsid w:val="00D60BEF"/>
    <w:rsid w:val="00D612D8"/>
    <w:rsid w:val="00D613A9"/>
    <w:rsid w:val="00D6238C"/>
    <w:rsid w:val="00D62A04"/>
    <w:rsid w:val="00D62B8F"/>
    <w:rsid w:val="00D6321B"/>
    <w:rsid w:val="00D63504"/>
    <w:rsid w:val="00D63A76"/>
    <w:rsid w:val="00D63D4A"/>
    <w:rsid w:val="00D63E8F"/>
    <w:rsid w:val="00D64408"/>
    <w:rsid w:val="00D647C0"/>
    <w:rsid w:val="00D65351"/>
    <w:rsid w:val="00D6554A"/>
    <w:rsid w:val="00D670CA"/>
    <w:rsid w:val="00D67FF0"/>
    <w:rsid w:val="00D704A6"/>
    <w:rsid w:val="00D70540"/>
    <w:rsid w:val="00D709B8"/>
    <w:rsid w:val="00D70F16"/>
    <w:rsid w:val="00D71A76"/>
    <w:rsid w:val="00D72192"/>
    <w:rsid w:val="00D72C04"/>
    <w:rsid w:val="00D72F57"/>
    <w:rsid w:val="00D74663"/>
    <w:rsid w:val="00D75309"/>
    <w:rsid w:val="00D75505"/>
    <w:rsid w:val="00D75D27"/>
    <w:rsid w:val="00D76980"/>
    <w:rsid w:val="00D76A44"/>
    <w:rsid w:val="00D76D8A"/>
    <w:rsid w:val="00D8015E"/>
    <w:rsid w:val="00D809E8"/>
    <w:rsid w:val="00D815EF"/>
    <w:rsid w:val="00D81F26"/>
    <w:rsid w:val="00D8285F"/>
    <w:rsid w:val="00D82A9C"/>
    <w:rsid w:val="00D83206"/>
    <w:rsid w:val="00D840C6"/>
    <w:rsid w:val="00D84553"/>
    <w:rsid w:val="00D8457D"/>
    <w:rsid w:val="00D84BF5"/>
    <w:rsid w:val="00D84E41"/>
    <w:rsid w:val="00D86231"/>
    <w:rsid w:val="00D86273"/>
    <w:rsid w:val="00D86BC4"/>
    <w:rsid w:val="00D86C54"/>
    <w:rsid w:val="00D870D5"/>
    <w:rsid w:val="00D87E6F"/>
    <w:rsid w:val="00D91923"/>
    <w:rsid w:val="00D91E5C"/>
    <w:rsid w:val="00D92B6E"/>
    <w:rsid w:val="00D93753"/>
    <w:rsid w:val="00D948C8"/>
    <w:rsid w:val="00D94954"/>
    <w:rsid w:val="00D95D47"/>
    <w:rsid w:val="00DA03D4"/>
    <w:rsid w:val="00DA1A94"/>
    <w:rsid w:val="00DA1EC2"/>
    <w:rsid w:val="00DA253F"/>
    <w:rsid w:val="00DA3167"/>
    <w:rsid w:val="00DA4DC3"/>
    <w:rsid w:val="00DA51B7"/>
    <w:rsid w:val="00DA51FE"/>
    <w:rsid w:val="00DA5C36"/>
    <w:rsid w:val="00DA6053"/>
    <w:rsid w:val="00DA64B0"/>
    <w:rsid w:val="00DA75E0"/>
    <w:rsid w:val="00DA77A5"/>
    <w:rsid w:val="00DA78FA"/>
    <w:rsid w:val="00DA7EA8"/>
    <w:rsid w:val="00DA7EBE"/>
    <w:rsid w:val="00DB00EA"/>
    <w:rsid w:val="00DB1034"/>
    <w:rsid w:val="00DB1512"/>
    <w:rsid w:val="00DB16A2"/>
    <w:rsid w:val="00DB3237"/>
    <w:rsid w:val="00DB37A2"/>
    <w:rsid w:val="00DB383E"/>
    <w:rsid w:val="00DB396E"/>
    <w:rsid w:val="00DB3DBF"/>
    <w:rsid w:val="00DB484F"/>
    <w:rsid w:val="00DB5439"/>
    <w:rsid w:val="00DB59FD"/>
    <w:rsid w:val="00DC0332"/>
    <w:rsid w:val="00DC04F6"/>
    <w:rsid w:val="00DC0690"/>
    <w:rsid w:val="00DC0856"/>
    <w:rsid w:val="00DC0920"/>
    <w:rsid w:val="00DC0BA6"/>
    <w:rsid w:val="00DC0F11"/>
    <w:rsid w:val="00DC153B"/>
    <w:rsid w:val="00DC1D65"/>
    <w:rsid w:val="00DC2FDD"/>
    <w:rsid w:val="00DC3075"/>
    <w:rsid w:val="00DC3C57"/>
    <w:rsid w:val="00DC3E92"/>
    <w:rsid w:val="00DC435E"/>
    <w:rsid w:val="00DC51E1"/>
    <w:rsid w:val="00DC5501"/>
    <w:rsid w:val="00DC5D0C"/>
    <w:rsid w:val="00DC656E"/>
    <w:rsid w:val="00DC6798"/>
    <w:rsid w:val="00DC6DE1"/>
    <w:rsid w:val="00DC7154"/>
    <w:rsid w:val="00DC72B9"/>
    <w:rsid w:val="00DC746D"/>
    <w:rsid w:val="00DC7DA2"/>
    <w:rsid w:val="00DC7E8A"/>
    <w:rsid w:val="00DC7F64"/>
    <w:rsid w:val="00DD0F78"/>
    <w:rsid w:val="00DD1933"/>
    <w:rsid w:val="00DD1B03"/>
    <w:rsid w:val="00DD1EF2"/>
    <w:rsid w:val="00DD273C"/>
    <w:rsid w:val="00DD28B5"/>
    <w:rsid w:val="00DD39CF"/>
    <w:rsid w:val="00DD3CAE"/>
    <w:rsid w:val="00DD3F28"/>
    <w:rsid w:val="00DD4537"/>
    <w:rsid w:val="00DD4E15"/>
    <w:rsid w:val="00DD505F"/>
    <w:rsid w:val="00DD561B"/>
    <w:rsid w:val="00DD5AC3"/>
    <w:rsid w:val="00DD6AD8"/>
    <w:rsid w:val="00DD7447"/>
    <w:rsid w:val="00DE07DE"/>
    <w:rsid w:val="00DE0A5A"/>
    <w:rsid w:val="00DE169C"/>
    <w:rsid w:val="00DE2304"/>
    <w:rsid w:val="00DE24C9"/>
    <w:rsid w:val="00DE3138"/>
    <w:rsid w:val="00DE37F8"/>
    <w:rsid w:val="00DE3864"/>
    <w:rsid w:val="00DE39BF"/>
    <w:rsid w:val="00DE4FCB"/>
    <w:rsid w:val="00DE5D07"/>
    <w:rsid w:val="00DE6285"/>
    <w:rsid w:val="00DE72A7"/>
    <w:rsid w:val="00DE73E6"/>
    <w:rsid w:val="00DE7832"/>
    <w:rsid w:val="00DE7878"/>
    <w:rsid w:val="00DE7B2B"/>
    <w:rsid w:val="00DE7FD1"/>
    <w:rsid w:val="00DF0DB1"/>
    <w:rsid w:val="00DF18FC"/>
    <w:rsid w:val="00DF1CB2"/>
    <w:rsid w:val="00DF2327"/>
    <w:rsid w:val="00DF2564"/>
    <w:rsid w:val="00DF28B4"/>
    <w:rsid w:val="00DF2A16"/>
    <w:rsid w:val="00DF2DA1"/>
    <w:rsid w:val="00DF3162"/>
    <w:rsid w:val="00DF39D1"/>
    <w:rsid w:val="00DF4B86"/>
    <w:rsid w:val="00DF502A"/>
    <w:rsid w:val="00DF5D2B"/>
    <w:rsid w:val="00DF5D75"/>
    <w:rsid w:val="00DF6826"/>
    <w:rsid w:val="00DF6CEB"/>
    <w:rsid w:val="00DF7B0F"/>
    <w:rsid w:val="00DF7C5E"/>
    <w:rsid w:val="00E00E8E"/>
    <w:rsid w:val="00E00F4A"/>
    <w:rsid w:val="00E0108A"/>
    <w:rsid w:val="00E01124"/>
    <w:rsid w:val="00E01BF7"/>
    <w:rsid w:val="00E02FAB"/>
    <w:rsid w:val="00E035E1"/>
    <w:rsid w:val="00E03646"/>
    <w:rsid w:val="00E037DF"/>
    <w:rsid w:val="00E03A5A"/>
    <w:rsid w:val="00E03B73"/>
    <w:rsid w:val="00E03D01"/>
    <w:rsid w:val="00E04AF4"/>
    <w:rsid w:val="00E05630"/>
    <w:rsid w:val="00E06D5E"/>
    <w:rsid w:val="00E06DBB"/>
    <w:rsid w:val="00E07CB8"/>
    <w:rsid w:val="00E10149"/>
    <w:rsid w:val="00E11340"/>
    <w:rsid w:val="00E11527"/>
    <w:rsid w:val="00E1159B"/>
    <w:rsid w:val="00E11840"/>
    <w:rsid w:val="00E11E9D"/>
    <w:rsid w:val="00E11FF7"/>
    <w:rsid w:val="00E122A1"/>
    <w:rsid w:val="00E1257D"/>
    <w:rsid w:val="00E12C76"/>
    <w:rsid w:val="00E13141"/>
    <w:rsid w:val="00E13438"/>
    <w:rsid w:val="00E13D7D"/>
    <w:rsid w:val="00E148BB"/>
    <w:rsid w:val="00E161AA"/>
    <w:rsid w:val="00E162FC"/>
    <w:rsid w:val="00E16372"/>
    <w:rsid w:val="00E16584"/>
    <w:rsid w:val="00E172AE"/>
    <w:rsid w:val="00E179E6"/>
    <w:rsid w:val="00E20E4D"/>
    <w:rsid w:val="00E20E7A"/>
    <w:rsid w:val="00E20ED6"/>
    <w:rsid w:val="00E21358"/>
    <w:rsid w:val="00E216B8"/>
    <w:rsid w:val="00E2174D"/>
    <w:rsid w:val="00E218D9"/>
    <w:rsid w:val="00E21CCF"/>
    <w:rsid w:val="00E2249B"/>
    <w:rsid w:val="00E227A3"/>
    <w:rsid w:val="00E22A0D"/>
    <w:rsid w:val="00E244F6"/>
    <w:rsid w:val="00E24B79"/>
    <w:rsid w:val="00E25AEC"/>
    <w:rsid w:val="00E262C5"/>
    <w:rsid w:val="00E264B1"/>
    <w:rsid w:val="00E2714D"/>
    <w:rsid w:val="00E2743E"/>
    <w:rsid w:val="00E2746F"/>
    <w:rsid w:val="00E2771E"/>
    <w:rsid w:val="00E300A3"/>
    <w:rsid w:val="00E30186"/>
    <w:rsid w:val="00E30806"/>
    <w:rsid w:val="00E30BA8"/>
    <w:rsid w:val="00E30EFB"/>
    <w:rsid w:val="00E311EF"/>
    <w:rsid w:val="00E31275"/>
    <w:rsid w:val="00E32180"/>
    <w:rsid w:val="00E324D6"/>
    <w:rsid w:val="00E324F5"/>
    <w:rsid w:val="00E33302"/>
    <w:rsid w:val="00E334C6"/>
    <w:rsid w:val="00E33D2F"/>
    <w:rsid w:val="00E3407A"/>
    <w:rsid w:val="00E346EE"/>
    <w:rsid w:val="00E34948"/>
    <w:rsid w:val="00E34B2E"/>
    <w:rsid w:val="00E34D25"/>
    <w:rsid w:val="00E34DC1"/>
    <w:rsid w:val="00E35098"/>
    <w:rsid w:val="00E3588F"/>
    <w:rsid w:val="00E36888"/>
    <w:rsid w:val="00E36FD4"/>
    <w:rsid w:val="00E37023"/>
    <w:rsid w:val="00E37569"/>
    <w:rsid w:val="00E37669"/>
    <w:rsid w:val="00E376AF"/>
    <w:rsid w:val="00E37733"/>
    <w:rsid w:val="00E40063"/>
    <w:rsid w:val="00E401B2"/>
    <w:rsid w:val="00E4028F"/>
    <w:rsid w:val="00E40834"/>
    <w:rsid w:val="00E418A4"/>
    <w:rsid w:val="00E41E30"/>
    <w:rsid w:val="00E42A79"/>
    <w:rsid w:val="00E42F73"/>
    <w:rsid w:val="00E43D70"/>
    <w:rsid w:val="00E449E6"/>
    <w:rsid w:val="00E453AD"/>
    <w:rsid w:val="00E459F6"/>
    <w:rsid w:val="00E45E7C"/>
    <w:rsid w:val="00E466F3"/>
    <w:rsid w:val="00E4765A"/>
    <w:rsid w:val="00E47B2C"/>
    <w:rsid w:val="00E50BA3"/>
    <w:rsid w:val="00E50CE9"/>
    <w:rsid w:val="00E510D6"/>
    <w:rsid w:val="00E51112"/>
    <w:rsid w:val="00E511C1"/>
    <w:rsid w:val="00E51560"/>
    <w:rsid w:val="00E51DDE"/>
    <w:rsid w:val="00E52ED3"/>
    <w:rsid w:val="00E53487"/>
    <w:rsid w:val="00E53512"/>
    <w:rsid w:val="00E53B30"/>
    <w:rsid w:val="00E53C37"/>
    <w:rsid w:val="00E53EF7"/>
    <w:rsid w:val="00E53F04"/>
    <w:rsid w:val="00E53FC8"/>
    <w:rsid w:val="00E54347"/>
    <w:rsid w:val="00E54C82"/>
    <w:rsid w:val="00E550AB"/>
    <w:rsid w:val="00E55424"/>
    <w:rsid w:val="00E5583B"/>
    <w:rsid w:val="00E55915"/>
    <w:rsid w:val="00E55BB5"/>
    <w:rsid w:val="00E56158"/>
    <w:rsid w:val="00E56392"/>
    <w:rsid w:val="00E5668D"/>
    <w:rsid w:val="00E56A4D"/>
    <w:rsid w:val="00E570A0"/>
    <w:rsid w:val="00E572B7"/>
    <w:rsid w:val="00E5758B"/>
    <w:rsid w:val="00E57672"/>
    <w:rsid w:val="00E60505"/>
    <w:rsid w:val="00E608A8"/>
    <w:rsid w:val="00E60948"/>
    <w:rsid w:val="00E60DE8"/>
    <w:rsid w:val="00E60F7B"/>
    <w:rsid w:val="00E61D0B"/>
    <w:rsid w:val="00E635B1"/>
    <w:rsid w:val="00E6479A"/>
    <w:rsid w:val="00E65E50"/>
    <w:rsid w:val="00E65E79"/>
    <w:rsid w:val="00E660B5"/>
    <w:rsid w:val="00E6653C"/>
    <w:rsid w:val="00E66584"/>
    <w:rsid w:val="00E66BA2"/>
    <w:rsid w:val="00E66FF5"/>
    <w:rsid w:val="00E67416"/>
    <w:rsid w:val="00E677B2"/>
    <w:rsid w:val="00E67C84"/>
    <w:rsid w:val="00E67D76"/>
    <w:rsid w:val="00E70279"/>
    <w:rsid w:val="00E709E9"/>
    <w:rsid w:val="00E70CBB"/>
    <w:rsid w:val="00E70D23"/>
    <w:rsid w:val="00E70D89"/>
    <w:rsid w:val="00E714EC"/>
    <w:rsid w:val="00E718B6"/>
    <w:rsid w:val="00E723BA"/>
    <w:rsid w:val="00E73581"/>
    <w:rsid w:val="00E735A3"/>
    <w:rsid w:val="00E74659"/>
    <w:rsid w:val="00E75C4C"/>
    <w:rsid w:val="00E75F95"/>
    <w:rsid w:val="00E7637D"/>
    <w:rsid w:val="00E7691B"/>
    <w:rsid w:val="00E77245"/>
    <w:rsid w:val="00E778C9"/>
    <w:rsid w:val="00E77C2C"/>
    <w:rsid w:val="00E8027B"/>
    <w:rsid w:val="00E8176F"/>
    <w:rsid w:val="00E8269C"/>
    <w:rsid w:val="00E82A62"/>
    <w:rsid w:val="00E82E8C"/>
    <w:rsid w:val="00E833F7"/>
    <w:rsid w:val="00E83BDF"/>
    <w:rsid w:val="00E846DA"/>
    <w:rsid w:val="00E8503C"/>
    <w:rsid w:val="00E85950"/>
    <w:rsid w:val="00E87A1D"/>
    <w:rsid w:val="00E90577"/>
    <w:rsid w:val="00E9094A"/>
    <w:rsid w:val="00E91522"/>
    <w:rsid w:val="00E91705"/>
    <w:rsid w:val="00E917D8"/>
    <w:rsid w:val="00E91928"/>
    <w:rsid w:val="00E91D35"/>
    <w:rsid w:val="00E926A5"/>
    <w:rsid w:val="00E937A4"/>
    <w:rsid w:val="00E93A09"/>
    <w:rsid w:val="00E93C1B"/>
    <w:rsid w:val="00E93E61"/>
    <w:rsid w:val="00E93FEC"/>
    <w:rsid w:val="00E94719"/>
    <w:rsid w:val="00E9640A"/>
    <w:rsid w:val="00E96497"/>
    <w:rsid w:val="00E97A72"/>
    <w:rsid w:val="00EA002B"/>
    <w:rsid w:val="00EA17C3"/>
    <w:rsid w:val="00EA1880"/>
    <w:rsid w:val="00EA230D"/>
    <w:rsid w:val="00EA2398"/>
    <w:rsid w:val="00EA295F"/>
    <w:rsid w:val="00EA2CAA"/>
    <w:rsid w:val="00EA2E4B"/>
    <w:rsid w:val="00EA30F6"/>
    <w:rsid w:val="00EA327A"/>
    <w:rsid w:val="00EA3740"/>
    <w:rsid w:val="00EA3864"/>
    <w:rsid w:val="00EA3ABC"/>
    <w:rsid w:val="00EA3B23"/>
    <w:rsid w:val="00EA3D66"/>
    <w:rsid w:val="00EA4176"/>
    <w:rsid w:val="00EA4692"/>
    <w:rsid w:val="00EA4786"/>
    <w:rsid w:val="00EA4DFA"/>
    <w:rsid w:val="00EA5AAC"/>
    <w:rsid w:val="00EA6056"/>
    <w:rsid w:val="00EA7324"/>
    <w:rsid w:val="00EA75BE"/>
    <w:rsid w:val="00EA7F1C"/>
    <w:rsid w:val="00EB0C07"/>
    <w:rsid w:val="00EB1548"/>
    <w:rsid w:val="00EB15B6"/>
    <w:rsid w:val="00EB18E7"/>
    <w:rsid w:val="00EB2671"/>
    <w:rsid w:val="00EB2C39"/>
    <w:rsid w:val="00EB2FC9"/>
    <w:rsid w:val="00EB31C6"/>
    <w:rsid w:val="00EB33ED"/>
    <w:rsid w:val="00EB3A8B"/>
    <w:rsid w:val="00EB3C64"/>
    <w:rsid w:val="00EB3D06"/>
    <w:rsid w:val="00EB4916"/>
    <w:rsid w:val="00EB4A3D"/>
    <w:rsid w:val="00EB4E94"/>
    <w:rsid w:val="00EB4F90"/>
    <w:rsid w:val="00EB5703"/>
    <w:rsid w:val="00EB5AEC"/>
    <w:rsid w:val="00EB64DE"/>
    <w:rsid w:val="00EB659A"/>
    <w:rsid w:val="00EB65D3"/>
    <w:rsid w:val="00EB701C"/>
    <w:rsid w:val="00EB7214"/>
    <w:rsid w:val="00EB7440"/>
    <w:rsid w:val="00EC00C9"/>
    <w:rsid w:val="00EC0DD9"/>
    <w:rsid w:val="00EC1B62"/>
    <w:rsid w:val="00EC1B71"/>
    <w:rsid w:val="00EC2355"/>
    <w:rsid w:val="00EC2649"/>
    <w:rsid w:val="00EC31ED"/>
    <w:rsid w:val="00EC34C4"/>
    <w:rsid w:val="00EC3A0B"/>
    <w:rsid w:val="00EC3AED"/>
    <w:rsid w:val="00EC3D77"/>
    <w:rsid w:val="00EC3FFF"/>
    <w:rsid w:val="00EC4029"/>
    <w:rsid w:val="00EC46F9"/>
    <w:rsid w:val="00EC5836"/>
    <w:rsid w:val="00EC5D5A"/>
    <w:rsid w:val="00EC600B"/>
    <w:rsid w:val="00EC688C"/>
    <w:rsid w:val="00EC7129"/>
    <w:rsid w:val="00ED0229"/>
    <w:rsid w:val="00ED0A66"/>
    <w:rsid w:val="00ED0DAC"/>
    <w:rsid w:val="00ED1B41"/>
    <w:rsid w:val="00ED1E43"/>
    <w:rsid w:val="00ED2C5A"/>
    <w:rsid w:val="00ED2E51"/>
    <w:rsid w:val="00ED2EB6"/>
    <w:rsid w:val="00ED30BF"/>
    <w:rsid w:val="00ED3100"/>
    <w:rsid w:val="00ED40D8"/>
    <w:rsid w:val="00ED49EE"/>
    <w:rsid w:val="00ED519E"/>
    <w:rsid w:val="00ED57EA"/>
    <w:rsid w:val="00ED5BD4"/>
    <w:rsid w:val="00ED7736"/>
    <w:rsid w:val="00ED7DB8"/>
    <w:rsid w:val="00EE07D3"/>
    <w:rsid w:val="00EE0D95"/>
    <w:rsid w:val="00EE0FE5"/>
    <w:rsid w:val="00EE12CF"/>
    <w:rsid w:val="00EE145B"/>
    <w:rsid w:val="00EE187A"/>
    <w:rsid w:val="00EE1996"/>
    <w:rsid w:val="00EE1C01"/>
    <w:rsid w:val="00EE22AF"/>
    <w:rsid w:val="00EE41B4"/>
    <w:rsid w:val="00EE5AF9"/>
    <w:rsid w:val="00EE602E"/>
    <w:rsid w:val="00EE60FF"/>
    <w:rsid w:val="00EE63CF"/>
    <w:rsid w:val="00EE7E7C"/>
    <w:rsid w:val="00EF0171"/>
    <w:rsid w:val="00EF1400"/>
    <w:rsid w:val="00EF18CE"/>
    <w:rsid w:val="00EF1B25"/>
    <w:rsid w:val="00EF1B33"/>
    <w:rsid w:val="00EF1D9A"/>
    <w:rsid w:val="00EF1DA0"/>
    <w:rsid w:val="00EF29EF"/>
    <w:rsid w:val="00EF32DE"/>
    <w:rsid w:val="00EF3312"/>
    <w:rsid w:val="00EF4017"/>
    <w:rsid w:val="00EF44B4"/>
    <w:rsid w:val="00EF4585"/>
    <w:rsid w:val="00EF4747"/>
    <w:rsid w:val="00EF49DD"/>
    <w:rsid w:val="00EF4AB0"/>
    <w:rsid w:val="00EF4BF8"/>
    <w:rsid w:val="00EF500C"/>
    <w:rsid w:val="00EF66CF"/>
    <w:rsid w:val="00EF6D9B"/>
    <w:rsid w:val="00EF6E39"/>
    <w:rsid w:val="00EF7634"/>
    <w:rsid w:val="00F00F13"/>
    <w:rsid w:val="00F013EA"/>
    <w:rsid w:val="00F018F3"/>
    <w:rsid w:val="00F01B18"/>
    <w:rsid w:val="00F02253"/>
    <w:rsid w:val="00F034D7"/>
    <w:rsid w:val="00F03C2E"/>
    <w:rsid w:val="00F03DBA"/>
    <w:rsid w:val="00F041EF"/>
    <w:rsid w:val="00F04A66"/>
    <w:rsid w:val="00F04B4B"/>
    <w:rsid w:val="00F0516C"/>
    <w:rsid w:val="00F063F2"/>
    <w:rsid w:val="00F0678C"/>
    <w:rsid w:val="00F067A2"/>
    <w:rsid w:val="00F07B9E"/>
    <w:rsid w:val="00F1116F"/>
    <w:rsid w:val="00F1164F"/>
    <w:rsid w:val="00F12214"/>
    <w:rsid w:val="00F1254B"/>
    <w:rsid w:val="00F1263A"/>
    <w:rsid w:val="00F127B0"/>
    <w:rsid w:val="00F12C29"/>
    <w:rsid w:val="00F13C2D"/>
    <w:rsid w:val="00F153FA"/>
    <w:rsid w:val="00F156AD"/>
    <w:rsid w:val="00F15B77"/>
    <w:rsid w:val="00F15F7A"/>
    <w:rsid w:val="00F16965"/>
    <w:rsid w:val="00F20ABD"/>
    <w:rsid w:val="00F21069"/>
    <w:rsid w:val="00F21AAD"/>
    <w:rsid w:val="00F21EB4"/>
    <w:rsid w:val="00F235BA"/>
    <w:rsid w:val="00F235CB"/>
    <w:rsid w:val="00F23EBD"/>
    <w:rsid w:val="00F23FE0"/>
    <w:rsid w:val="00F242BC"/>
    <w:rsid w:val="00F24837"/>
    <w:rsid w:val="00F24FF7"/>
    <w:rsid w:val="00F2575F"/>
    <w:rsid w:val="00F25D1B"/>
    <w:rsid w:val="00F267E8"/>
    <w:rsid w:val="00F26F35"/>
    <w:rsid w:val="00F27039"/>
    <w:rsid w:val="00F27565"/>
    <w:rsid w:val="00F27596"/>
    <w:rsid w:val="00F27F60"/>
    <w:rsid w:val="00F305B9"/>
    <w:rsid w:val="00F30878"/>
    <w:rsid w:val="00F310D4"/>
    <w:rsid w:val="00F312E2"/>
    <w:rsid w:val="00F3193B"/>
    <w:rsid w:val="00F31D5A"/>
    <w:rsid w:val="00F32941"/>
    <w:rsid w:val="00F32ABD"/>
    <w:rsid w:val="00F3341F"/>
    <w:rsid w:val="00F33911"/>
    <w:rsid w:val="00F33975"/>
    <w:rsid w:val="00F33DE9"/>
    <w:rsid w:val="00F341A3"/>
    <w:rsid w:val="00F349EC"/>
    <w:rsid w:val="00F34A1F"/>
    <w:rsid w:val="00F34CFC"/>
    <w:rsid w:val="00F35097"/>
    <w:rsid w:val="00F35219"/>
    <w:rsid w:val="00F356DA"/>
    <w:rsid w:val="00F35C2B"/>
    <w:rsid w:val="00F35E6D"/>
    <w:rsid w:val="00F3619A"/>
    <w:rsid w:val="00F361CD"/>
    <w:rsid w:val="00F3655F"/>
    <w:rsid w:val="00F37951"/>
    <w:rsid w:val="00F37CAF"/>
    <w:rsid w:val="00F40213"/>
    <w:rsid w:val="00F403C5"/>
    <w:rsid w:val="00F40AAA"/>
    <w:rsid w:val="00F40BA7"/>
    <w:rsid w:val="00F40F0C"/>
    <w:rsid w:val="00F40F9D"/>
    <w:rsid w:val="00F41ACD"/>
    <w:rsid w:val="00F41D1F"/>
    <w:rsid w:val="00F41DE7"/>
    <w:rsid w:val="00F42614"/>
    <w:rsid w:val="00F428D7"/>
    <w:rsid w:val="00F43021"/>
    <w:rsid w:val="00F43BE6"/>
    <w:rsid w:val="00F4417E"/>
    <w:rsid w:val="00F44B6B"/>
    <w:rsid w:val="00F4512F"/>
    <w:rsid w:val="00F45517"/>
    <w:rsid w:val="00F468C2"/>
    <w:rsid w:val="00F46C3E"/>
    <w:rsid w:val="00F46CB6"/>
    <w:rsid w:val="00F471CD"/>
    <w:rsid w:val="00F472E9"/>
    <w:rsid w:val="00F4756D"/>
    <w:rsid w:val="00F47A32"/>
    <w:rsid w:val="00F47DB3"/>
    <w:rsid w:val="00F47DE8"/>
    <w:rsid w:val="00F50602"/>
    <w:rsid w:val="00F50684"/>
    <w:rsid w:val="00F513F5"/>
    <w:rsid w:val="00F528A3"/>
    <w:rsid w:val="00F52BEC"/>
    <w:rsid w:val="00F5310D"/>
    <w:rsid w:val="00F5367A"/>
    <w:rsid w:val="00F536B1"/>
    <w:rsid w:val="00F5397D"/>
    <w:rsid w:val="00F53B88"/>
    <w:rsid w:val="00F542C1"/>
    <w:rsid w:val="00F5526F"/>
    <w:rsid w:val="00F5567E"/>
    <w:rsid w:val="00F55AD8"/>
    <w:rsid w:val="00F55C2C"/>
    <w:rsid w:val="00F55E73"/>
    <w:rsid w:val="00F55EDA"/>
    <w:rsid w:val="00F561D8"/>
    <w:rsid w:val="00F56C80"/>
    <w:rsid w:val="00F57070"/>
    <w:rsid w:val="00F574A3"/>
    <w:rsid w:val="00F60092"/>
    <w:rsid w:val="00F60AD3"/>
    <w:rsid w:val="00F61A23"/>
    <w:rsid w:val="00F61C18"/>
    <w:rsid w:val="00F61C89"/>
    <w:rsid w:val="00F61F65"/>
    <w:rsid w:val="00F6293E"/>
    <w:rsid w:val="00F634D6"/>
    <w:rsid w:val="00F64489"/>
    <w:rsid w:val="00F644C3"/>
    <w:rsid w:val="00F64ECC"/>
    <w:rsid w:val="00F6535A"/>
    <w:rsid w:val="00F654A6"/>
    <w:rsid w:val="00F657FA"/>
    <w:rsid w:val="00F65924"/>
    <w:rsid w:val="00F659E4"/>
    <w:rsid w:val="00F65B87"/>
    <w:rsid w:val="00F65F4B"/>
    <w:rsid w:val="00F67915"/>
    <w:rsid w:val="00F67A69"/>
    <w:rsid w:val="00F67D26"/>
    <w:rsid w:val="00F70BFF"/>
    <w:rsid w:val="00F70C9D"/>
    <w:rsid w:val="00F71817"/>
    <w:rsid w:val="00F71C0A"/>
    <w:rsid w:val="00F72007"/>
    <w:rsid w:val="00F7290F"/>
    <w:rsid w:val="00F734F3"/>
    <w:rsid w:val="00F734FD"/>
    <w:rsid w:val="00F739D5"/>
    <w:rsid w:val="00F73A49"/>
    <w:rsid w:val="00F749DB"/>
    <w:rsid w:val="00F74CD9"/>
    <w:rsid w:val="00F753C2"/>
    <w:rsid w:val="00F759AB"/>
    <w:rsid w:val="00F75DAD"/>
    <w:rsid w:val="00F76164"/>
    <w:rsid w:val="00F767BB"/>
    <w:rsid w:val="00F76A98"/>
    <w:rsid w:val="00F77287"/>
    <w:rsid w:val="00F77398"/>
    <w:rsid w:val="00F77485"/>
    <w:rsid w:val="00F774AC"/>
    <w:rsid w:val="00F80313"/>
    <w:rsid w:val="00F8071A"/>
    <w:rsid w:val="00F80A7B"/>
    <w:rsid w:val="00F80C77"/>
    <w:rsid w:val="00F80E5D"/>
    <w:rsid w:val="00F81E78"/>
    <w:rsid w:val="00F81EE8"/>
    <w:rsid w:val="00F827EE"/>
    <w:rsid w:val="00F82989"/>
    <w:rsid w:val="00F8298B"/>
    <w:rsid w:val="00F836CA"/>
    <w:rsid w:val="00F837E7"/>
    <w:rsid w:val="00F83CFF"/>
    <w:rsid w:val="00F83D7B"/>
    <w:rsid w:val="00F8441D"/>
    <w:rsid w:val="00F84BE6"/>
    <w:rsid w:val="00F84E7F"/>
    <w:rsid w:val="00F85040"/>
    <w:rsid w:val="00F851CE"/>
    <w:rsid w:val="00F85BFE"/>
    <w:rsid w:val="00F85E3D"/>
    <w:rsid w:val="00F860AB"/>
    <w:rsid w:val="00F86A1D"/>
    <w:rsid w:val="00F86C43"/>
    <w:rsid w:val="00F87396"/>
    <w:rsid w:val="00F8755D"/>
    <w:rsid w:val="00F87889"/>
    <w:rsid w:val="00F87C71"/>
    <w:rsid w:val="00F91219"/>
    <w:rsid w:val="00F91497"/>
    <w:rsid w:val="00F91A29"/>
    <w:rsid w:val="00F91FB1"/>
    <w:rsid w:val="00F92444"/>
    <w:rsid w:val="00F926D3"/>
    <w:rsid w:val="00F9296B"/>
    <w:rsid w:val="00F93660"/>
    <w:rsid w:val="00F936F5"/>
    <w:rsid w:val="00F93852"/>
    <w:rsid w:val="00F9393E"/>
    <w:rsid w:val="00F93E77"/>
    <w:rsid w:val="00F94512"/>
    <w:rsid w:val="00F9452C"/>
    <w:rsid w:val="00F94AB4"/>
    <w:rsid w:val="00F95ED0"/>
    <w:rsid w:val="00F96263"/>
    <w:rsid w:val="00F96E54"/>
    <w:rsid w:val="00F96FD0"/>
    <w:rsid w:val="00F97841"/>
    <w:rsid w:val="00F97A52"/>
    <w:rsid w:val="00F97A78"/>
    <w:rsid w:val="00F97E4F"/>
    <w:rsid w:val="00FA0221"/>
    <w:rsid w:val="00FA0532"/>
    <w:rsid w:val="00FA0B20"/>
    <w:rsid w:val="00FA0DD3"/>
    <w:rsid w:val="00FA1312"/>
    <w:rsid w:val="00FA1C51"/>
    <w:rsid w:val="00FA1F56"/>
    <w:rsid w:val="00FA24E7"/>
    <w:rsid w:val="00FA2702"/>
    <w:rsid w:val="00FA2C7B"/>
    <w:rsid w:val="00FA2CBF"/>
    <w:rsid w:val="00FA2D3D"/>
    <w:rsid w:val="00FA3270"/>
    <w:rsid w:val="00FA334D"/>
    <w:rsid w:val="00FA36AC"/>
    <w:rsid w:val="00FA3A4F"/>
    <w:rsid w:val="00FA4014"/>
    <w:rsid w:val="00FA44B5"/>
    <w:rsid w:val="00FA4A24"/>
    <w:rsid w:val="00FA5564"/>
    <w:rsid w:val="00FA5B52"/>
    <w:rsid w:val="00FA5DA2"/>
    <w:rsid w:val="00FA5EE6"/>
    <w:rsid w:val="00FA61B5"/>
    <w:rsid w:val="00FA63E6"/>
    <w:rsid w:val="00FA6954"/>
    <w:rsid w:val="00FA7956"/>
    <w:rsid w:val="00FB0D10"/>
    <w:rsid w:val="00FB246D"/>
    <w:rsid w:val="00FB2609"/>
    <w:rsid w:val="00FB2929"/>
    <w:rsid w:val="00FB2FCB"/>
    <w:rsid w:val="00FB3F01"/>
    <w:rsid w:val="00FB509C"/>
    <w:rsid w:val="00FB5272"/>
    <w:rsid w:val="00FB5A9E"/>
    <w:rsid w:val="00FB69C1"/>
    <w:rsid w:val="00FB7808"/>
    <w:rsid w:val="00FB7C55"/>
    <w:rsid w:val="00FC041C"/>
    <w:rsid w:val="00FC0641"/>
    <w:rsid w:val="00FC1026"/>
    <w:rsid w:val="00FC1074"/>
    <w:rsid w:val="00FC1884"/>
    <w:rsid w:val="00FC1FEB"/>
    <w:rsid w:val="00FC2399"/>
    <w:rsid w:val="00FC2E00"/>
    <w:rsid w:val="00FC371D"/>
    <w:rsid w:val="00FC3895"/>
    <w:rsid w:val="00FC3E51"/>
    <w:rsid w:val="00FC4CD9"/>
    <w:rsid w:val="00FC57D3"/>
    <w:rsid w:val="00FC5F0B"/>
    <w:rsid w:val="00FC60E0"/>
    <w:rsid w:val="00FC61E5"/>
    <w:rsid w:val="00FC68A2"/>
    <w:rsid w:val="00FC7B5A"/>
    <w:rsid w:val="00FC7B70"/>
    <w:rsid w:val="00FD097E"/>
    <w:rsid w:val="00FD0BAC"/>
    <w:rsid w:val="00FD1ADD"/>
    <w:rsid w:val="00FD1B4A"/>
    <w:rsid w:val="00FD1CEE"/>
    <w:rsid w:val="00FD1D50"/>
    <w:rsid w:val="00FD2100"/>
    <w:rsid w:val="00FD22E6"/>
    <w:rsid w:val="00FD23DC"/>
    <w:rsid w:val="00FD39FE"/>
    <w:rsid w:val="00FD3F9E"/>
    <w:rsid w:val="00FD436C"/>
    <w:rsid w:val="00FD4385"/>
    <w:rsid w:val="00FD446D"/>
    <w:rsid w:val="00FD4C4F"/>
    <w:rsid w:val="00FD4F2C"/>
    <w:rsid w:val="00FD58F0"/>
    <w:rsid w:val="00FD5A5A"/>
    <w:rsid w:val="00FD5D50"/>
    <w:rsid w:val="00FD5DBF"/>
    <w:rsid w:val="00FD6394"/>
    <w:rsid w:val="00FD7B71"/>
    <w:rsid w:val="00FE08ED"/>
    <w:rsid w:val="00FE0C1E"/>
    <w:rsid w:val="00FE0E02"/>
    <w:rsid w:val="00FE0E6C"/>
    <w:rsid w:val="00FE0ED8"/>
    <w:rsid w:val="00FE1214"/>
    <w:rsid w:val="00FE1CDC"/>
    <w:rsid w:val="00FE1D05"/>
    <w:rsid w:val="00FE2930"/>
    <w:rsid w:val="00FE36CC"/>
    <w:rsid w:val="00FE3847"/>
    <w:rsid w:val="00FE45C7"/>
    <w:rsid w:val="00FE52FA"/>
    <w:rsid w:val="00FE5D3A"/>
    <w:rsid w:val="00FE61C1"/>
    <w:rsid w:val="00FE6DA8"/>
    <w:rsid w:val="00FE6F76"/>
    <w:rsid w:val="00FE70C3"/>
    <w:rsid w:val="00FE7130"/>
    <w:rsid w:val="00FE7FEF"/>
    <w:rsid w:val="00FF018D"/>
    <w:rsid w:val="00FF02EC"/>
    <w:rsid w:val="00FF0A6B"/>
    <w:rsid w:val="00FF0DBC"/>
    <w:rsid w:val="00FF21CE"/>
    <w:rsid w:val="00FF224D"/>
    <w:rsid w:val="00FF2AD9"/>
    <w:rsid w:val="00FF2B0E"/>
    <w:rsid w:val="00FF359F"/>
    <w:rsid w:val="00FF3AFD"/>
    <w:rsid w:val="00FF3DCF"/>
    <w:rsid w:val="00FF3EEC"/>
    <w:rsid w:val="00FF492C"/>
    <w:rsid w:val="00FF4A21"/>
    <w:rsid w:val="00FF4A96"/>
    <w:rsid w:val="00FF5AA3"/>
    <w:rsid w:val="00FF5AD8"/>
    <w:rsid w:val="00FF5D28"/>
    <w:rsid w:val="00FF62E6"/>
    <w:rsid w:val="00FF6C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317"/>
    <w:pPr>
      <w:jc w:val="both"/>
    </w:pPr>
    <w:rPr>
      <w:rFonts w:ascii="Calibri" w:hAnsi="Calibri" w:cs="Arial"/>
      <w:sz w:val="24"/>
      <w:szCs w:val="24"/>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HTAtableplain,Lash Style Table,Tabellengitternetz 9pt,Source table_,NICE instructions,RTI AMCP Table,HealthConsult,Header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61CAB"/>
    <w:pPr>
      <w:numPr>
        <w:ilvl w:val="1"/>
        <w:numId w:val="4"/>
      </w:num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261CAB"/>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character" w:styleId="CommentReference">
    <w:name w:val="annotation reference"/>
    <w:aliases w:val="Table Title"/>
    <w:basedOn w:val="DefaultParagraphFont"/>
    <w:uiPriority w:val="99"/>
    <w:unhideWhenUsed/>
    <w:qFormat/>
    <w:rsid w:val="00F65924"/>
    <w:rPr>
      <w:sz w:val="16"/>
      <w:szCs w:val="16"/>
    </w:rPr>
  </w:style>
  <w:style w:type="paragraph" w:styleId="CommentText">
    <w:name w:val="annotation text"/>
    <w:aliases w:val="Comment Text Char Char Char,Comment Text Char Char"/>
    <w:basedOn w:val="Normal"/>
    <w:link w:val="CommentTextChar"/>
    <w:uiPriority w:val="99"/>
    <w:unhideWhenUsed/>
    <w:rsid w:val="00F65924"/>
    <w:rPr>
      <w:sz w:val="20"/>
      <w:szCs w:val="20"/>
    </w:rPr>
  </w:style>
  <w:style w:type="character" w:customStyle="1" w:styleId="CommentTextChar">
    <w:name w:val="Comment Text Char"/>
    <w:aliases w:val="Comment Text Char Char Char Char,Comment Text Char Char Char1"/>
    <w:basedOn w:val="DefaultParagraphFont"/>
    <w:link w:val="CommentText"/>
    <w:uiPriority w:val="99"/>
    <w:rsid w:val="00F65924"/>
    <w:rPr>
      <w:rFonts w:ascii="Calibri" w:hAnsi="Calibri" w:cs="Arial"/>
    </w:rPr>
  </w:style>
  <w:style w:type="paragraph" w:styleId="CommentSubject">
    <w:name w:val="annotation subject"/>
    <w:basedOn w:val="CommentText"/>
    <w:next w:val="CommentText"/>
    <w:link w:val="CommentSubjectChar"/>
    <w:uiPriority w:val="99"/>
    <w:semiHidden/>
    <w:unhideWhenUsed/>
    <w:rsid w:val="00F65924"/>
    <w:rPr>
      <w:b/>
      <w:bCs/>
    </w:rPr>
  </w:style>
  <w:style w:type="character" w:customStyle="1" w:styleId="CommentSubjectChar">
    <w:name w:val="Comment Subject Char"/>
    <w:basedOn w:val="CommentTextChar"/>
    <w:link w:val="CommentSubject"/>
    <w:uiPriority w:val="99"/>
    <w:semiHidden/>
    <w:rsid w:val="00F65924"/>
    <w:rPr>
      <w:rFonts w:ascii="Calibri" w:hAnsi="Calibri" w:cs="Arial"/>
      <w:b/>
      <w:bCs/>
    </w:rPr>
  </w:style>
  <w:style w:type="paragraph" w:styleId="ListParagraph">
    <w:name w:val="List Paragraph"/>
    <w:aliases w:val="BulletPoints,Numbered para,Bullet point,List Paragraph1,List Paragraph11,Recommendation,Styl moj,Akapit z listą11,Table Legend,Footnote,ES Paragraph,PBAC ES Paragraph,PBAC normal points,Bullet List,Section heading,Bullet1,Bullet 1,L,lp1"/>
    <w:basedOn w:val="Normal"/>
    <w:link w:val="ListParagraphChar"/>
    <w:uiPriority w:val="34"/>
    <w:qFormat/>
    <w:rsid w:val="00E77245"/>
    <w:pPr>
      <w:ind w:left="720"/>
      <w:contextualSpacing/>
    </w:pPr>
  </w:style>
  <w:style w:type="paragraph" w:styleId="Header">
    <w:name w:val="header"/>
    <w:aliases w:val="Page Header,Header title,he=header,cntr/bld"/>
    <w:basedOn w:val="Normal"/>
    <w:link w:val="HeaderChar"/>
    <w:uiPriority w:val="99"/>
    <w:unhideWhenUsed/>
    <w:qFormat/>
    <w:rsid w:val="00C639DF"/>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C639DF"/>
    <w:rPr>
      <w:rFonts w:ascii="Calibri" w:hAnsi="Calibri" w:cs="Arial"/>
      <w:sz w:val="24"/>
      <w:szCs w:val="24"/>
    </w:rPr>
  </w:style>
  <w:style w:type="paragraph" w:styleId="Footer">
    <w:name w:val="footer"/>
    <w:basedOn w:val="Normal"/>
    <w:link w:val="FooterChar"/>
    <w:uiPriority w:val="99"/>
    <w:unhideWhenUsed/>
    <w:rsid w:val="00C639DF"/>
    <w:pPr>
      <w:tabs>
        <w:tab w:val="center" w:pos="4513"/>
        <w:tab w:val="right" w:pos="9026"/>
      </w:tabs>
    </w:pPr>
  </w:style>
  <w:style w:type="character" w:customStyle="1" w:styleId="FooterChar">
    <w:name w:val="Footer Char"/>
    <w:basedOn w:val="DefaultParagraphFont"/>
    <w:link w:val="Footer"/>
    <w:uiPriority w:val="99"/>
    <w:rsid w:val="00C639DF"/>
    <w:rPr>
      <w:rFonts w:ascii="Calibri" w:hAnsi="Calibri" w:cs="Arial"/>
      <w:sz w:val="24"/>
      <w:szCs w:val="24"/>
    </w:rPr>
  </w:style>
  <w:style w:type="paragraph" w:customStyle="1" w:styleId="TableFooter">
    <w:name w:val="Table Footer"/>
    <w:basedOn w:val="Normal"/>
    <w:link w:val="TableFooterChar"/>
    <w:qFormat/>
    <w:rsid w:val="00846004"/>
    <w:pPr>
      <w:widowControl w:val="0"/>
      <w:spacing w:after="120"/>
      <w:contextualSpacing/>
    </w:pPr>
    <w:rPr>
      <w:rFonts w:ascii="Arial Narrow" w:hAnsi="Arial Narrow"/>
      <w:snapToGrid w:val="0"/>
      <w:sz w:val="18"/>
      <w:szCs w:val="20"/>
      <w:lang w:eastAsia="en-US"/>
    </w:rPr>
  </w:style>
  <w:style w:type="character" w:customStyle="1" w:styleId="TableFooterChar">
    <w:name w:val="Table Footer Char"/>
    <w:link w:val="TableFooter"/>
    <w:rsid w:val="00846004"/>
    <w:rPr>
      <w:rFonts w:ascii="Arial Narrow" w:hAnsi="Arial Narrow" w:cs="Arial"/>
      <w:snapToGrid w:val="0"/>
      <w:sz w:val="18"/>
      <w:lang w:eastAsia="en-US"/>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H17,Bayer1"/>
    <w:basedOn w:val="Normal"/>
    <w:next w:val="Normal"/>
    <w:link w:val="CaptionChar"/>
    <w:uiPriority w:val="35"/>
    <w:unhideWhenUsed/>
    <w:qFormat/>
    <w:rsid w:val="00C273D0"/>
    <w:pPr>
      <w:keepNext/>
      <w:spacing w:line="360" w:lineRule="auto"/>
    </w:pPr>
    <w:rPr>
      <w:rFonts w:eastAsiaTheme="minorHAnsi" w:cstheme="minorBidi"/>
      <w:b/>
      <w:bCs/>
      <w:sz w:val="22"/>
      <w:szCs w:val="18"/>
      <w:lang w:eastAsia="en-US"/>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basedOn w:val="DefaultParagraphFont"/>
    <w:link w:val="Caption"/>
    <w:uiPriority w:val="35"/>
    <w:rsid w:val="00C273D0"/>
    <w:rPr>
      <w:rFonts w:ascii="Calibri" w:eastAsiaTheme="minorHAnsi" w:hAnsi="Calibri" w:cstheme="minorBidi"/>
      <w:b/>
      <w:bCs/>
      <w:sz w:val="22"/>
      <w:szCs w:val="18"/>
      <w:lang w:eastAsia="en-US"/>
    </w:rPr>
  </w:style>
  <w:style w:type="paragraph" w:customStyle="1" w:styleId="Tablecentre">
    <w:name w:val="Table centre"/>
    <w:basedOn w:val="TableText"/>
    <w:qFormat/>
    <w:rsid w:val="00C273D0"/>
    <w:pPr>
      <w:keepNext w:val="0"/>
      <w:jc w:val="center"/>
    </w:pPr>
    <w:rPr>
      <w:rFonts w:asciiTheme="minorHAnsi" w:eastAsiaTheme="minorHAnsi" w:hAnsiTheme="minorHAnsi" w:cstheme="minorBidi"/>
      <w:bCs w:val="0"/>
      <w:szCs w:val="20"/>
      <w:lang w:eastAsia="en-US"/>
    </w:rPr>
  </w:style>
  <w:style w:type="character" w:customStyle="1" w:styleId="ListParagraphChar">
    <w:name w:val="List Paragraph Char"/>
    <w:aliases w:val="BulletPoints Char,Numbered para Char,Bullet point Char,List Paragraph1 Char,List Paragraph11 Char,Recommendation Char,Styl moj Char,Akapit z listą11 Char,Table Legend Char,Footnote Char,ES Paragraph Char,PBAC ES Paragraph Char,L Char"/>
    <w:basedOn w:val="DefaultParagraphFont"/>
    <w:link w:val="ListParagraph"/>
    <w:uiPriority w:val="34"/>
    <w:qFormat/>
    <w:locked/>
    <w:rsid w:val="008879C0"/>
    <w:rPr>
      <w:rFonts w:ascii="Calibri" w:hAnsi="Calibri" w:cs="Arial"/>
      <w:sz w:val="24"/>
      <w:szCs w:val="24"/>
    </w:rPr>
  </w:style>
  <w:style w:type="paragraph" w:customStyle="1" w:styleId="TableHeading">
    <w:name w:val="Table Heading"/>
    <w:basedOn w:val="TableText"/>
    <w:link w:val="TableHeadingChar"/>
    <w:qFormat/>
    <w:rsid w:val="00486765"/>
    <w:pPr>
      <w:keepLines/>
    </w:pPr>
    <w:rPr>
      <w:rFonts w:cs="Arial"/>
      <w:b/>
      <w:bCs w:val="0"/>
      <w:szCs w:val="20"/>
      <w:lang w:bidi="en-US"/>
    </w:rPr>
  </w:style>
  <w:style w:type="character" w:customStyle="1" w:styleId="TableHeadingChar">
    <w:name w:val="Table Heading Char"/>
    <w:link w:val="TableHeading"/>
    <w:rsid w:val="00486765"/>
    <w:rPr>
      <w:rFonts w:ascii="Arial Narrow" w:eastAsiaTheme="majorEastAsia" w:hAnsi="Arial Narrow" w:cs="Arial"/>
      <w:b/>
      <w:lang w:bidi="en-US"/>
    </w:rPr>
  </w:style>
  <w:style w:type="numbering" w:customStyle="1" w:styleId="SectionBi">
    <w:name w:val="Section Bi"/>
    <w:uiPriority w:val="99"/>
    <w:rsid w:val="0095757F"/>
    <w:pPr>
      <w:numPr>
        <w:numId w:val="9"/>
      </w:numPr>
    </w:pPr>
  </w:style>
  <w:style w:type="paragraph" w:styleId="TOC4">
    <w:name w:val="toc 4"/>
    <w:basedOn w:val="Normal"/>
    <w:next w:val="Normal"/>
    <w:autoRedefine/>
    <w:uiPriority w:val="39"/>
    <w:unhideWhenUsed/>
    <w:rsid w:val="00BF1A3C"/>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F1A3C"/>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F1A3C"/>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F1A3C"/>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F1A3C"/>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F1A3C"/>
    <w:pPr>
      <w:spacing w:after="100" w:line="259" w:lineRule="auto"/>
      <w:ind w:left="1760"/>
      <w:jc w:val="left"/>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BF1A3C"/>
    <w:rPr>
      <w:color w:val="605E5C"/>
      <w:shd w:val="clear" w:color="auto" w:fill="E1DFDD"/>
    </w:rPr>
  </w:style>
  <w:style w:type="table" w:styleId="LightShading">
    <w:name w:val="Light Shading"/>
    <w:basedOn w:val="TableNormal"/>
    <w:uiPriority w:val="60"/>
    <w:rsid w:val="00F041EF"/>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yneviNormal">
    <w:name w:val="Synevi Normal"/>
    <w:basedOn w:val="Normal"/>
    <w:link w:val="SyneviNormalChar"/>
    <w:qFormat/>
    <w:rsid w:val="00F041EF"/>
    <w:pPr>
      <w:spacing w:line="360" w:lineRule="auto"/>
    </w:pPr>
    <w:rPr>
      <w:rFonts w:asciiTheme="minorHAnsi" w:hAnsiTheme="minorHAnsi" w:cs="Times New Roman"/>
      <w:sz w:val="22"/>
      <w:szCs w:val="20"/>
      <w:lang w:val="en-US" w:eastAsia="en-US"/>
    </w:rPr>
  </w:style>
  <w:style w:type="character" w:customStyle="1" w:styleId="SyneviNormalChar">
    <w:name w:val="Synevi Normal Char"/>
    <w:basedOn w:val="DefaultParagraphFont"/>
    <w:link w:val="SyneviNormal"/>
    <w:rsid w:val="00F041EF"/>
    <w:rPr>
      <w:rFonts w:asciiTheme="minorHAnsi" w:hAnsiTheme="minorHAnsi"/>
      <w:sz w:val="22"/>
      <w:lang w:val="en-US" w:eastAsia="en-US"/>
    </w:rPr>
  </w:style>
  <w:style w:type="paragraph" w:customStyle="1" w:styleId="Tabletext0">
    <w:name w:val="Table text"/>
    <w:basedOn w:val="Normal"/>
    <w:link w:val="TabletextChar0"/>
    <w:uiPriority w:val="4"/>
    <w:qFormat/>
    <w:rsid w:val="00AF12CE"/>
    <w:rPr>
      <w:rFonts w:ascii="Arial Narrow" w:hAnsi="Arial Narrow" w:cs="Times New Roman"/>
      <w:sz w:val="20"/>
      <w:szCs w:val="20"/>
      <w:lang w:eastAsia="en-US"/>
    </w:rPr>
  </w:style>
  <w:style w:type="character" w:customStyle="1" w:styleId="TabletextChar0">
    <w:name w:val="Table text Char"/>
    <w:link w:val="Tabletext0"/>
    <w:uiPriority w:val="4"/>
    <w:rsid w:val="00AF12CE"/>
    <w:rPr>
      <w:rFonts w:ascii="Arial Narrow" w:hAnsi="Arial Narrow"/>
      <w:lang w:eastAsia="en-US"/>
    </w:rPr>
  </w:style>
  <w:style w:type="paragraph" w:customStyle="1" w:styleId="V50Instructions">
    <w:name w:val="V5.0 Instructions"/>
    <w:basedOn w:val="Normal"/>
    <w:link w:val="V50InstructionsChar"/>
    <w:qFormat/>
    <w:rsid w:val="00D6238C"/>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D6238C"/>
    <w:rPr>
      <w:rFonts w:asciiTheme="minorHAnsi" w:eastAsiaTheme="minorHAnsi" w:hAnsiTheme="minorHAnsi" w:cstheme="minorBidi"/>
      <w:color w:val="4BACC6" w:themeColor="accent5"/>
      <w:sz w:val="24"/>
      <w:szCs w:val="22"/>
      <w:lang w:eastAsia="en-US"/>
    </w:rPr>
  </w:style>
  <w:style w:type="paragraph" w:styleId="FootnoteText">
    <w:name w:val="footnote text"/>
    <w:basedOn w:val="Normal"/>
    <w:link w:val="FootnoteTextChar"/>
    <w:rsid w:val="00712527"/>
    <w:pPr>
      <w:spacing w:before="360" w:after="120" w:line="360" w:lineRule="auto"/>
      <w:jc w:val="left"/>
    </w:pPr>
    <w:rPr>
      <w:rFonts w:ascii="Arial" w:hAnsi="Arial" w:cs="Times New Roman"/>
      <w:sz w:val="20"/>
      <w:szCs w:val="20"/>
      <w:lang w:eastAsia="en-US"/>
    </w:rPr>
  </w:style>
  <w:style w:type="character" w:customStyle="1" w:styleId="FootnoteTextChar">
    <w:name w:val="Footnote Text Char"/>
    <w:basedOn w:val="DefaultParagraphFont"/>
    <w:link w:val="FootnoteText"/>
    <w:rsid w:val="00712527"/>
    <w:rPr>
      <w:rFonts w:ascii="Arial" w:hAnsi="Arial"/>
      <w:lang w:eastAsia="en-US"/>
    </w:rPr>
  </w:style>
  <w:style w:type="character" w:styleId="FootnoteReference">
    <w:name w:val="footnote reference"/>
    <w:basedOn w:val="DefaultParagraphFont"/>
    <w:rsid w:val="00712527"/>
    <w:rPr>
      <w:rFonts w:cs="Times New Roman"/>
      <w:vertAlign w:val="superscript"/>
    </w:rPr>
  </w:style>
  <w:style w:type="paragraph" w:customStyle="1" w:styleId="Tablefootnote">
    <w:name w:val="Table footnote"/>
    <w:basedOn w:val="Normal"/>
    <w:link w:val="TablefootnoteChar"/>
    <w:autoRedefine/>
    <w:qFormat/>
    <w:rsid w:val="00712527"/>
    <w:pPr>
      <w:spacing w:after="120"/>
      <w:contextualSpacing/>
      <w:jc w:val="left"/>
    </w:pPr>
    <w:rPr>
      <w:rFonts w:ascii="Arial Narrow" w:hAnsi="Arial Narrow" w:cs="Times New Roman"/>
      <w:sz w:val="18"/>
      <w:szCs w:val="18"/>
      <w:lang w:eastAsia="en-US"/>
    </w:rPr>
  </w:style>
  <w:style w:type="character" w:customStyle="1" w:styleId="TablefootnoteChar">
    <w:name w:val="Table footnote Char"/>
    <w:basedOn w:val="DefaultParagraphFont"/>
    <w:link w:val="Tablefootnote"/>
    <w:rsid w:val="00712527"/>
    <w:rPr>
      <w:rFonts w:ascii="Arial Narrow" w:hAnsi="Arial Narrow"/>
      <w:sz w:val="18"/>
      <w:szCs w:val="18"/>
      <w:lang w:eastAsia="en-US"/>
    </w:rPr>
  </w:style>
  <w:style w:type="table" w:customStyle="1" w:styleId="newstyle1">
    <w:name w:val="new style1"/>
    <w:basedOn w:val="TableNormal"/>
    <w:next w:val="TableGrid"/>
    <w:uiPriority w:val="59"/>
    <w:rsid w:val="00712527"/>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Char">
    <w:name w:val="Body Text1 Char"/>
    <w:link w:val="BodyText1"/>
    <w:locked/>
    <w:rsid w:val="00712527"/>
    <w:rPr>
      <w:rFonts w:ascii="Arial" w:hAnsi="Arial"/>
      <w:sz w:val="22"/>
      <w:szCs w:val="22"/>
      <w:lang w:val="en-US" w:eastAsia="en-GB"/>
    </w:rPr>
  </w:style>
  <w:style w:type="paragraph" w:customStyle="1" w:styleId="BodyText1">
    <w:name w:val="Body Text1"/>
    <w:basedOn w:val="Normal"/>
    <w:link w:val="BodyText1Char"/>
    <w:qFormat/>
    <w:rsid w:val="00712527"/>
    <w:pPr>
      <w:widowControl w:val="0"/>
      <w:spacing w:before="120" w:after="120" w:line="276" w:lineRule="auto"/>
    </w:pPr>
    <w:rPr>
      <w:rFonts w:ascii="Arial" w:hAnsi="Arial" w:cs="Times New Roman"/>
      <w:sz w:val="22"/>
      <w:szCs w:val="22"/>
      <w:lang w:val="en-US" w:eastAsia="en-GB"/>
    </w:rPr>
  </w:style>
  <w:style w:type="paragraph" w:customStyle="1" w:styleId="Sources">
    <w:name w:val="Sources"/>
    <w:basedOn w:val="Normal"/>
    <w:qFormat/>
    <w:rsid w:val="00712527"/>
    <w:rPr>
      <w:rFonts w:eastAsiaTheme="minorHAnsi" w:cstheme="minorBidi"/>
      <w:sz w:val="18"/>
      <w:szCs w:val="22"/>
      <w:lang w:eastAsia="en-US"/>
    </w:rPr>
  </w:style>
  <w:style w:type="character" w:customStyle="1" w:styleId="Heading1Char">
    <w:name w:val="Heading 1 Char"/>
    <w:basedOn w:val="DefaultParagraphFont"/>
    <w:link w:val="Heading1"/>
    <w:uiPriority w:val="1"/>
    <w:rsid w:val="000A1519"/>
    <w:rPr>
      <w:rFonts w:ascii="Calibri" w:hAnsi="Calibri" w:cs="Arial"/>
      <w:b/>
      <w:caps/>
      <w:sz w:val="32"/>
      <w:szCs w:val="24"/>
    </w:rPr>
  </w:style>
  <w:style w:type="character" w:customStyle="1" w:styleId="Heading3Char">
    <w:name w:val="Heading 3 Char"/>
    <w:basedOn w:val="DefaultParagraphFont"/>
    <w:link w:val="Heading3"/>
    <w:rsid w:val="000A1519"/>
    <w:rPr>
      <w:rFonts w:ascii="Calibri" w:hAnsi="Calibri" w:cs="Arial"/>
      <w:sz w:val="24"/>
      <w:szCs w:val="24"/>
      <w:u w:val="single"/>
    </w:rPr>
  </w:style>
  <w:style w:type="character" w:customStyle="1" w:styleId="Heading4Char">
    <w:name w:val="Heading 4 Char"/>
    <w:basedOn w:val="DefaultParagraphFont"/>
    <w:link w:val="Heading4"/>
    <w:rsid w:val="000A1519"/>
    <w:rPr>
      <w:rFonts w:ascii="Calibri" w:hAnsi="Calibri" w:cs="Arial"/>
      <w:b/>
      <w:bCs/>
      <w:i/>
      <w:sz w:val="26"/>
      <w:szCs w:val="28"/>
    </w:rPr>
  </w:style>
  <w:style w:type="character" w:customStyle="1" w:styleId="Heading5Char">
    <w:name w:val="Heading 5 Char"/>
    <w:basedOn w:val="DefaultParagraphFont"/>
    <w:link w:val="Heading5"/>
    <w:rsid w:val="000A1519"/>
    <w:rPr>
      <w:rFonts w:ascii="Calibri" w:hAnsi="Calibri" w:cs="Arial"/>
      <w:b/>
      <w:bCs/>
      <w:iCs/>
      <w:sz w:val="26"/>
      <w:szCs w:val="26"/>
    </w:rPr>
  </w:style>
  <w:style w:type="character" w:customStyle="1" w:styleId="Heading6Char">
    <w:name w:val="Heading 6 Char"/>
    <w:basedOn w:val="DefaultParagraphFont"/>
    <w:link w:val="Heading6"/>
    <w:rsid w:val="000A1519"/>
    <w:rPr>
      <w:rFonts w:ascii="Calibri" w:hAnsi="Calibri" w:cs="Arial"/>
      <w:b/>
      <w:bCs/>
      <w:i/>
      <w:sz w:val="24"/>
      <w:szCs w:val="24"/>
    </w:rPr>
  </w:style>
  <w:style w:type="table" w:customStyle="1" w:styleId="TableGrid2">
    <w:name w:val="Table Grid2"/>
    <w:basedOn w:val="TableNormal"/>
    <w:next w:val="TableGrid"/>
    <w:uiPriority w:val="39"/>
    <w:rsid w:val="00741905"/>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qFormat/>
    <w:rsid w:val="00FB0D10"/>
    <w:pPr>
      <w:ind w:left="720" w:hanging="720"/>
      <w:outlineLvl w:val="0"/>
    </w:pPr>
    <w:rPr>
      <w:rFonts w:ascii="Calibri" w:hAnsi="Calibri" w:cs="Calibri"/>
      <w:b/>
      <w:snapToGrid w:val="0"/>
      <w:sz w:val="32"/>
      <w:szCs w:val="32"/>
      <w:lang w:eastAsia="en-US"/>
    </w:rPr>
  </w:style>
  <w:style w:type="paragraph" w:customStyle="1" w:styleId="V50Heading2nonumbers">
    <w:name w:val="V5.0 Heading 2 no numbers"/>
    <w:basedOn w:val="Heading2"/>
    <w:qFormat/>
    <w:rsid w:val="004A6F27"/>
    <w:pPr>
      <w:keepNext/>
      <w:keepLines/>
      <w:spacing w:before="240" w:after="120"/>
      <w:ind w:left="578" w:hanging="578"/>
      <w:jc w:val="left"/>
    </w:pPr>
    <w:rPr>
      <w:rFonts w:cs="Times New Roman"/>
      <w:szCs w:val="28"/>
      <w:lang w:eastAsia="en-US"/>
    </w:rPr>
  </w:style>
  <w:style w:type="paragraph" w:styleId="NoSpacing">
    <w:name w:val="No Spacing"/>
    <w:uiPriority w:val="1"/>
    <w:qFormat/>
    <w:rsid w:val="00A6154D"/>
    <w:rPr>
      <w:sz w:val="24"/>
      <w:szCs w:val="24"/>
      <w:lang w:eastAsia="en-US"/>
    </w:rPr>
  </w:style>
  <w:style w:type="character" w:customStyle="1" w:styleId="UnresolvedMention2">
    <w:name w:val="Unresolved Mention2"/>
    <w:basedOn w:val="DefaultParagraphFont"/>
    <w:uiPriority w:val="99"/>
    <w:semiHidden/>
    <w:unhideWhenUsed/>
    <w:rsid w:val="00532004"/>
    <w:rPr>
      <w:color w:val="605E5C"/>
      <w:shd w:val="clear" w:color="auto" w:fill="E1DFDD"/>
    </w:rPr>
  </w:style>
  <w:style w:type="paragraph" w:styleId="NormalWeb">
    <w:name w:val="Normal (Web)"/>
    <w:basedOn w:val="Normal"/>
    <w:uiPriority w:val="99"/>
    <w:semiHidden/>
    <w:unhideWhenUsed/>
    <w:rsid w:val="00BA0DD0"/>
    <w:pPr>
      <w:spacing w:before="100" w:beforeAutospacing="1" w:after="100" w:afterAutospacing="1"/>
      <w:jc w:val="left"/>
    </w:pPr>
    <w:rPr>
      <w:rFonts w:ascii="Times New Roman" w:hAnsi="Times New Roman" w:cs="Times New Roman"/>
    </w:rPr>
  </w:style>
  <w:style w:type="paragraph" w:customStyle="1" w:styleId="3-BodyText">
    <w:name w:val="3-Body Text"/>
    <w:basedOn w:val="ListParagraph"/>
    <w:link w:val="3-BodyTextChar"/>
    <w:qFormat/>
    <w:rsid w:val="00BA504B"/>
    <w:pPr>
      <w:spacing w:after="120"/>
      <w:ind w:hanging="720"/>
      <w:contextualSpacing w:val="0"/>
    </w:pPr>
    <w:rPr>
      <w:rFonts w:asciiTheme="minorHAnsi" w:hAnsiTheme="minorHAnsi"/>
      <w:snapToGrid w:val="0"/>
    </w:rPr>
  </w:style>
  <w:style w:type="paragraph" w:customStyle="1" w:styleId="1MainTitle">
    <w:name w:val="1. Main Title"/>
    <w:basedOn w:val="Title"/>
    <w:link w:val="1MainTitleChar"/>
    <w:qFormat/>
    <w:rsid w:val="00E00F4A"/>
    <w:pPr>
      <w:spacing w:before="120" w:after="160"/>
      <w:ind w:left="720" w:hanging="720"/>
      <w:outlineLvl w:val="0"/>
    </w:pPr>
    <w:rPr>
      <w:rFonts w:asciiTheme="minorHAnsi" w:hAnsiTheme="minorHAnsi"/>
      <w:b/>
      <w:spacing w:val="5"/>
      <w:sz w:val="36"/>
      <w:szCs w:val="36"/>
      <w:lang w:eastAsia="en-US"/>
    </w:rPr>
  </w:style>
  <w:style w:type="character" w:customStyle="1" w:styleId="1MainTitleChar">
    <w:name w:val="1. Main Title Char"/>
    <w:basedOn w:val="TitleChar"/>
    <w:link w:val="1MainTitle"/>
    <w:rsid w:val="00E00F4A"/>
    <w:rPr>
      <w:rFonts w:asciiTheme="minorHAnsi" w:eastAsiaTheme="majorEastAsia" w:hAnsiTheme="minorHAnsi" w:cstheme="majorBidi"/>
      <w:b/>
      <w:spacing w:val="5"/>
      <w:kern w:val="28"/>
      <w:sz w:val="36"/>
      <w:szCs w:val="36"/>
      <w:lang w:eastAsia="en-US"/>
    </w:rPr>
  </w:style>
  <w:style w:type="character" w:customStyle="1" w:styleId="3-BodyTextChar">
    <w:name w:val="3-Body Text Char"/>
    <w:basedOn w:val="DefaultParagraphFont"/>
    <w:link w:val="3-BodyText"/>
    <w:rsid w:val="00E00F4A"/>
    <w:rPr>
      <w:rFonts w:asciiTheme="minorHAnsi" w:hAnsiTheme="minorHAnsi" w:cs="Arial"/>
      <w:snapToGrid w:val="0"/>
      <w:sz w:val="24"/>
      <w:szCs w:val="24"/>
    </w:rPr>
  </w:style>
  <w:style w:type="table" w:customStyle="1" w:styleId="Tabellengitternetz9pt1">
    <w:name w:val="Tabellengitternetz 9pt1"/>
    <w:basedOn w:val="TableNormal"/>
    <w:next w:val="TableGrid"/>
    <w:uiPriority w:val="39"/>
    <w:rsid w:val="00E00F4A"/>
    <w:rPr>
      <w:rFonts w:eastAsia="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E00F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00F4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8694020">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63250754">
      <w:bodyDiv w:val="1"/>
      <w:marLeft w:val="0"/>
      <w:marRight w:val="0"/>
      <w:marTop w:val="0"/>
      <w:marBottom w:val="0"/>
      <w:divBdr>
        <w:top w:val="none" w:sz="0" w:space="0" w:color="auto"/>
        <w:left w:val="none" w:sz="0" w:space="0" w:color="auto"/>
        <w:bottom w:val="none" w:sz="0" w:space="0" w:color="auto"/>
        <w:right w:val="none" w:sz="0" w:space="0" w:color="auto"/>
      </w:divBdr>
      <w:divsChild>
        <w:div w:id="911428892">
          <w:marLeft w:val="360"/>
          <w:marRight w:val="0"/>
          <w:marTop w:val="200"/>
          <w:marBottom w:val="0"/>
          <w:divBdr>
            <w:top w:val="none" w:sz="0" w:space="0" w:color="auto"/>
            <w:left w:val="none" w:sz="0" w:space="0" w:color="auto"/>
            <w:bottom w:val="none" w:sz="0" w:space="0" w:color="auto"/>
            <w:right w:val="none" w:sz="0" w:space="0" w:color="auto"/>
          </w:divBdr>
        </w:div>
        <w:div w:id="1679966806">
          <w:marLeft w:val="360"/>
          <w:marRight w:val="0"/>
          <w:marTop w:val="20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92848342">
      <w:bodyDiv w:val="1"/>
      <w:marLeft w:val="0"/>
      <w:marRight w:val="0"/>
      <w:marTop w:val="0"/>
      <w:marBottom w:val="0"/>
      <w:divBdr>
        <w:top w:val="none" w:sz="0" w:space="0" w:color="auto"/>
        <w:left w:val="none" w:sz="0" w:space="0" w:color="auto"/>
        <w:bottom w:val="none" w:sz="0" w:space="0" w:color="auto"/>
        <w:right w:val="none" w:sz="0" w:space="0" w:color="auto"/>
      </w:divBdr>
    </w:div>
    <w:div w:id="600989797">
      <w:bodyDiv w:val="1"/>
      <w:marLeft w:val="0"/>
      <w:marRight w:val="0"/>
      <w:marTop w:val="0"/>
      <w:marBottom w:val="0"/>
      <w:divBdr>
        <w:top w:val="none" w:sz="0" w:space="0" w:color="auto"/>
        <w:left w:val="none" w:sz="0" w:space="0" w:color="auto"/>
        <w:bottom w:val="none" w:sz="0" w:space="0" w:color="auto"/>
        <w:right w:val="none" w:sz="0" w:space="0" w:color="auto"/>
      </w:divBdr>
    </w:div>
    <w:div w:id="694622023">
      <w:bodyDiv w:val="1"/>
      <w:marLeft w:val="0"/>
      <w:marRight w:val="0"/>
      <w:marTop w:val="0"/>
      <w:marBottom w:val="0"/>
      <w:divBdr>
        <w:top w:val="none" w:sz="0" w:space="0" w:color="auto"/>
        <w:left w:val="none" w:sz="0" w:space="0" w:color="auto"/>
        <w:bottom w:val="none" w:sz="0" w:space="0" w:color="auto"/>
        <w:right w:val="none" w:sz="0" w:space="0" w:color="auto"/>
      </w:divBdr>
    </w:div>
    <w:div w:id="771897534">
      <w:bodyDiv w:val="1"/>
      <w:marLeft w:val="0"/>
      <w:marRight w:val="0"/>
      <w:marTop w:val="0"/>
      <w:marBottom w:val="0"/>
      <w:divBdr>
        <w:top w:val="none" w:sz="0" w:space="0" w:color="auto"/>
        <w:left w:val="none" w:sz="0" w:space="0" w:color="auto"/>
        <w:bottom w:val="none" w:sz="0" w:space="0" w:color="auto"/>
        <w:right w:val="none" w:sz="0" w:space="0" w:color="auto"/>
      </w:divBdr>
      <w:divsChild>
        <w:div w:id="1861817052">
          <w:marLeft w:val="360"/>
          <w:marRight w:val="0"/>
          <w:marTop w:val="200"/>
          <w:marBottom w:val="0"/>
          <w:divBdr>
            <w:top w:val="none" w:sz="0" w:space="0" w:color="auto"/>
            <w:left w:val="none" w:sz="0" w:space="0" w:color="auto"/>
            <w:bottom w:val="none" w:sz="0" w:space="0" w:color="auto"/>
            <w:right w:val="none" w:sz="0" w:space="0" w:color="auto"/>
          </w:divBdr>
        </w:div>
        <w:div w:id="1713725630">
          <w:marLeft w:val="360"/>
          <w:marRight w:val="0"/>
          <w:marTop w:val="200"/>
          <w:marBottom w:val="0"/>
          <w:divBdr>
            <w:top w:val="none" w:sz="0" w:space="0" w:color="auto"/>
            <w:left w:val="none" w:sz="0" w:space="0" w:color="auto"/>
            <w:bottom w:val="none" w:sz="0" w:space="0" w:color="auto"/>
            <w:right w:val="none" w:sz="0" w:space="0" w:color="auto"/>
          </w:divBdr>
        </w:div>
        <w:div w:id="1743409739">
          <w:marLeft w:val="360"/>
          <w:marRight w:val="0"/>
          <w:marTop w:val="200"/>
          <w:marBottom w:val="0"/>
          <w:divBdr>
            <w:top w:val="none" w:sz="0" w:space="0" w:color="auto"/>
            <w:left w:val="none" w:sz="0" w:space="0" w:color="auto"/>
            <w:bottom w:val="none" w:sz="0" w:space="0" w:color="auto"/>
            <w:right w:val="none" w:sz="0" w:space="0" w:color="auto"/>
          </w:divBdr>
        </w:div>
        <w:div w:id="337318710">
          <w:marLeft w:val="360"/>
          <w:marRight w:val="0"/>
          <w:marTop w:val="200"/>
          <w:marBottom w:val="0"/>
          <w:divBdr>
            <w:top w:val="none" w:sz="0" w:space="0" w:color="auto"/>
            <w:left w:val="none" w:sz="0" w:space="0" w:color="auto"/>
            <w:bottom w:val="none" w:sz="0" w:space="0" w:color="auto"/>
            <w:right w:val="none" w:sz="0" w:space="0" w:color="auto"/>
          </w:divBdr>
        </w:div>
        <w:div w:id="1481077379">
          <w:marLeft w:val="360"/>
          <w:marRight w:val="0"/>
          <w:marTop w:val="200"/>
          <w:marBottom w:val="0"/>
          <w:divBdr>
            <w:top w:val="none" w:sz="0" w:space="0" w:color="auto"/>
            <w:left w:val="none" w:sz="0" w:space="0" w:color="auto"/>
            <w:bottom w:val="none" w:sz="0" w:space="0" w:color="auto"/>
            <w:right w:val="none" w:sz="0" w:space="0" w:color="auto"/>
          </w:divBdr>
        </w:div>
      </w:divsChild>
    </w:div>
    <w:div w:id="1142038504">
      <w:bodyDiv w:val="1"/>
      <w:marLeft w:val="0"/>
      <w:marRight w:val="0"/>
      <w:marTop w:val="0"/>
      <w:marBottom w:val="0"/>
      <w:divBdr>
        <w:top w:val="none" w:sz="0" w:space="0" w:color="auto"/>
        <w:left w:val="none" w:sz="0" w:space="0" w:color="auto"/>
        <w:bottom w:val="none" w:sz="0" w:space="0" w:color="auto"/>
        <w:right w:val="none" w:sz="0" w:space="0" w:color="auto"/>
      </w:divBdr>
    </w:div>
    <w:div w:id="114874636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7236">
      <w:bodyDiv w:val="1"/>
      <w:marLeft w:val="0"/>
      <w:marRight w:val="0"/>
      <w:marTop w:val="0"/>
      <w:marBottom w:val="0"/>
      <w:divBdr>
        <w:top w:val="none" w:sz="0" w:space="0" w:color="auto"/>
        <w:left w:val="none" w:sz="0" w:space="0" w:color="auto"/>
        <w:bottom w:val="none" w:sz="0" w:space="0" w:color="auto"/>
        <w:right w:val="none" w:sz="0" w:space="0" w:color="auto"/>
      </w:divBdr>
    </w:div>
    <w:div w:id="1597324787">
      <w:bodyDiv w:val="1"/>
      <w:marLeft w:val="0"/>
      <w:marRight w:val="0"/>
      <w:marTop w:val="0"/>
      <w:marBottom w:val="0"/>
      <w:divBdr>
        <w:top w:val="none" w:sz="0" w:space="0" w:color="auto"/>
        <w:left w:val="none" w:sz="0" w:space="0" w:color="auto"/>
        <w:bottom w:val="none" w:sz="0" w:space="0" w:color="auto"/>
        <w:right w:val="none" w:sz="0" w:space="0" w:color="auto"/>
      </w:divBdr>
    </w:div>
    <w:div w:id="1699626370">
      <w:bodyDiv w:val="1"/>
      <w:marLeft w:val="0"/>
      <w:marRight w:val="0"/>
      <w:marTop w:val="0"/>
      <w:marBottom w:val="0"/>
      <w:divBdr>
        <w:top w:val="none" w:sz="0" w:space="0" w:color="auto"/>
        <w:left w:val="none" w:sz="0" w:space="0" w:color="auto"/>
        <w:bottom w:val="none" w:sz="0" w:space="0" w:color="auto"/>
        <w:right w:val="none" w:sz="0" w:space="0" w:color="auto"/>
      </w:divBdr>
    </w:div>
    <w:div w:id="1821916945">
      <w:bodyDiv w:val="1"/>
      <w:marLeft w:val="0"/>
      <w:marRight w:val="0"/>
      <w:marTop w:val="0"/>
      <w:marBottom w:val="0"/>
      <w:divBdr>
        <w:top w:val="none" w:sz="0" w:space="0" w:color="auto"/>
        <w:left w:val="none" w:sz="0" w:space="0" w:color="auto"/>
        <w:bottom w:val="none" w:sz="0" w:space="0" w:color="auto"/>
        <w:right w:val="none" w:sz="0" w:space="0" w:color="auto"/>
      </w:divBdr>
    </w:div>
    <w:div w:id="183633755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329079/" TargetMode="External"/><Relationship Id="rId13" Type="http://schemas.openxmlformats.org/officeDocument/2006/relationships/hyperlink" Target="https://www.ncbi.nlm.nih.gov/pmc/articles/PMC4706482/"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ww.ncbi.nlm.nih.gov/pmc/articles/PMC4706482/"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474480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ncbi.nlm.nih.gov/pmc/articles/PMC4744804/"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urldefense.com/v3/__https:/pubmed.ncbi.nlm.nih.gov/25985921/__;!!N3hqHg43uw!uxQCJG6lcgH6MMvj1cJ6OfMr66nekIkn8dybrc92sHiZdgHH7kJFJrn7Q_lwjBB8vggF5kxSnUnPCyC_pcu_ZAsPgEfeUQ$" TargetMode="External"/><Relationship Id="rId14" Type="http://schemas.openxmlformats.org/officeDocument/2006/relationships/hyperlink" Target="https://www.ncbi.nlm.nih.gov/pmc/articles/PMC4706482/" TargetMode="External"/><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8D0DF-ABA1-4A7E-8A8B-B6ABC0CE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30348</Words>
  <Characters>172984</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2023-02-27T04:49:00Z</dcterms:created>
  <dcterms:modified xsi:type="dcterms:W3CDTF">2023-02-27T04:50:00Z</dcterms:modified>
</cp:coreProperties>
</file>