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DD33" w14:textId="026D9D24" w:rsidR="009C29A2" w:rsidRPr="00001499" w:rsidRDefault="009C29A2" w:rsidP="009C29A2">
      <w:pPr>
        <w:pStyle w:val="1-MainHeading"/>
        <w:ind w:left="851" w:hanging="851"/>
      </w:pPr>
      <w:bookmarkStart w:id="0" w:name="_Toc22898842"/>
      <w:bookmarkStart w:id="1" w:name="_Toc93410944"/>
      <w:r w:rsidRPr="00001499">
        <w:t>5.</w:t>
      </w:r>
      <w:r w:rsidR="008158B1" w:rsidRPr="00001499">
        <w:t>01</w:t>
      </w:r>
      <w:r w:rsidRPr="00001499">
        <w:tab/>
        <w:t>QUADRIVALENT INFLUENZA VACCINE (SURFACE ANTIGEN, INACTIVATED, CELL-BASED),</w:t>
      </w:r>
      <w:r w:rsidRPr="00001499">
        <w:br/>
        <w:t>Injection 15 microgram in 0.5 mL needle-free pre-filled syringe,</w:t>
      </w:r>
      <w:r w:rsidRPr="00001499">
        <w:br/>
        <w:t>Injection 15 microgram in 0.5 mL pre-filled syringe with attached needle,</w:t>
      </w:r>
      <w:r w:rsidRPr="00001499">
        <w:br/>
        <w:t>Flucelvax® Quad,</w:t>
      </w:r>
      <w:r w:rsidRPr="00001499">
        <w:br/>
        <w:t>Seqirus (Australia) Pty Ltd.</w:t>
      </w:r>
      <w:bookmarkEnd w:id="0"/>
      <w:bookmarkEnd w:id="1"/>
    </w:p>
    <w:p w14:paraId="07683C31" w14:textId="77777777" w:rsidR="009C29A2" w:rsidRPr="00001499" w:rsidRDefault="009C29A2" w:rsidP="009C29A2">
      <w:pPr>
        <w:pStyle w:val="2-SectionHeading"/>
      </w:pPr>
      <w:bookmarkStart w:id="2" w:name="_Toc93410946"/>
      <w:r w:rsidRPr="00001499">
        <w:t>Purpose of submission</w:t>
      </w:r>
      <w:bookmarkEnd w:id="2"/>
    </w:p>
    <w:p w14:paraId="44D9DB66" w14:textId="3DCAD47E" w:rsidR="009C29A2" w:rsidRPr="00001499" w:rsidRDefault="009C29A2" w:rsidP="00AA46C6">
      <w:pPr>
        <w:pStyle w:val="3-BodyText"/>
        <w:ind w:left="709"/>
      </w:pPr>
      <w:r w:rsidRPr="00001499">
        <w:t xml:space="preserve">The Category 2 submission requested listing on the National Immunisation Program (NIP) Schedule for a quadrivalent influenza virus vaccine, surface antigen, inactivated, cell-based (QIVc, Flucelvax® Quad) for the prevention of influenza in children aged ≥2 to &lt;5 years, Aboriginal and Torres Strait Islander people </w:t>
      </w:r>
      <w:bookmarkStart w:id="3" w:name="_Hlk90298980"/>
      <w:r w:rsidRPr="00001499">
        <w:t>aged ≥2 to &lt;65 years</w:t>
      </w:r>
      <w:bookmarkEnd w:id="3"/>
      <w:r w:rsidRPr="00001499">
        <w:t xml:space="preserve">, people at increased risk of influenza disease complications aged ≥2 to &lt;65 years and pregnant women. </w:t>
      </w:r>
      <w:r w:rsidR="00EC0A50">
        <w:t>T</w:t>
      </w:r>
      <w:r w:rsidR="00EC0A50" w:rsidRPr="00001499">
        <w:t xml:space="preserve">he pre-PBAC </w:t>
      </w:r>
      <w:r w:rsidR="00F0285A">
        <w:t>R</w:t>
      </w:r>
      <w:r w:rsidR="00EC0A50" w:rsidRPr="00001499">
        <w:t>esponse</w:t>
      </w:r>
      <w:r w:rsidR="00EC0A50">
        <w:t xml:space="preserve"> requested </w:t>
      </w:r>
      <w:r w:rsidR="00211474">
        <w:t>a change to</w:t>
      </w:r>
      <w:r w:rsidR="00016276">
        <w:t xml:space="preserve"> </w:t>
      </w:r>
      <w:bookmarkStart w:id="4" w:name="_Hlk114484787"/>
      <w:r w:rsidR="00016276">
        <w:t>the populations proposed for</w:t>
      </w:r>
      <w:r w:rsidR="00211474">
        <w:t xml:space="preserve"> </w:t>
      </w:r>
      <w:bookmarkEnd w:id="4"/>
      <w:r w:rsidR="00211474">
        <w:t xml:space="preserve">listing </w:t>
      </w:r>
      <w:r w:rsidR="00016276">
        <w:t>by</w:t>
      </w:r>
      <w:r w:rsidR="00211474">
        <w:t xml:space="preserve"> </w:t>
      </w:r>
      <w:r w:rsidR="00EC0A50" w:rsidRPr="00001499">
        <w:t>exclud</w:t>
      </w:r>
      <w:r w:rsidR="00016276">
        <w:t>ing</w:t>
      </w:r>
      <w:r w:rsidR="00EC0A50" w:rsidRPr="00001499">
        <w:t xml:space="preserve"> children </w:t>
      </w:r>
      <w:r w:rsidR="00EC0A50">
        <w:t>aged</w:t>
      </w:r>
      <w:r w:rsidR="00EC0A50" w:rsidRPr="00001499">
        <w:t xml:space="preserve"> 2 to 4 years</w:t>
      </w:r>
      <w:r w:rsidR="00EC0A50">
        <w:t xml:space="preserve"> </w:t>
      </w:r>
      <w:r w:rsidR="006A49E5">
        <w:t xml:space="preserve">(see </w:t>
      </w:r>
      <w:r w:rsidR="006A49E5">
        <w:fldChar w:fldCharType="begin" w:fldLock="1"/>
      </w:r>
      <w:r w:rsidR="006A49E5">
        <w:instrText xml:space="preserve"> REF _Ref113789809 \h </w:instrText>
      </w:r>
      <w:r w:rsidR="006A49E5">
        <w:fldChar w:fldCharType="separate"/>
      </w:r>
      <w:r w:rsidR="005C1FE9" w:rsidRPr="00001499">
        <w:t xml:space="preserve">Table </w:t>
      </w:r>
      <w:r w:rsidR="005C1FE9">
        <w:rPr>
          <w:noProof/>
        </w:rPr>
        <w:t>1</w:t>
      </w:r>
      <w:r w:rsidR="006A49E5">
        <w:fldChar w:fldCharType="end"/>
      </w:r>
      <w:r w:rsidR="006A49E5">
        <w:t>)</w:t>
      </w:r>
      <w:r w:rsidR="00001499">
        <w:t xml:space="preserve">. </w:t>
      </w:r>
    </w:p>
    <w:p w14:paraId="74C2A959" w14:textId="77777777" w:rsidR="009C29A2" w:rsidRPr="00001499" w:rsidRDefault="009C29A2" w:rsidP="00AA46C6">
      <w:pPr>
        <w:pStyle w:val="3-BodyText"/>
        <w:ind w:left="709"/>
        <w:rPr>
          <w:rFonts w:ascii="Arial Narrow" w:eastAsiaTheme="majorEastAsia" w:hAnsi="Arial Narrow" w:cstheme="majorBidi"/>
          <w:b/>
          <w:bCs/>
          <w:sz w:val="20"/>
        </w:rPr>
      </w:pPr>
      <w:r w:rsidRPr="00001499">
        <w:t>Listing was requested on the basis of a cost-effectiveness analysis versus existing NIP-funded quadrivalent egg-based vaccines (QIVe</w:t>
      </w:r>
      <w:bookmarkStart w:id="5" w:name="_Ref71993509"/>
      <w:bookmarkStart w:id="6" w:name="_Toc86794546"/>
      <w:r w:rsidRPr="00001499">
        <w:t xml:space="preserve">). </w:t>
      </w:r>
    </w:p>
    <w:p w14:paraId="6AE7BE9B" w14:textId="0C49961C" w:rsidR="009C29A2" w:rsidRPr="00911F29" w:rsidRDefault="009C29A2" w:rsidP="009C29A2">
      <w:pPr>
        <w:pStyle w:val="TableHeading0"/>
        <w:rPr>
          <w:vertAlign w:val="superscript"/>
        </w:rPr>
      </w:pPr>
      <w:bookmarkStart w:id="7" w:name="_Ref113789809"/>
      <w:r w:rsidRPr="00001499">
        <w:lastRenderedPageBreak/>
        <w:t xml:space="preserve">Table </w:t>
      </w:r>
      <w:fldSimple w:instr=" SEQ Table \* ARABIC " w:fldLock="1">
        <w:r w:rsidR="005C1FE9">
          <w:rPr>
            <w:noProof/>
          </w:rPr>
          <w:t>1</w:t>
        </w:r>
      </w:fldSimple>
      <w:bookmarkEnd w:id="5"/>
      <w:bookmarkEnd w:id="7"/>
      <w:r w:rsidRPr="00001499">
        <w:t>: Key components of the clinical issue addressed by the submission</w:t>
      </w:r>
      <w:bookmarkEnd w:id="6"/>
      <w:r w:rsidR="00211474">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1"/>
      </w:tblPr>
      <w:tblGrid>
        <w:gridCol w:w="1415"/>
        <w:gridCol w:w="7602"/>
      </w:tblGrid>
      <w:tr w:rsidR="009C29A2" w:rsidRPr="00001499" w14:paraId="7C5DA575" w14:textId="77777777" w:rsidTr="00FC7A97">
        <w:trPr>
          <w:trHeight w:val="20"/>
        </w:trPr>
        <w:tc>
          <w:tcPr>
            <w:tcW w:w="1418" w:type="dxa"/>
            <w:shd w:val="clear" w:color="auto" w:fill="auto"/>
          </w:tcPr>
          <w:p w14:paraId="57882323" w14:textId="77777777" w:rsidR="009C29A2" w:rsidRPr="00001499" w:rsidRDefault="009C29A2" w:rsidP="00FC7A97">
            <w:pPr>
              <w:pStyle w:val="TableFigureHeading"/>
              <w:keepLines/>
              <w:widowControl w:val="0"/>
            </w:pPr>
            <w:r w:rsidRPr="00001499">
              <w:t>Component</w:t>
            </w:r>
          </w:p>
        </w:tc>
        <w:tc>
          <w:tcPr>
            <w:tcW w:w="7654" w:type="dxa"/>
            <w:shd w:val="clear" w:color="auto" w:fill="auto"/>
          </w:tcPr>
          <w:p w14:paraId="1CB8E609" w14:textId="77777777" w:rsidR="009C29A2" w:rsidRPr="00001499" w:rsidRDefault="009C29A2" w:rsidP="00FC7A97">
            <w:pPr>
              <w:pStyle w:val="TableFigureHeading"/>
              <w:keepLines/>
              <w:widowControl w:val="0"/>
            </w:pPr>
            <w:r w:rsidRPr="00001499">
              <w:t>Description</w:t>
            </w:r>
          </w:p>
        </w:tc>
      </w:tr>
      <w:tr w:rsidR="009C29A2" w:rsidRPr="00001499" w14:paraId="1D06AAFD" w14:textId="77777777" w:rsidTr="00FC7A97">
        <w:trPr>
          <w:trHeight w:val="20"/>
        </w:trPr>
        <w:tc>
          <w:tcPr>
            <w:tcW w:w="1418" w:type="dxa"/>
            <w:shd w:val="clear" w:color="auto" w:fill="auto"/>
          </w:tcPr>
          <w:p w14:paraId="2FA17091" w14:textId="77777777" w:rsidR="009C29A2" w:rsidRPr="00001499" w:rsidRDefault="009C29A2" w:rsidP="00FC7A97">
            <w:pPr>
              <w:pStyle w:val="TableFigureHeading"/>
              <w:keepLines/>
              <w:widowControl w:val="0"/>
              <w:rPr>
                <w:b w:val="0"/>
                <w:bCs w:val="0"/>
              </w:rPr>
            </w:pPr>
            <w:r w:rsidRPr="00001499">
              <w:rPr>
                <w:b w:val="0"/>
                <w:bCs w:val="0"/>
              </w:rPr>
              <w:t>Population</w:t>
            </w:r>
          </w:p>
        </w:tc>
        <w:tc>
          <w:tcPr>
            <w:tcW w:w="7654" w:type="dxa"/>
            <w:shd w:val="clear" w:color="auto" w:fill="auto"/>
          </w:tcPr>
          <w:p w14:paraId="5F683647" w14:textId="77777777" w:rsidR="009C29A2" w:rsidRPr="00001499" w:rsidRDefault="009C29A2" w:rsidP="00FC7A97">
            <w:pPr>
              <w:pStyle w:val="TableFigureHeading"/>
              <w:keepLines/>
              <w:widowControl w:val="0"/>
              <w:rPr>
                <w:b w:val="0"/>
                <w:bCs w:val="0"/>
              </w:rPr>
            </w:pPr>
            <w:r w:rsidRPr="00001499">
              <w:rPr>
                <w:b w:val="0"/>
                <w:bCs w:val="0"/>
              </w:rPr>
              <w:t>Prevention of seasonal influenza in the following populations:</w:t>
            </w:r>
          </w:p>
          <w:p w14:paraId="3BF72633" w14:textId="77777777" w:rsidR="009C29A2" w:rsidRPr="00911F29" w:rsidRDefault="009C29A2" w:rsidP="009C29A2">
            <w:pPr>
              <w:pStyle w:val="TableFigureHeading"/>
              <w:keepLines/>
              <w:widowControl w:val="0"/>
              <w:numPr>
                <w:ilvl w:val="0"/>
                <w:numId w:val="5"/>
              </w:numPr>
              <w:rPr>
                <w:b w:val="0"/>
                <w:bCs w:val="0"/>
                <w:strike/>
              </w:rPr>
            </w:pPr>
            <w:r w:rsidRPr="00911F29">
              <w:rPr>
                <w:b w:val="0"/>
                <w:bCs w:val="0"/>
                <w:strike/>
              </w:rPr>
              <w:t xml:space="preserve">All children </w:t>
            </w:r>
            <w:bookmarkStart w:id="8" w:name="_Hlk90298817"/>
            <w:r w:rsidRPr="00911F29">
              <w:rPr>
                <w:b w:val="0"/>
                <w:bCs w:val="0"/>
                <w:strike/>
              </w:rPr>
              <w:t>aged ≥2 to &lt;5 years</w:t>
            </w:r>
            <w:bookmarkEnd w:id="8"/>
          </w:p>
          <w:p w14:paraId="1381354B" w14:textId="641AFBFA" w:rsidR="009C29A2" w:rsidRPr="00001499" w:rsidRDefault="009C29A2" w:rsidP="009C29A2">
            <w:pPr>
              <w:pStyle w:val="TableFigureHeading"/>
              <w:keepLines/>
              <w:widowControl w:val="0"/>
              <w:numPr>
                <w:ilvl w:val="0"/>
                <w:numId w:val="5"/>
              </w:numPr>
              <w:rPr>
                <w:b w:val="0"/>
                <w:bCs w:val="0"/>
              </w:rPr>
            </w:pPr>
            <w:r w:rsidRPr="00001499">
              <w:rPr>
                <w:b w:val="0"/>
                <w:bCs w:val="0"/>
              </w:rPr>
              <w:t xml:space="preserve">Aboriginal and Torres Strait Islander </w:t>
            </w:r>
            <w:bookmarkStart w:id="9" w:name="_Hlk90298890"/>
            <w:r w:rsidRPr="00001499">
              <w:rPr>
                <w:b w:val="0"/>
                <w:bCs w:val="0"/>
              </w:rPr>
              <w:t>people aged ≥</w:t>
            </w:r>
            <w:r w:rsidRPr="00016276">
              <w:rPr>
                <w:b w:val="0"/>
                <w:bCs w:val="0"/>
                <w:strike/>
              </w:rPr>
              <w:t>2</w:t>
            </w:r>
            <w:r w:rsidR="006A49E5" w:rsidRPr="00016276">
              <w:rPr>
                <w:b w:val="0"/>
                <w:bCs w:val="0"/>
                <w:i/>
                <w:iCs/>
              </w:rPr>
              <w:t>5</w:t>
            </w:r>
            <w:r w:rsidRPr="00001499">
              <w:rPr>
                <w:b w:val="0"/>
                <w:bCs w:val="0"/>
              </w:rPr>
              <w:t xml:space="preserve"> to &lt;65 years</w:t>
            </w:r>
            <w:bookmarkEnd w:id="9"/>
          </w:p>
          <w:p w14:paraId="5EE62BA7" w14:textId="0EEE3FA3" w:rsidR="009C29A2" w:rsidRPr="00001499" w:rsidRDefault="009C29A2" w:rsidP="009C29A2">
            <w:pPr>
              <w:pStyle w:val="TableFigureHeading"/>
              <w:keepLines/>
              <w:widowControl w:val="0"/>
              <w:numPr>
                <w:ilvl w:val="0"/>
                <w:numId w:val="5"/>
              </w:numPr>
              <w:rPr>
                <w:b w:val="0"/>
                <w:bCs w:val="0"/>
              </w:rPr>
            </w:pPr>
            <w:r w:rsidRPr="00001499">
              <w:rPr>
                <w:b w:val="0"/>
                <w:bCs w:val="0"/>
              </w:rPr>
              <w:t>Persons aged ≥</w:t>
            </w:r>
            <w:r w:rsidRPr="00016276">
              <w:rPr>
                <w:b w:val="0"/>
                <w:bCs w:val="0"/>
                <w:strike/>
              </w:rPr>
              <w:t>2</w:t>
            </w:r>
            <w:r w:rsidR="006A49E5">
              <w:rPr>
                <w:b w:val="0"/>
                <w:bCs w:val="0"/>
                <w:i/>
                <w:iCs/>
              </w:rPr>
              <w:t>5</w:t>
            </w:r>
            <w:r w:rsidRPr="00001499">
              <w:rPr>
                <w:b w:val="0"/>
                <w:bCs w:val="0"/>
              </w:rPr>
              <w:t xml:space="preserve"> to &lt;65 years who have certain medical conditions that increase the risk of influenza disease complications</w:t>
            </w:r>
          </w:p>
          <w:p w14:paraId="3F25825B" w14:textId="77777777" w:rsidR="009C29A2" w:rsidRPr="00001499" w:rsidRDefault="009C29A2" w:rsidP="009C29A2">
            <w:pPr>
              <w:pStyle w:val="TableFigureHeading"/>
              <w:keepLines/>
              <w:widowControl w:val="0"/>
              <w:numPr>
                <w:ilvl w:val="0"/>
                <w:numId w:val="5"/>
              </w:numPr>
              <w:rPr>
                <w:b w:val="0"/>
                <w:bCs w:val="0"/>
              </w:rPr>
            </w:pPr>
            <w:r w:rsidRPr="00001499">
              <w:rPr>
                <w:b w:val="0"/>
                <w:bCs w:val="0"/>
              </w:rPr>
              <w:t>Pregnant women.</w:t>
            </w:r>
          </w:p>
        </w:tc>
      </w:tr>
      <w:tr w:rsidR="009C29A2" w:rsidRPr="00001499" w14:paraId="215EADDB" w14:textId="77777777" w:rsidTr="00FC7A97">
        <w:trPr>
          <w:trHeight w:val="20"/>
        </w:trPr>
        <w:tc>
          <w:tcPr>
            <w:tcW w:w="1418" w:type="dxa"/>
            <w:shd w:val="clear" w:color="auto" w:fill="auto"/>
          </w:tcPr>
          <w:p w14:paraId="23DA5BCB" w14:textId="77777777" w:rsidR="009C29A2" w:rsidRPr="00001499" w:rsidRDefault="009C29A2" w:rsidP="00FC7A97">
            <w:pPr>
              <w:pStyle w:val="TableFigureHeading"/>
              <w:keepLines/>
              <w:widowControl w:val="0"/>
              <w:rPr>
                <w:b w:val="0"/>
                <w:bCs w:val="0"/>
              </w:rPr>
            </w:pPr>
            <w:r w:rsidRPr="00001499">
              <w:rPr>
                <w:b w:val="0"/>
                <w:bCs w:val="0"/>
              </w:rPr>
              <w:t>Intervention</w:t>
            </w:r>
          </w:p>
        </w:tc>
        <w:tc>
          <w:tcPr>
            <w:tcW w:w="7654" w:type="dxa"/>
            <w:shd w:val="clear" w:color="auto" w:fill="auto"/>
          </w:tcPr>
          <w:p w14:paraId="0B0030D9" w14:textId="77777777" w:rsidR="009C29A2" w:rsidRPr="00001499" w:rsidRDefault="009C29A2" w:rsidP="00FC7A97">
            <w:pPr>
              <w:pStyle w:val="TableFigureHeading"/>
              <w:keepLines/>
              <w:widowControl w:val="0"/>
              <w:rPr>
                <w:b w:val="0"/>
                <w:bCs w:val="0"/>
              </w:rPr>
            </w:pPr>
            <w:r w:rsidRPr="00001499">
              <w:rPr>
                <w:b w:val="0"/>
                <w:bCs w:val="0"/>
              </w:rPr>
              <w:t>Quadrivalent influenza virus vaccine, surface antigen, inactivated, cell-based (QIVc).</w:t>
            </w:r>
          </w:p>
        </w:tc>
      </w:tr>
      <w:tr w:rsidR="009C29A2" w:rsidRPr="00001499" w14:paraId="51B06C26" w14:textId="77777777" w:rsidTr="00FC7A97">
        <w:trPr>
          <w:trHeight w:val="20"/>
        </w:trPr>
        <w:tc>
          <w:tcPr>
            <w:tcW w:w="1418" w:type="dxa"/>
            <w:shd w:val="clear" w:color="auto" w:fill="auto"/>
          </w:tcPr>
          <w:p w14:paraId="484066CD" w14:textId="77777777" w:rsidR="009C29A2" w:rsidRPr="00001499" w:rsidRDefault="009C29A2" w:rsidP="00FC7A97">
            <w:pPr>
              <w:pStyle w:val="TableFigureHeading"/>
              <w:keepLines/>
              <w:widowControl w:val="0"/>
              <w:rPr>
                <w:b w:val="0"/>
                <w:bCs w:val="0"/>
              </w:rPr>
            </w:pPr>
            <w:r w:rsidRPr="00001499">
              <w:rPr>
                <w:b w:val="0"/>
                <w:bCs w:val="0"/>
              </w:rPr>
              <w:t>Comparator</w:t>
            </w:r>
          </w:p>
        </w:tc>
        <w:tc>
          <w:tcPr>
            <w:tcW w:w="7654" w:type="dxa"/>
            <w:shd w:val="clear" w:color="auto" w:fill="auto"/>
          </w:tcPr>
          <w:p w14:paraId="69B4A1CF" w14:textId="77777777" w:rsidR="009C29A2" w:rsidRPr="00001499" w:rsidRDefault="009C29A2" w:rsidP="00FC7A97">
            <w:pPr>
              <w:pStyle w:val="TableFigureHeading"/>
              <w:keepLines/>
              <w:widowControl w:val="0"/>
              <w:rPr>
                <w:b w:val="0"/>
                <w:bCs w:val="0"/>
              </w:rPr>
            </w:pPr>
            <w:r w:rsidRPr="00001499">
              <w:rPr>
                <w:b w:val="0"/>
                <w:bCs w:val="0"/>
              </w:rPr>
              <w:t>Quadrivalent influenza vaccines, egg-based, standard dose, currently listed on the NIP (QIVe).</w:t>
            </w:r>
          </w:p>
        </w:tc>
      </w:tr>
      <w:tr w:rsidR="009C29A2" w:rsidRPr="00001499" w14:paraId="4DAC5932" w14:textId="77777777" w:rsidTr="00FC7A97">
        <w:trPr>
          <w:trHeight w:val="20"/>
        </w:trPr>
        <w:tc>
          <w:tcPr>
            <w:tcW w:w="1418" w:type="dxa"/>
            <w:shd w:val="clear" w:color="auto" w:fill="auto"/>
          </w:tcPr>
          <w:p w14:paraId="7831C17F" w14:textId="77777777" w:rsidR="009C29A2" w:rsidRPr="00001499" w:rsidRDefault="009C29A2" w:rsidP="00FC7A97">
            <w:pPr>
              <w:pStyle w:val="TableFigureHeading"/>
              <w:keepLines/>
              <w:widowControl w:val="0"/>
              <w:rPr>
                <w:b w:val="0"/>
                <w:bCs w:val="0"/>
              </w:rPr>
            </w:pPr>
            <w:r w:rsidRPr="00001499">
              <w:rPr>
                <w:b w:val="0"/>
                <w:bCs w:val="0"/>
              </w:rPr>
              <w:t>Outcomes</w:t>
            </w:r>
          </w:p>
        </w:tc>
        <w:tc>
          <w:tcPr>
            <w:tcW w:w="7654" w:type="dxa"/>
            <w:shd w:val="clear" w:color="auto" w:fill="auto"/>
          </w:tcPr>
          <w:p w14:paraId="27D92138" w14:textId="77777777" w:rsidR="009C29A2" w:rsidRPr="00001499" w:rsidRDefault="009C29A2" w:rsidP="00FC7A97">
            <w:pPr>
              <w:pStyle w:val="TableFigureHeading"/>
              <w:keepLines/>
              <w:widowControl w:val="0"/>
              <w:rPr>
                <w:b w:val="0"/>
                <w:bCs w:val="0"/>
              </w:rPr>
            </w:pPr>
            <w:r w:rsidRPr="00001499">
              <w:rPr>
                <w:b w:val="0"/>
                <w:bCs w:val="0"/>
              </w:rPr>
              <w:t>Effectiveness: influenza like illness; laboratory confirmed influenza; influenza-related hospital and primary care encounters.</w:t>
            </w:r>
          </w:p>
          <w:p w14:paraId="4FDC3364" w14:textId="77777777" w:rsidR="009C29A2" w:rsidRPr="00001499" w:rsidRDefault="009C29A2" w:rsidP="00FC7A97">
            <w:pPr>
              <w:pStyle w:val="TableFigureHeading"/>
              <w:keepLines/>
              <w:widowControl w:val="0"/>
              <w:rPr>
                <w:b w:val="0"/>
                <w:bCs w:val="0"/>
              </w:rPr>
            </w:pPr>
            <w:r w:rsidRPr="00001499">
              <w:rPr>
                <w:b w:val="0"/>
                <w:bCs w:val="0"/>
              </w:rPr>
              <w:t>Safety: local reactions; systemic reactions; serious adverse events; non-serious reactions; adverse events of special interest.</w:t>
            </w:r>
          </w:p>
        </w:tc>
      </w:tr>
      <w:tr w:rsidR="009C29A2" w:rsidRPr="00001499" w14:paraId="1B67EFC6" w14:textId="77777777" w:rsidTr="00FC7A97">
        <w:trPr>
          <w:trHeight w:val="20"/>
        </w:trPr>
        <w:tc>
          <w:tcPr>
            <w:tcW w:w="1418" w:type="dxa"/>
            <w:shd w:val="clear" w:color="auto" w:fill="auto"/>
          </w:tcPr>
          <w:p w14:paraId="67E6B325" w14:textId="77777777" w:rsidR="009C29A2" w:rsidRPr="00001499" w:rsidRDefault="009C29A2" w:rsidP="00FC7A97">
            <w:pPr>
              <w:pStyle w:val="TableFigureHeading"/>
              <w:keepLines/>
              <w:widowControl w:val="0"/>
              <w:rPr>
                <w:b w:val="0"/>
                <w:bCs w:val="0"/>
              </w:rPr>
            </w:pPr>
            <w:r w:rsidRPr="00001499">
              <w:rPr>
                <w:b w:val="0"/>
                <w:bCs w:val="0"/>
              </w:rPr>
              <w:t>Clinical claim</w:t>
            </w:r>
          </w:p>
        </w:tc>
        <w:tc>
          <w:tcPr>
            <w:tcW w:w="7654" w:type="dxa"/>
            <w:shd w:val="clear" w:color="auto" w:fill="auto"/>
          </w:tcPr>
          <w:p w14:paraId="1873866F" w14:textId="77777777" w:rsidR="009C29A2" w:rsidRPr="00001499" w:rsidRDefault="009C29A2" w:rsidP="00FC7A97">
            <w:pPr>
              <w:pStyle w:val="TableFigureHeading"/>
              <w:keepLines/>
              <w:widowControl w:val="0"/>
              <w:rPr>
                <w:b w:val="0"/>
                <w:bCs w:val="0"/>
              </w:rPr>
            </w:pPr>
            <w:r w:rsidRPr="00001499">
              <w:rPr>
                <w:b w:val="0"/>
                <w:bCs w:val="0"/>
              </w:rPr>
              <w:t xml:space="preserve">The submission made the following clinical claim for the population aged ≥2 to &lt;65 years:  </w:t>
            </w:r>
          </w:p>
          <w:p w14:paraId="22F90AB2" w14:textId="77777777" w:rsidR="009C29A2" w:rsidRPr="00001499" w:rsidRDefault="009C29A2" w:rsidP="009C29A2">
            <w:pPr>
              <w:pStyle w:val="TableFigureHeading"/>
              <w:keepLines/>
              <w:widowControl w:val="0"/>
              <w:numPr>
                <w:ilvl w:val="0"/>
                <w:numId w:val="5"/>
              </w:numPr>
              <w:rPr>
                <w:b w:val="0"/>
                <w:bCs w:val="0"/>
              </w:rPr>
            </w:pPr>
            <w:r w:rsidRPr="00001499">
              <w:rPr>
                <w:b w:val="0"/>
                <w:bCs w:val="0"/>
              </w:rPr>
              <w:t xml:space="preserve">QIVc is superior to QIVe in effectiveness against clinically relevant influenza-related outcomes  </w:t>
            </w:r>
          </w:p>
          <w:p w14:paraId="471C153F" w14:textId="77777777" w:rsidR="009C29A2" w:rsidRPr="00001499" w:rsidRDefault="009C29A2" w:rsidP="009C29A2">
            <w:pPr>
              <w:pStyle w:val="TableFigureHeading"/>
              <w:keepLines/>
              <w:widowControl w:val="0"/>
              <w:numPr>
                <w:ilvl w:val="0"/>
                <w:numId w:val="5"/>
              </w:numPr>
              <w:rPr>
                <w:b w:val="0"/>
                <w:bCs w:val="0"/>
              </w:rPr>
            </w:pPr>
            <w:r w:rsidRPr="00001499">
              <w:rPr>
                <w:b w:val="0"/>
                <w:bCs w:val="0"/>
              </w:rPr>
              <w:t>QIVc has a comparable safety profile to QIVe.</w:t>
            </w:r>
          </w:p>
        </w:tc>
      </w:tr>
    </w:tbl>
    <w:p w14:paraId="7D664941" w14:textId="77777777" w:rsidR="009C29A2" w:rsidRPr="00001499" w:rsidRDefault="009C29A2" w:rsidP="009C29A2">
      <w:pPr>
        <w:pStyle w:val="TableFigureHeading"/>
        <w:rPr>
          <w:b w:val="0"/>
          <w:bCs w:val="0"/>
          <w:sz w:val="18"/>
          <w:szCs w:val="22"/>
        </w:rPr>
      </w:pPr>
      <w:r w:rsidRPr="00001499">
        <w:rPr>
          <w:b w:val="0"/>
          <w:bCs w:val="0"/>
          <w:sz w:val="18"/>
          <w:szCs w:val="22"/>
        </w:rPr>
        <w:t>Source: Table 1.1.1, p31 of the submission</w:t>
      </w:r>
    </w:p>
    <w:p w14:paraId="4C6CA644" w14:textId="77777777" w:rsidR="006A49E5" w:rsidRDefault="009C29A2" w:rsidP="006A49E5">
      <w:pPr>
        <w:pStyle w:val="TableFigureHeading"/>
        <w:rPr>
          <w:b w:val="0"/>
          <w:bCs w:val="0"/>
          <w:sz w:val="18"/>
          <w:szCs w:val="22"/>
        </w:rPr>
      </w:pPr>
      <w:r w:rsidRPr="00001499">
        <w:rPr>
          <w:b w:val="0"/>
          <w:bCs w:val="0"/>
          <w:sz w:val="18"/>
          <w:szCs w:val="22"/>
        </w:rPr>
        <w:t>NIP = National Immunisation Program</w:t>
      </w:r>
    </w:p>
    <w:p w14:paraId="7389F1DB" w14:textId="172A8241" w:rsidR="006A49E5" w:rsidRPr="006A49E5" w:rsidRDefault="00211474" w:rsidP="00246016">
      <w:pPr>
        <w:pStyle w:val="TableFigureHeading"/>
        <w:rPr>
          <w:b w:val="0"/>
          <w:bCs w:val="0"/>
          <w:sz w:val="18"/>
          <w:szCs w:val="22"/>
        </w:rPr>
      </w:pPr>
      <w:r>
        <w:rPr>
          <w:b w:val="0"/>
          <w:bCs w:val="0"/>
          <w:sz w:val="18"/>
          <w:szCs w:val="22"/>
        </w:rPr>
        <w:t>1</w:t>
      </w:r>
      <w:r w:rsidR="00246016">
        <w:rPr>
          <w:b w:val="0"/>
          <w:bCs w:val="0"/>
          <w:sz w:val="18"/>
          <w:szCs w:val="22"/>
        </w:rPr>
        <w:t xml:space="preserve"> </w:t>
      </w:r>
      <w:r>
        <w:rPr>
          <w:b w:val="0"/>
          <w:bCs w:val="0"/>
          <w:sz w:val="18"/>
          <w:szCs w:val="22"/>
        </w:rPr>
        <w:t>Changes</w:t>
      </w:r>
      <w:r w:rsidR="006A49E5" w:rsidRPr="00246016">
        <w:rPr>
          <w:b w:val="0"/>
          <w:bCs w:val="0"/>
          <w:sz w:val="18"/>
          <w:szCs w:val="22"/>
        </w:rPr>
        <w:t xml:space="preserve"> requested by the sponsor </w:t>
      </w:r>
      <w:r w:rsidR="006A49E5">
        <w:rPr>
          <w:b w:val="0"/>
          <w:bCs w:val="0"/>
          <w:sz w:val="18"/>
          <w:szCs w:val="22"/>
        </w:rPr>
        <w:t xml:space="preserve">in the pre-PBAC response (p1) </w:t>
      </w:r>
      <w:r w:rsidR="006A49E5" w:rsidRPr="00246016">
        <w:rPr>
          <w:b w:val="0"/>
          <w:bCs w:val="0"/>
          <w:sz w:val="18"/>
          <w:szCs w:val="22"/>
        </w:rPr>
        <w:t>are added in italics and deletions are crossed out with strikethrough.</w:t>
      </w:r>
    </w:p>
    <w:p w14:paraId="43C51142" w14:textId="77777777" w:rsidR="009C29A2" w:rsidRPr="00001499" w:rsidRDefault="009C29A2" w:rsidP="009C29A2">
      <w:pPr>
        <w:pStyle w:val="In-tableHeading"/>
        <w:rPr>
          <w:lang w:val="en-AU"/>
        </w:rPr>
      </w:pPr>
    </w:p>
    <w:p w14:paraId="7A33E558" w14:textId="5E1D0BD2" w:rsidR="009C29A2" w:rsidRPr="00001499" w:rsidRDefault="009C29A2" w:rsidP="00AA46C6">
      <w:pPr>
        <w:pStyle w:val="3-BodyText"/>
        <w:ind w:left="709"/>
      </w:pPr>
      <w:r w:rsidRPr="00001499">
        <w:t xml:space="preserve">The PICO table in the ATAGI pre-submission advice to PBAC proposed that QIVe be NIP-listed “as contingency” in the ≥65 years age group, as with the other “standard dose” QIVe vaccines. This population had been included on advice from the Department of Health, to maximise consistency with the existing QIVe vaccines on the NIP, minimise confusion among providers and enable its use as a contingency. It was not included in the PBAC submission. </w:t>
      </w:r>
    </w:p>
    <w:p w14:paraId="33F24F0A" w14:textId="77777777" w:rsidR="009C29A2" w:rsidRPr="00001499" w:rsidRDefault="009C29A2" w:rsidP="00AA46C6">
      <w:pPr>
        <w:pStyle w:val="2-SectionHeading"/>
        <w:ind w:left="709"/>
      </w:pPr>
      <w:bookmarkStart w:id="10" w:name="_Toc22898845"/>
      <w:bookmarkStart w:id="11" w:name="_Toc93410947"/>
      <w:r w:rsidRPr="00001499">
        <w:t>Background</w:t>
      </w:r>
      <w:bookmarkEnd w:id="10"/>
      <w:bookmarkEnd w:id="11"/>
    </w:p>
    <w:p w14:paraId="71CF0606" w14:textId="77777777" w:rsidR="009C29A2" w:rsidRPr="00001499" w:rsidRDefault="009C29A2" w:rsidP="00AA46C6">
      <w:pPr>
        <w:pStyle w:val="4-SubsectionHeading"/>
      </w:pPr>
      <w:bookmarkStart w:id="12" w:name="_Toc22897638"/>
      <w:bookmarkStart w:id="13" w:name="_Toc22898846"/>
      <w:bookmarkStart w:id="14" w:name="_Toc93410948"/>
      <w:r w:rsidRPr="00001499">
        <w:t>Registration status</w:t>
      </w:r>
      <w:bookmarkEnd w:id="12"/>
      <w:bookmarkEnd w:id="13"/>
      <w:bookmarkEnd w:id="14"/>
    </w:p>
    <w:p w14:paraId="2E271AC1" w14:textId="77777777" w:rsidR="009C29A2" w:rsidRPr="00001499" w:rsidRDefault="009C29A2" w:rsidP="00AA46C6">
      <w:pPr>
        <w:pStyle w:val="3-BodyText"/>
        <w:ind w:left="709"/>
      </w:pPr>
      <w:r w:rsidRPr="00001499">
        <w:t xml:space="preserve">QIVc was registered on the Australian Register of Therapeutic Goods on 1 September 2020 for use in adults and children ≥9 years of age for the prevention of influenza caused by Influenza Virus, Types A and B contained in the vaccine. An application to extend the indication to children aged ≥2 years of age was approved by the TGA on 10 November 2021. </w:t>
      </w:r>
    </w:p>
    <w:p w14:paraId="2D3A1A48" w14:textId="669168D1" w:rsidR="009C29A2" w:rsidRDefault="009C29A2" w:rsidP="00AA46C6">
      <w:pPr>
        <w:pStyle w:val="3-BodyText"/>
        <w:ind w:left="709"/>
      </w:pPr>
      <w:r w:rsidRPr="00001499">
        <w:t>QIVc is authorised for marketing by the US Food and Drug Authority (FDA) and the</w:t>
      </w:r>
      <w:r w:rsidRPr="00001499" w:rsidDel="00310217">
        <w:t xml:space="preserve"> </w:t>
      </w:r>
      <w:r w:rsidRPr="00001499">
        <w:t xml:space="preserve">European Medicines Agency. QIVc is approved for use in adults and children from 6 months of age in the US and from 2 years of age in Europe. </w:t>
      </w:r>
    </w:p>
    <w:p w14:paraId="37C8AD05" w14:textId="58457B5D" w:rsidR="000F35E3" w:rsidRPr="00001499" w:rsidRDefault="000F35E3" w:rsidP="00AA46C6">
      <w:pPr>
        <w:pStyle w:val="3-BodyText"/>
        <w:ind w:left="709"/>
      </w:pPr>
      <w:r w:rsidRPr="002B43E7">
        <w:rPr>
          <w:rFonts w:eastAsia="Calibri"/>
        </w:rPr>
        <w:t xml:space="preserve">The pre-PBAC </w:t>
      </w:r>
      <w:r>
        <w:rPr>
          <w:rFonts w:eastAsia="Calibri"/>
        </w:rPr>
        <w:t>R</w:t>
      </w:r>
      <w:r w:rsidRPr="002B43E7">
        <w:rPr>
          <w:rFonts w:eastAsia="Calibri"/>
        </w:rPr>
        <w:t>esponse</w:t>
      </w:r>
      <w:r>
        <w:rPr>
          <w:rFonts w:eastAsia="Calibri"/>
        </w:rPr>
        <w:t xml:space="preserve"> </w:t>
      </w:r>
      <w:r w:rsidRPr="002B43E7">
        <w:rPr>
          <w:rFonts w:eastAsia="Calibri"/>
        </w:rPr>
        <w:t xml:space="preserve">stated that </w:t>
      </w:r>
      <w:r>
        <w:rPr>
          <w:rFonts w:eastAsia="Calibri"/>
        </w:rPr>
        <w:t xml:space="preserve">an indication for children aged 6 months and older is currently being considered by the TGA and that </w:t>
      </w:r>
      <w:r w:rsidRPr="002B43E7">
        <w:rPr>
          <w:rFonts w:eastAsia="Calibri"/>
        </w:rPr>
        <w:t>an expanded listing request</w:t>
      </w:r>
      <w:r>
        <w:rPr>
          <w:rFonts w:eastAsia="Calibri"/>
        </w:rPr>
        <w:t xml:space="preserve"> for this population</w:t>
      </w:r>
      <w:r w:rsidRPr="002B43E7">
        <w:rPr>
          <w:rFonts w:eastAsia="Calibri"/>
        </w:rPr>
        <w:t xml:space="preserve"> </w:t>
      </w:r>
      <w:r>
        <w:rPr>
          <w:rFonts w:eastAsia="Calibri"/>
        </w:rPr>
        <w:t>may</w:t>
      </w:r>
      <w:r w:rsidRPr="002B43E7">
        <w:rPr>
          <w:rFonts w:eastAsia="Calibri"/>
        </w:rPr>
        <w:t xml:space="preserve"> be considered in the future</w:t>
      </w:r>
      <w:r>
        <w:rPr>
          <w:rFonts w:eastAsia="Calibri"/>
        </w:rPr>
        <w:t>.</w:t>
      </w:r>
    </w:p>
    <w:p w14:paraId="23E9A472" w14:textId="4D0DE5C8" w:rsidR="00B53B7D" w:rsidRPr="00001499" w:rsidRDefault="009C29A2" w:rsidP="00B53B7D">
      <w:pPr>
        <w:pStyle w:val="2-SectionHeading"/>
        <w:ind w:left="709"/>
      </w:pPr>
      <w:bookmarkStart w:id="15" w:name="_Toc22898848"/>
      <w:bookmarkStart w:id="16" w:name="_Toc93410949"/>
      <w:r w:rsidRPr="00001499">
        <w:lastRenderedPageBreak/>
        <w:t>Requested listing</w:t>
      </w:r>
      <w:bookmarkEnd w:id="15"/>
      <w:bookmarkEnd w:id="16"/>
    </w:p>
    <w:p w14:paraId="20F8631E" w14:textId="27BE3E95" w:rsidR="00F843CB" w:rsidRPr="00001499" w:rsidRDefault="00EC0A50" w:rsidP="002522CF">
      <w:pPr>
        <w:pStyle w:val="3-BodyText"/>
        <w:ind w:left="709"/>
        <w:rPr>
          <w:color w:val="000000" w:themeColor="text1"/>
        </w:rPr>
      </w:pPr>
      <w:r>
        <w:t>T</w:t>
      </w:r>
      <w:r w:rsidR="00346F28" w:rsidRPr="00001499">
        <w:t xml:space="preserve">he pre-PBAC </w:t>
      </w:r>
      <w:r w:rsidR="00F0285A">
        <w:t>R</w:t>
      </w:r>
      <w:r w:rsidR="00346F28" w:rsidRPr="00001499">
        <w:t xml:space="preserve">esponse </w:t>
      </w:r>
      <w:r>
        <w:t>requested</w:t>
      </w:r>
      <w:r w:rsidR="00211474">
        <w:t xml:space="preserve"> a change to the </w:t>
      </w:r>
      <w:r w:rsidR="00D65630" w:rsidRPr="00D65630">
        <w:t xml:space="preserve">populations proposed for </w:t>
      </w:r>
      <w:r w:rsidR="00211474">
        <w:t>listing</w:t>
      </w:r>
      <w:r>
        <w:t xml:space="preserve"> </w:t>
      </w:r>
      <w:r w:rsidR="00D65630">
        <w:t>by</w:t>
      </w:r>
      <w:r>
        <w:t xml:space="preserve"> </w:t>
      </w:r>
      <w:r w:rsidR="00346F28" w:rsidRPr="00001499">
        <w:t>exclud</w:t>
      </w:r>
      <w:r w:rsidR="00D65630">
        <w:t>ing</w:t>
      </w:r>
      <w:r w:rsidR="00346F28" w:rsidRPr="00001499">
        <w:t xml:space="preserve"> children </w:t>
      </w:r>
      <w:r>
        <w:t>aged</w:t>
      </w:r>
      <w:r w:rsidR="00346F28" w:rsidRPr="00001499">
        <w:t xml:space="preserve"> 2 to 4 years.</w:t>
      </w:r>
      <w:r w:rsidRPr="00001499">
        <w:rPr>
          <w:color w:val="000000" w:themeColor="text1"/>
        </w:rPr>
        <w:t xml:space="preserve"> </w:t>
      </w:r>
      <w:r w:rsidR="00F0285A" w:rsidRPr="00F0285A">
        <w:rPr>
          <w:color w:val="000000" w:themeColor="text1"/>
        </w:rPr>
        <w:t>The pre-PBAC Response also proposed a reduced price per dose of $</w:t>
      </w:r>
      <w:r w:rsidR="00D76B55" w:rsidRPr="0020701F">
        <w:rPr>
          <w:color w:val="000000"/>
          <w:w w:val="15"/>
          <w:shd w:val="solid" w:color="000000" w:fill="000000"/>
          <w:fitText w:val="-20" w:id="-1404293120"/>
          <w14:textFill>
            <w14:solidFill>
              <w14:srgbClr w14:val="000000">
                <w14:alpha w14:val="100000"/>
              </w14:srgbClr>
            </w14:solidFill>
          </w14:textFill>
        </w:rPr>
        <w:t xml:space="preserve">|  </w:t>
      </w:r>
      <w:r w:rsidR="00D76B55" w:rsidRPr="0020701F">
        <w:rPr>
          <w:color w:val="000000"/>
          <w:spacing w:val="-69"/>
          <w:w w:val="15"/>
          <w:shd w:val="solid" w:color="000000" w:fill="000000"/>
          <w:fitText w:val="-20" w:id="-1404293120"/>
          <w14:textFill>
            <w14:solidFill>
              <w14:srgbClr w14:val="000000">
                <w14:alpha w14:val="100000"/>
              </w14:srgbClr>
            </w14:solidFill>
          </w14:textFill>
        </w:rPr>
        <w:t>|</w:t>
      </w:r>
      <w:r w:rsidR="00F0285A" w:rsidRPr="00F0285A">
        <w:rPr>
          <w:color w:val="000000" w:themeColor="text1"/>
        </w:rPr>
        <w:t>.</w:t>
      </w:r>
      <w:r w:rsidR="00F0285A">
        <w:rPr>
          <w:color w:val="000000" w:themeColor="text1"/>
        </w:rPr>
        <w:t xml:space="preserve"> </w:t>
      </w:r>
      <w:r w:rsidR="002522CF" w:rsidRPr="00001499">
        <w:rPr>
          <w:color w:val="000000" w:themeColor="text1"/>
        </w:rPr>
        <w:t>Additions requested by the sponsor</w:t>
      </w:r>
      <w:r>
        <w:rPr>
          <w:color w:val="000000" w:themeColor="text1"/>
        </w:rPr>
        <w:t xml:space="preserve"> in the pre-PBAC response</w:t>
      </w:r>
      <w:r w:rsidR="002522CF" w:rsidRPr="00001499">
        <w:rPr>
          <w:color w:val="000000" w:themeColor="text1"/>
        </w:rPr>
        <w:t xml:space="preserve"> are added in italics and deletions are crossed out with strikethrough.</w:t>
      </w:r>
      <w:r w:rsidR="00F0285A">
        <w:rPr>
          <w:color w:val="000000" w:themeColor="text1"/>
        </w:rPr>
        <w:t xml:space="preserve"> </w:t>
      </w:r>
    </w:p>
    <w:tbl>
      <w:tblPr>
        <w:tblW w:w="5000" w:type="pct"/>
        <w:tblCellMar>
          <w:left w:w="28" w:type="dxa"/>
          <w:right w:w="28" w:type="dxa"/>
        </w:tblCellMar>
        <w:tblLook w:val="0000" w:firstRow="0" w:lastRow="0" w:firstColumn="0" w:lastColumn="0" w:noHBand="0" w:noVBand="0"/>
      </w:tblPr>
      <w:tblGrid>
        <w:gridCol w:w="1685"/>
        <w:gridCol w:w="3820"/>
        <w:gridCol w:w="1482"/>
        <w:gridCol w:w="951"/>
        <w:gridCol w:w="1089"/>
      </w:tblGrid>
      <w:tr w:rsidR="009C29A2" w:rsidRPr="00001499" w14:paraId="4F013CCF" w14:textId="77777777" w:rsidTr="00AF4C4E">
        <w:trPr>
          <w:trHeight w:val="463"/>
        </w:trPr>
        <w:tc>
          <w:tcPr>
            <w:tcW w:w="3049" w:type="pct"/>
            <w:gridSpan w:val="2"/>
            <w:tcBorders>
              <w:top w:val="single" w:sz="4" w:space="0" w:color="auto"/>
              <w:bottom w:val="single" w:sz="4" w:space="0" w:color="auto"/>
            </w:tcBorders>
            <w:vAlign w:val="center"/>
          </w:tcPr>
          <w:p w14:paraId="111202C8" w14:textId="613C93C6" w:rsidR="009C29A2" w:rsidRPr="00001499" w:rsidRDefault="002522CF" w:rsidP="00FC7A97">
            <w:pPr>
              <w:keepNext/>
              <w:rPr>
                <w:rFonts w:ascii="Arial Narrow" w:hAnsi="Arial Narrow"/>
                <w:b/>
                <w:sz w:val="20"/>
              </w:rPr>
            </w:pPr>
            <w:bookmarkStart w:id="17" w:name="_Hlk92205220"/>
            <w:r w:rsidRPr="00001499">
              <w:rPr>
                <w:rFonts w:ascii="Arial Narrow" w:hAnsi="Arial Narrow"/>
                <w:b/>
                <w:sz w:val="20"/>
              </w:rPr>
              <w:t>Name</w:t>
            </w:r>
            <w:r w:rsidR="009C29A2" w:rsidRPr="00001499">
              <w:rPr>
                <w:rFonts w:ascii="Arial Narrow" w:hAnsi="Arial Narrow"/>
                <w:b/>
                <w:sz w:val="20"/>
              </w:rPr>
              <w:t>, Restriction,</w:t>
            </w:r>
          </w:p>
          <w:p w14:paraId="7B0172F1" w14:textId="77777777" w:rsidR="009C29A2" w:rsidRPr="00001499" w:rsidRDefault="009C29A2" w:rsidP="00FC7A97">
            <w:pPr>
              <w:keepNext/>
              <w:rPr>
                <w:rFonts w:ascii="Arial Narrow" w:hAnsi="Arial Narrow"/>
                <w:b/>
                <w:sz w:val="20"/>
              </w:rPr>
            </w:pPr>
            <w:r w:rsidRPr="00001499">
              <w:rPr>
                <w:rFonts w:ascii="Arial Narrow" w:hAnsi="Arial Narrow"/>
                <w:b/>
                <w:sz w:val="20"/>
              </w:rPr>
              <w:t>Manner of administration and form</w:t>
            </w:r>
          </w:p>
        </w:tc>
        <w:tc>
          <w:tcPr>
            <w:tcW w:w="821" w:type="pct"/>
            <w:tcBorders>
              <w:top w:val="single" w:sz="4" w:space="0" w:color="auto"/>
              <w:bottom w:val="single" w:sz="4" w:space="0" w:color="auto"/>
            </w:tcBorders>
            <w:vAlign w:val="center"/>
          </w:tcPr>
          <w:p w14:paraId="01A381EA" w14:textId="563F3250" w:rsidR="009C29A2" w:rsidRPr="00001499" w:rsidRDefault="009D6154" w:rsidP="00FC7A97">
            <w:pPr>
              <w:keepNext/>
              <w:jc w:val="center"/>
              <w:rPr>
                <w:rFonts w:ascii="Arial Narrow" w:hAnsi="Arial Narrow"/>
                <w:b/>
                <w:sz w:val="20"/>
              </w:rPr>
            </w:pPr>
            <w:r>
              <w:rPr>
                <w:rFonts w:ascii="Arial Narrow" w:hAnsi="Arial Narrow"/>
                <w:b/>
                <w:sz w:val="20"/>
              </w:rPr>
              <w:t>Ex- Manufacturer Price</w:t>
            </w:r>
          </w:p>
        </w:tc>
        <w:tc>
          <w:tcPr>
            <w:tcW w:w="1130" w:type="pct"/>
            <w:gridSpan w:val="2"/>
            <w:tcBorders>
              <w:top w:val="single" w:sz="4" w:space="0" w:color="auto"/>
              <w:bottom w:val="single" w:sz="4" w:space="0" w:color="auto"/>
            </w:tcBorders>
            <w:vAlign w:val="center"/>
          </w:tcPr>
          <w:p w14:paraId="78BB92F2" w14:textId="77777777" w:rsidR="009C29A2" w:rsidRPr="00001499" w:rsidRDefault="009C29A2" w:rsidP="00FC7A97">
            <w:pPr>
              <w:keepNext/>
              <w:jc w:val="center"/>
              <w:rPr>
                <w:rFonts w:ascii="Arial Narrow" w:hAnsi="Arial Narrow"/>
                <w:b/>
                <w:sz w:val="20"/>
              </w:rPr>
            </w:pPr>
            <w:r w:rsidRPr="00001499">
              <w:rPr>
                <w:rFonts w:ascii="Arial Narrow" w:hAnsi="Arial Narrow"/>
                <w:b/>
                <w:sz w:val="20"/>
              </w:rPr>
              <w:t>Proprietary Name and Manufacturer</w:t>
            </w:r>
          </w:p>
        </w:tc>
      </w:tr>
      <w:tr w:rsidR="009C29A2" w:rsidRPr="00001499" w14:paraId="6DCCE516" w14:textId="77777777" w:rsidTr="00AF4C4E">
        <w:trPr>
          <w:trHeight w:val="567"/>
        </w:trPr>
        <w:tc>
          <w:tcPr>
            <w:tcW w:w="3049" w:type="pct"/>
            <w:gridSpan w:val="2"/>
            <w:vAlign w:val="center"/>
          </w:tcPr>
          <w:p w14:paraId="7D86AFFB" w14:textId="77777777" w:rsidR="009C29A2" w:rsidRPr="00001499" w:rsidRDefault="009C29A2" w:rsidP="00FC7A97">
            <w:pPr>
              <w:keepNext/>
              <w:rPr>
                <w:rFonts w:ascii="Arial Narrow" w:hAnsi="Arial Narrow"/>
                <w:sz w:val="20"/>
              </w:rPr>
            </w:pPr>
            <w:r w:rsidRPr="00001499">
              <w:rPr>
                <w:rFonts w:ascii="Arial Narrow" w:hAnsi="Arial Narrow"/>
                <w:smallCaps/>
                <w:sz w:val="20"/>
              </w:rPr>
              <w:t>Cell-Cultured Quadrivalent Influenza Vaccine (Surface Antigen, Inactivated)</w:t>
            </w:r>
          </w:p>
          <w:p w14:paraId="331A27C5" w14:textId="77777777" w:rsidR="009C29A2" w:rsidRPr="00001499" w:rsidRDefault="009C29A2" w:rsidP="00FC7A97">
            <w:pPr>
              <w:keepNext/>
              <w:rPr>
                <w:rFonts w:ascii="Arial Narrow" w:hAnsi="Arial Narrow"/>
                <w:sz w:val="20"/>
              </w:rPr>
            </w:pPr>
            <w:r w:rsidRPr="00001499">
              <w:rPr>
                <w:rFonts w:ascii="Arial Narrow" w:hAnsi="Arial Narrow"/>
                <w:sz w:val="20"/>
              </w:rPr>
              <w:t>0.5mL, Injection, Prefilled syringe</w:t>
            </w:r>
          </w:p>
        </w:tc>
        <w:tc>
          <w:tcPr>
            <w:tcW w:w="821" w:type="pct"/>
            <w:vAlign w:val="center"/>
          </w:tcPr>
          <w:p w14:paraId="262B0280" w14:textId="28FD77F8" w:rsidR="009C29A2" w:rsidRDefault="009C29A2" w:rsidP="00FC7A97">
            <w:pPr>
              <w:keepNext/>
              <w:jc w:val="center"/>
              <w:rPr>
                <w:rFonts w:ascii="Arial Narrow" w:hAnsi="Arial Narrow"/>
                <w:strike/>
                <w:sz w:val="20"/>
              </w:rPr>
            </w:pPr>
            <w:r w:rsidRPr="0098100A">
              <w:rPr>
                <w:rFonts w:ascii="Arial Narrow" w:hAnsi="Arial Narrow"/>
                <w:strike/>
                <w:sz w:val="20"/>
              </w:rPr>
              <w:t>$</w:t>
            </w:r>
            <w:r w:rsidR="00D76B55" w:rsidRPr="00D76B55">
              <w:rPr>
                <w:rFonts w:ascii="Arial Narrow" w:hAnsi="Arial Narrow"/>
                <w:strike/>
                <w:color w:val="000000"/>
                <w:spacing w:val="91"/>
                <w:sz w:val="20"/>
                <w:shd w:val="solid" w:color="000000" w:fill="000000"/>
                <w:fitText w:val="177" w:id="-1404293119"/>
                <w14:textFill>
                  <w14:solidFill>
                    <w14:srgbClr w14:val="000000">
                      <w14:alpha w14:val="100000"/>
                    </w14:srgbClr>
                  </w14:solidFill>
                </w14:textFill>
              </w:rPr>
              <w:t>|</w:t>
            </w:r>
            <w:r w:rsidR="00D76B55" w:rsidRPr="00D76B55">
              <w:rPr>
                <w:rFonts w:ascii="Arial Narrow" w:hAnsi="Arial Narrow"/>
                <w:strike/>
                <w:color w:val="000000"/>
                <w:spacing w:val="1"/>
                <w:sz w:val="20"/>
                <w:shd w:val="solid" w:color="000000" w:fill="000000"/>
                <w:fitText w:val="177" w:id="-1404293119"/>
                <w14:textFill>
                  <w14:solidFill>
                    <w14:srgbClr w14:val="000000">
                      <w14:alpha w14:val="100000"/>
                    </w14:srgbClr>
                  </w14:solidFill>
                </w14:textFill>
              </w:rPr>
              <w:t>|</w:t>
            </w:r>
          </w:p>
          <w:p w14:paraId="0D748683" w14:textId="5E785627" w:rsidR="00F0285A" w:rsidRPr="00F0285A" w:rsidRDefault="00F0285A" w:rsidP="00FC7A97">
            <w:pPr>
              <w:keepNext/>
              <w:jc w:val="center"/>
              <w:rPr>
                <w:rFonts w:ascii="Arial Narrow" w:hAnsi="Arial Narrow"/>
                <w:i/>
                <w:iCs/>
                <w:sz w:val="20"/>
              </w:rPr>
            </w:pPr>
            <w:r w:rsidRPr="00F0285A">
              <w:rPr>
                <w:rFonts w:ascii="Arial Narrow" w:hAnsi="Arial Narrow"/>
                <w:i/>
                <w:iCs/>
                <w:sz w:val="20"/>
              </w:rPr>
              <w:t>$</w:t>
            </w:r>
            <w:r w:rsidR="00D76B55" w:rsidRPr="00D76B55">
              <w:rPr>
                <w:rFonts w:ascii="Arial Narrow" w:hAnsi="Arial Narrow"/>
                <w:i/>
                <w:iCs/>
                <w:color w:val="000000"/>
                <w:spacing w:val="91"/>
                <w:sz w:val="20"/>
                <w:shd w:val="solid" w:color="000000" w:fill="000000"/>
                <w:fitText w:val="177" w:id="-1404293118"/>
                <w14:textFill>
                  <w14:solidFill>
                    <w14:srgbClr w14:val="000000">
                      <w14:alpha w14:val="100000"/>
                    </w14:srgbClr>
                  </w14:solidFill>
                </w14:textFill>
              </w:rPr>
              <w:t>|</w:t>
            </w:r>
            <w:r w:rsidR="00D76B55" w:rsidRPr="00D76B55">
              <w:rPr>
                <w:rFonts w:ascii="Arial Narrow" w:hAnsi="Arial Narrow"/>
                <w:i/>
                <w:iCs/>
                <w:color w:val="000000"/>
                <w:spacing w:val="1"/>
                <w:sz w:val="20"/>
                <w:shd w:val="solid" w:color="000000" w:fill="000000"/>
                <w:fitText w:val="177" w:id="-1404293118"/>
                <w14:textFill>
                  <w14:solidFill>
                    <w14:srgbClr w14:val="000000">
                      <w14:alpha w14:val="100000"/>
                    </w14:srgbClr>
                  </w14:solidFill>
                </w14:textFill>
              </w:rPr>
              <w:t>|</w:t>
            </w:r>
          </w:p>
        </w:tc>
        <w:tc>
          <w:tcPr>
            <w:tcW w:w="527" w:type="pct"/>
            <w:vAlign w:val="center"/>
          </w:tcPr>
          <w:p w14:paraId="4A59102D" w14:textId="77777777" w:rsidR="009C29A2" w:rsidRPr="00001499" w:rsidRDefault="009C29A2" w:rsidP="00FC7A97">
            <w:pPr>
              <w:keepNext/>
              <w:jc w:val="center"/>
              <w:rPr>
                <w:rFonts w:ascii="Arial Narrow" w:hAnsi="Arial Narrow"/>
                <w:sz w:val="20"/>
              </w:rPr>
            </w:pPr>
            <w:r w:rsidRPr="00001499">
              <w:rPr>
                <w:rFonts w:ascii="Arial Narrow" w:hAnsi="Arial Narrow"/>
                <w:sz w:val="20"/>
              </w:rPr>
              <w:t>Flucelvax® Quad</w:t>
            </w:r>
          </w:p>
        </w:tc>
        <w:tc>
          <w:tcPr>
            <w:tcW w:w="604" w:type="pct"/>
            <w:vAlign w:val="center"/>
          </w:tcPr>
          <w:p w14:paraId="55CE7E37" w14:textId="77777777" w:rsidR="009C29A2" w:rsidRPr="00001499" w:rsidRDefault="009C29A2" w:rsidP="00FC7A97">
            <w:pPr>
              <w:keepNext/>
              <w:jc w:val="center"/>
              <w:rPr>
                <w:rFonts w:ascii="Arial Narrow" w:hAnsi="Arial Narrow"/>
                <w:sz w:val="20"/>
              </w:rPr>
            </w:pPr>
            <w:r w:rsidRPr="00001499">
              <w:rPr>
                <w:rFonts w:ascii="Arial Narrow" w:hAnsi="Arial Narrow"/>
                <w:sz w:val="20"/>
              </w:rPr>
              <w:t>Seqirus Australia Pty Ltd</w:t>
            </w:r>
          </w:p>
        </w:tc>
      </w:tr>
      <w:tr w:rsidR="009C29A2" w:rsidRPr="00001499" w14:paraId="747CE43D" w14:textId="77777777" w:rsidTr="00FC7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3" w:type="pct"/>
            <w:tcBorders>
              <w:top w:val="single" w:sz="4" w:space="0" w:color="auto"/>
              <w:left w:val="single" w:sz="4" w:space="0" w:color="auto"/>
              <w:bottom w:val="single" w:sz="4" w:space="0" w:color="auto"/>
              <w:right w:val="single" w:sz="4" w:space="0" w:color="auto"/>
            </w:tcBorders>
            <w:hideMark/>
          </w:tcPr>
          <w:p w14:paraId="687D666A" w14:textId="77777777" w:rsidR="009C29A2" w:rsidRPr="00001499" w:rsidRDefault="009C29A2" w:rsidP="00FC7A97">
            <w:pPr>
              <w:pStyle w:val="Tabletext"/>
            </w:pPr>
            <w:r w:rsidRPr="00001499">
              <w:t>Category/Program:</w:t>
            </w:r>
          </w:p>
        </w:tc>
        <w:tc>
          <w:tcPr>
            <w:tcW w:w="4067" w:type="pct"/>
            <w:gridSpan w:val="4"/>
            <w:tcBorders>
              <w:top w:val="single" w:sz="4" w:space="0" w:color="auto"/>
              <w:left w:val="single" w:sz="4" w:space="0" w:color="auto"/>
              <w:bottom w:val="single" w:sz="4" w:space="0" w:color="auto"/>
              <w:right w:val="single" w:sz="4" w:space="0" w:color="auto"/>
            </w:tcBorders>
          </w:tcPr>
          <w:p w14:paraId="2DCEE03A" w14:textId="77777777" w:rsidR="009C29A2" w:rsidRPr="00001499" w:rsidRDefault="009C29A2" w:rsidP="00FC7A97">
            <w:pPr>
              <w:pStyle w:val="Tabletext"/>
            </w:pPr>
            <w:r w:rsidRPr="00001499">
              <w:t>NIP</w:t>
            </w:r>
          </w:p>
        </w:tc>
      </w:tr>
      <w:tr w:rsidR="009C29A2" w:rsidRPr="00001499" w14:paraId="6FED0CB6" w14:textId="77777777" w:rsidTr="00FC7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3" w:type="pct"/>
            <w:tcBorders>
              <w:top w:val="single" w:sz="4" w:space="0" w:color="auto"/>
              <w:left w:val="single" w:sz="4" w:space="0" w:color="auto"/>
              <w:bottom w:val="single" w:sz="4" w:space="0" w:color="auto"/>
              <w:right w:val="single" w:sz="4" w:space="0" w:color="auto"/>
            </w:tcBorders>
            <w:hideMark/>
          </w:tcPr>
          <w:p w14:paraId="764CE9D3" w14:textId="77777777" w:rsidR="009C29A2" w:rsidRPr="00001499" w:rsidRDefault="009C29A2" w:rsidP="00FC7A97">
            <w:pPr>
              <w:pStyle w:val="Tabletext"/>
            </w:pPr>
            <w:r w:rsidRPr="00001499">
              <w:t>Requested populations:</w:t>
            </w:r>
          </w:p>
        </w:tc>
        <w:tc>
          <w:tcPr>
            <w:tcW w:w="4067" w:type="pct"/>
            <w:gridSpan w:val="4"/>
            <w:tcBorders>
              <w:top w:val="single" w:sz="4" w:space="0" w:color="auto"/>
              <w:left w:val="single" w:sz="4" w:space="0" w:color="auto"/>
              <w:bottom w:val="single" w:sz="4" w:space="0" w:color="auto"/>
              <w:right w:val="single" w:sz="4" w:space="0" w:color="auto"/>
            </w:tcBorders>
          </w:tcPr>
          <w:p w14:paraId="7FB3329E" w14:textId="77777777" w:rsidR="009C29A2" w:rsidRPr="00D65630" w:rsidRDefault="009C29A2" w:rsidP="00FC7A97">
            <w:pPr>
              <w:pStyle w:val="TableText0"/>
              <w:keepNext w:val="0"/>
              <w:widowControl w:val="0"/>
              <w:rPr>
                <w:strike/>
              </w:rPr>
            </w:pPr>
            <w:r w:rsidRPr="00D65630">
              <w:rPr>
                <w:strike/>
              </w:rPr>
              <w:t>All children aged ≥2 to &lt;5 years</w:t>
            </w:r>
          </w:p>
          <w:p w14:paraId="18A9D80E" w14:textId="5FB3CB0D" w:rsidR="009C29A2" w:rsidRPr="00001499" w:rsidRDefault="009C29A2" w:rsidP="00FC7A97">
            <w:pPr>
              <w:pStyle w:val="TableText0"/>
              <w:keepNext w:val="0"/>
              <w:widowControl w:val="0"/>
            </w:pPr>
            <w:r w:rsidRPr="00001499">
              <w:t>Aboriginal and Torres Strait Islander people aged ≥</w:t>
            </w:r>
            <w:r w:rsidRPr="00D65630">
              <w:rPr>
                <w:strike/>
              </w:rPr>
              <w:t>2</w:t>
            </w:r>
            <w:r w:rsidR="00052EBB" w:rsidRPr="00001499">
              <w:rPr>
                <w:i/>
                <w:iCs/>
              </w:rPr>
              <w:t>5</w:t>
            </w:r>
            <w:r w:rsidRPr="00001499">
              <w:t xml:space="preserve"> to &lt;65 years</w:t>
            </w:r>
          </w:p>
          <w:p w14:paraId="46D23FEB" w14:textId="0F81AD82" w:rsidR="009C29A2" w:rsidRPr="00001499" w:rsidRDefault="009C29A2" w:rsidP="00FC7A97">
            <w:pPr>
              <w:pStyle w:val="TableText0"/>
              <w:keepNext w:val="0"/>
              <w:widowControl w:val="0"/>
            </w:pPr>
            <w:r w:rsidRPr="00001499">
              <w:t>Persons aged ≥</w:t>
            </w:r>
            <w:r w:rsidRPr="00D65630">
              <w:rPr>
                <w:strike/>
              </w:rPr>
              <w:t>2</w:t>
            </w:r>
            <w:r w:rsidR="00052EBB" w:rsidRPr="00001499">
              <w:rPr>
                <w:i/>
                <w:iCs/>
              </w:rPr>
              <w:t>5</w:t>
            </w:r>
            <w:r w:rsidRPr="00001499">
              <w:t xml:space="preserve"> to &lt;65 years who have certain medical conditions that increase the risk of influenza disease complications</w:t>
            </w:r>
          </w:p>
          <w:p w14:paraId="0AEAE202" w14:textId="77777777" w:rsidR="009C29A2" w:rsidRPr="00001499" w:rsidRDefault="009C29A2" w:rsidP="00FC7A97">
            <w:pPr>
              <w:pStyle w:val="Tabletext"/>
            </w:pPr>
            <w:r w:rsidRPr="00001499">
              <w:t>Pregnant women.</w:t>
            </w:r>
          </w:p>
        </w:tc>
      </w:tr>
    </w:tbl>
    <w:bookmarkEnd w:id="17"/>
    <w:p w14:paraId="11DA48DF" w14:textId="216D0046" w:rsidR="002522CF" w:rsidRPr="00001499" w:rsidRDefault="009C29A2" w:rsidP="00AA46C6">
      <w:pPr>
        <w:pStyle w:val="3-BodyText"/>
        <w:ind w:left="709"/>
      </w:pPr>
      <w:r w:rsidRPr="00001499">
        <w:t xml:space="preserve">Under the National Health Act 1953, the PBAC makes recommendations to the Minister about vaccines it considers should be designated vaccines, and if such vaccines should only be provided under certain circumstances. The Minister may then determine that a vaccine is a designated vaccine via legislative instrument (the </w:t>
      </w:r>
      <w:hyperlink r:id="rId8" w:history="1">
        <w:r w:rsidRPr="0098100A">
          <w:rPr>
            <w:rStyle w:val="Hyperlink"/>
            <w:i/>
            <w:iCs/>
          </w:rPr>
          <w:t>National Health (Immunisation Program — Designated Vaccines) Determination 2014 (No. 1)</w:t>
        </w:r>
      </w:hyperlink>
      <w:r w:rsidRPr="00001499">
        <w:t xml:space="preserve"> (‘the Determination)). The Minister may then provide or arrange for the provision of such vaccines (via the NIP). </w:t>
      </w:r>
    </w:p>
    <w:p w14:paraId="5A69E462" w14:textId="12D39C01" w:rsidR="009C29A2" w:rsidRPr="00001499" w:rsidRDefault="009C29A2" w:rsidP="00AA46C6">
      <w:pPr>
        <w:pStyle w:val="3-BodyText"/>
        <w:ind w:left="709"/>
      </w:pPr>
      <w:r w:rsidRPr="00001499">
        <w:t xml:space="preserve">The secretariat proposes the following draft wording, noting that it is broadly consistent with the existing circumstances for Fluarix Tetra, FluQuadri, VaxiGrip Tetra and Afluria Quad, except that it is only for those aged </w:t>
      </w:r>
      <w:r w:rsidR="00246016">
        <w:t>5</w:t>
      </w:r>
      <w:r w:rsidRPr="00001499">
        <w:t xml:space="preserve"> years and older and under 65 years (consistent with the </w:t>
      </w:r>
      <w:r w:rsidR="00676B98">
        <w:t>proposed populations in the pre-PBAC Response</w:t>
      </w:r>
      <w:r w:rsidRPr="00001499">
        <w:t>).</w:t>
      </w:r>
    </w:p>
    <w:p w14:paraId="2B6B666F" w14:textId="12F49851" w:rsidR="009C29A2" w:rsidRPr="00001499" w:rsidRDefault="009C29A2" w:rsidP="009C29A2">
      <w:pPr>
        <w:pStyle w:val="TableHeading0"/>
      </w:pPr>
    </w:p>
    <w:tbl>
      <w:tblPr>
        <w:tblW w:w="5000" w:type="pct"/>
        <w:tblInd w:w="28" w:type="dxa"/>
        <w:tblCellMar>
          <w:left w:w="28" w:type="dxa"/>
          <w:right w:w="28" w:type="dxa"/>
        </w:tblCellMar>
        <w:tblLook w:val="0000" w:firstRow="0" w:lastRow="0" w:firstColumn="0" w:lastColumn="0" w:noHBand="0" w:noVBand="0"/>
      </w:tblPr>
      <w:tblGrid>
        <w:gridCol w:w="2100"/>
        <w:gridCol w:w="1415"/>
        <w:gridCol w:w="1419"/>
        <w:gridCol w:w="4093"/>
      </w:tblGrid>
      <w:tr w:rsidR="009C29A2" w:rsidRPr="00001499" w14:paraId="0C1DCF78" w14:textId="77777777" w:rsidTr="00FC7A97">
        <w:trPr>
          <w:cantSplit/>
          <w:trHeight w:val="463"/>
        </w:trPr>
        <w:tc>
          <w:tcPr>
            <w:tcW w:w="1163" w:type="pct"/>
            <w:tcBorders>
              <w:top w:val="single" w:sz="4" w:space="0" w:color="auto"/>
              <w:bottom w:val="single" w:sz="4" w:space="0" w:color="auto"/>
            </w:tcBorders>
            <w:vAlign w:val="center"/>
          </w:tcPr>
          <w:p w14:paraId="52457A34" w14:textId="77777777" w:rsidR="009C29A2" w:rsidRPr="00001499" w:rsidRDefault="009C29A2" w:rsidP="00FC7A97">
            <w:pPr>
              <w:keepNext/>
              <w:keepLines/>
              <w:rPr>
                <w:rFonts w:ascii="Arial Narrow" w:hAnsi="Arial Narrow"/>
                <w:b/>
                <w:sz w:val="20"/>
              </w:rPr>
            </w:pPr>
            <w:r w:rsidRPr="00001499">
              <w:rPr>
                <w:rFonts w:ascii="Arial Narrow" w:hAnsi="Arial Narrow"/>
                <w:b/>
                <w:sz w:val="20"/>
              </w:rPr>
              <w:t>Vaccine and the circumstances in which vaccine may be provided</w:t>
            </w:r>
          </w:p>
        </w:tc>
        <w:tc>
          <w:tcPr>
            <w:tcW w:w="784" w:type="pct"/>
            <w:tcBorders>
              <w:top w:val="single" w:sz="4" w:space="0" w:color="auto"/>
              <w:bottom w:val="single" w:sz="4" w:space="0" w:color="auto"/>
            </w:tcBorders>
            <w:vAlign w:val="center"/>
          </w:tcPr>
          <w:p w14:paraId="4E6DFA7A" w14:textId="77777777" w:rsidR="009C29A2" w:rsidRPr="00001499" w:rsidRDefault="009C29A2" w:rsidP="00FC7A97">
            <w:pPr>
              <w:keepNext/>
              <w:keepLines/>
              <w:jc w:val="center"/>
              <w:rPr>
                <w:rFonts w:ascii="Arial Narrow" w:hAnsi="Arial Narrow"/>
                <w:b/>
                <w:sz w:val="20"/>
              </w:rPr>
            </w:pPr>
            <w:r w:rsidRPr="00001499">
              <w:rPr>
                <w:rFonts w:ascii="Arial Narrow" w:hAnsi="Arial Narrow"/>
                <w:b/>
                <w:sz w:val="20"/>
              </w:rPr>
              <w:t>Brand</w:t>
            </w:r>
          </w:p>
        </w:tc>
        <w:tc>
          <w:tcPr>
            <w:tcW w:w="786" w:type="pct"/>
            <w:tcBorders>
              <w:top w:val="single" w:sz="4" w:space="0" w:color="auto"/>
              <w:bottom w:val="single" w:sz="4" w:space="0" w:color="auto"/>
            </w:tcBorders>
            <w:vAlign w:val="center"/>
          </w:tcPr>
          <w:p w14:paraId="6C2EEF23" w14:textId="77777777" w:rsidR="009C29A2" w:rsidRPr="00001499" w:rsidRDefault="009C29A2" w:rsidP="00FC7A97">
            <w:pPr>
              <w:keepNext/>
              <w:keepLines/>
              <w:jc w:val="center"/>
              <w:rPr>
                <w:rFonts w:ascii="Arial Narrow" w:hAnsi="Arial Narrow"/>
                <w:b/>
                <w:sz w:val="20"/>
              </w:rPr>
            </w:pPr>
            <w:r w:rsidRPr="00001499">
              <w:rPr>
                <w:rFonts w:ascii="Arial Narrow" w:hAnsi="Arial Narrow"/>
                <w:b/>
                <w:sz w:val="20"/>
              </w:rPr>
              <w:t>Formulation</w:t>
            </w:r>
          </w:p>
        </w:tc>
        <w:tc>
          <w:tcPr>
            <w:tcW w:w="2267" w:type="pct"/>
            <w:tcBorders>
              <w:top w:val="single" w:sz="4" w:space="0" w:color="auto"/>
              <w:bottom w:val="single" w:sz="4" w:space="0" w:color="auto"/>
            </w:tcBorders>
            <w:vAlign w:val="center"/>
          </w:tcPr>
          <w:p w14:paraId="5F99033B" w14:textId="77777777" w:rsidR="009C29A2" w:rsidRPr="00001499" w:rsidRDefault="009C29A2" w:rsidP="00FC7A97">
            <w:pPr>
              <w:keepNext/>
              <w:keepLines/>
              <w:jc w:val="center"/>
              <w:rPr>
                <w:rFonts w:ascii="Arial Narrow" w:hAnsi="Arial Narrow"/>
                <w:b/>
                <w:sz w:val="20"/>
              </w:rPr>
            </w:pPr>
            <w:r w:rsidRPr="00001499">
              <w:rPr>
                <w:rFonts w:ascii="Arial Narrow" w:hAnsi="Arial Narrow"/>
                <w:b/>
                <w:sz w:val="20"/>
              </w:rPr>
              <w:t>Number and timing of doses</w:t>
            </w:r>
          </w:p>
        </w:tc>
      </w:tr>
      <w:tr w:rsidR="009C29A2" w:rsidRPr="00001499" w14:paraId="6E3826A9" w14:textId="77777777" w:rsidTr="00FC7A97">
        <w:trPr>
          <w:cantSplit/>
          <w:trHeight w:val="567"/>
        </w:trPr>
        <w:tc>
          <w:tcPr>
            <w:tcW w:w="1163" w:type="pct"/>
            <w:vAlign w:val="center"/>
          </w:tcPr>
          <w:p w14:paraId="6EACEAAF" w14:textId="77777777" w:rsidR="009C29A2" w:rsidRPr="00001499" w:rsidRDefault="009C29A2" w:rsidP="00FC7A97">
            <w:pPr>
              <w:keepNext/>
              <w:keepLines/>
              <w:rPr>
                <w:rFonts w:ascii="Arial Narrow" w:hAnsi="Arial Narrow"/>
                <w:sz w:val="20"/>
              </w:rPr>
            </w:pPr>
            <w:r w:rsidRPr="00001499">
              <w:rPr>
                <w:rFonts w:ascii="Arial Narrow" w:hAnsi="Arial Narrow"/>
                <w:sz w:val="20"/>
              </w:rPr>
              <w:t>Influenza</w:t>
            </w:r>
          </w:p>
        </w:tc>
        <w:tc>
          <w:tcPr>
            <w:tcW w:w="784" w:type="pct"/>
            <w:vAlign w:val="center"/>
          </w:tcPr>
          <w:p w14:paraId="7AB42F56" w14:textId="20467847" w:rsidR="009C29A2" w:rsidRPr="00001499" w:rsidRDefault="009C29A2" w:rsidP="00FC7A97">
            <w:pPr>
              <w:keepNext/>
              <w:keepLines/>
              <w:jc w:val="center"/>
              <w:rPr>
                <w:rFonts w:ascii="Arial Narrow" w:hAnsi="Arial Narrow"/>
                <w:sz w:val="20"/>
              </w:rPr>
            </w:pPr>
            <w:r w:rsidRPr="00001499">
              <w:rPr>
                <w:rFonts w:ascii="Arial Narrow" w:hAnsi="Arial Narrow"/>
                <w:sz w:val="20"/>
              </w:rPr>
              <w:t>Flucelvax Quad</w:t>
            </w:r>
          </w:p>
        </w:tc>
        <w:tc>
          <w:tcPr>
            <w:tcW w:w="786" w:type="pct"/>
            <w:vAlign w:val="center"/>
          </w:tcPr>
          <w:p w14:paraId="6D88E881" w14:textId="77777777" w:rsidR="009C29A2" w:rsidRPr="00001499" w:rsidRDefault="009C29A2" w:rsidP="00FC7A97">
            <w:pPr>
              <w:keepNext/>
              <w:keepLines/>
              <w:jc w:val="center"/>
              <w:rPr>
                <w:rFonts w:ascii="Arial Narrow" w:hAnsi="Arial Narrow"/>
                <w:sz w:val="20"/>
              </w:rPr>
            </w:pPr>
            <w:r w:rsidRPr="00001499">
              <w:rPr>
                <w:rFonts w:ascii="Arial Narrow" w:hAnsi="Arial Narrow"/>
                <w:sz w:val="20"/>
              </w:rPr>
              <w:t>Injection (0.5mL)</w:t>
            </w:r>
          </w:p>
        </w:tc>
        <w:tc>
          <w:tcPr>
            <w:tcW w:w="2267" w:type="pct"/>
            <w:vAlign w:val="center"/>
          </w:tcPr>
          <w:p w14:paraId="384C9D37" w14:textId="59A2DDC9" w:rsidR="009C29A2" w:rsidRPr="00001499" w:rsidRDefault="009C29A2" w:rsidP="00FC7A97">
            <w:pPr>
              <w:keepNext/>
              <w:keepLines/>
              <w:rPr>
                <w:rFonts w:ascii="Arial Narrow" w:hAnsi="Arial Narrow"/>
                <w:sz w:val="20"/>
              </w:rPr>
            </w:pPr>
            <w:r w:rsidRPr="00001499">
              <w:rPr>
                <w:rFonts w:ascii="Arial Narrow" w:hAnsi="Arial Narrow"/>
                <w:sz w:val="20"/>
              </w:rPr>
              <w:t xml:space="preserve">For children older than </w:t>
            </w:r>
            <w:r w:rsidR="00246016">
              <w:rPr>
                <w:rFonts w:ascii="Arial Narrow" w:hAnsi="Arial Narrow"/>
                <w:sz w:val="20"/>
              </w:rPr>
              <w:t>5</w:t>
            </w:r>
            <w:r w:rsidRPr="00001499">
              <w:rPr>
                <w:rFonts w:ascii="Arial Narrow" w:hAnsi="Arial Narrow"/>
                <w:sz w:val="20"/>
              </w:rPr>
              <w:t xml:space="preserve"> years but less than 9 years, 2 doses at least 1 month apart for the first vaccination and 1 dose per calendar year after that. For persons 9 years and </w:t>
            </w:r>
            <w:r w:rsidR="00481B5A">
              <w:rPr>
                <w:rFonts w:ascii="Arial Narrow" w:hAnsi="Arial Narrow"/>
                <w:sz w:val="20"/>
              </w:rPr>
              <w:t>less than 65 years</w:t>
            </w:r>
            <w:r w:rsidRPr="00001499">
              <w:rPr>
                <w:rFonts w:ascii="Arial Narrow" w:hAnsi="Arial Narrow"/>
                <w:sz w:val="20"/>
              </w:rPr>
              <w:t>, 1 dose per calendar year.</w:t>
            </w:r>
          </w:p>
        </w:tc>
      </w:tr>
      <w:tr w:rsidR="009C29A2" w:rsidRPr="00001499" w14:paraId="77015DB3" w14:textId="77777777" w:rsidTr="00FC7A97">
        <w:trPr>
          <w:cantSplit/>
          <w:trHeight w:val="567"/>
        </w:trPr>
        <w:tc>
          <w:tcPr>
            <w:tcW w:w="5000" w:type="pct"/>
            <w:gridSpan w:val="4"/>
            <w:vAlign w:val="center"/>
          </w:tcPr>
          <w:p w14:paraId="7B301FDF" w14:textId="77777777" w:rsidR="009C29A2" w:rsidRPr="00001499" w:rsidRDefault="009C29A2" w:rsidP="00FC7A97">
            <w:pPr>
              <w:keepNext/>
              <w:keepLines/>
              <w:rPr>
                <w:rFonts w:ascii="Arial Narrow" w:hAnsi="Arial Narrow"/>
                <w:sz w:val="20"/>
              </w:rPr>
            </w:pPr>
            <w:r w:rsidRPr="00001499">
              <w:rPr>
                <w:rFonts w:ascii="Arial Narrow" w:hAnsi="Arial Narrow"/>
                <w:sz w:val="20"/>
              </w:rPr>
              <w:t>Circumstances</w:t>
            </w:r>
          </w:p>
          <w:p w14:paraId="00439F3C" w14:textId="77777777" w:rsidR="009C29A2" w:rsidRPr="00001499" w:rsidRDefault="009C29A2" w:rsidP="00FC7A97">
            <w:pPr>
              <w:keepNext/>
              <w:keepLines/>
              <w:rPr>
                <w:rFonts w:ascii="Arial Narrow" w:hAnsi="Arial Narrow"/>
                <w:sz w:val="20"/>
              </w:rPr>
            </w:pPr>
            <w:r w:rsidRPr="00001499">
              <w:rPr>
                <w:rFonts w:ascii="Arial Narrow" w:hAnsi="Arial Narrow"/>
                <w:sz w:val="20"/>
              </w:rPr>
              <w:t>Vaccine may be provided to any of the following:</w:t>
            </w:r>
          </w:p>
          <w:p w14:paraId="3D405F98" w14:textId="3C7F24DE" w:rsidR="009C29A2" w:rsidRPr="00001499" w:rsidRDefault="009C29A2" w:rsidP="00AC330C">
            <w:pPr>
              <w:keepNext/>
              <w:keepLines/>
              <w:numPr>
                <w:ilvl w:val="0"/>
                <w:numId w:val="20"/>
              </w:numPr>
              <w:spacing w:after="0" w:line="240" w:lineRule="auto"/>
              <w:ind w:left="754" w:hanging="357"/>
              <w:rPr>
                <w:rFonts w:ascii="Arial Narrow" w:hAnsi="Arial Narrow"/>
                <w:sz w:val="20"/>
              </w:rPr>
            </w:pPr>
            <w:r w:rsidRPr="00001499">
              <w:rPr>
                <w:rFonts w:ascii="Arial Narrow" w:hAnsi="Arial Narrow"/>
                <w:sz w:val="20"/>
              </w:rPr>
              <w:t xml:space="preserve">an Aboriginal or Torres Strait Islander person who is at least </w:t>
            </w:r>
            <w:r w:rsidR="00246016">
              <w:rPr>
                <w:rFonts w:ascii="Arial Narrow" w:hAnsi="Arial Narrow"/>
                <w:sz w:val="20"/>
              </w:rPr>
              <w:t>5</w:t>
            </w:r>
            <w:r w:rsidRPr="00001499">
              <w:rPr>
                <w:rFonts w:ascii="Arial Narrow" w:hAnsi="Arial Narrow"/>
                <w:sz w:val="20"/>
              </w:rPr>
              <w:t xml:space="preserve"> years old but less than 65 years old; or </w:t>
            </w:r>
          </w:p>
          <w:p w14:paraId="3D976A66" w14:textId="091860FD" w:rsidR="009C29A2" w:rsidRPr="00001499" w:rsidRDefault="009C29A2" w:rsidP="00AC330C">
            <w:pPr>
              <w:keepNext/>
              <w:keepLines/>
              <w:numPr>
                <w:ilvl w:val="0"/>
                <w:numId w:val="20"/>
              </w:numPr>
              <w:spacing w:after="0" w:line="240" w:lineRule="auto"/>
              <w:ind w:left="754" w:hanging="357"/>
              <w:rPr>
                <w:rFonts w:ascii="Arial Narrow" w:hAnsi="Arial Narrow"/>
                <w:sz w:val="20"/>
              </w:rPr>
            </w:pPr>
            <w:r w:rsidRPr="00001499">
              <w:rPr>
                <w:rFonts w:ascii="Arial Narrow" w:hAnsi="Arial Narrow"/>
                <w:sz w:val="20"/>
              </w:rPr>
              <w:t xml:space="preserve">a person who is at least </w:t>
            </w:r>
            <w:r w:rsidR="00246016">
              <w:rPr>
                <w:rFonts w:ascii="Arial Narrow" w:hAnsi="Arial Narrow"/>
                <w:sz w:val="20"/>
              </w:rPr>
              <w:t>5</w:t>
            </w:r>
            <w:r w:rsidRPr="00001499">
              <w:rPr>
                <w:rFonts w:ascii="Arial Narrow" w:hAnsi="Arial Narrow"/>
                <w:sz w:val="20"/>
              </w:rPr>
              <w:t xml:space="preserve"> years old but less than 65 years old and who:</w:t>
            </w:r>
          </w:p>
          <w:p w14:paraId="74D9A02C" w14:textId="77777777" w:rsidR="009C29A2" w:rsidRPr="00001499" w:rsidRDefault="009C29A2" w:rsidP="00AC330C">
            <w:pPr>
              <w:keepNext/>
              <w:keepLines/>
              <w:numPr>
                <w:ilvl w:val="1"/>
                <w:numId w:val="21"/>
              </w:numPr>
              <w:spacing w:after="0" w:line="240" w:lineRule="auto"/>
              <w:ind w:left="1360"/>
              <w:rPr>
                <w:rFonts w:ascii="Arial Narrow" w:hAnsi="Arial Narrow"/>
                <w:sz w:val="20"/>
              </w:rPr>
            </w:pPr>
            <w:r w:rsidRPr="00001499">
              <w:rPr>
                <w:rFonts w:ascii="Arial Narrow" w:hAnsi="Arial Narrow"/>
                <w:sz w:val="20"/>
              </w:rPr>
              <w:t>has cardiac disease including cyanotic congenital heart disease, coronary artery disease and congestive heart failure; or</w:t>
            </w:r>
          </w:p>
          <w:p w14:paraId="5BE29F02" w14:textId="77777777" w:rsidR="009C29A2" w:rsidRPr="00001499" w:rsidRDefault="009C29A2" w:rsidP="00AC330C">
            <w:pPr>
              <w:keepNext/>
              <w:keepLines/>
              <w:numPr>
                <w:ilvl w:val="1"/>
                <w:numId w:val="21"/>
              </w:numPr>
              <w:spacing w:after="0" w:line="240" w:lineRule="auto"/>
              <w:ind w:left="1360"/>
              <w:rPr>
                <w:rFonts w:ascii="Arial Narrow" w:hAnsi="Arial Narrow"/>
                <w:sz w:val="20"/>
              </w:rPr>
            </w:pPr>
            <w:r w:rsidRPr="00001499">
              <w:rPr>
                <w:rFonts w:ascii="Arial Narrow" w:hAnsi="Arial Narrow"/>
                <w:sz w:val="20"/>
              </w:rPr>
              <w:t>has a chronic respiratory condition including suppurative lung disease, bronchiectasis, cystic fibrosis, chronic obstructive pulmonary disease, chronic emphysema and severe asthma; or</w:t>
            </w:r>
          </w:p>
          <w:p w14:paraId="1FFB06A4" w14:textId="77777777" w:rsidR="009C29A2" w:rsidRPr="00001499" w:rsidRDefault="009C29A2" w:rsidP="00AC330C">
            <w:pPr>
              <w:keepNext/>
              <w:keepLines/>
              <w:numPr>
                <w:ilvl w:val="1"/>
                <w:numId w:val="21"/>
              </w:numPr>
              <w:spacing w:after="0" w:line="240" w:lineRule="auto"/>
              <w:ind w:left="1360"/>
              <w:rPr>
                <w:rFonts w:ascii="Arial Narrow" w:hAnsi="Arial Narrow"/>
                <w:sz w:val="20"/>
              </w:rPr>
            </w:pPr>
            <w:r w:rsidRPr="00001499">
              <w:rPr>
                <w:rFonts w:ascii="Arial Narrow" w:hAnsi="Arial Narrow"/>
                <w:sz w:val="20"/>
              </w:rPr>
              <w:t>has another chronic illness requiring regular medical follow-up or hospitalisation in the preceding year, including diabetes mellitus, chronic metabolic diseases, chronic renal failure, haemoglobinopathies and impaired immunity (including drug-induced immune impairment); or</w:t>
            </w:r>
          </w:p>
          <w:p w14:paraId="7C3A7F2A" w14:textId="77777777" w:rsidR="009C29A2" w:rsidRPr="00001499" w:rsidRDefault="009C29A2" w:rsidP="00AC330C">
            <w:pPr>
              <w:keepNext/>
              <w:keepLines/>
              <w:numPr>
                <w:ilvl w:val="1"/>
                <w:numId w:val="21"/>
              </w:numPr>
              <w:spacing w:after="0" w:line="240" w:lineRule="auto"/>
              <w:ind w:left="1360"/>
              <w:rPr>
                <w:rFonts w:ascii="Arial Narrow" w:hAnsi="Arial Narrow"/>
                <w:sz w:val="20"/>
              </w:rPr>
            </w:pPr>
            <w:r w:rsidRPr="00001499">
              <w:rPr>
                <w:rFonts w:ascii="Arial Narrow" w:hAnsi="Arial Narrow"/>
                <w:sz w:val="20"/>
              </w:rPr>
              <w:t>has a chronic neurological condition, including multiple sclerosis, spinal cord injuries, seizure disorders or other neuromuscular disorders; or</w:t>
            </w:r>
          </w:p>
          <w:p w14:paraId="6B2D7A4C" w14:textId="77777777" w:rsidR="009C29A2" w:rsidRPr="00001499" w:rsidRDefault="009C29A2" w:rsidP="00AC330C">
            <w:pPr>
              <w:keepNext/>
              <w:keepLines/>
              <w:numPr>
                <w:ilvl w:val="1"/>
                <w:numId w:val="21"/>
              </w:numPr>
              <w:spacing w:after="0" w:line="240" w:lineRule="auto"/>
              <w:ind w:left="1360"/>
              <w:rPr>
                <w:rFonts w:ascii="Arial Narrow" w:hAnsi="Arial Narrow"/>
                <w:sz w:val="20"/>
              </w:rPr>
            </w:pPr>
            <w:r w:rsidRPr="00001499">
              <w:rPr>
                <w:rFonts w:ascii="Arial Narrow" w:hAnsi="Arial Narrow"/>
                <w:sz w:val="20"/>
              </w:rPr>
              <w:t>has impaired immunity, including HIV infection; or</w:t>
            </w:r>
          </w:p>
          <w:p w14:paraId="4AB9A22E" w14:textId="074D7599" w:rsidR="009C29A2" w:rsidRPr="00001499" w:rsidRDefault="009C29A2" w:rsidP="00AC330C">
            <w:pPr>
              <w:keepNext/>
              <w:keepLines/>
              <w:numPr>
                <w:ilvl w:val="0"/>
                <w:numId w:val="20"/>
              </w:numPr>
              <w:spacing w:after="0" w:line="240" w:lineRule="auto"/>
              <w:ind w:left="754" w:hanging="357"/>
              <w:rPr>
                <w:rFonts w:ascii="Arial Narrow" w:hAnsi="Arial Narrow"/>
                <w:sz w:val="20"/>
              </w:rPr>
            </w:pPr>
            <w:r w:rsidRPr="00001499">
              <w:rPr>
                <w:rFonts w:ascii="Arial Narrow" w:hAnsi="Arial Narrow"/>
                <w:sz w:val="20"/>
              </w:rPr>
              <w:t xml:space="preserve">a person who is at least </w:t>
            </w:r>
            <w:r w:rsidR="00246016">
              <w:rPr>
                <w:rFonts w:ascii="Arial Narrow" w:hAnsi="Arial Narrow"/>
                <w:sz w:val="20"/>
              </w:rPr>
              <w:t>5</w:t>
            </w:r>
            <w:r w:rsidRPr="00001499">
              <w:rPr>
                <w:rFonts w:ascii="Arial Narrow" w:hAnsi="Arial Narrow"/>
                <w:sz w:val="20"/>
              </w:rPr>
              <w:t xml:space="preserve"> years old but is less than 11 years old and is receiving long-term aspirin therapy; or</w:t>
            </w:r>
          </w:p>
          <w:p w14:paraId="4E8FA031" w14:textId="77777777" w:rsidR="009C29A2" w:rsidRPr="00001499" w:rsidRDefault="009C29A2" w:rsidP="00AC330C">
            <w:pPr>
              <w:keepNext/>
              <w:keepLines/>
              <w:numPr>
                <w:ilvl w:val="0"/>
                <w:numId w:val="20"/>
              </w:numPr>
              <w:spacing w:after="0" w:line="240" w:lineRule="auto"/>
              <w:ind w:left="754" w:hanging="357"/>
              <w:rPr>
                <w:rFonts w:ascii="Arial Narrow" w:hAnsi="Arial Narrow"/>
                <w:sz w:val="20"/>
              </w:rPr>
            </w:pPr>
            <w:r w:rsidRPr="00001499">
              <w:rPr>
                <w:rFonts w:ascii="Arial Narrow" w:hAnsi="Arial Narrow"/>
                <w:sz w:val="20"/>
              </w:rPr>
              <w:t>a woman who is pregnant.</w:t>
            </w:r>
          </w:p>
        </w:tc>
      </w:tr>
    </w:tbl>
    <w:p w14:paraId="79CD1578" w14:textId="37F213EF" w:rsidR="0083660F" w:rsidRPr="00001499" w:rsidRDefault="0083660F" w:rsidP="0083660F">
      <w:pPr>
        <w:spacing w:before="120" w:after="120" w:line="240" w:lineRule="auto"/>
        <w:jc w:val="both"/>
        <w:rPr>
          <w:rFonts w:ascii="Calibri" w:eastAsia="Times New Roman" w:hAnsi="Calibri" w:cs="Times New Roman"/>
          <w:i/>
          <w:sz w:val="24"/>
          <w:szCs w:val="24"/>
        </w:rPr>
      </w:pPr>
      <w:bookmarkStart w:id="18" w:name="_Hlk76375324"/>
      <w:bookmarkStart w:id="19" w:name="_Toc22898849"/>
      <w:bookmarkStart w:id="20" w:name="_Toc93410950"/>
      <w:r w:rsidRPr="00001499">
        <w:rPr>
          <w:rFonts w:ascii="Calibri" w:eastAsia="Times New Roman" w:hAnsi="Calibri" w:cs="Times New Roman"/>
          <w:i/>
          <w:sz w:val="24"/>
          <w:szCs w:val="24"/>
        </w:rPr>
        <w:t>For more detail on PBAC’s view, see section 7 PBAC outcome.</w:t>
      </w:r>
    </w:p>
    <w:bookmarkEnd w:id="18"/>
    <w:p w14:paraId="0A749D6F" w14:textId="2E90AEB2" w:rsidR="009C29A2" w:rsidRPr="00001499" w:rsidRDefault="009C29A2" w:rsidP="009C29A2">
      <w:pPr>
        <w:pStyle w:val="2-SectionHeading"/>
      </w:pPr>
      <w:r w:rsidRPr="00001499">
        <w:t>Population and disease</w:t>
      </w:r>
      <w:bookmarkEnd w:id="19"/>
      <w:bookmarkEnd w:id="20"/>
    </w:p>
    <w:p w14:paraId="36C8531D" w14:textId="768011F9" w:rsidR="009C29A2" w:rsidRPr="00001499" w:rsidRDefault="009C29A2" w:rsidP="00AA46C6">
      <w:pPr>
        <w:pStyle w:val="3-BodyText"/>
        <w:ind w:left="709"/>
        <w:rPr>
          <w:color w:val="0066FF"/>
        </w:rPr>
      </w:pPr>
      <w:r w:rsidRPr="00001499">
        <w:t xml:space="preserve">Influenza is a highly infectious disease that occurs in epidemics throughout the winter months of temperate climates but can occur year-round in tropical regions. Influenza illness is characterised by the abrupt onset of respiratory and systemic effects, such as fever, myalgia, headache, malaise, non-productive cough, sore throat and rhinitis (Monto et al. 2000). It can be a mild disease, although it can also cause serious illness in otherwise healthy people, with complications that may require hospitalisation and can lead to death (Australian Immunisation Handbook, 2020). Complications include pneumonia (primary viral and secondary bacterial pneumonia), bronchitis, sinus infections, ear infections, and exacerbation of many chronic conditions such as asthma, congestive heart failure, and chronic obstructive pulmonary disease. Secondary bacterial pneumonia is a common complication in people whose comorbidities make them vulnerable to influenza.  Vulnerable people are at high risk during epidemics and may die of pneumonia or cardiac decompensation (Centers for Disease Control (CDC) 2020; Rajaram et al. 2020a; ATAGI 2021). </w:t>
      </w:r>
    </w:p>
    <w:p w14:paraId="3E294452" w14:textId="5A8A9EE8" w:rsidR="009C29A2" w:rsidRPr="00001499" w:rsidRDefault="009C29A2" w:rsidP="00AA46C6">
      <w:pPr>
        <w:pStyle w:val="3-BodyText"/>
        <w:ind w:left="709"/>
        <w:rPr>
          <w:color w:val="0066FF"/>
        </w:rPr>
      </w:pPr>
      <w:r w:rsidRPr="00001499">
        <w:t xml:space="preserve">There are four types of influenza viruses: influenza A, B, C, and D but only influenza A and B viruses cause clinically important human disease and seasonal epidemics. The </w:t>
      </w:r>
      <w:r w:rsidRPr="00001499">
        <w:lastRenderedPageBreak/>
        <w:t>submission</w:t>
      </w:r>
      <w:r w:rsidR="00246016">
        <w:t xml:space="preserve"> </w:t>
      </w:r>
      <w:r w:rsidRPr="00001499">
        <w:t xml:space="preserve">proposed that QIVc be available for the prevention of influenza caused by </w:t>
      </w:r>
      <w:r w:rsidR="00DF1432">
        <w:t>i</w:t>
      </w:r>
      <w:r w:rsidRPr="00001499">
        <w:t xml:space="preserve">nfluenza </w:t>
      </w:r>
      <w:r w:rsidR="00DF1432">
        <w:t>v</w:t>
      </w:r>
      <w:r w:rsidRPr="00001499">
        <w:t>irus, Types A and B</w:t>
      </w:r>
      <w:r w:rsidR="002834AC">
        <w:t>.</w:t>
      </w:r>
      <w:r w:rsidRPr="00001499">
        <w:t xml:space="preserve"> </w:t>
      </w:r>
    </w:p>
    <w:p w14:paraId="502ECDE3" w14:textId="03EC1E5F" w:rsidR="009C29A2" w:rsidRPr="00001499" w:rsidRDefault="009C29A2" w:rsidP="00AA46C6">
      <w:pPr>
        <w:pStyle w:val="3-BodyText"/>
        <w:ind w:left="709"/>
      </w:pPr>
      <w:r w:rsidRPr="00001499">
        <w:t xml:space="preserve">Influenza viruses are coated with two proteins, haemagglutinin (HA) and neuraminidase (NA). Antibodies against these proteins provide protection against infection. As influenza viruses replicate, there are continual changes from mutations in the genes encoding the HA and NA surface proteins, called antigenic drift. These changes accumulate and existing antibodies become less effective at neutralizing the virus, and within a relatively short time they are no longer protective. Therefore, protection by vaccination requires annual dosing with updated vaccines. </w:t>
      </w:r>
      <w:r w:rsidRPr="00001499">
        <w:rPr>
          <w:iCs/>
        </w:rPr>
        <w:t>In Australia, vaccine composition is decided by the TGA, with advice from the Australian Influenza Vaccine Committee (AIVC), which examines, among other things, epidemiology, antigenic and genetic characteristics of recent influenza isolates circulating in Australia and the southern hemisphere. The AIVC meets after the annual World Health Organization (WHO) strain composition meeting and its advice generally aligns with the WHO recommendations, unless there are scientific or practical reasons for variations</w:t>
      </w:r>
      <w:r w:rsidRPr="00001499">
        <w:rPr>
          <w:rStyle w:val="FootnoteReference"/>
          <w:iCs/>
        </w:rPr>
        <w:footnoteReference w:id="1"/>
      </w:r>
      <w:r w:rsidRPr="00001499">
        <w:rPr>
          <w:iCs/>
        </w:rPr>
        <w:t xml:space="preserve">. </w:t>
      </w:r>
      <w:r w:rsidRPr="00001499">
        <w:t xml:space="preserve">Antigenic drift, and mismatch in vaccine and circulating viruses, means vaccine effectiveness can vary across (and within) seasons. </w:t>
      </w:r>
    </w:p>
    <w:p w14:paraId="2E9D5DF9" w14:textId="3410336D" w:rsidR="009C29A2" w:rsidRPr="00001499" w:rsidRDefault="009C29A2" w:rsidP="00AA46C6">
      <w:pPr>
        <w:pStyle w:val="3-BodyText"/>
        <w:ind w:left="709"/>
      </w:pPr>
      <w:r w:rsidRPr="00001499">
        <w:t>The traditional manufacturing process for influenza vaccines utilises fertilised chicken eggs. During this process, mutations can occur in the receptor binding region of HA, that allow influenza viruses to infect avian cells more efficiently. However, this can also lead to antigenic mismatch to circulating viruses, and reduced vaccine effectiveness. When this occurs, it is called egg adaptation, and it is a particular problem for influenza A/H3N2 and B viruses. Manufacturing influenza vaccines in cell-culture, from cell-derived candidate vaccine viruses, is designed to avoid this issue. Cell derived influenza vaccines have been developed recently and are not currently on the NIP in Australia. In the US 2017-18 influenza season, an influenza vaccine containing one cell derived component (H3N2) and three egg derived components was used, with production of cell derived components increasing in the US over the seasons until all strains came from cell-based production in the US 2019-20 season.</w:t>
      </w:r>
      <w:r w:rsidRPr="00001499" w:rsidDel="00E752C3">
        <w:t xml:space="preserve"> </w:t>
      </w:r>
      <w:r w:rsidRPr="00001499">
        <w:rPr>
          <w:iCs/>
        </w:rPr>
        <w:t>Different viruses, which have similar antigenic properties, are sometimes recommended by WHO/AIVC for inclusion in egg-based and cell-based vaccines. This is because influenza viruses do not always replicate equally well in the egg- and cell-based vaccine production systems.</w:t>
      </w:r>
      <w:r w:rsidRPr="00001499">
        <w:rPr>
          <w:rStyle w:val="FootnoteReference"/>
          <w:iCs/>
        </w:rPr>
        <w:footnoteReference w:id="2"/>
      </w:r>
    </w:p>
    <w:p w14:paraId="662AF17F" w14:textId="77777777" w:rsidR="009C29A2" w:rsidRPr="00001499" w:rsidRDefault="009C29A2" w:rsidP="009C29A2">
      <w:pPr>
        <w:pStyle w:val="2-SectionHeading"/>
      </w:pPr>
      <w:bookmarkStart w:id="21" w:name="_Toc22898850"/>
      <w:bookmarkStart w:id="22" w:name="_Toc93410951"/>
      <w:r w:rsidRPr="00001499">
        <w:t>Comparator</w:t>
      </w:r>
      <w:bookmarkEnd w:id="21"/>
      <w:bookmarkEnd w:id="22"/>
    </w:p>
    <w:p w14:paraId="187F7F63" w14:textId="4AA65C53" w:rsidR="009C29A2" w:rsidRPr="00001499" w:rsidRDefault="009C29A2" w:rsidP="00AA46C6">
      <w:pPr>
        <w:pStyle w:val="3-BodyText"/>
        <w:ind w:left="709"/>
        <w:rPr>
          <w:snapToGrid/>
        </w:rPr>
      </w:pPr>
      <w:r w:rsidRPr="00001499">
        <w:t xml:space="preserve">The nominated comparator was egg-based quadrivalent subunit influenza virus vaccine (QIVe), which is currently funded by the NIP for the proposed populations. The </w:t>
      </w:r>
      <w:r w:rsidRPr="00001499">
        <w:rPr>
          <w:iCs/>
        </w:rPr>
        <w:t xml:space="preserve">ESC considered that the </w:t>
      </w:r>
      <w:r w:rsidRPr="00001499">
        <w:t xml:space="preserve">comparator was appropriate. </w:t>
      </w:r>
      <w:bookmarkStart w:id="23" w:name="_Hlk120608410"/>
      <w:r w:rsidRPr="00001499">
        <w:t xml:space="preserve">The QIVe vaccines funded </w:t>
      </w:r>
      <w:r w:rsidRPr="00001499">
        <w:lastRenderedPageBreak/>
        <w:t xml:space="preserve">across the proposed populations in the 2021 season were </w:t>
      </w:r>
      <w:bookmarkStart w:id="24" w:name="_Hlk92380046"/>
      <w:r w:rsidRPr="00001499">
        <w:t>Vaxigrip Tetra</w:t>
      </w:r>
      <w:r w:rsidR="007823A8">
        <w:t>,</w:t>
      </w:r>
      <w:r w:rsidRPr="00001499">
        <w:t xml:space="preserve"> Fluarix Tetra</w:t>
      </w:r>
      <w:r w:rsidR="007823A8">
        <w:t xml:space="preserve"> and Afluria Quad</w:t>
      </w:r>
      <w:r w:rsidRPr="00001499">
        <w:t xml:space="preserve">. </w:t>
      </w:r>
      <w:bookmarkEnd w:id="24"/>
      <w:bookmarkEnd w:id="23"/>
    </w:p>
    <w:p w14:paraId="6E46C22B" w14:textId="60BD57D9" w:rsidR="009C29A2" w:rsidRPr="00001499" w:rsidRDefault="009C29A2" w:rsidP="00AC330C">
      <w:pPr>
        <w:pStyle w:val="ListParagraph"/>
        <w:numPr>
          <w:ilvl w:val="0"/>
          <w:numId w:val="11"/>
        </w:numPr>
        <w:ind w:left="1134" w:hanging="414"/>
        <w:rPr>
          <w:snapToGrid/>
        </w:rPr>
      </w:pPr>
      <w:r w:rsidRPr="00001499">
        <w:t xml:space="preserve">For the clinical comparisons, the submission compared QIVc with US-licenced QIVe for influenza seasons from 2017 to 2020 (see </w:t>
      </w:r>
      <w:r w:rsidRPr="00001499">
        <w:fldChar w:fldCharType="begin" w:fldLock="1"/>
      </w:r>
      <w:r w:rsidRPr="00001499">
        <w:instrText xml:space="preserve"> REF _Ref93341059 \h  \* MERGEFORMAT </w:instrText>
      </w:r>
      <w:r w:rsidRPr="00001499">
        <w:fldChar w:fldCharType="separate"/>
      </w:r>
      <w:r w:rsidR="005C1FE9" w:rsidRPr="00001499">
        <w:t xml:space="preserve">Table </w:t>
      </w:r>
      <w:r w:rsidR="005C1FE9">
        <w:rPr>
          <w:noProof/>
        </w:rPr>
        <w:t>3</w:t>
      </w:r>
      <w:r w:rsidRPr="00001499">
        <w:fldChar w:fldCharType="end"/>
      </w:r>
      <w:r w:rsidRPr="00001499">
        <w:t>).</w:t>
      </w:r>
    </w:p>
    <w:p w14:paraId="2B93D738" w14:textId="38879EA0" w:rsidR="009C29A2" w:rsidRPr="00001499" w:rsidRDefault="009C29A2" w:rsidP="00AC330C">
      <w:pPr>
        <w:pStyle w:val="ListParagraph"/>
        <w:numPr>
          <w:ilvl w:val="0"/>
          <w:numId w:val="11"/>
        </w:numPr>
        <w:ind w:left="1134" w:hanging="414"/>
        <w:rPr>
          <w:snapToGrid/>
        </w:rPr>
      </w:pPr>
      <w:r w:rsidRPr="00001499">
        <w:t>For the economic model, the sponsor used the $</w:t>
      </w:r>
      <w:r w:rsidR="00D76B55" w:rsidRPr="0020701F">
        <w:rPr>
          <w:color w:val="000000"/>
          <w:w w:val="15"/>
          <w:shd w:val="solid" w:color="000000" w:fill="000000"/>
          <w:fitText w:val="-20" w:id="-1404293117"/>
          <w14:textFill>
            <w14:solidFill>
              <w14:srgbClr w14:val="000000">
                <w14:alpha w14:val="100000"/>
              </w14:srgbClr>
            </w14:solidFill>
          </w14:textFill>
        </w:rPr>
        <w:t xml:space="preserve">|  </w:t>
      </w:r>
      <w:r w:rsidR="00D76B55" w:rsidRPr="0020701F">
        <w:rPr>
          <w:color w:val="000000"/>
          <w:spacing w:val="-69"/>
          <w:w w:val="15"/>
          <w:shd w:val="solid" w:color="000000" w:fill="000000"/>
          <w:fitText w:val="-20" w:id="-1404293117"/>
          <w14:textFill>
            <w14:solidFill>
              <w14:srgbClr w14:val="000000">
                <w14:alpha w14:val="100000"/>
              </w14:srgbClr>
            </w14:solidFill>
          </w14:textFill>
        </w:rPr>
        <w:t>|</w:t>
      </w:r>
      <w:r w:rsidRPr="00001499">
        <w:t xml:space="preserve">Nationally Negotiated Price for Afluria Quad, another Seqirus product registered for use in those aged 5 and over, which was recommended for NIP listing on a cost-minimisation basis to Fluarix Tetra (Afluria Quad, Public Summary Document (PSD), August 2016 PBAC meeting). </w:t>
      </w:r>
    </w:p>
    <w:p w14:paraId="61B452E3" w14:textId="108E8B3B" w:rsidR="009C29A2" w:rsidRPr="00001499" w:rsidRDefault="009C29A2" w:rsidP="00AA46C6">
      <w:pPr>
        <w:pStyle w:val="3-BodyText"/>
        <w:ind w:left="709"/>
        <w:rPr>
          <w:snapToGrid/>
          <w:color w:val="0066FF"/>
        </w:rPr>
      </w:pPr>
      <w:r w:rsidRPr="00001499">
        <w:t xml:space="preserve">The proposed algorithms assumed a complete switching from QIVe to QIVc for the proposed populations. This assumption may not be appropriate. ATAGI considered that QIVe will also likely remain available. </w:t>
      </w:r>
    </w:p>
    <w:p w14:paraId="4949E53E" w14:textId="38A8FBAD" w:rsidR="0083660F" w:rsidRPr="00001499" w:rsidRDefault="0083660F" w:rsidP="0083660F">
      <w:pPr>
        <w:pStyle w:val="3-BodyText"/>
        <w:numPr>
          <w:ilvl w:val="0"/>
          <w:numId w:val="0"/>
        </w:numPr>
        <w:rPr>
          <w:i/>
          <w:iCs/>
        </w:rPr>
      </w:pPr>
      <w:r w:rsidRPr="00001499">
        <w:rPr>
          <w:i/>
          <w:iCs/>
        </w:rPr>
        <w:t>For more detail on PBAC’s view, see section 7 PBAC outcome.</w:t>
      </w:r>
    </w:p>
    <w:p w14:paraId="5DDCBC9C" w14:textId="67143822" w:rsidR="009C29A2" w:rsidRPr="00001499" w:rsidRDefault="009C29A2" w:rsidP="009C29A2">
      <w:pPr>
        <w:pStyle w:val="2-SectionHeading"/>
      </w:pPr>
      <w:bookmarkStart w:id="25" w:name="_Toc93410952"/>
      <w:bookmarkStart w:id="26" w:name="_Toc22897640"/>
      <w:bookmarkStart w:id="27" w:name="_Toc22898852"/>
      <w:r w:rsidRPr="00001499">
        <w:t>Consideration of the evidence</w:t>
      </w:r>
      <w:bookmarkEnd w:id="25"/>
    </w:p>
    <w:p w14:paraId="494080C7" w14:textId="77777777" w:rsidR="00F217DE" w:rsidRPr="00001499" w:rsidRDefault="00F217DE" w:rsidP="00A851ED">
      <w:pPr>
        <w:pStyle w:val="4-SubsectionHeading"/>
      </w:pPr>
      <w:bookmarkStart w:id="28" w:name="_Hlk76375935"/>
      <w:r w:rsidRPr="00001499">
        <w:t>Sponsor hearing</w:t>
      </w:r>
    </w:p>
    <w:p w14:paraId="530BC826" w14:textId="15B1A840" w:rsidR="00AB7BC8" w:rsidRPr="00211474" w:rsidRDefault="00AB7BC8" w:rsidP="00AB7BC8">
      <w:pPr>
        <w:widowControl w:val="0"/>
        <w:numPr>
          <w:ilvl w:val="1"/>
          <w:numId w:val="1"/>
        </w:numPr>
        <w:spacing w:after="120" w:line="240" w:lineRule="auto"/>
        <w:ind w:left="720"/>
        <w:jc w:val="both"/>
        <w:rPr>
          <w:rFonts w:cs="Arial"/>
          <w:bCs/>
          <w:snapToGrid w:val="0"/>
          <w:sz w:val="24"/>
          <w:szCs w:val="24"/>
        </w:rPr>
      </w:pPr>
      <w:bookmarkStart w:id="29" w:name="_Hlk76382586"/>
      <w:r w:rsidRPr="00211474">
        <w:rPr>
          <w:rFonts w:cs="Arial"/>
          <w:bCs/>
          <w:snapToGrid w:val="0"/>
          <w:sz w:val="24"/>
          <w:szCs w:val="24"/>
        </w:rPr>
        <w:t xml:space="preserve">The sponsor requested a hearing for this item.  </w:t>
      </w:r>
      <w:bookmarkStart w:id="30" w:name="_Hlk114597045"/>
      <w:r w:rsidRPr="00211474">
        <w:rPr>
          <w:rFonts w:cs="Arial"/>
          <w:bCs/>
          <w:snapToGrid w:val="0"/>
          <w:sz w:val="24"/>
          <w:szCs w:val="24"/>
        </w:rPr>
        <w:t xml:space="preserve">The </w:t>
      </w:r>
      <w:r w:rsidR="00EB6044">
        <w:rPr>
          <w:rFonts w:cs="Arial"/>
          <w:bCs/>
          <w:snapToGrid w:val="0"/>
          <w:sz w:val="24"/>
          <w:szCs w:val="24"/>
        </w:rPr>
        <w:t>sponsor representative</w:t>
      </w:r>
      <w:r w:rsidRPr="00211474">
        <w:rPr>
          <w:rFonts w:cs="Arial"/>
          <w:bCs/>
          <w:snapToGrid w:val="0"/>
          <w:sz w:val="24"/>
          <w:szCs w:val="24"/>
        </w:rPr>
        <w:t xml:space="preserve"> </w:t>
      </w:r>
      <w:bookmarkEnd w:id="30"/>
      <w:r w:rsidRPr="00211474">
        <w:rPr>
          <w:rFonts w:cs="Arial"/>
          <w:bCs/>
          <w:snapToGrid w:val="0"/>
          <w:sz w:val="24"/>
          <w:szCs w:val="24"/>
        </w:rPr>
        <w:t xml:space="preserve">stated that egg adaptation, the process by which </w:t>
      </w:r>
      <w:r w:rsidRPr="00211474">
        <w:rPr>
          <w:sz w:val="24"/>
          <w:szCs w:val="24"/>
        </w:rPr>
        <w:t xml:space="preserve">virus strains </w:t>
      </w:r>
      <w:r w:rsidRPr="00211474">
        <w:rPr>
          <w:rFonts w:cs="Arial"/>
          <w:bCs/>
          <w:snapToGrid w:val="0"/>
          <w:sz w:val="24"/>
          <w:szCs w:val="24"/>
        </w:rPr>
        <w:t xml:space="preserve">are optimised for traditional egg-based influenza vaccine manufacturing, occurs </w:t>
      </w:r>
      <w:r w:rsidR="00E257CD">
        <w:rPr>
          <w:rFonts w:cs="Arial"/>
          <w:bCs/>
          <w:snapToGrid w:val="0"/>
          <w:sz w:val="24"/>
          <w:szCs w:val="24"/>
        </w:rPr>
        <w:t>in most seasons</w:t>
      </w:r>
      <w:r w:rsidRPr="00211474">
        <w:rPr>
          <w:rFonts w:cs="Arial"/>
          <w:bCs/>
          <w:snapToGrid w:val="0"/>
          <w:sz w:val="24"/>
          <w:szCs w:val="24"/>
        </w:rPr>
        <w:t xml:space="preserve">. </w:t>
      </w:r>
      <w:r w:rsidR="00EB6044" w:rsidRPr="00211474">
        <w:rPr>
          <w:rFonts w:cs="Arial"/>
          <w:bCs/>
          <w:snapToGrid w:val="0"/>
          <w:sz w:val="24"/>
          <w:szCs w:val="24"/>
        </w:rPr>
        <w:t xml:space="preserve">The </w:t>
      </w:r>
      <w:r w:rsidR="00EB6044">
        <w:rPr>
          <w:rFonts w:cs="Arial"/>
          <w:bCs/>
          <w:snapToGrid w:val="0"/>
          <w:sz w:val="24"/>
          <w:szCs w:val="24"/>
        </w:rPr>
        <w:t>sponsor representative</w:t>
      </w:r>
      <w:r w:rsidR="00EB6044" w:rsidRPr="00211474">
        <w:rPr>
          <w:rFonts w:cs="Arial"/>
          <w:bCs/>
          <w:snapToGrid w:val="0"/>
          <w:sz w:val="24"/>
          <w:szCs w:val="24"/>
        </w:rPr>
        <w:t xml:space="preserve"> </w:t>
      </w:r>
      <w:r w:rsidRPr="00211474">
        <w:rPr>
          <w:rFonts w:cs="Arial"/>
          <w:bCs/>
          <w:snapToGrid w:val="0"/>
          <w:sz w:val="24"/>
          <w:szCs w:val="24"/>
        </w:rPr>
        <w:t>noted the clinical impact associated with egg adaptation and emphasised the 14</w:t>
      </w:r>
      <w:r w:rsidRPr="00211474">
        <w:rPr>
          <w:rFonts w:cstheme="minorHAnsi"/>
          <w:bCs/>
          <w:snapToGrid w:val="0"/>
          <w:sz w:val="24"/>
          <w:szCs w:val="24"/>
        </w:rPr>
        <w:t>−</w:t>
      </w:r>
      <w:r w:rsidRPr="00211474">
        <w:rPr>
          <w:rFonts w:cs="Arial"/>
          <w:bCs/>
          <w:snapToGrid w:val="0"/>
          <w:sz w:val="24"/>
          <w:szCs w:val="24"/>
        </w:rPr>
        <w:t>19% improvement in relative vaccine efficacy (rVE) of QIVc versus QIVe observed during 2017</w:t>
      </w:r>
      <w:r w:rsidRPr="00211474">
        <w:rPr>
          <w:rFonts w:cstheme="minorHAnsi"/>
          <w:bCs/>
          <w:snapToGrid w:val="0"/>
          <w:sz w:val="24"/>
          <w:szCs w:val="24"/>
        </w:rPr>
        <w:t>−</w:t>
      </w:r>
      <w:r w:rsidRPr="00211474">
        <w:rPr>
          <w:rFonts w:cs="Arial"/>
          <w:bCs/>
          <w:snapToGrid w:val="0"/>
          <w:sz w:val="24"/>
          <w:szCs w:val="24"/>
        </w:rPr>
        <w:t xml:space="preserve">2018 (US-based data). </w:t>
      </w:r>
      <w:r w:rsidR="00EB6044" w:rsidRPr="00211474">
        <w:rPr>
          <w:rFonts w:cs="Arial"/>
          <w:bCs/>
          <w:snapToGrid w:val="0"/>
          <w:sz w:val="24"/>
          <w:szCs w:val="24"/>
        </w:rPr>
        <w:t xml:space="preserve">The </w:t>
      </w:r>
      <w:r w:rsidR="00EB6044">
        <w:rPr>
          <w:rFonts w:cs="Arial"/>
          <w:bCs/>
          <w:snapToGrid w:val="0"/>
          <w:sz w:val="24"/>
          <w:szCs w:val="24"/>
        </w:rPr>
        <w:t>sponsor representative</w:t>
      </w:r>
      <w:r w:rsidRPr="00211474">
        <w:rPr>
          <w:rFonts w:cs="Arial"/>
          <w:bCs/>
          <w:snapToGrid w:val="0"/>
          <w:sz w:val="24"/>
          <w:szCs w:val="24"/>
        </w:rPr>
        <w:t xml:space="preserve"> acknowledged the clinical impact associated with egg adaption is variable and noted that the rVE of QIVc was lower during 2018</w:t>
      </w:r>
      <w:r w:rsidRPr="00211474">
        <w:rPr>
          <w:rFonts w:cstheme="minorHAnsi"/>
          <w:bCs/>
          <w:snapToGrid w:val="0"/>
          <w:sz w:val="24"/>
          <w:szCs w:val="24"/>
        </w:rPr>
        <w:t>−</w:t>
      </w:r>
      <w:r w:rsidRPr="00211474">
        <w:rPr>
          <w:rFonts w:cs="Arial"/>
          <w:bCs/>
          <w:snapToGrid w:val="0"/>
          <w:sz w:val="24"/>
          <w:szCs w:val="24"/>
        </w:rPr>
        <w:t>2019 and 2019</w:t>
      </w:r>
      <w:r w:rsidRPr="00211474">
        <w:rPr>
          <w:rFonts w:cstheme="minorHAnsi"/>
          <w:bCs/>
          <w:snapToGrid w:val="0"/>
          <w:sz w:val="24"/>
          <w:szCs w:val="24"/>
        </w:rPr>
        <w:t>−</w:t>
      </w:r>
      <w:r w:rsidRPr="00211474">
        <w:rPr>
          <w:rFonts w:cs="Arial"/>
          <w:bCs/>
          <w:snapToGrid w:val="0"/>
          <w:sz w:val="24"/>
          <w:szCs w:val="24"/>
        </w:rPr>
        <w:t xml:space="preserve">2020 (US-based data). </w:t>
      </w:r>
      <w:r w:rsidR="00EB6044" w:rsidRPr="00211474">
        <w:rPr>
          <w:rFonts w:cs="Arial"/>
          <w:bCs/>
          <w:snapToGrid w:val="0"/>
          <w:sz w:val="24"/>
          <w:szCs w:val="24"/>
        </w:rPr>
        <w:t xml:space="preserve">The </w:t>
      </w:r>
      <w:r w:rsidR="00EB6044">
        <w:rPr>
          <w:rFonts w:cs="Arial"/>
          <w:bCs/>
          <w:snapToGrid w:val="0"/>
          <w:sz w:val="24"/>
          <w:szCs w:val="24"/>
        </w:rPr>
        <w:t>sponsor representative</w:t>
      </w:r>
      <w:r w:rsidR="00EB6044" w:rsidRPr="00211474">
        <w:rPr>
          <w:rFonts w:cs="Arial"/>
          <w:bCs/>
          <w:snapToGrid w:val="0"/>
          <w:sz w:val="24"/>
          <w:szCs w:val="24"/>
        </w:rPr>
        <w:t xml:space="preserve"> </w:t>
      </w:r>
      <w:r w:rsidRPr="00211474">
        <w:rPr>
          <w:rFonts w:cs="Arial"/>
          <w:bCs/>
          <w:snapToGrid w:val="0"/>
          <w:sz w:val="24"/>
          <w:szCs w:val="24"/>
        </w:rPr>
        <w:t>stated that the variability observed in rVE had been incorporated into the economic evaluation and claimed that when taken as an average across seasons, listing QIVc at the proposed price is associated with a reduction</w:t>
      </w:r>
      <w:r w:rsidR="00BB6FBB" w:rsidRPr="00211474">
        <w:rPr>
          <w:rFonts w:cs="Arial"/>
          <w:bCs/>
          <w:snapToGrid w:val="0"/>
          <w:sz w:val="24"/>
          <w:szCs w:val="24"/>
        </w:rPr>
        <w:t xml:space="preserve"> in</w:t>
      </w:r>
      <w:r w:rsidRPr="00211474">
        <w:rPr>
          <w:rFonts w:cs="Arial"/>
          <w:bCs/>
          <w:snapToGrid w:val="0"/>
          <w:sz w:val="24"/>
          <w:szCs w:val="24"/>
        </w:rPr>
        <w:t xml:space="preserve"> illness and clinical presentations and is cost-effective. </w:t>
      </w:r>
      <w:r w:rsidR="00EB6044" w:rsidRPr="00211474">
        <w:rPr>
          <w:rFonts w:cs="Arial"/>
          <w:bCs/>
          <w:snapToGrid w:val="0"/>
          <w:sz w:val="24"/>
          <w:szCs w:val="24"/>
        </w:rPr>
        <w:t xml:space="preserve">The </w:t>
      </w:r>
      <w:r w:rsidR="00EB6044">
        <w:rPr>
          <w:rFonts w:cs="Arial"/>
          <w:bCs/>
          <w:snapToGrid w:val="0"/>
          <w:sz w:val="24"/>
          <w:szCs w:val="24"/>
        </w:rPr>
        <w:t>sponsor representative</w:t>
      </w:r>
      <w:r w:rsidR="00EB6044" w:rsidRPr="00211474">
        <w:rPr>
          <w:rFonts w:cs="Arial"/>
          <w:bCs/>
          <w:snapToGrid w:val="0"/>
          <w:sz w:val="24"/>
          <w:szCs w:val="24"/>
        </w:rPr>
        <w:t xml:space="preserve"> </w:t>
      </w:r>
      <w:r w:rsidR="008B74D2" w:rsidRPr="00211474">
        <w:rPr>
          <w:rFonts w:cs="Arial"/>
          <w:bCs/>
          <w:snapToGrid w:val="0"/>
          <w:sz w:val="24"/>
          <w:szCs w:val="24"/>
        </w:rPr>
        <w:t>stated</w:t>
      </w:r>
      <w:r w:rsidRPr="00211474">
        <w:rPr>
          <w:rFonts w:cs="Arial"/>
          <w:bCs/>
          <w:snapToGrid w:val="0"/>
          <w:sz w:val="24"/>
          <w:szCs w:val="24"/>
        </w:rPr>
        <w:t xml:space="preserve"> that the sponsor is willing to collect additional data to support the clinical and cost-effectiveness claims made in the submission.</w:t>
      </w:r>
      <w:r w:rsidR="00E257CD">
        <w:rPr>
          <w:rFonts w:cs="Arial"/>
          <w:bCs/>
          <w:snapToGrid w:val="0"/>
          <w:sz w:val="24"/>
          <w:szCs w:val="24"/>
        </w:rPr>
        <w:t xml:space="preserve"> The PBAC noted that the hearing </w:t>
      </w:r>
      <w:r w:rsidR="00E257CD" w:rsidRPr="00E257CD">
        <w:rPr>
          <w:rFonts w:cs="Arial"/>
          <w:bCs/>
          <w:snapToGrid w:val="0"/>
          <w:sz w:val="24"/>
          <w:szCs w:val="24"/>
        </w:rPr>
        <w:t xml:space="preserve">did not add substantively to the evidence presented in the </w:t>
      </w:r>
      <w:r w:rsidR="00E257CD">
        <w:rPr>
          <w:rFonts w:cs="Arial"/>
          <w:bCs/>
          <w:snapToGrid w:val="0"/>
          <w:sz w:val="24"/>
          <w:szCs w:val="24"/>
        </w:rPr>
        <w:t xml:space="preserve">submission. </w:t>
      </w:r>
    </w:p>
    <w:bookmarkEnd w:id="29"/>
    <w:p w14:paraId="4FD19DED" w14:textId="77777777" w:rsidR="00F217DE" w:rsidRPr="00001499" w:rsidRDefault="00F217DE" w:rsidP="00A851ED">
      <w:pPr>
        <w:pStyle w:val="4-SubsectionHeading"/>
      </w:pPr>
      <w:r w:rsidRPr="00001499">
        <w:t>Consumer comments</w:t>
      </w:r>
    </w:p>
    <w:p w14:paraId="5D00B493" w14:textId="6E77B0C1" w:rsidR="00AB7BC8" w:rsidRPr="00A1705A" w:rsidRDefault="00AB7BC8" w:rsidP="00AB7BC8">
      <w:pPr>
        <w:widowControl w:val="0"/>
        <w:numPr>
          <w:ilvl w:val="1"/>
          <w:numId w:val="1"/>
        </w:numPr>
        <w:spacing w:after="120" w:line="240" w:lineRule="auto"/>
        <w:ind w:left="720"/>
        <w:jc w:val="both"/>
        <w:rPr>
          <w:rFonts w:cs="Arial"/>
          <w:bCs/>
          <w:snapToGrid w:val="0"/>
          <w:sz w:val="24"/>
          <w:szCs w:val="24"/>
        </w:rPr>
      </w:pPr>
      <w:bookmarkStart w:id="31" w:name="_Hlk76382618"/>
      <w:r w:rsidRPr="00A1705A">
        <w:rPr>
          <w:rFonts w:cs="Arial"/>
          <w:bCs/>
          <w:snapToGrid w:val="0"/>
          <w:sz w:val="24"/>
          <w:szCs w:val="24"/>
        </w:rPr>
        <w:t xml:space="preserve">The PBAC noted and welcomed the input from </w:t>
      </w:r>
      <w:r w:rsidR="00F14128">
        <w:rPr>
          <w:rFonts w:cs="Arial"/>
          <w:bCs/>
          <w:snapToGrid w:val="0"/>
          <w:sz w:val="24"/>
          <w:szCs w:val="24"/>
        </w:rPr>
        <w:t xml:space="preserve">the </w:t>
      </w:r>
      <w:r w:rsidRPr="00A1705A">
        <w:rPr>
          <w:rFonts w:cs="Arial"/>
          <w:bCs/>
          <w:snapToGrid w:val="0"/>
          <w:sz w:val="24"/>
          <w:szCs w:val="24"/>
        </w:rPr>
        <w:t xml:space="preserve">Lung Foundation Australia, via the Consumer Comments facility on the PBS website.  </w:t>
      </w:r>
    </w:p>
    <w:p w14:paraId="0D6E6B83" w14:textId="29EF3C56" w:rsidR="00266600" w:rsidRPr="00A1705A" w:rsidRDefault="00AB7BC8" w:rsidP="00AB7BC8">
      <w:pPr>
        <w:widowControl w:val="0"/>
        <w:numPr>
          <w:ilvl w:val="1"/>
          <w:numId w:val="1"/>
        </w:numPr>
        <w:spacing w:after="120" w:line="240" w:lineRule="auto"/>
        <w:ind w:left="720"/>
        <w:jc w:val="both"/>
        <w:rPr>
          <w:rFonts w:cs="Arial"/>
          <w:bCs/>
          <w:snapToGrid w:val="0"/>
          <w:sz w:val="24"/>
          <w:szCs w:val="24"/>
        </w:rPr>
      </w:pPr>
      <w:r w:rsidRPr="00A1705A">
        <w:rPr>
          <w:rFonts w:cs="Arial"/>
          <w:bCs/>
          <w:snapToGrid w:val="0"/>
          <w:sz w:val="24"/>
          <w:szCs w:val="24"/>
        </w:rPr>
        <w:t xml:space="preserve">Lung Foundation Australia noted that </w:t>
      </w:r>
      <w:r w:rsidR="004E2FC0">
        <w:rPr>
          <w:rFonts w:cs="Arial"/>
          <w:bCs/>
          <w:snapToGrid w:val="0"/>
          <w:sz w:val="24"/>
          <w:szCs w:val="24"/>
        </w:rPr>
        <w:t>availability of</w:t>
      </w:r>
      <w:r w:rsidRPr="00A1705A">
        <w:rPr>
          <w:rFonts w:cs="Arial"/>
          <w:bCs/>
          <w:snapToGrid w:val="0"/>
          <w:sz w:val="24"/>
          <w:szCs w:val="24"/>
        </w:rPr>
        <w:t xml:space="preserve"> </w:t>
      </w:r>
      <w:r w:rsidRPr="00A1705A">
        <w:rPr>
          <w:sz w:val="24"/>
          <w:szCs w:val="24"/>
        </w:rPr>
        <w:t>Flucelvax® Quad</w:t>
      </w:r>
      <w:r w:rsidR="004E2FC0">
        <w:rPr>
          <w:sz w:val="24"/>
          <w:szCs w:val="24"/>
        </w:rPr>
        <w:t xml:space="preserve"> through the NIP</w:t>
      </w:r>
      <w:r w:rsidRPr="00A1705A">
        <w:rPr>
          <w:rFonts w:cs="Arial"/>
          <w:bCs/>
          <w:snapToGrid w:val="0"/>
          <w:sz w:val="24"/>
          <w:szCs w:val="24"/>
        </w:rPr>
        <w:t xml:space="preserve"> would provide Australia</w:t>
      </w:r>
      <w:r w:rsidR="00DD72F7">
        <w:rPr>
          <w:rFonts w:cs="Arial"/>
          <w:bCs/>
          <w:snapToGrid w:val="0"/>
          <w:sz w:val="24"/>
          <w:szCs w:val="24"/>
        </w:rPr>
        <w:t>ns</w:t>
      </w:r>
      <w:r w:rsidRPr="00A1705A">
        <w:rPr>
          <w:rFonts w:cs="Arial"/>
          <w:bCs/>
          <w:snapToGrid w:val="0"/>
          <w:sz w:val="24"/>
          <w:szCs w:val="24"/>
        </w:rPr>
        <w:t xml:space="preserve"> with an alternate supply of influenza vaccine, ensuring access </w:t>
      </w:r>
      <w:r w:rsidR="00DD72F7">
        <w:rPr>
          <w:rFonts w:cs="Arial"/>
          <w:bCs/>
          <w:snapToGrid w:val="0"/>
          <w:sz w:val="24"/>
          <w:szCs w:val="24"/>
        </w:rPr>
        <w:t>when needed</w:t>
      </w:r>
      <w:r w:rsidRPr="00A1705A">
        <w:rPr>
          <w:rFonts w:cs="Arial"/>
          <w:bCs/>
          <w:snapToGrid w:val="0"/>
          <w:sz w:val="24"/>
          <w:szCs w:val="24"/>
        </w:rPr>
        <w:t xml:space="preserve">. Lung Foundation Australia noted the benefits of reducing the risk of disease associated with influenza outbreaks and minimising the economic and social burden associated with illness. Lung foundation Australia emphasised the </w:t>
      </w:r>
      <w:r w:rsidRPr="00A1705A">
        <w:rPr>
          <w:rFonts w:cs="Arial"/>
          <w:bCs/>
          <w:snapToGrid w:val="0"/>
          <w:sz w:val="24"/>
          <w:szCs w:val="24"/>
        </w:rPr>
        <w:lastRenderedPageBreak/>
        <w:t>potential wider benefits of reducing the burden of illness experienced by children and their families and working Australians.</w:t>
      </w:r>
    </w:p>
    <w:p w14:paraId="783C86F5" w14:textId="77777777" w:rsidR="009C29A2" w:rsidRPr="00001499" w:rsidRDefault="009C29A2" w:rsidP="009C29A2">
      <w:pPr>
        <w:pStyle w:val="4-SubsectionHeading"/>
      </w:pPr>
      <w:bookmarkStart w:id="32" w:name="_Toc93410953"/>
      <w:bookmarkEnd w:id="28"/>
      <w:bookmarkEnd w:id="31"/>
      <w:r w:rsidRPr="00001499">
        <w:t>Clinical studies</w:t>
      </w:r>
      <w:bookmarkEnd w:id="26"/>
      <w:bookmarkEnd w:id="27"/>
      <w:bookmarkEnd w:id="32"/>
    </w:p>
    <w:p w14:paraId="4512607C" w14:textId="17D4ADA3" w:rsidR="009C29A2" w:rsidRPr="00001499" w:rsidRDefault="009C29A2" w:rsidP="00AA46C6">
      <w:pPr>
        <w:pStyle w:val="3-BodyText"/>
        <w:ind w:left="709"/>
        <w:rPr>
          <w:rFonts w:eastAsiaTheme="minorEastAsia" w:cstheme="minorBidi"/>
        </w:rPr>
      </w:pPr>
      <w:r w:rsidRPr="00001499">
        <w:rPr>
          <w:rFonts w:eastAsia="Calibri"/>
        </w:rPr>
        <w:t>The submission was based on 6 retrospective cohort observational studies comparing QIVc to QIVe for the clinical claim of superior effectiveness, and one head-to-head trial for the non</w:t>
      </w:r>
      <w:r w:rsidR="00F4130A">
        <w:rPr>
          <w:rFonts w:eastAsia="Calibri"/>
        </w:rPr>
        <w:t>-</w:t>
      </w:r>
      <w:r w:rsidRPr="00001499">
        <w:rPr>
          <w:rFonts w:eastAsia="Calibri"/>
        </w:rPr>
        <w:t xml:space="preserve">inferior safety claim (n=2,414 randomised, V130_10). </w:t>
      </w:r>
    </w:p>
    <w:p w14:paraId="6D0C5C12" w14:textId="2A404D9D" w:rsidR="009C29A2" w:rsidRPr="00001499" w:rsidRDefault="009C29A2" w:rsidP="00AA46C6">
      <w:pPr>
        <w:pStyle w:val="3-BodyText"/>
        <w:ind w:left="709"/>
      </w:pPr>
      <w:r w:rsidRPr="00001499">
        <w:rPr>
          <w:snapToGrid/>
        </w:rPr>
        <w:t>Details of the key observational studies</w:t>
      </w:r>
      <w:r w:rsidR="005B123A" w:rsidRPr="00001499">
        <w:rPr>
          <w:snapToGrid/>
        </w:rPr>
        <w:t xml:space="preserve"> and head-to-head trial</w:t>
      </w:r>
      <w:r w:rsidRPr="00001499">
        <w:rPr>
          <w:snapToGrid/>
        </w:rPr>
        <w:t xml:space="preserve"> presented in the submission are provided in </w:t>
      </w:r>
      <w:r w:rsidRPr="00001499">
        <w:rPr>
          <w:snapToGrid/>
        </w:rPr>
        <w:fldChar w:fldCharType="begin" w:fldLock="1"/>
      </w:r>
      <w:r w:rsidRPr="00001499">
        <w:rPr>
          <w:snapToGrid/>
        </w:rPr>
        <w:instrText xml:space="preserve"> REF _Ref93341107 \h </w:instrText>
      </w:r>
      <w:r w:rsidRPr="00001499">
        <w:rPr>
          <w:snapToGrid/>
        </w:rPr>
      </w:r>
      <w:r w:rsidRPr="00001499">
        <w:rPr>
          <w:snapToGrid/>
        </w:rPr>
        <w:fldChar w:fldCharType="separate"/>
      </w:r>
      <w:r w:rsidR="005C1FE9" w:rsidRPr="00001499">
        <w:t xml:space="preserve">Table </w:t>
      </w:r>
      <w:r w:rsidR="005C1FE9">
        <w:rPr>
          <w:noProof/>
        </w:rPr>
        <w:t>2</w:t>
      </w:r>
      <w:r w:rsidRPr="00001499">
        <w:rPr>
          <w:snapToGrid/>
        </w:rPr>
        <w:fldChar w:fldCharType="end"/>
      </w:r>
      <w:r w:rsidRPr="00001499">
        <w:rPr>
          <w:snapToGrid/>
        </w:rPr>
        <w:t xml:space="preserve">. Supportive evidence was provided from </w:t>
      </w:r>
      <w:r w:rsidR="003F11E1" w:rsidRPr="00001499">
        <w:rPr>
          <w:snapToGrid/>
        </w:rPr>
        <w:t xml:space="preserve">4 </w:t>
      </w:r>
      <w:r w:rsidRPr="00001499">
        <w:rPr>
          <w:snapToGrid/>
        </w:rPr>
        <w:t>non-randomised observational studies with a test-negative design</w:t>
      </w:r>
      <w:r w:rsidR="003F11E1" w:rsidRPr="00001499">
        <w:rPr>
          <w:snapToGrid/>
        </w:rPr>
        <w:t xml:space="preserve"> (TND)</w:t>
      </w:r>
      <w:r w:rsidRPr="00001499">
        <w:rPr>
          <w:snapToGrid/>
        </w:rPr>
        <w:t>,</w:t>
      </w:r>
      <w:r w:rsidR="003F11E1" w:rsidRPr="00001499">
        <w:rPr>
          <w:rFonts w:ascii="Calibri" w:hAnsi="Calibri" w:cs="Times New Roman"/>
          <w:snapToGrid/>
          <w:sz w:val="22"/>
          <w:szCs w:val="22"/>
          <w:lang w:eastAsia="en-US"/>
        </w:rPr>
        <w:t xml:space="preserve"> 1 </w:t>
      </w:r>
      <w:r w:rsidR="003F11E1" w:rsidRPr="00001499">
        <w:rPr>
          <w:snapToGrid/>
        </w:rPr>
        <w:t>retrospective cohort study with a TND case-control sub-analysis,</w:t>
      </w:r>
      <w:r w:rsidRPr="00001499">
        <w:rPr>
          <w:snapToGrid/>
        </w:rPr>
        <w:t xml:space="preserve"> and 3 randomised controlled trials examining immunogenicity and not designed to evaluate efficacy or demonstrate superiority.</w:t>
      </w:r>
    </w:p>
    <w:p w14:paraId="0E351561" w14:textId="7FEE5440" w:rsidR="009C29A2" w:rsidRPr="00001499" w:rsidRDefault="009C29A2" w:rsidP="00A77DC7">
      <w:pPr>
        <w:pStyle w:val="TableHeading0"/>
        <w:rPr>
          <w:rStyle w:val="CommentReference"/>
          <w:b/>
        </w:rPr>
      </w:pPr>
      <w:bookmarkStart w:id="33" w:name="_Ref93341107"/>
      <w:r w:rsidRPr="00001499">
        <w:t xml:space="preserve">Table </w:t>
      </w:r>
      <w:fldSimple w:instr=" SEQ Table \* ARABIC " w:fldLock="1">
        <w:r w:rsidR="005C1FE9">
          <w:rPr>
            <w:noProof/>
          </w:rPr>
          <w:t>2</w:t>
        </w:r>
      </w:fldSimple>
      <w:bookmarkEnd w:id="33"/>
      <w:r w:rsidRPr="00001499">
        <w:rPr>
          <w:rStyle w:val="CommentReference"/>
          <w:b/>
        </w:rPr>
        <w:t>: Trials/observational studies and associated reports presented in the submission</w:t>
      </w:r>
    </w:p>
    <w:tbl>
      <w:tblPr>
        <w:tblW w:w="0" w:type="auto"/>
        <w:tblLayout w:type="fixed"/>
        <w:tblLook w:val="04A0" w:firstRow="1" w:lastRow="0" w:firstColumn="1" w:lastColumn="0" w:noHBand="0" w:noVBand="1"/>
        <w:tblCaption w:val="Table 2: Trials/observational studies and associated reports presented in the submission"/>
      </w:tblPr>
      <w:tblGrid>
        <w:gridCol w:w="1470"/>
        <w:gridCol w:w="5400"/>
        <w:gridCol w:w="2115"/>
      </w:tblGrid>
      <w:tr w:rsidR="009C29A2" w:rsidRPr="00001499" w14:paraId="69E05119" w14:textId="77777777" w:rsidTr="003F11E1">
        <w:trPr>
          <w:cantSplit/>
          <w:trHeight w:val="113"/>
          <w:tblHeader/>
        </w:trPr>
        <w:tc>
          <w:tcPr>
            <w:tcW w:w="1470" w:type="dxa"/>
            <w:tcBorders>
              <w:top w:val="single" w:sz="6" w:space="0" w:color="auto"/>
              <w:left w:val="single" w:sz="6" w:space="0" w:color="auto"/>
              <w:bottom w:val="single" w:sz="6" w:space="0" w:color="auto"/>
              <w:right w:val="single" w:sz="6" w:space="0" w:color="auto"/>
            </w:tcBorders>
            <w:vAlign w:val="center"/>
          </w:tcPr>
          <w:p w14:paraId="2581E103" w14:textId="77777777" w:rsidR="009C29A2" w:rsidRPr="00001499" w:rsidRDefault="009C29A2" w:rsidP="00A77DC7">
            <w:pPr>
              <w:keepNext/>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b/>
                <w:bCs/>
                <w:color w:val="000000" w:themeColor="text1"/>
                <w:sz w:val="20"/>
                <w:szCs w:val="20"/>
              </w:rPr>
              <w:t xml:space="preserve">Trial ID </w:t>
            </w:r>
          </w:p>
        </w:tc>
        <w:tc>
          <w:tcPr>
            <w:tcW w:w="5400" w:type="dxa"/>
            <w:tcBorders>
              <w:top w:val="single" w:sz="6" w:space="0" w:color="auto"/>
              <w:left w:val="single" w:sz="6" w:space="0" w:color="auto"/>
              <w:bottom w:val="single" w:sz="6" w:space="0" w:color="auto"/>
              <w:right w:val="single" w:sz="6" w:space="0" w:color="auto"/>
            </w:tcBorders>
            <w:vAlign w:val="center"/>
          </w:tcPr>
          <w:p w14:paraId="02A20177" w14:textId="77777777" w:rsidR="009C29A2" w:rsidRPr="00001499" w:rsidRDefault="009C29A2" w:rsidP="00A77DC7">
            <w:pPr>
              <w:keepNext/>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b/>
                <w:bCs/>
                <w:color w:val="000000" w:themeColor="text1"/>
                <w:sz w:val="20"/>
                <w:szCs w:val="20"/>
              </w:rPr>
              <w:t xml:space="preserve">Protocol title/ Publication title </w:t>
            </w:r>
          </w:p>
        </w:tc>
        <w:tc>
          <w:tcPr>
            <w:tcW w:w="2115" w:type="dxa"/>
            <w:tcBorders>
              <w:top w:val="single" w:sz="6" w:space="0" w:color="auto"/>
              <w:left w:val="single" w:sz="6" w:space="0" w:color="auto"/>
              <w:bottom w:val="single" w:sz="6" w:space="0" w:color="auto"/>
              <w:right w:val="single" w:sz="6" w:space="0" w:color="auto"/>
            </w:tcBorders>
          </w:tcPr>
          <w:p w14:paraId="1C1EEFC0" w14:textId="77777777" w:rsidR="009C29A2" w:rsidRPr="00001499" w:rsidRDefault="009C29A2" w:rsidP="00A77DC7">
            <w:pPr>
              <w:keepNext/>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b/>
                <w:bCs/>
                <w:color w:val="000000" w:themeColor="text1"/>
                <w:sz w:val="20"/>
                <w:szCs w:val="20"/>
              </w:rPr>
              <w:t xml:space="preserve">Publication citation </w:t>
            </w:r>
          </w:p>
        </w:tc>
      </w:tr>
      <w:tr w:rsidR="009C29A2" w:rsidRPr="00001499" w14:paraId="13D0939B" w14:textId="77777777" w:rsidTr="003F11E1">
        <w:trPr>
          <w:cantSplit/>
          <w:trHeight w:val="113"/>
        </w:trPr>
        <w:tc>
          <w:tcPr>
            <w:tcW w:w="8985" w:type="dxa"/>
            <w:gridSpan w:val="3"/>
            <w:tcBorders>
              <w:top w:val="single" w:sz="6" w:space="0" w:color="auto"/>
              <w:left w:val="single" w:sz="6" w:space="0" w:color="auto"/>
              <w:bottom w:val="single" w:sz="6" w:space="0" w:color="auto"/>
              <w:right w:val="single" w:sz="6" w:space="0" w:color="auto"/>
            </w:tcBorders>
          </w:tcPr>
          <w:p w14:paraId="5D940D56" w14:textId="77777777" w:rsidR="009C29A2" w:rsidRPr="00001499" w:rsidRDefault="009C29A2" w:rsidP="00A77DC7">
            <w:pPr>
              <w:keepNext/>
              <w:spacing w:after="0"/>
              <w:rPr>
                <w:rFonts w:ascii="Arial Narrow" w:eastAsia="Arial Narrow" w:hAnsi="Arial Narrow" w:cs="Arial Narrow"/>
                <w:b/>
                <w:bCs/>
                <w:color w:val="000000" w:themeColor="text1"/>
                <w:sz w:val="20"/>
                <w:szCs w:val="20"/>
              </w:rPr>
            </w:pPr>
            <w:r w:rsidRPr="00001499">
              <w:rPr>
                <w:rFonts w:ascii="Arial Narrow" w:eastAsia="Arial Narrow" w:hAnsi="Arial Narrow" w:cs="Arial Narrow"/>
                <w:b/>
                <w:bCs/>
                <w:color w:val="000000" w:themeColor="text1"/>
                <w:sz w:val="20"/>
                <w:szCs w:val="20"/>
              </w:rPr>
              <w:t>Direct randomised controlled trials (immunogenicity outcomes and safety &lt;4 years of age)</w:t>
            </w:r>
          </w:p>
        </w:tc>
      </w:tr>
      <w:tr w:rsidR="009C29A2" w:rsidRPr="00001499" w14:paraId="25B2A03B" w14:textId="77777777" w:rsidTr="003F11E1">
        <w:trPr>
          <w:cantSplit/>
          <w:trHeight w:val="113"/>
        </w:trPr>
        <w:tc>
          <w:tcPr>
            <w:tcW w:w="1470" w:type="dxa"/>
            <w:tcBorders>
              <w:top w:val="single" w:sz="6" w:space="0" w:color="auto"/>
              <w:left w:val="single" w:sz="6" w:space="0" w:color="auto"/>
              <w:bottom w:val="single" w:sz="6" w:space="0" w:color="auto"/>
              <w:right w:val="single" w:sz="6" w:space="0" w:color="auto"/>
            </w:tcBorders>
            <w:vAlign w:val="center"/>
          </w:tcPr>
          <w:p w14:paraId="43BB6259" w14:textId="77777777" w:rsidR="009C29A2" w:rsidRPr="00001499" w:rsidRDefault="009C29A2" w:rsidP="00A77DC7">
            <w:pPr>
              <w:keepNext/>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V130_10 (NCT04074928)</w:t>
            </w:r>
          </w:p>
        </w:tc>
        <w:tc>
          <w:tcPr>
            <w:tcW w:w="5400" w:type="dxa"/>
            <w:tcBorders>
              <w:top w:val="single" w:sz="6" w:space="0" w:color="auto"/>
              <w:left w:val="single" w:sz="6" w:space="0" w:color="auto"/>
              <w:bottom w:val="single" w:sz="6" w:space="0" w:color="auto"/>
              <w:right w:val="single" w:sz="6" w:space="0" w:color="auto"/>
            </w:tcBorders>
            <w:vAlign w:val="center"/>
          </w:tcPr>
          <w:p w14:paraId="06B8BD4A" w14:textId="77777777" w:rsidR="009C29A2" w:rsidRPr="00001499" w:rsidRDefault="009C29A2" w:rsidP="00A77DC7">
            <w:pPr>
              <w:keepNext/>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A phase 3, randomised, observer-blind, multicenter, noninferiority study to evaluate safety and immunogenicity of a cell-based quadrivalent subunit influenza virus vaccine (QIVc) and a United States-licensed quadrivalent influenza virus vaccine (QIV) in healthy subjects 6 months through 47 months.</w:t>
            </w:r>
          </w:p>
        </w:tc>
        <w:tc>
          <w:tcPr>
            <w:tcW w:w="2115" w:type="dxa"/>
            <w:tcBorders>
              <w:top w:val="single" w:sz="6" w:space="0" w:color="auto"/>
              <w:left w:val="single" w:sz="6" w:space="0" w:color="auto"/>
              <w:bottom w:val="single" w:sz="6" w:space="0" w:color="auto"/>
              <w:right w:val="single" w:sz="6" w:space="0" w:color="auto"/>
            </w:tcBorders>
          </w:tcPr>
          <w:p w14:paraId="784261E6" w14:textId="77777777" w:rsidR="009C29A2" w:rsidRPr="00001499" w:rsidRDefault="009C29A2" w:rsidP="00A77DC7">
            <w:pPr>
              <w:keepNext/>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November 2020</w:t>
            </w:r>
          </w:p>
        </w:tc>
      </w:tr>
      <w:tr w:rsidR="009C29A2" w:rsidRPr="00001499" w14:paraId="7DFB3D05" w14:textId="77777777" w:rsidTr="003F11E1">
        <w:trPr>
          <w:cantSplit/>
          <w:trHeight w:val="113"/>
        </w:trPr>
        <w:tc>
          <w:tcPr>
            <w:tcW w:w="8985" w:type="dxa"/>
            <w:gridSpan w:val="3"/>
            <w:tcBorders>
              <w:top w:val="single" w:sz="6" w:space="0" w:color="auto"/>
              <w:left w:val="single" w:sz="6" w:space="0" w:color="auto"/>
              <w:bottom w:val="single" w:sz="6" w:space="0" w:color="auto"/>
              <w:right w:val="single" w:sz="6" w:space="0" w:color="auto"/>
            </w:tcBorders>
          </w:tcPr>
          <w:p w14:paraId="50B9ABA8" w14:textId="77777777" w:rsidR="009C29A2" w:rsidRPr="00001499" w:rsidRDefault="009C29A2" w:rsidP="00A77DC7">
            <w:pPr>
              <w:keepNext/>
              <w:spacing w:after="0"/>
              <w:rPr>
                <w:rFonts w:ascii="Arial Narrow" w:eastAsia="Arial Narrow" w:hAnsi="Arial Narrow" w:cs="Arial Narrow"/>
                <w:b/>
                <w:bCs/>
                <w:color w:val="000000" w:themeColor="text1"/>
                <w:sz w:val="20"/>
                <w:szCs w:val="20"/>
              </w:rPr>
            </w:pPr>
            <w:r w:rsidRPr="00001499">
              <w:rPr>
                <w:rFonts w:ascii="Arial Narrow" w:eastAsia="Arial Narrow" w:hAnsi="Arial Narrow" w:cs="Arial Narrow"/>
                <w:b/>
                <w:bCs/>
                <w:color w:val="000000" w:themeColor="text1"/>
                <w:sz w:val="20"/>
                <w:szCs w:val="20"/>
              </w:rPr>
              <w:t>Observational studies (pivotal to the clinical claim of superiority)</w:t>
            </w:r>
          </w:p>
        </w:tc>
      </w:tr>
      <w:tr w:rsidR="009C29A2" w:rsidRPr="00001499" w14:paraId="6259BC40" w14:textId="77777777" w:rsidTr="003F11E1">
        <w:trPr>
          <w:cantSplit/>
          <w:trHeight w:val="113"/>
        </w:trPr>
        <w:tc>
          <w:tcPr>
            <w:tcW w:w="8985" w:type="dxa"/>
            <w:gridSpan w:val="3"/>
            <w:tcBorders>
              <w:top w:val="single" w:sz="6" w:space="0" w:color="auto"/>
              <w:left w:val="single" w:sz="6" w:space="0" w:color="auto"/>
              <w:bottom w:val="single" w:sz="6" w:space="0" w:color="auto"/>
              <w:right w:val="single" w:sz="6" w:space="0" w:color="auto"/>
            </w:tcBorders>
          </w:tcPr>
          <w:p w14:paraId="2A60E5B9" w14:textId="77777777" w:rsidR="009C29A2" w:rsidRPr="00001499" w:rsidRDefault="009C29A2" w:rsidP="00A77DC7">
            <w:pPr>
              <w:keepNext/>
              <w:spacing w:after="0"/>
              <w:rPr>
                <w:rFonts w:ascii="Arial Narrow" w:eastAsia="Arial Narrow" w:hAnsi="Arial Narrow" w:cs="Arial Narrow"/>
                <w:iCs/>
                <w:color w:val="000000" w:themeColor="text1"/>
                <w:sz w:val="20"/>
                <w:szCs w:val="20"/>
              </w:rPr>
            </w:pPr>
            <w:r w:rsidRPr="00001499">
              <w:rPr>
                <w:rFonts w:ascii="Arial Narrow" w:eastAsia="Arial Narrow" w:hAnsi="Arial Narrow" w:cs="Arial Narrow"/>
                <w:iCs/>
                <w:color w:val="000000" w:themeColor="text1"/>
                <w:sz w:val="20"/>
                <w:szCs w:val="20"/>
              </w:rPr>
              <w:t xml:space="preserve">US season 2017 – 2018 </w:t>
            </w:r>
          </w:p>
        </w:tc>
      </w:tr>
      <w:tr w:rsidR="009C29A2" w:rsidRPr="00001499" w14:paraId="7FA6B21E" w14:textId="77777777" w:rsidTr="003F11E1">
        <w:trPr>
          <w:cantSplit/>
          <w:trHeight w:val="113"/>
        </w:trPr>
        <w:tc>
          <w:tcPr>
            <w:tcW w:w="1470" w:type="dxa"/>
            <w:tcBorders>
              <w:top w:val="single" w:sz="6" w:space="0" w:color="auto"/>
              <w:left w:val="single" w:sz="6" w:space="0" w:color="auto"/>
              <w:right w:val="single" w:sz="6" w:space="0" w:color="auto"/>
            </w:tcBorders>
          </w:tcPr>
          <w:p w14:paraId="2797DF7C" w14:textId="77777777" w:rsidR="009C29A2" w:rsidRPr="00001499" w:rsidRDefault="009C29A2" w:rsidP="00A77DC7">
            <w:pPr>
              <w:keepNext/>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Boikos 2020 </w:t>
            </w:r>
          </w:p>
        </w:tc>
        <w:tc>
          <w:tcPr>
            <w:tcW w:w="5400" w:type="dxa"/>
            <w:tcBorders>
              <w:top w:val="single" w:sz="6" w:space="0" w:color="auto"/>
              <w:left w:val="single" w:sz="6" w:space="0" w:color="auto"/>
              <w:right w:val="single" w:sz="6" w:space="0" w:color="auto"/>
            </w:tcBorders>
          </w:tcPr>
          <w:p w14:paraId="086551AC" w14:textId="77777777" w:rsidR="009C29A2" w:rsidRPr="00001499" w:rsidRDefault="009C29A2" w:rsidP="00A77DC7">
            <w:pPr>
              <w:keepNext/>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A Retrospective Cohort Study Evaluating the Relative Effectiveness of QIVc Compared to Standard, Egg-based QIV: Study Report (Version 2.0). </w:t>
            </w:r>
          </w:p>
        </w:tc>
        <w:tc>
          <w:tcPr>
            <w:tcW w:w="2115" w:type="dxa"/>
            <w:tcBorders>
              <w:top w:val="single" w:sz="6" w:space="0" w:color="auto"/>
              <w:left w:val="single" w:sz="6" w:space="0" w:color="auto"/>
              <w:right w:val="single" w:sz="6" w:space="0" w:color="auto"/>
            </w:tcBorders>
          </w:tcPr>
          <w:p w14:paraId="31FADABF" w14:textId="77777777" w:rsidR="009C29A2" w:rsidRPr="00001499" w:rsidRDefault="009C29A2" w:rsidP="00A77DC7">
            <w:pPr>
              <w:keepNext/>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November 2018</w:t>
            </w:r>
          </w:p>
        </w:tc>
      </w:tr>
      <w:tr w:rsidR="009C29A2" w:rsidRPr="00001499" w14:paraId="18E4A8C8" w14:textId="77777777" w:rsidTr="003F11E1">
        <w:trPr>
          <w:cantSplit/>
          <w:trHeight w:val="113"/>
        </w:trPr>
        <w:tc>
          <w:tcPr>
            <w:tcW w:w="1470" w:type="dxa"/>
            <w:tcBorders>
              <w:top w:val="nil"/>
              <w:left w:val="single" w:sz="6" w:space="0" w:color="auto"/>
              <w:bottom w:val="single" w:sz="4" w:space="0" w:color="auto"/>
              <w:right w:val="single" w:sz="6" w:space="0" w:color="auto"/>
            </w:tcBorders>
          </w:tcPr>
          <w:p w14:paraId="390C15D8"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 </w:t>
            </w:r>
          </w:p>
        </w:tc>
        <w:tc>
          <w:tcPr>
            <w:tcW w:w="5400" w:type="dxa"/>
            <w:tcBorders>
              <w:top w:val="nil"/>
              <w:left w:val="single" w:sz="6" w:space="0" w:color="auto"/>
              <w:bottom w:val="single" w:sz="4" w:space="0" w:color="auto"/>
              <w:right w:val="single" w:sz="6" w:space="0" w:color="auto"/>
            </w:tcBorders>
          </w:tcPr>
          <w:p w14:paraId="1FAEDD82"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Boikos, C., et al. Relative Effectiveness of the Cell-Cultured Quadrivalent Influenza Vaccine Compared to Standard, Egg-derived Quadrivalent Influenza Vaccines in Preventing Influenza-like Illness in 2017–2018</w:t>
            </w:r>
          </w:p>
        </w:tc>
        <w:tc>
          <w:tcPr>
            <w:tcW w:w="2115" w:type="dxa"/>
            <w:tcBorders>
              <w:top w:val="nil"/>
              <w:left w:val="single" w:sz="6" w:space="0" w:color="auto"/>
              <w:bottom w:val="single" w:sz="4" w:space="0" w:color="auto"/>
              <w:right w:val="single" w:sz="6" w:space="0" w:color="auto"/>
            </w:tcBorders>
          </w:tcPr>
          <w:p w14:paraId="12747622"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iCs/>
                <w:color w:val="000000" w:themeColor="text1"/>
                <w:sz w:val="20"/>
                <w:szCs w:val="20"/>
              </w:rPr>
              <w:t>Clinical Infectious Diseases</w:t>
            </w:r>
            <w:r w:rsidRPr="00001499">
              <w:rPr>
                <w:rFonts w:ascii="Arial Narrow" w:eastAsia="Arial Narrow" w:hAnsi="Arial Narrow" w:cs="Arial Narrow"/>
                <w:color w:val="000000" w:themeColor="text1"/>
                <w:sz w:val="20"/>
                <w:szCs w:val="20"/>
              </w:rPr>
              <w:t xml:space="preserve"> 2020; 71(10): e665–e671</w:t>
            </w:r>
          </w:p>
        </w:tc>
      </w:tr>
      <w:tr w:rsidR="009C29A2" w:rsidRPr="00001499" w14:paraId="1B0B799D" w14:textId="77777777" w:rsidTr="003F11E1">
        <w:trPr>
          <w:cantSplit/>
          <w:trHeight w:val="113"/>
        </w:trPr>
        <w:tc>
          <w:tcPr>
            <w:tcW w:w="1470" w:type="dxa"/>
            <w:tcBorders>
              <w:top w:val="single" w:sz="4" w:space="0" w:color="auto"/>
              <w:left w:val="single" w:sz="6" w:space="0" w:color="auto"/>
              <w:bottom w:val="single" w:sz="6" w:space="0" w:color="auto"/>
              <w:right w:val="single" w:sz="6" w:space="0" w:color="auto"/>
            </w:tcBorders>
          </w:tcPr>
          <w:p w14:paraId="172BBD80"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Divino 2020  </w:t>
            </w:r>
          </w:p>
        </w:tc>
        <w:tc>
          <w:tcPr>
            <w:tcW w:w="5400" w:type="dxa"/>
            <w:tcBorders>
              <w:top w:val="single" w:sz="4" w:space="0" w:color="auto"/>
              <w:left w:val="single" w:sz="6" w:space="0" w:color="auto"/>
              <w:bottom w:val="single" w:sz="6" w:space="0" w:color="auto"/>
              <w:right w:val="single" w:sz="6" w:space="0" w:color="auto"/>
            </w:tcBorders>
          </w:tcPr>
          <w:p w14:paraId="04119DDD"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Divino, V., et al. A real-world study evaluating the relative vaccine effectiveness of a cell-based quadrivalent influenza vaccine compared to egg-based quadrivalent influenza vaccine in the US during the 2017-18 influenza season.</w:t>
            </w:r>
          </w:p>
        </w:tc>
        <w:tc>
          <w:tcPr>
            <w:tcW w:w="2115" w:type="dxa"/>
            <w:tcBorders>
              <w:top w:val="single" w:sz="4" w:space="0" w:color="auto"/>
              <w:left w:val="single" w:sz="6" w:space="0" w:color="auto"/>
              <w:bottom w:val="single" w:sz="6" w:space="0" w:color="auto"/>
              <w:right w:val="single" w:sz="6" w:space="0" w:color="auto"/>
            </w:tcBorders>
          </w:tcPr>
          <w:p w14:paraId="32E1C9E7"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iCs/>
                <w:color w:val="000000" w:themeColor="text1"/>
                <w:sz w:val="20"/>
                <w:szCs w:val="20"/>
              </w:rPr>
              <w:t>Vaccine</w:t>
            </w:r>
            <w:r w:rsidRPr="00001499">
              <w:rPr>
                <w:rFonts w:ascii="Arial Narrow" w:eastAsia="Arial Narrow" w:hAnsi="Arial Narrow" w:cs="Arial Narrow"/>
                <w:color w:val="000000" w:themeColor="text1"/>
                <w:sz w:val="20"/>
                <w:szCs w:val="20"/>
              </w:rPr>
              <w:t xml:space="preserve"> 2020; 38(40): 6334-6343</w:t>
            </w:r>
          </w:p>
        </w:tc>
      </w:tr>
      <w:tr w:rsidR="009C29A2" w:rsidRPr="00001499" w14:paraId="54255BC9" w14:textId="77777777" w:rsidTr="003F11E1">
        <w:trPr>
          <w:cantSplit/>
          <w:trHeight w:val="113"/>
        </w:trPr>
        <w:tc>
          <w:tcPr>
            <w:tcW w:w="8985" w:type="dxa"/>
            <w:gridSpan w:val="3"/>
            <w:tcBorders>
              <w:top w:val="single" w:sz="6" w:space="0" w:color="auto"/>
              <w:left w:val="single" w:sz="6" w:space="0" w:color="auto"/>
              <w:bottom w:val="single" w:sz="6" w:space="0" w:color="auto"/>
              <w:right w:val="single" w:sz="6" w:space="0" w:color="auto"/>
            </w:tcBorders>
          </w:tcPr>
          <w:p w14:paraId="22453595" w14:textId="77777777" w:rsidR="009C29A2" w:rsidRPr="00001499" w:rsidRDefault="009C29A2" w:rsidP="003F11E1">
            <w:pPr>
              <w:spacing w:after="0"/>
              <w:rPr>
                <w:rFonts w:ascii="Arial Narrow" w:eastAsia="Arial Narrow" w:hAnsi="Arial Narrow" w:cs="Arial Narrow"/>
                <w:iCs/>
                <w:color w:val="000000" w:themeColor="text1"/>
                <w:sz w:val="20"/>
                <w:szCs w:val="20"/>
              </w:rPr>
            </w:pPr>
            <w:r w:rsidRPr="00001499">
              <w:rPr>
                <w:rFonts w:ascii="Arial Narrow" w:eastAsia="Arial Narrow" w:hAnsi="Arial Narrow" w:cs="Arial Narrow"/>
                <w:iCs/>
                <w:color w:val="000000" w:themeColor="text1"/>
                <w:sz w:val="20"/>
                <w:szCs w:val="20"/>
              </w:rPr>
              <w:t xml:space="preserve">US season 2018 – 2019 </w:t>
            </w:r>
          </w:p>
        </w:tc>
      </w:tr>
      <w:tr w:rsidR="009C29A2" w:rsidRPr="00001499" w14:paraId="5CB250B4" w14:textId="77777777" w:rsidTr="003F11E1">
        <w:trPr>
          <w:cantSplit/>
          <w:trHeight w:val="113"/>
        </w:trPr>
        <w:tc>
          <w:tcPr>
            <w:tcW w:w="1470" w:type="dxa"/>
            <w:tcBorders>
              <w:top w:val="single" w:sz="6" w:space="0" w:color="auto"/>
              <w:left w:val="single" w:sz="6" w:space="0" w:color="auto"/>
              <w:bottom w:val="nil"/>
              <w:right w:val="single" w:sz="6" w:space="0" w:color="auto"/>
            </w:tcBorders>
          </w:tcPr>
          <w:p w14:paraId="383F12E0"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Boikos 2021 </w:t>
            </w:r>
          </w:p>
        </w:tc>
        <w:tc>
          <w:tcPr>
            <w:tcW w:w="5400" w:type="dxa"/>
            <w:tcBorders>
              <w:top w:val="nil"/>
              <w:left w:val="single" w:sz="6" w:space="0" w:color="auto"/>
              <w:bottom w:val="nil"/>
              <w:right w:val="single" w:sz="6" w:space="0" w:color="auto"/>
            </w:tcBorders>
          </w:tcPr>
          <w:p w14:paraId="66C3E195"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Relative effectiveness of the cell-based, quadrivalent influenza vaccine compared to egg-based seasonal influenza vaccines in preventing influenza-related medical encounters in U.S. individuals ≥4 years during the 2018-19 influenza season. Seqirus CORE study, 20RWE02</w:t>
            </w:r>
          </w:p>
        </w:tc>
        <w:tc>
          <w:tcPr>
            <w:tcW w:w="2115" w:type="dxa"/>
            <w:tcBorders>
              <w:top w:val="nil"/>
              <w:left w:val="single" w:sz="6" w:space="0" w:color="auto"/>
              <w:bottom w:val="nil"/>
              <w:right w:val="single" w:sz="6" w:space="0" w:color="auto"/>
            </w:tcBorders>
          </w:tcPr>
          <w:p w14:paraId="03B1F28A"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September 2020</w:t>
            </w:r>
          </w:p>
        </w:tc>
      </w:tr>
      <w:tr w:rsidR="009C29A2" w:rsidRPr="00001499" w14:paraId="2E890226" w14:textId="77777777" w:rsidTr="003F11E1">
        <w:trPr>
          <w:cantSplit/>
          <w:trHeight w:val="113"/>
        </w:trPr>
        <w:tc>
          <w:tcPr>
            <w:tcW w:w="1470" w:type="dxa"/>
            <w:tcBorders>
              <w:top w:val="nil"/>
              <w:left w:val="single" w:sz="6" w:space="0" w:color="auto"/>
              <w:bottom w:val="nil"/>
              <w:right w:val="single" w:sz="6" w:space="0" w:color="auto"/>
            </w:tcBorders>
          </w:tcPr>
          <w:p w14:paraId="3FCEE88D"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 </w:t>
            </w:r>
          </w:p>
        </w:tc>
        <w:tc>
          <w:tcPr>
            <w:tcW w:w="5400" w:type="dxa"/>
            <w:tcBorders>
              <w:top w:val="nil"/>
              <w:left w:val="single" w:sz="6" w:space="0" w:color="auto"/>
              <w:bottom w:val="nil"/>
              <w:right w:val="single" w:sz="6" w:space="0" w:color="auto"/>
            </w:tcBorders>
          </w:tcPr>
          <w:p w14:paraId="7FBC36EB"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Boikos, C., et al. Relative Effectiveness of the Cell-derived Inactivated Quadrivalent Influenza Vaccine Versus Egg-derived Inactivated Quadrivalent Influenza Vaccines in Preventing Influenza-related Medical Encounters During the 2018-2019 Influenza Season in the United States.</w:t>
            </w:r>
          </w:p>
        </w:tc>
        <w:tc>
          <w:tcPr>
            <w:tcW w:w="2115" w:type="dxa"/>
            <w:tcBorders>
              <w:top w:val="nil"/>
              <w:left w:val="single" w:sz="6" w:space="0" w:color="auto"/>
              <w:bottom w:val="nil"/>
              <w:right w:val="single" w:sz="6" w:space="0" w:color="auto"/>
            </w:tcBorders>
          </w:tcPr>
          <w:p w14:paraId="7293E36F"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iCs/>
                <w:color w:val="000000" w:themeColor="text1"/>
                <w:sz w:val="20"/>
                <w:szCs w:val="20"/>
              </w:rPr>
              <w:t>Clinical Infectious Diseases</w:t>
            </w:r>
            <w:r w:rsidRPr="00001499">
              <w:rPr>
                <w:rFonts w:ascii="Arial Narrow" w:eastAsia="Arial Narrow" w:hAnsi="Arial Narrow" w:cs="Arial Narrow"/>
                <w:color w:val="000000" w:themeColor="text1"/>
                <w:sz w:val="20"/>
                <w:szCs w:val="20"/>
              </w:rPr>
              <w:t xml:space="preserve"> 2021; 73(3): e692-e698</w:t>
            </w:r>
          </w:p>
        </w:tc>
      </w:tr>
      <w:tr w:rsidR="009C29A2" w:rsidRPr="00001499" w14:paraId="532D4BFD" w14:textId="77777777" w:rsidTr="003F11E1">
        <w:trPr>
          <w:cantSplit/>
          <w:trHeight w:val="113"/>
        </w:trPr>
        <w:tc>
          <w:tcPr>
            <w:tcW w:w="1470" w:type="dxa"/>
            <w:tcBorders>
              <w:top w:val="nil"/>
              <w:left w:val="single" w:sz="6" w:space="0" w:color="auto"/>
              <w:bottom w:val="single" w:sz="4" w:space="0" w:color="auto"/>
              <w:right w:val="single" w:sz="6" w:space="0" w:color="auto"/>
            </w:tcBorders>
          </w:tcPr>
          <w:p w14:paraId="59244A23"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 </w:t>
            </w:r>
          </w:p>
        </w:tc>
        <w:tc>
          <w:tcPr>
            <w:tcW w:w="5400" w:type="dxa"/>
            <w:tcBorders>
              <w:top w:val="nil"/>
              <w:left w:val="single" w:sz="6" w:space="0" w:color="auto"/>
              <w:bottom w:val="single" w:sz="4" w:space="0" w:color="auto"/>
              <w:right w:val="single" w:sz="6" w:space="0" w:color="auto"/>
            </w:tcBorders>
          </w:tcPr>
          <w:p w14:paraId="603D14DA"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Boikos, C., et al. Effectiveness of the Cell-Derived Inactivated Quadrivalent Influenza Vaccine in Individuals at High Risk of Influenza Complications in the 2018–2019 United States Influenza Season. </w:t>
            </w:r>
          </w:p>
        </w:tc>
        <w:tc>
          <w:tcPr>
            <w:tcW w:w="2115" w:type="dxa"/>
            <w:tcBorders>
              <w:top w:val="nil"/>
              <w:left w:val="single" w:sz="6" w:space="0" w:color="auto"/>
              <w:bottom w:val="single" w:sz="4" w:space="0" w:color="auto"/>
              <w:right w:val="single" w:sz="6" w:space="0" w:color="auto"/>
            </w:tcBorders>
          </w:tcPr>
          <w:p w14:paraId="2255DDDE"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iCs/>
                <w:color w:val="000000" w:themeColor="text1"/>
                <w:sz w:val="20"/>
                <w:szCs w:val="20"/>
              </w:rPr>
              <w:t>Open Forum Infectious Diseases</w:t>
            </w:r>
            <w:r w:rsidRPr="00001499">
              <w:rPr>
                <w:rFonts w:ascii="Arial Narrow" w:eastAsia="Arial Narrow" w:hAnsi="Arial Narrow" w:cs="Arial Narrow"/>
                <w:color w:val="000000" w:themeColor="text1"/>
                <w:sz w:val="20"/>
                <w:szCs w:val="20"/>
              </w:rPr>
              <w:t xml:space="preserve"> 2021; 8 (7)</w:t>
            </w:r>
          </w:p>
        </w:tc>
      </w:tr>
      <w:tr w:rsidR="009C29A2" w:rsidRPr="00001499" w14:paraId="32945654" w14:textId="77777777" w:rsidTr="003F11E1">
        <w:trPr>
          <w:cantSplit/>
          <w:trHeight w:val="113"/>
        </w:trPr>
        <w:tc>
          <w:tcPr>
            <w:tcW w:w="1470" w:type="dxa"/>
            <w:tcBorders>
              <w:top w:val="single" w:sz="4" w:space="0" w:color="auto"/>
              <w:left w:val="single" w:sz="6" w:space="0" w:color="auto"/>
              <w:bottom w:val="single" w:sz="8" w:space="0" w:color="auto"/>
              <w:right w:val="single" w:sz="6" w:space="0" w:color="auto"/>
            </w:tcBorders>
          </w:tcPr>
          <w:p w14:paraId="0BC9078C"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lastRenderedPageBreak/>
              <w:t xml:space="preserve">Krishnarajah 2021 </w:t>
            </w:r>
          </w:p>
        </w:tc>
        <w:tc>
          <w:tcPr>
            <w:tcW w:w="5400" w:type="dxa"/>
            <w:tcBorders>
              <w:top w:val="single" w:sz="4" w:space="0" w:color="auto"/>
              <w:left w:val="single" w:sz="6" w:space="0" w:color="auto"/>
              <w:bottom w:val="single" w:sz="8" w:space="0" w:color="auto"/>
              <w:right w:val="single" w:sz="6" w:space="0" w:color="auto"/>
            </w:tcBorders>
          </w:tcPr>
          <w:p w14:paraId="3A334925"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Krishnarajah, G., et al. Clinical and Economic Outcomes Associated with Cell-Based Quadrivalent Influenza Vaccine vs. Standard-Dose Egg-Based Quadrivalent Influenza Vaccines during the 2018-19 Influenza Season in the United States. </w:t>
            </w:r>
          </w:p>
        </w:tc>
        <w:tc>
          <w:tcPr>
            <w:tcW w:w="2115" w:type="dxa"/>
            <w:tcBorders>
              <w:top w:val="single" w:sz="4" w:space="0" w:color="auto"/>
              <w:left w:val="single" w:sz="6" w:space="0" w:color="auto"/>
              <w:bottom w:val="single" w:sz="8" w:space="0" w:color="auto"/>
              <w:right w:val="single" w:sz="6" w:space="0" w:color="auto"/>
            </w:tcBorders>
          </w:tcPr>
          <w:p w14:paraId="5C89EEA0"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iCs/>
                <w:color w:val="000000" w:themeColor="text1"/>
                <w:sz w:val="20"/>
                <w:szCs w:val="20"/>
              </w:rPr>
              <w:t>Vaccines</w:t>
            </w:r>
            <w:r w:rsidRPr="00001499">
              <w:rPr>
                <w:rFonts w:ascii="Arial Narrow" w:eastAsia="Arial Narrow" w:hAnsi="Arial Narrow" w:cs="Arial Narrow"/>
                <w:color w:val="000000" w:themeColor="text1"/>
                <w:sz w:val="20"/>
                <w:szCs w:val="20"/>
              </w:rPr>
              <w:t xml:space="preserve"> (Basel) 2021; 9(2): 80</w:t>
            </w:r>
          </w:p>
        </w:tc>
      </w:tr>
      <w:tr w:rsidR="009C29A2" w:rsidRPr="00001499" w14:paraId="1C893AC5" w14:textId="77777777" w:rsidTr="003F11E1">
        <w:trPr>
          <w:cantSplit/>
          <w:trHeight w:val="113"/>
        </w:trPr>
        <w:tc>
          <w:tcPr>
            <w:tcW w:w="8985" w:type="dxa"/>
            <w:gridSpan w:val="3"/>
            <w:tcBorders>
              <w:top w:val="single" w:sz="8" w:space="0" w:color="auto"/>
              <w:left w:val="single" w:sz="6" w:space="0" w:color="auto"/>
              <w:bottom w:val="single" w:sz="6" w:space="0" w:color="auto"/>
              <w:right w:val="single" w:sz="6" w:space="0" w:color="auto"/>
            </w:tcBorders>
          </w:tcPr>
          <w:p w14:paraId="7FC0A50F" w14:textId="77777777" w:rsidR="009C29A2" w:rsidRPr="00001499" w:rsidRDefault="009C29A2" w:rsidP="003F11E1">
            <w:pPr>
              <w:spacing w:after="0"/>
              <w:rPr>
                <w:rFonts w:ascii="Arial Narrow" w:eastAsia="Arial Narrow" w:hAnsi="Arial Narrow" w:cs="Arial Narrow"/>
                <w:iCs/>
                <w:color w:val="000000" w:themeColor="text1"/>
                <w:sz w:val="20"/>
                <w:szCs w:val="20"/>
              </w:rPr>
            </w:pPr>
            <w:r w:rsidRPr="00001499">
              <w:rPr>
                <w:rFonts w:ascii="Arial Narrow" w:eastAsia="Arial Narrow" w:hAnsi="Arial Narrow" w:cs="Arial Narrow"/>
                <w:iCs/>
                <w:color w:val="000000" w:themeColor="text1"/>
                <w:sz w:val="20"/>
                <w:szCs w:val="20"/>
              </w:rPr>
              <w:t xml:space="preserve">US season 2019 – 2020 </w:t>
            </w:r>
          </w:p>
        </w:tc>
      </w:tr>
      <w:tr w:rsidR="009C29A2" w:rsidRPr="00001499" w14:paraId="34B26B42" w14:textId="77777777" w:rsidTr="003F11E1">
        <w:trPr>
          <w:cantSplit/>
          <w:trHeight w:val="113"/>
        </w:trPr>
        <w:tc>
          <w:tcPr>
            <w:tcW w:w="1470" w:type="dxa"/>
            <w:tcBorders>
              <w:top w:val="single" w:sz="6" w:space="0" w:color="auto"/>
              <w:left w:val="single" w:sz="6" w:space="0" w:color="auto"/>
              <w:bottom w:val="single" w:sz="2" w:space="0" w:color="auto"/>
              <w:right w:val="single" w:sz="6" w:space="0" w:color="auto"/>
            </w:tcBorders>
          </w:tcPr>
          <w:p w14:paraId="57A05708"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Seqirus 2021 (CSR)</w:t>
            </w:r>
          </w:p>
        </w:tc>
        <w:tc>
          <w:tcPr>
            <w:tcW w:w="5400" w:type="dxa"/>
            <w:tcBorders>
              <w:top w:val="nil"/>
              <w:left w:val="single" w:sz="6" w:space="0" w:color="auto"/>
              <w:bottom w:val="single" w:sz="6" w:space="0" w:color="auto"/>
              <w:right w:val="single" w:sz="6" w:space="0" w:color="auto"/>
            </w:tcBorders>
          </w:tcPr>
          <w:p w14:paraId="3D37A1FA"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Relative effectiveness of the cell-derived versus egg-derived quadrivalent influenza vaccines in the US during the 2019-20 influenza season. </w:t>
            </w:r>
          </w:p>
        </w:tc>
        <w:tc>
          <w:tcPr>
            <w:tcW w:w="2115" w:type="dxa"/>
            <w:tcBorders>
              <w:top w:val="nil"/>
              <w:left w:val="single" w:sz="6" w:space="0" w:color="auto"/>
              <w:bottom w:val="single" w:sz="6" w:space="0" w:color="auto"/>
              <w:right w:val="single" w:sz="6" w:space="0" w:color="auto"/>
            </w:tcBorders>
          </w:tcPr>
          <w:p w14:paraId="1A4DC605"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March 2021</w:t>
            </w:r>
          </w:p>
        </w:tc>
      </w:tr>
      <w:tr w:rsidR="009C29A2" w:rsidRPr="00001499" w14:paraId="6F0DDDFE" w14:textId="77777777" w:rsidTr="003F11E1">
        <w:trPr>
          <w:cantSplit/>
          <w:trHeight w:val="113"/>
        </w:trPr>
        <w:tc>
          <w:tcPr>
            <w:tcW w:w="1470" w:type="dxa"/>
            <w:tcBorders>
              <w:top w:val="single" w:sz="2" w:space="0" w:color="auto"/>
              <w:left w:val="single" w:sz="6" w:space="0" w:color="auto"/>
              <w:bottom w:val="single" w:sz="6" w:space="0" w:color="auto"/>
              <w:right w:val="single" w:sz="6" w:space="0" w:color="auto"/>
            </w:tcBorders>
          </w:tcPr>
          <w:p w14:paraId="3BC99AB8"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Divino 2021 </w:t>
            </w:r>
          </w:p>
          <w:p w14:paraId="40415338" w14:textId="77777777"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(Submitted; </w:t>
            </w:r>
            <w:r w:rsidRPr="00001499">
              <w:rPr>
                <w:rFonts w:ascii="Arial Narrow" w:eastAsia="Arial Narrow" w:hAnsi="Arial Narrow" w:cs="Arial Narrow"/>
                <w:iCs/>
                <w:color w:val="000000" w:themeColor="text1"/>
                <w:sz w:val="20"/>
                <w:szCs w:val="20"/>
              </w:rPr>
              <w:t>published online 4 December 2021</w:t>
            </w:r>
            <w:r w:rsidRPr="00001499">
              <w:rPr>
                <w:rFonts w:ascii="Arial Narrow" w:eastAsia="Arial Narrow" w:hAnsi="Arial Narrow" w:cs="Arial Narrow"/>
                <w:color w:val="000000" w:themeColor="text1"/>
                <w:sz w:val="20"/>
                <w:szCs w:val="20"/>
              </w:rPr>
              <w:t xml:space="preserve">) </w:t>
            </w:r>
          </w:p>
        </w:tc>
        <w:tc>
          <w:tcPr>
            <w:tcW w:w="5400" w:type="dxa"/>
            <w:tcBorders>
              <w:top w:val="single" w:sz="6" w:space="0" w:color="auto"/>
              <w:left w:val="single" w:sz="6" w:space="0" w:color="auto"/>
              <w:bottom w:val="single" w:sz="6" w:space="0" w:color="auto"/>
              <w:right w:val="single" w:sz="6" w:space="0" w:color="auto"/>
            </w:tcBorders>
          </w:tcPr>
          <w:p w14:paraId="25226509" w14:textId="694F1DB6" w:rsidR="009C29A2" w:rsidRPr="00001499" w:rsidRDefault="009C29A2" w:rsidP="003F11E1">
            <w:pPr>
              <w:spacing w:after="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Divino, V. </w:t>
            </w:r>
            <w:r w:rsidRPr="00001499">
              <w:rPr>
                <w:rFonts w:ascii="Arial Narrow" w:eastAsia="Arial Narrow" w:hAnsi="Arial Narrow" w:cs="Arial Narrow"/>
                <w:iCs/>
                <w:color w:val="000000" w:themeColor="text1"/>
                <w:sz w:val="20"/>
                <w:szCs w:val="20"/>
              </w:rPr>
              <w:t>A Real-World Clinical and Economic Analysis of Cell-derived Quadrivalent Influenza Vaccine Compared to Standard Egg-derived Quadrivalent Influenza Vaccines During the 2019-20 Influenza Season in the United States</w:t>
            </w:r>
          </w:p>
        </w:tc>
        <w:tc>
          <w:tcPr>
            <w:tcW w:w="2115" w:type="dxa"/>
            <w:tcBorders>
              <w:top w:val="single" w:sz="6" w:space="0" w:color="auto"/>
              <w:left w:val="single" w:sz="6" w:space="0" w:color="auto"/>
              <w:bottom w:val="single" w:sz="6" w:space="0" w:color="auto"/>
              <w:right w:val="single" w:sz="6" w:space="0" w:color="auto"/>
            </w:tcBorders>
          </w:tcPr>
          <w:p w14:paraId="338ACE01" w14:textId="1B33D012" w:rsidR="009C29A2" w:rsidRPr="00001499" w:rsidRDefault="009C29A2" w:rsidP="003F11E1">
            <w:pPr>
              <w:spacing w:after="0"/>
              <w:rPr>
                <w:rFonts w:ascii="Arial Narrow" w:eastAsia="Arial Narrow" w:hAnsi="Arial Narrow" w:cs="Arial Narrow"/>
                <w:i/>
                <w:iCs/>
                <w:color w:val="000000" w:themeColor="text1"/>
                <w:sz w:val="20"/>
                <w:szCs w:val="20"/>
              </w:rPr>
            </w:pPr>
            <w:r w:rsidRPr="00001499">
              <w:rPr>
                <w:rFonts w:ascii="Arial Narrow" w:eastAsia="Arial Narrow" w:hAnsi="Arial Narrow" w:cs="Arial Narrow"/>
                <w:iCs/>
                <w:color w:val="000000" w:themeColor="text1"/>
                <w:sz w:val="20"/>
                <w:szCs w:val="20"/>
              </w:rPr>
              <w:t>Open Forum Infectious Diseases</w:t>
            </w:r>
            <w:r w:rsidRPr="00001499">
              <w:rPr>
                <w:rFonts w:ascii="Arial Narrow" w:eastAsia="Arial Narrow" w:hAnsi="Arial Narrow" w:cs="Arial Narrow"/>
                <w:color w:val="000000" w:themeColor="text1"/>
                <w:sz w:val="20"/>
                <w:szCs w:val="20"/>
              </w:rPr>
              <w:t xml:space="preserve"> 2020, Submitted; </w:t>
            </w:r>
            <w:r w:rsidRPr="00001499">
              <w:rPr>
                <w:rFonts w:ascii="Arial Narrow" w:eastAsia="Arial Narrow" w:hAnsi="Arial Narrow" w:cs="Arial Narrow"/>
                <w:iCs/>
                <w:color w:val="000000" w:themeColor="text1"/>
                <w:sz w:val="20"/>
                <w:szCs w:val="20"/>
              </w:rPr>
              <w:t>published online 4 December 2021</w:t>
            </w:r>
          </w:p>
        </w:tc>
      </w:tr>
    </w:tbl>
    <w:p w14:paraId="020A4D1E" w14:textId="77777777" w:rsidR="009C29A2" w:rsidRPr="00001499" w:rsidRDefault="009C29A2" w:rsidP="009C29A2">
      <w:pPr>
        <w:pStyle w:val="TableFigureFooter"/>
        <w:rPr>
          <w:rFonts w:eastAsia="Arial Narrow" w:cs="Arial Narrow"/>
          <w:color w:val="000000" w:themeColor="text1"/>
          <w:szCs w:val="18"/>
        </w:rPr>
      </w:pPr>
      <w:r w:rsidRPr="00001499">
        <w:rPr>
          <w:rFonts w:eastAsia="Arial Narrow" w:cs="Arial Narrow"/>
          <w:color w:val="000000" w:themeColor="text1"/>
          <w:szCs w:val="18"/>
        </w:rPr>
        <w:t>Source: Adapted from Table 2.2.1, p63-64 of the submission.</w:t>
      </w:r>
    </w:p>
    <w:p w14:paraId="603D247B" w14:textId="77777777" w:rsidR="009C29A2" w:rsidRPr="00001499" w:rsidRDefault="009C29A2" w:rsidP="009C29A2">
      <w:pPr>
        <w:pStyle w:val="TableFigureFooter"/>
        <w:rPr>
          <w:sz w:val="20"/>
          <w:szCs w:val="20"/>
        </w:rPr>
      </w:pPr>
      <w:r w:rsidRPr="00001499">
        <w:t>Abbreviations: CSR = Clinical Study Report; QIVc = cell-based quadrivalent subunit influenza virus vaccine; QIVe = egg-based quadrivalent subunit influenza virus vaccine; US = United States</w:t>
      </w:r>
    </w:p>
    <w:p w14:paraId="24AD5F73" w14:textId="28535DB7" w:rsidR="009C29A2" w:rsidRPr="00001499" w:rsidRDefault="009C29A2" w:rsidP="00AA46C6">
      <w:pPr>
        <w:pStyle w:val="3-BodyText"/>
        <w:ind w:left="709"/>
        <w:rPr>
          <w:rStyle w:val="CommentReference"/>
          <w:rFonts w:eastAsiaTheme="minorEastAsia" w:cstheme="minorBidi"/>
          <w:b w:val="0"/>
          <w:color w:val="0066FF"/>
        </w:rPr>
      </w:pPr>
      <w:r w:rsidRPr="00001499">
        <w:t xml:space="preserve">The key features of the observational studies are summarised in </w:t>
      </w:r>
      <w:r w:rsidRPr="00001499">
        <w:fldChar w:fldCharType="begin" w:fldLock="1"/>
      </w:r>
      <w:r w:rsidRPr="00001499">
        <w:instrText xml:space="preserve"> REF _Ref93341059 \h </w:instrText>
      </w:r>
      <w:r w:rsidRPr="00001499">
        <w:fldChar w:fldCharType="separate"/>
      </w:r>
      <w:r w:rsidR="005C1FE9" w:rsidRPr="00001499">
        <w:t xml:space="preserve">Table </w:t>
      </w:r>
      <w:r w:rsidR="005C1FE9">
        <w:rPr>
          <w:noProof/>
        </w:rPr>
        <w:t>3</w:t>
      </w:r>
      <w:r w:rsidRPr="00001499">
        <w:fldChar w:fldCharType="end"/>
      </w:r>
      <w:r w:rsidRPr="00001499">
        <w:t xml:space="preserve">. The key features of the randomised trial V130_10 </w:t>
      </w:r>
      <w:proofErr w:type="gramStart"/>
      <w:r w:rsidRPr="00001499">
        <w:t>are</w:t>
      </w:r>
      <w:proofErr w:type="gramEnd"/>
      <w:r w:rsidRPr="00001499">
        <w:t xml:space="preserve"> discussed in paragraph </w:t>
      </w:r>
      <w:r w:rsidRPr="00001499">
        <w:rPr>
          <w:color w:val="2B579A"/>
        </w:rPr>
        <w:fldChar w:fldCharType="begin" w:fldLock="1"/>
      </w:r>
      <w:r w:rsidRPr="00001499">
        <w:instrText xml:space="preserve"> REF _Ref92283412 \r \h </w:instrText>
      </w:r>
      <w:r w:rsidRPr="00001499">
        <w:rPr>
          <w:color w:val="2B579A"/>
        </w:rPr>
      </w:r>
      <w:r w:rsidRPr="00001499">
        <w:rPr>
          <w:color w:val="2B579A"/>
          <w:shd w:val="clear" w:color="auto" w:fill="E6E6E6"/>
        </w:rPr>
        <w:fldChar w:fldCharType="separate"/>
      </w:r>
      <w:r w:rsidR="005C1FE9">
        <w:t>6.22</w:t>
      </w:r>
      <w:r w:rsidRPr="00001499">
        <w:rPr>
          <w:color w:val="2B579A"/>
        </w:rPr>
        <w:fldChar w:fldCharType="end"/>
      </w:r>
      <w:r w:rsidRPr="00001499">
        <w:t xml:space="preserve"> (under ‘Comparative harms’).</w:t>
      </w:r>
    </w:p>
    <w:p w14:paraId="2A338450" w14:textId="213EFFA9" w:rsidR="009C29A2" w:rsidRPr="00001499" w:rsidRDefault="009C29A2" w:rsidP="009C29A2">
      <w:pPr>
        <w:pStyle w:val="TableHeading0"/>
        <w:rPr>
          <w:rStyle w:val="CommentReference"/>
          <w:b/>
        </w:rPr>
      </w:pPr>
      <w:bookmarkStart w:id="34" w:name="_Ref93341059"/>
      <w:r w:rsidRPr="00001499">
        <w:lastRenderedPageBreak/>
        <w:t xml:space="preserve">Table </w:t>
      </w:r>
      <w:fldSimple w:instr=" SEQ Table \* ARABIC " w:fldLock="1">
        <w:r w:rsidR="005C1FE9">
          <w:rPr>
            <w:noProof/>
          </w:rPr>
          <w:t>3</w:t>
        </w:r>
      </w:fldSimple>
      <w:bookmarkEnd w:id="34"/>
      <w:r w:rsidRPr="00001499">
        <w:rPr>
          <w:rStyle w:val="CommentReference"/>
          <w:b/>
          <w:bCs/>
        </w:rPr>
        <w:t>: Key features of the included evidence</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w:tblPr>
      <w:tblGrid>
        <w:gridCol w:w="983"/>
        <w:gridCol w:w="1320"/>
        <w:gridCol w:w="1236"/>
        <w:gridCol w:w="1134"/>
        <w:gridCol w:w="1997"/>
        <w:gridCol w:w="1479"/>
        <w:gridCol w:w="868"/>
      </w:tblGrid>
      <w:tr w:rsidR="009C29A2" w:rsidRPr="00001499" w14:paraId="67D9CC94" w14:textId="77777777" w:rsidTr="00FC7A97">
        <w:trPr>
          <w:cantSplit/>
          <w:tblHeader/>
        </w:trPr>
        <w:tc>
          <w:tcPr>
            <w:tcW w:w="983" w:type="dxa"/>
            <w:shd w:val="clear" w:color="auto" w:fill="auto"/>
            <w:vAlign w:val="center"/>
          </w:tcPr>
          <w:p w14:paraId="1567BA1F" w14:textId="77777777" w:rsidR="009C29A2" w:rsidRPr="00001499" w:rsidRDefault="009C29A2" w:rsidP="00FC7A97">
            <w:pPr>
              <w:pStyle w:val="In-tableHeading"/>
              <w:keepLines/>
              <w:widowControl w:val="0"/>
              <w:spacing w:line="259" w:lineRule="auto"/>
              <w:rPr>
                <w:rFonts w:eastAsia="Arial Narrow" w:cs="Arial Narrow"/>
                <w:szCs w:val="20"/>
                <w:lang w:val="en-AU"/>
              </w:rPr>
            </w:pPr>
            <w:r w:rsidRPr="00001499">
              <w:rPr>
                <w:rFonts w:eastAsia="Arial Narrow" w:cs="Arial Narrow"/>
                <w:szCs w:val="20"/>
                <w:lang w:val="en-AU"/>
              </w:rPr>
              <w:t>Study</w:t>
            </w:r>
          </w:p>
        </w:tc>
        <w:tc>
          <w:tcPr>
            <w:tcW w:w="1320" w:type="dxa"/>
            <w:shd w:val="clear" w:color="auto" w:fill="auto"/>
            <w:vAlign w:val="center"/>
          </w:tcPr>
          <w:p w14:paraId="475BEE8F" w14:textId="77777777" w:rsidR="009C29A2" w:rsidRPr="00001499" w:rsidRDefault="009C29A2" w:rsidP="00FC7A97">
            <w:pPr>
              <w:pStyle w:val="In-tableHeading"/>
              <w:keepLines/>
              <w:widowControl w:val="0"/>
              <w:jc w:val="center"/>
              <w:rPr>
                <w:lang w:val="en-AU"/>
              </w:rPr>
            </w:pPr>
            <w:r w:rsidRPr="00001499">
              <w:rPr>
                <w:lang w:val="en-AU"/>
              </w:rPr>
              <w:t>N</w:t>
            </w:r>
          </w:p>
        </w:tc>
        <w:tc>
          <w:tcPr>
            <w:tcW w:w="1236" w:type="dxa"/>
            <w:shd w:val="clear" w:color="auto" w:fill="auto"/>
            <w:vAlign w:val="center"/>
          </w:tcPr>
          <w:p w14:paraId="2CDBBFBD" w14:textId="77777777" w:rsidR="009C29A2" w:rsidRPr="00001499" w:rsidRDefault="009C29A2" w:rsidP="00FC7A97">
            <w:pPr>
              <w:pStyle w:val="In-tableHeading"/>
              <w:keepLines/>
              <w:widowControl w:val="0"/>
              <w:spacing w:line="259" w:lineRule="auto"/>
              <w:jc w:val="center"/>
              <w:rPr>
                <w:rFonts w:eastAsia="Arial Narrow" w:cs="Arial Narrow"/>
                <w:lang w:val="en-AU"/>
              </w:rPr>
            </w:pPr>
            <w:r w:rsidRPr="00001499">
              <w:rPr>
                <w:rFonts w:eastAsia="Arial Narrow" w:cs="Arial Narrow"/>
                <w:lang w:val="en-AU"/>
              </w:rPr>
              <w:t>Adjustment</w:t>
            </w:r>
          </w:p>
        </w:tc>
        <w:tc>
          <w:tcPr>
            <w:tcW w:w="1134" w:type="dxa"/>
            <w:shd w:val="clear" w:color="auto" w:fill="auto"/>
            <w:vAlign w:val="center"/>
          </w:tcPr>
          <w:p w14:paraId="05577CB2" w14:textId="77777777" w:rsidR="009C29A2" w:rsidRPr="00001499" w:rsidRDefault="009C29A2" w:rsidP="00FC7A97">
            <w:pPr>
              <w:pStyle w:val="In-tableHeading"/>
              <w:keepLines/>
              <w:widowControl w:val="0"/>
              <w:jc w:val="center"/>
              <w:rPr>
                <w:rFonts w:eastAsia="Arial Narrow" w:cs="Arial Narrow"/>
                <w:szCs w:val="20"/>
                <w:lang w:val="en-AU"/>
              </w:rPr>
            </w:pPr>
            <w:r w:rsidRPr="00001499">
              <w:rPr>
                <w:rFonts w:eastAsia="Arial Narrow" w:cs="Arial Narrow"/>
                <w:szCs w:val="20"/>
                <w:lang w:val="en-AU"/>
              </w:rPr>
              <w:t>Risk of bias</w:t>
            </w:r>
          </w:p>
        </w:tc>
        <w:tc>
          <w:tcPr>
            <w:tcW w:w="1997" w:type="dxa"/>
            <w:shd w:val="clear" w:color="auto" w:fill="auto"/>
            <w:vAlign w:val="center"/>
          </w:tcPr>
          <w:p w14:paraId="085773A3" w14:textId="77777777" w:rsidR="009C29A2" w:rsidRPr="00001499" w:rsidRDefault="009C29A2" w:rsidP="00FC7A97">
            <w:pPr>
              <w:pStyle w:val="In-tableHeading"/>
              <w:keepLines/>
              <w:widowControl w:val="0"/>
              <w:spacing w:line="259" w:lineRule="auto"/>
              <w:jc w:val="center"/>
              <w:rPr>
                <w:rFonts w:eastAsia="Arial Narrow" w:cs="Arial Narrow"/>
                <w:szCs w:val="20"/>
                <w:lang w:val="en-AU"/>
              </w:rPr>
            </w:pPr>
            <w:r w:rsidRPr="00001499">
              <w:rPr>
                <w:rFonts w:eastAsia="Arial Narrow" w:cs="Arial Narrow"/>
                <w:szCs w:val="20"/>
                <w:lang w:val="en-AU"/>
              </w:rPr>
              <w:t>Data source</w:t>
            </w:r>
          </w:p>
        </w:tc>
        <w:tc>
          <w:tcPr>
            <w:tcW w:w="1479" w:type="dxa"/>
            <w:shd w:val="clear" w:color="auto" w:fill="auto"/>
            <w:vAlign w:val="center"/>
          </w:tcPr>
          <w:p w14:paraId="1DFBE5D2" w14:textId="77777777" w:rsidR="009C29A2" w:rsidRPr="00001499" w:rsidRDefault="009C29A2" w:rsidP="00FC7A97">
            <w:pPr>
              <w:pStyle w:val="In-tableHeading"/>
              <w:keepLines/>
              <w:widowControl w:val="0"/>
              <w:jc w:val="center"/>
              <w:rPr>
                <w:rFonts w:eastAsia="Arial Narrow" w:cs="Arial Narrow"/>
                <w:szCs w:val="20"/>
                <w:lang w:val="en-AU"/>
              </w:rPr>
            </w:pPr>
            <w:r w:rsidRPr="00001499">
              <w:rPr>
                <w:rFonts w:eastAsia="Arial Narrow" w:cs="Arial Narrow"/>
                <w:szCs w:val="20"/>
                <w:lang w:val="en-AU"/>
              </w:rPr>
              <w:t>Outcome(s)</w:t>
            </w:r>
          </w:p>
        </w:tc>
        <w:tc>
          <w:tcPr>
            <w:tcW w:w="868" w:type="dxa"/>
            <w:shd w:val="clear" w:color="auto" w:fill="auto"/>
            <w:vAlign w:val="center"/>
          </w:tcPr>
          <w:p w14:paraId="63AC6634" w14:textId="77777777" w:rsidR="009C29A2" w:rsidRPr="00001499" w:rsidRDefault="009C29A2" w:rsidP="00FC7A97">
            <w:pPr>
              <w:pStyle w:val="In-tableHeading"/>
              <w:keepLines/>
              <w:widowControl w:val="0"/>
              <w:jc w:val="center"/>
              <w:rPr>
                <w:rFonts w:eastAsia="Arial Narrow" w:cs="Arial Narrow"/>
                <w:szCs w:val="20"/>
                <w:lang w:val="en-AU"/>
              </w:rPr>
            </w:pPr>
            <w:r w:rsidRPr="00001499">
              <w:rPr>
                <w:rFonts w:eastAsia="Arial Narrow" w:cs="Arial Narrow"/>
                <w:szCs w:val="20"/>
                <w:lang w:val="en-AU"/>
              </w:rPr>
              <w:t>Use in modelled evaluation</w:t>
            </w:r>
          </w:p>
        </w:tc>
      </w:tr>
      <w:tr w:rsidR="009C29A2" w:rsidRPr="00001499" w14:paraId="361FA4FA" w14:textId="77777777" w:rsidTr="00FC7A97">
        <w:trPr>
          <w:cantSplit/>
        </w:trPr>
        <w:tc>
          <w:tcPr>
            <w:tcW w:w="9017" w:type="dxa"/>
            <w:gridSpan w:val="7"/>
            <w:shd w:val="clear" w:color="auto" w:fill="auto"/>
            <w:vAlign w:val="center"/>
          </w:tcPr>
          <w:p w14:paraId="298A34FD" w14:textId="77777777" w:rsidR="009C29A2" w:rsidRPr="00001499" w:rsidRDefault="009C29A2" w:rsidP="00FC7A97">
            <w:pPr>
              <w:pStyle w:val="TableTextcentred"/>
              <w:keepNext/>
              <w:keepLines/>
              <w:widowControl w:val="0"/>
              <w:jc w:val="left"/>
              <w:rPr>
                <w:rFonts w:ascii="Arial Narrow" w:eastAsia="Arial Narrow" w:hAnsi="Arial Narrow" w:cs="Arial Narrow"/>
                <w:b/>
                <w:bCs/>
                <w:sz w:val="20"/>
                <w:szCs w:val="20"/>
              </w:rPr>
            </w:pPr>
            <w:r w:rsidRPr="00001499">
              <w:rPr>
                <w:rFonts w:ascii="Arial Narrow" w:eastAsia="Arial Narrow" w:hAnsi="Arial Narrow" w:cs="Arial Narrow"/>
                <w:b/>
                <w:bCs/>
                <w:color w:val="000000" w:themeColor="text1"/>
                <w:sz w:val="20"/>
                <w:szCs w:val="20"/>
              </w:rPr>
              <w:t>QIVc versus QIVe</w:t>
            </w:r>
          </w:p>
        </w:tc>
      </w:tr>
      <w:tr w:rsidR="009C29A2" w:rsidRPr="00001499" w14:paraId="2B9AB4AC" w14:textId="77777777" w:rsidTr="00FC7A97">
        <w:trPr>
          <w:cantSplit/>
        </w:trPr>
        <w:tc>
          <w:tcPr>
            <w:tcW w:w="9017" w:type="dxa"/>
            <w:gridSpan w:val="7"/>
            <w:shd w:val="clear" w:color="auto" w:fill="auto"/>
            <w:vAlign w:val="center"/>
          </w:tcPr>
          <w:p w14:paraId="7708E734" w14:textId="77777777" w:rsidR="009C29A2" w:rsidRPr="00001499" w:rsidRDefault="009C29A2" w:rsidP="00FC7A97">
            <w:pPr>
              <w:pStyle w:val="TableText0"/>
              <w:keepLines/>
              <w:widowControl w:val="0"/>
              <w:rPr>
                <w:rFonts w:eastAsia="Arial Narrow" w:cs="Arial Narrow"/>
                <w:b/>
                <w:szCs w:val="20"/>
              </w:rPr>
            </w:pPr>
            <w:r w:rsidRPr="00001499">
              <w:rPr>
                <w:rFonts w:eastAsia="Arial Narrow" w:cs="Arial Narrow"/>
                <w:b/>
                <w:szCs w:val="20"/>
              </w:rPr>
              <w:t>US season 2017-2018</w:t>
            </w:r>
          </w:p>
        </w:tc>
      </w:tr>
      <w:tr w:rsidR="009C29A2" w:rsidRPr="00001499" w14:paraId="30E59445" w14:textId="77777777" w:rsidTr="00FC7A97">
        <w:trPr>
          <w:cantSplit/>
        </w:trPr>
        <w:tc>
          <w:tcPr>
            <w:tcW w:w="983" w:type="dxa"/>
            <w:shd w:val="clear" w:color="auto" w:fill="auto"/>
            <w:vAlign w:val="center"/>
          </w:tcPr>
          <w:p w14:paraId="6911EAD8" w14:textId="77777777" w:rsidR="009C29A2" w:rsidRPr="00001499" w:rsidRDefault="009C29A2" w:rsidP="00FC7A97">
            <w:pPr>
              <w:pStyle w:val="TableText0"/>
              <w:keepLines/>
              <w:widowControl w:val="0"/>
              <w:rPr>
                <w:rFonts w:eastAsia="Arial Narrow" w:cs="Arial Narrow"/>
                <w:szCs w:val="20"/>
              </w:rPr>
            </w:pPr>
            <w:r w:rsidRPr="00001499">
              <w:rPr>
                <w:rFonts w:eastAsia="Arial Narrow" w:cs="Arial Narrow"/>
                <w:szCs w:val="20"/>
              </w:rPr>
              <w:t>Boikos 2020</w:t>
            </w:r>
          </w:p>
        </w:tc>
        <w:tc>
          <w:tcPr>
            <w:tcW w:w="1320" w:type="dxa"/>
            <w:shd w:val="clear" w:color="auto" w:fill="auto"/>
            <w:vAlign w:val="center"/>
          </w:tcPr>
          <w:p w14:paraId="6F6B61CB" w14:textId="77777777" w:rsidR="009C29A2" w:rsidRPr="00001499" w:rsidRDefault="009C29A2" w:rsidP="00FC7A97">
            <w:pPr>
              <w:pStyle w:val="TableTitlecentred"/>
              <w:keepNext/>
              <w:keepLines/>
              <w:widowControl w:val="0"/>
              <w:rPr>
                <w:rFonts w:ascii="Arial Narrow" w:eastAsia="Arial Narrow" w:hAnsi="Arial Narrow" w:cs="Arial Narrow"/>
                <w:b w:val="0"/>
                <w:bCs/>
                <w:color w:val="000000" w:themeColor="text1"/>
                <w:sz w:val="20"/>
              </w:rPr>
            </w:pPr>
            <w:r w:rsidRPr="00001499">
              <w:rPr>
                <w:rFonts w:ascii="Arial Narrow" w:eastAsia="Arial Narrow" w:hAnsi="Arial Narrow" w:cs="Arial Narrow"/>
                <w:b w:val="0"/>
                <w:color w:val="000000" w:themeColor="text1"/>
                <w:sz w:val="20"/>
              </w:rPr>
              <w:t>QIVc: 92,187</w:t>
            </w:r>
          </w:p>
          <w:p w14:paraId="05939638" w14:textId="77777777" w:rsidR="009C29A2" w:rsidRPr="00001499" w:rsidRDefault="009C29A2" w:rsidP="00FC7A97">
            <w:pPr>
              <w:pStyle w:val="TableTitlecentred"/>
              <w:keepNext/>
              <w:keepLines/>
              <w:widowControl w:val="0"/>
              <w:rPr>
                <w:rFonts w:ascii="Arial Narrow" w:eastAsia="Arial Narrow" w:hAnsi="Arial Narrow" w:cs="Arial Narrow"/>
                <w:b w:val="0"/>
                <w:bCs/>
                <w:sz w:val="20"/>
              </w:rPr>
            </w:pPr>
            <w:r w:rsidRPr="00001499">
              <w:rPr>
                <w:rFonts w:ascii="Arial Narrow" w:eastAsia="Arial Narrow" w:hAnsi="Arial Narrow" w:cs="Arial Narrow"/>
                <w:b w:val="0"/>
                <w:color w:val="000000" w:themeColor="text1"/>
                <w:sz w:val="20"/>
              </w:rPr>
              <w:t>QIVe: 1,261,675</w:t>
            </w:r>
          </w:p>
        </w:tc>
        <w:tc>
          <w:tcPr>
            <w:tcW w:w="1236" w:type="dxa"/>
            <w:shd w:val="clear" w:color="auto" w:fill="auto"/>
            <w:vAlign w:val="center"/>
          </w:tcPr>
          <w:p w14:paraId="09F6A45C" w14:textId="77777777" w:rsidR="009C29A2" w:rsidRPr="00001499" w:rsidRDefault="009C29A2" w:rsidP="00FC7A97">
            <w:pPr>
              <w:pStyle w:val="TableText0"/>
              <w:keepLines/>
              <w:widowControl w:val="0"/>
              <w:spacing w:line="259" w:lineRule="auto"/>
              <w:jc w:val="center"/>
              <w:rPr>
                <w:rFonts w:eastAsia="Arial Narrow" w:cs="Arial Narrow"/>
                <w:szCs w:val="20"/>
              </w:rPr>
            </w:pPr>
            <w:r w:rsidRPr="00001499">
              <w:rPr>
                <w:rFonts w:eastAsia="Arial Narrow" w:cs="Arial Narrow"/>
                <w:bCs w:val="0"/>
                <w:color w:val="000000" w:themeColor="text1"/>
                <w:szCs w:val="20"/>
              </w:rPr>
              <w:t>PSM analysis</w:t>
            </w:r>
            <w:r w:rsidRPr="00001499">
              <w:rPr>
                <w:rFonts w:eastAsia="Arial Narrow" w:cs="Arial Narrow"/>
                <w:bCs w:val="0"/>
                <w:color w:val="000000" w:themeColor="text1"/>
                <w:szCs w:val="20"/>
                <w:vertAlign w:val="superscript"/>
              </w:rPr>
              <w:t xml:space="preserve">1 </w:t>
            </w:r>
            <w:r w:rsidRPr="00001499">
              <w:rPr>
                <w:rFonts w:eastAsia="Arial Narrow" w:cs="Arial Narrow"/>
                <w:bCs w:val="0"/>
                <w:color w:val="000000" w:themeColor="text1"/>
                <w:szCs w:val="20"/>
              </w:rPr>
              <w:t>and logistic regression</w:t>
            </w:r>
          </w:p>
        </w:tc>
        <w:tc>
          <w:tcPr>
            <w:tcW w:w="1134" w:type="dxa"/>
            <w:shd w:val="clear" w:color="auto" w:fill="auto"/>
            <w:vAlign w:val="center"/>
          </w:tcPr>
          <w:p w14:paraId="560C11DF" w14:textId="77777777" w:rsidR="009C29A2" w:rsidRPr="00001499" w:rsidRDefault="009C29A2" w:rsidP="00FC7A97">
            <w:pPr>
              <w:pStyle w:val="TableText0"/>
              <w:keepLines/>
              <w:widowControl w:val="0"/>
              <w:spacing w:line="259" w:lineRule="auto"/>
              <w:jc w:val="center"/>
              <w:rPr>
                <w:rFonts w:eastAsia="Arial Narrow" w:cs="Arial Narrow"/>
                <w:szCs w:val="20"/>
              </w:rPr>
            </w:pPr>
            <w:r w:rsidRPr="00001499">
              <w:rPr>
                <w:rFonts w:eastAsia="Arial Narrow" w:cs="Arial Narrow"/>
                <w:szCs w:val="20"/>
              </w:rPr>
              <w:t>Moderate</w:t>
            </w:r>
          </w:p>
        </w:tc>
        <w:tc>
          <w:tcPr>
            <w:tcW w:w="1997" w:type="dxa"/>
            <w:shd w:val="clear" w:color="auto" w:fill="auto"/>
            <w:vAlign w:val="center"/>
          </w:tcPr>
          <w:p w14:paraId="2816778C"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Electronic medical records from primary care (AllScripts database)</w:t>
            </w:r>
          </w:p>
        </w:tc>
        <w:tc>
          <w:tcPr>
            <w:tcW w:w="1479" w:type="dxa"/>
            <w:shd w:val="clear" w:color="auto" w:fill="auto"/>
            <w:vAlign w:val="center"/>
          </w:tcPr>
          <w:p w14:paraId="00F5000B" w14:textId="77777777" w:rsidR="009C29A2" w:rsidRPr="00001499" w:rsidRDefault="009C29A2" w:rsidP="00FC7A97">
            <w:pPr>
              <w:pStyle w:val="TableTextleftalign"/>
              <w:keepNext/>
              <w:keepLines/>
              <w:widowControl w:val="0"/>
              <w:jc w:val="center"/>
              <w:rPr>
                <w:rFonts w:ascii="Arial Narrow" w:eastAsia="Arial Narrow" w:hAnsi="Arial Narrow" w:cs="Arial Narrow"/>
                <w:sz w:val="20"/>
                <w:szCs w:val="20"/>
              </w:rPr>
            </w:pPr>
            <w:r w:rsidRPr="00001499">
              <w:rPr>
                <w:rFonts w:ascii="Arial Narrow" w:eastAsia="Arial Narrow" w:hAnsi="Arial Narrow" w:cs="Arial Narrow"/>
                <w:color w:val="000000" w:themeColor="text1"/>
                <w:sz w:val="20"/>
                <w:szCs w:val="20"/>
              </w:rPr>
              <w:t>ILI within primary care</w:t>
            </w:r>
            <w:r w:rsidRPr="00001499">
              <w:rPr>
                <w:rFonts w:ascii="Arial Narrow" w:eastAsia="Arial Narrow" w:hAnsi="Arial Narrow" w:cs="Arial Narrow"/>
                <w:color w:val="000000" w:themeColor="text1"/>
                <w:sz w:val="20"/>
                <w:szCs w:val="20"/>
                <w:vertAlign w:val="superscript"/>
              </w:rPr>
              <w:t>3</w:t>
            </w:r>
            <w:r w:rsidRPr="00001499">
              <w:rPr>
                <w:rFonts w:ascii="Arial Narrow" w:eastAsia="Arial Narrow" w:hAnsi="Arial Narrow" w:cs="Arial Narrow"/>
                <w:color w:val="000000" w:themeColor="text1"/>
                <w:sz w:val="20"/>
                <w:szCs w:val="20"/>
              </w:rPr>
              <w:t xml:space="preserve"> </w:t>
            </w:r>
            <w:r w:rsidRPr="00001499">
              <w:rPr>
                <w:rFonts w:ascii="Arial Narrow" w:eastAsia="Arial Narrow" w:hAnsi="Arial Narrow" w:cs="Arial Narrow"/>
                <w:sz w:val="20"/>
                <w:szCs w:val="20"/>
              </w:rPr>
              <w:t xml:space="preserve"> </w:t>
            </w:r>
          </w:p>
        </w:tc>
        <w:tc>
          <w:tcPr>
            <w:tcW w:w="868" w:type="dxa"/>
            <w:shd w:val="clear" w:color="auto" w:fill="auto"/>
            <w:vAlign w:val="center"/>
          </w:tcPr>
          <w:p w14:paraId="520F52BA"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Not used</w:t>
            </w:r>
          </w:p>
        </w:tc>
      </w:tr>
      <w:tr w:rsidR="009C29A2" w:rsidRPr="00001499" w14:paraId="7841A522" w14:textId="77777777" w:rsidTr="00FC7A97">
        <w:trPr>
          <w:cantSplit/>
        </w:trPr>
        <w:tc>
          <w:tcPr>
            <w:tcW w:w="983" w:type="dxa"/>
            <w:shd w:val="clear" w:color="auto" w:fill="auto"/>
            <w:vAlign w:val="center"/>
          </w:tcPr>
          <w:p w14:paraId="7275F32E" w14:textId="77777777" w:rsidR="009C29A2" w:rsidRPr="00001499" w:rsidRDefault="009C29A2" w:rsidP="00FC7A97">
            <w:pPr>
              <w:pStyle w:val="TableText0"/>
              <w:keepLines/>
              <w:widowControl w:val="0"/>
              <w:spacing w:line="259" w:lineRule="auto"/>
              <w:rPr>
                <w:rFonts w:eastAsia="Arial Narrow" w:cs="Arial Narrow"/>
                <w:szCs w:val="20"/>
              </w:rPr>
            </w:pPr>
            <w:r w:rsidRPr="00001499">
              <w:rPr>
                <w:rFonts w:eastAsia="Arial Narrow" w:cs="Arial Narrow"/>
                <w:szCs w:val="20"/>
              </w:rPr>
              <w:t>Divino 2020</w:t>
            </w:r>
          </w:p>
        </w:tc>
        <w:tc>
          <w:tcPr>
            <w:tcW w:w="1320" w:type="dxa"/>
            <w:shd w:val="clear" w:color="auto" w:fill="auto"/>
            <w:vAlign w:val="center"/>
          </w:tcPr>
          <w:p w14:paraId="31FF1CEE" w14:textId="77777777" w:rsidR="009C29A2" w:rsidRPr="00001499" w:rsidRDefault="009C29A2" w:rsidP="00FC7A97">
            <w:pPr>
              <w:pStyle w:val="TableTitlecentred"/>
              <w:keepNext/>
              <w:keepLines/>
              <w:widowControl w:val="0"/>
              <w:rPr>
                <w:rFonts w:ascii="Arial Narrow" w:eastAsia="Arial Narrow" w:hAnsi="Arial Narrow" w:cs="Arial Narrow"/>
                <w:b w:val="0"/>
                <w:bCs/>
                <w:color w:val="000000" w:themeColor="text1"/>
                <w:sz w:val="20"/>
              </w:rPr>
            </w:pPr>
            <w:r w:rsidRPr="00001499">
              <w:rPr>
                <w:rFonts w:ascii="Arial Narrow" w:eastAsia="Arial Narrow" w:hAnsi="Arial Narrow" w:cs="Arial Narrow"/>
                <w:b w:val="0"/>
                <w:color w:val="000000" w:themeColor="text1"/>
                <w:sz w:val="20"/>
              </w:rPr>
              <w:t>QIVc: 555,538</w:t>
            </w:r>
          </w:p>
          <w:p w14:paraId="23059B9F" w14:textId="77777777" w:rsidR="009C29A2" w:rsidRPr="00001499" w:rsidRDefault="009C29A2" w:rsidP="00FC7A97">
            <w:pPr>
              <w:pStyle w:val="TableTitlecentred"/>
              <w:keepNext/>
              <w:keepLines/>
              <w:widowControl w:val="0"/>
              <w:rPr>
                <w:rFonts w:ascii="Arial Narrow" w:eastAsia="Arial Narrow" w:hAnsi="Arial Narrow" w:cs="Arial Narrow"/>
                <w:b w:val="0"/>
                <w:color w:val="000000" w:themeColor="text1"/>
                <w:sz w:val="20"/>
              </w:rPr>
            </w:pPr>
            <w:r w:rsidRPr="00001499">
              <w:rPr>
                <w:rFonts w:ascii="Arial Narrow" w:eastAsia="Arial Narrow" w:hAnsi="Arial Narrow" w:cs="Arial Narrow"/>
                <w:b w:val="0"/>
                <w:color w:val="000000" w:themeColor="text1"/>
                <w:sz w:val="20"/>
              </w:rPr>
              <w:t>QIVe: 2,528,524</w:t>
            </w:r>
          </w:p>
        </w:tc>
        <w:tc>
          <w:tcPr>
            <w:tcW w:w="1236" w:type="dxa"/>
            <w:shd w:val="clear" w:color="auto" w:fill="auto"/>
            <w:vAlign w:val="center"/>
          </w:tcPr>
          <w:p w14:paraId="292FEF57" w14:textId="77777777" w:rsidR="009C29A2" w:rsidRPr="00001499" w:rsidRDefault="009C29A2" w:rsidP="00FC7A97">
            <w:pPr>
              <w:pStyle w:val="TableTextcentred"/>
              <w:keepNext/>
              <w:keepLines/>
              <w:widowControl w:val="0"/>
              <w:rPr>
                <w:rFonts w:eastAsia="Arial Narrow" w:cs="Arial Narrow"/>
                <w:szCs w:val="20"/>
              </w:rPr>
            </w:pPr>
            <w:r w:rsidRPr="00001499">
              <w:rPr>
                <w:rFonts w:ascii="Arial Narrow" w:eastAsia="Arial Narrow" w:hAnsi="Arial Narrow" w:cs="Arial Narrow"/>
                <w:color w:val="000000" w:themeColor="text1"/>
                <w:sz w:val="20"/>
                <w:szCs w:val="20"/>
              </w:rPr>
              <w:t>IPTW and Poisson regression</w:t>
            </w:r>
          </w:p>
        </w:tc>
        <w:tc>
          <w:tcPr>
            <w:tcW w:w="1134" w:type="dxa"/>
            <w:shd w:val="clear" w:color="auto" w:fill="auto"/>
            <w:vAlign w:val="center"/>
          </w:tcPr>
          <w:p w14:paraId="2EFDA882" w14:textId="77777777" w:rsidR="009C29A2" w:rsidRPr="00001499" w:rsidRDefault="009C29A2" w:rsidP="00FC7A97">
            <w:pPr>
              <w:pStyle w:val="TableText0"/>
              <w:keepLines/>
              <w:widowControl w:val="0"/>
              <w:spacing w:line="259" w:lineRule="auto"/>
              <w:jc w:val="center"/>
              <w:rPr>
                <w:rFonts w:eastAsia="Arial Narrow" w:cs="Arial Narrow"/>
                <w:szCs w:val="20"/>
              </w:rPr>
            </w:pPr>
            <w:r w:rsidRPr="00001499">
              <w:rPr>
                <w:rFonts w:eastAsia="Arial Narrow" w:cs="Arial Narrow"/>
                <w:szCs w:val="20"/>
              </w:rPr>
              <w:t>Moderate</w:t>
            </w:r>
          </w:p>
        </w:tc>
        <w:tc>
          <w:tcPr>
            <w:tcW w:w="1997" w:type="dxa"/>
            <w:shd w:val="clear" w:color="auto" w:fill="auto"/>
            <w:vAlign w:val="center"/>
          </w:tcPr>
          <w:p w14:paraId="54365D24"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Administrative claims data (</w:t>
            </w:r>
            <w:r w:rsidRPr="00001499">
              <w:rPr>
                <w:rFonts w:eastAsia="Arial Narrow" w:cs="Arial Narrow"/>
                <w:bCs w:val="0"/>
                <w:color w:val="000000" w:themeColor="text1"/>
                <w:szCs w:val="20"/>
              </w:rPr>
              <w:t>IQVIA Real-World Data Adjudicated Claims – US Database)</w:t>
            </w:r>
          </w:p>
        </w:tc>
        <w:tc>
          <w:tcPr>
            <w:tcW w:w="1479" w:type="dxa"/>
            <w:shd w:val="clear" w:color="auto" w:fill="auto"/>
            <w:vAlign w:val="center"/>
          </w:tcPr>
          <w:p w14:paraId="44A006B8" w14:textId="77777777" w:rsidR="009C29A2" w:rsidRPr="00001499" w:rsidRDefault="009C29A2" w:rsidP="00FC7A97">
            <w:pPr>
              <w:pStyle w:val="TableTextleftalign"/>
              <w:keepNext/>
              <w:keepLines/>
              <w:widowControl w:val="0"/>
              <w:jc w:val="center"/>
              <w:rPr>
                <w:rFonts w:ascii="Arial Narrow" w:eastAsia="Arial Narrow" w:hAnsi="Arial Narrow" w:cs="Arial Narrow"/>
                <w:color w:val="000000" w:themeColor="text1"/>
                <w:sz w:val="20"/>
                <w:szCs w:val="20"/>
                <w:vertAlign w:val="superscript"/>
              </w:rPr>
            </w:pPr>
            <w:r w:rsidRPr="00001499">
              <w:rPr>
                <w:rFonts w:ascii="Arial Narrow" w:eastAsia="Arial Narrow" w:hAnsi="Arial Narrow" w:cs="Arial Narrow"/>
                <w:color w:val="000000" w:themeColor="text1"/>
                <w:sz w:val="20"/>
                <w:szCs w:val="20"/>
              </w:rPr>
              <w:t>Influenza related hospitalisations or emergency room visits</w:t>
            </w:r>
            <w:r w:rsidRPr="00001499">
              <w:rPr>
                <w:rFonts w:ascii="Arial Narrow" w:eastAsia="Arial Narrow" w:hAnsi="Arial Narrow" w:cs="Arial Narrow"/>
                <w:color w:val="000000" w:themeColor="text1"/>
                <w:sz w:val="20"/>
                <w:szCs w:val="20"/>
                <w:vertAlign w:val="superscript"/>
              </w:rPr>
              <w:t>4</w:t>
            </w:r>
          </w:p>
        </w:tc>
        <w:tc>
          <w:tcPr>
            <w:tcW w:w="868" w:type="dxa"/>
            <w:shd w:val="clear" w:color="auto" w:fill="auto"/>
            <w:vAlign w:val="center"/>
          </w:tcPr>
          <w:p w14:paraId="4A2E961D"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Not used</w:t>
            </w:r>
          </w:p>
        </w:tc>
      </w:tr>
      <w:tr w:rsidR="009C29A2" w:rsidRPr="00001499" w14:paraId="1AFCDCA7" w14:textId="77777777" w:rsidTr="00FC7A97">
        <w:trPr>
          <w:cantSplit/>
        </w:trPr>
        <w:tc>
          <w:tcPr>
            <w:tcW w:w="9017" w:type="dxa"/>
            <w:gridSpan w:val="7"/>
            <w:shd w:val="clear" w:color="auto" w:fill="auto"/>
            <w:vAlign w:val="center"/>
          </w:tcPr>
          <w:p w14:paraId="0968F7F3" w14:textId="77777777" w:rsidR="009C29A2" w:rsidRPr="00001499" w:rsidRDefault="009C29A2" w:rsidP="00FC7A97">
            <w:pPr>
              <w:pStyle w:val="TableText0"/>
              <w:keepLines/>
              <w:widowControl w:val="0"/>
              <w:rPr>
                <w:rFonts w:eastAsia="Arial Narrow" w:cs="Arial Narrow"/>
                <w:b/>
                <w:szCs w:val="20"/>
              </w:rPr>
            </w:pPr>
            <w:r w:rsidRPr="00001499">
              <w:rPr>
                <w:rFonts w:eastAsia="Arial Narrow" w:cs="Arial Narrow"/>
                <w:b/>
                <w:szCs w:val="20"/>
              </w:rPr>
              <w:t>US season 2018-2019</w:t>
            </w:r>
          </w:p>
        </w:tc>
      </w:tr>
      <w:tr w:rsidR="009C29A2" w:rsidRPr="00001499" w14:paraId="7B628347" w14:textId="77777777" w:rsidTr="00FC7A97">
        <w:trPr>
          <w:cantSplit/>
        </w:trPr>
        <w:tc>
          <w:tcPr>
            <w:tcW w:w="983" w:type="dxa"/>
            <w:shd w:val="clear" w:color="auto" w:fill="auto"/>
            <w:vAlign w:val="center"/>
          </w:tcPr>
          <w:p w14:paraId="71A9AF0F" w14:textId="77777777" w:rsidR="009C29A2" w:rsidRPr="00001499" w:rsidRDefault="009C29A2" w:rsidP="00FC7A97">
            <w:pPr>
              <w:pStyle w:val="TableText0"/>
              <w:keepLines/>
              <w:widowControl w:val="0"/>
              <w:rPr>
                <w:rFonts w:eastAsia="Arial Narrow" w:cs="Arial Narrow"/>
                <w:szCs w:val="20"/>
              </w:rPr>
            </w:pPr>
            <w:r w:rsidRPr="00001499">
              <w:rPr>
                <w:rFonts w:eastAsia="Arial Narrow" w:cs="Arial Narrow"/>
                <w:szCs w:val="20"/>
              </w:rPr>
              <w:t xml:space="preserve">Boikos 2021 </w:t>
            </w:r>
          </w:p>
        </w:tc>
        <w:tc>
          <w:tcPr>
            <w:tcW w:w="1320" w:type="dxa"/>
            <w:shd w:val="clear" w:color="auto" w:fill="auto"/>
            <w:vAlign w:val="center"/>
          </w:tcPr>
          <w:p w14:paraId="15ADBBBA" w14:textId="77777777" w:rsidR="009C29A2" w:rsidRPr="00001499" w:rsidRDefault="009C29A2" w:rsidP="00FC7A97">
            <w:pPr>
              <w:pStyle w:val="TableTitlecentred"/>
              <w:keepNext/>
              <w:keepLines/>
              <w:widowControl w:val="0"/>
              <w:rPr>
                <w:rFonts w:ascii="Arial Narrow" w:eastAsia="Arial Narrow" w:hAnsi="Arial Narrow" w:cs="Arial Narrow"/>
                <w:b w:val="0"/>
                <w:bCs/>
                <w:color w:val="000000" w:themeColor="text1"/>
                <w:sz w:val="20"/>
              </w:rPr>
            </w:pPr>
            <w:r w:rsidRPr="00001499">
              <w:rPr>
                <w:rFonts w:ascii="Arial Narrow" w:eastAsia="Arial Narrow" w:hAnsi="Arial Narrow" w:cs="Arial Narrow"/>
                <w:b w:val="0"/>
                <w:color w:val="000000" w:themeColor="text1"/>
                <w:sz w:val="20"/>
              </w:rPr>
              <w:t>QIVc: 2,125,430</w:t>
            </w:r>
          </w:p>
          <w:p w14:paraId="450789FD" w14:textId="77777777" w:rsidR="009C29A2" w:rsidRPr="00001499" w:rsidRDefault="009C29A2" w:rsidP="00FC7A97">
            <w:pPr>
              <w:pStyle w:val="TableTitlecentred"/>
              <w:keepNext/>
              <w:keepLines/>
              <w:widowControl w:val="0"/>
              <w:rPr>
                <w:rFonts w:ascii="Arial Narrow" w:eastAsia="Arial Narrow" w:hAnsi="Arial Narrow" w:cs="Arial Narrow"/>
                <w:b w:val="0"/>
                <w:bCs/>
                <w:color w:val="000000" w:themeColor="text1"/>
                <w:sz w:val="20"/>
              </w:rPr>
            </w:pPr>
            <w:r w:rsidRPr="00001499">
              <w:rPr>
                <w:rFonts w:ascii="Arial Narrow" w:eastAsia="Arial Narrow" w:hAnsi="Arial Narrow" w:cs="Arial Narrow"/>
                <w:b w:val="0"/>
                <w:color w:val="000000" w:themeColor="text1"/>
                <w:sz w:val="20"/>
              </w:rPr>
              <w:t>QIVe: 8,000,903</w:t>
            </w:r>
          </w:p>
          <w:p w14:paraId="4D458A52" w14:textId="77777777" w:rsidR="009C29A2" w:rsidRPr="00001499" w:rsidRDefault="009C29A2" w:rsidP="00FC7A97">
            <w:pPr>
              <w:pStyle w:val="TableText0"/>
              <w:keepLines/>
              <w:widowControl w:val="0"/>
              <w:jc w:val="center"/>
              <w:rPr>
                <w:rFonts w:eastAsia="Arial Narrow" w:cs="Arial Narrow"/>
                <w:bCs w:val="0"/>
                <w:szCs w:val="20"/>
              </w:rPr>
            </w:pPr>
          </w:p>
          <w:p w14:paraId="7FD85CB4" w14:textId="77777777" w:rsidR="009C29A2" w:rsidRPr="00001499" w:rsidRDefault="009C29A2" w:rsidP="00FC7A97">
            <w:pPr>
              <w:pStyle w:val="TableText0"/>
              <w:keepLines/>
              <w:widowControl w:val="0"/>
              <w:jc w:val="center"/>
              <w:rPr>
                <w:rFonts w:eastAsia="Arial Narrow" w:cs="Arial Narrow"/>
                <w:szCs w:val="20"/>
              </w:rPr>
            </w:pPr>
          </w:p>
        </w:tc>
        <w:tc>
          <w:tcPr>
            <w:tcW w:w="1236" w:type="dxa"/>
            <w:shd w:val="clear" w:color="auto" w:fill="auto"/>
            <w:vAlign w:val="center"/>
          </w:tcPr>
          <w:p w14:paraId="2A695B54" w14:textId="77777777" w:rsidR="009C29A2" w:rsidRPr="00001499" w:rsidRDefault="009C29A2" w:rsidP="00FC7A97">
            <w:pPr>
              <w:pStyle w:val="TableTextcentred"/>
              <w:keepNext/>
              <w:keepLines/>
              <w:widowControl w:val="0"/>
              <w:rPr>
                <w:rFonts w:eastAsia="Arial Narrow" w:cs="Arial Narrow"/>
                <w:szCs w:val="20"/>
              </w:rPr>
            </w:pPr>
            <w:r w:rsidRPr="00001499">
              <w:rPr>
                <w:rFonts w:ascii="Arial Narrow" w:eastAsia="Arial Narrow" w:hAnsi="Arial Narrow" w:cs="Arial Narrow"/>
                <w:color w:val="000000" w:themeColor="text1"/>
                <w:sz w:val="20"/>
                <w:szCs w:val="20"/>
              </w:rPr>
              <w:t>Doubly robust</w:t>
            </w:r>
            <w:r w:rsidRPr="00001499">
              <w:rPr>
                <w:rFonts w:ascii="Arial Narrow" w:eastAsia="Arial Narrow" w:hAnsi="Arial Narrow" w:cs="Arial Narrow"/>
                <w:color w:val="000000" w:themeColor="text1"/>
                <w:sz w:val="20"/>
                <w:szCs w:val="20"/>
                <w:vertAlign w:val="superscript"/>
              </w:rPr>
              <w:t>2</w:t>
            </w:r>
          </w:p>
        </w:tc>
        <w:tc>
          <w:tcPr>
            <w:tcW w:w="1134" w:type="dxa"/>
            <w:shd w:val="clear" w:color="auto" w:fill="auto"/>
            <w:vAlign w:val="center"/>
          </w:tcPr>
          <w:p w14:paraId="26E17BC3" w14:textId="77777777" w:rsidR="009C29A2" w:rsidRPr="00001499" w:rsidRDefault="009C29A2" w:rsidP="00FC7A97">
            <w:pPr>
              <w:pStyle w:val="TableText0"/>
              <w:keepLines/>
              <w:widowControl w:val="0"/>
              <w:spacing w:line="259" w:lineRule="auto"/>
              <w:jc w:val="center"/>
              <w:rPr>
                <w:rFonts w:eastAsia="Arial Narrow" w:cs="Arial Narrow"/>
                <w:szCs w:val="20"/>
              </w:rPr>
            </w:pPr>
            <w:r w:rsidRPr="00001499">
              <w:rPr>
                <w:rFonts w:eastAsia="Arial Narrow" w:cs="Arial Narrow"/>
                <w:szCs w:val="20"/>
              </w:rPr>
              <w:t>Moderate</w:t>
            </w:r>
          </w:p>
        </w:tc>
        <w:tc>
          <w:tcPr>
            <w:tcW w:w="1997" w:type="dxa"/>
            <w:shd w:val="clear" w:color="auto" w:fill="auto"/>
            <w:vAlign w:val="center"/>
          </w:tcPr>
          <w:p w14:paraId="33559DF0"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Electronic medical records linked to pharmacy and medical claims data from primary care and hospitals (AllScripts plus Komodo Health databases)</w:t>
            </w:r>
          </w:p>
        </w:tc>
        <w:tc>
          <w:tcPr>
            <w:tcW w:w="1479" w:type="dxa"/>
            <w:shd w:val="clear" w:color="auto" w:fill="auto"/>
            <w:vAlign w:val="center"/>
          </w:tcPr>
          <w:p w14:paraId="7698DF91" w14:textId="77777777" w:rsidR="009C29A2" w:rsidRPr="00001499" w:rsidRDefault="009C29A2" w:rsidP="00FC7A97">
            <w:pPr>
              <w:pStyle w:val="TableTextleftalign"/>
              <w:keepNext/>
              <w:keepLines/>
              <w:widowControl w:val="0"/>
              <w:jc w:val="center"/>
              <w:rPr>
                <w:rFonts w:ascii="Arial Narrow" w:eastAsia="Arial Narrow" w:hAnsi="Arial Narrow" w:cs="Arial Narrow"/>
                <w:color w:val="000000" w:themeColor="text1"/>
                <w:sz w:val="20"/>
                <w:szCs w:val="20"/>
                <w:vertAlign w:val="superscript"/>
              </w:rPr>
            </w:pPr>
            <w:r w:rsidRPr="00001499">
              <w:rPr>
                <w:rFonts w:ascii="Arial Narrow" w:eastAsia="Arial Narrow" w:hAnsi="Arial Narrow" w:cs="Arial Narrow"/>
                <w:color w:val="000000" w:themeColor="text1"/>
                <w:sz w:val="20"/>
                <w:szCs w:val="20"/>
              </w:rPr>
              <w:t>ILI within primary care or hospital</w:t>
            </w:r>
            <w:r w:rsidRPr="00001499">
              <w:rPr>
                <w:rFonts w:ascii="Arial Narrow" w:eastAsia="Arial Narrow" w:hAnsi="Arial Narrow" w:cs="Arial Narrow"/>
                <w:color w:val="000000" w:themeColor="text1"/>
                <w:sz w:val="20"/>
                <w:szCs w:val="20"/>
                <w:vertAlign w:val="superscript"/>
              </w:rPr>
              <w:t>3</w:t>
            </w:r>
          </w:p>
        </w:tc>
        <w:tc>
          <w:tcPr>
            <w:tcW w:w="868" w:type="dxa"/>
            <w:shd w:val="clear" w:color="auto" w:fill="auto"/>
            <w:vAlign w:val="center"/>
          </w:tcPr>
          <w:p w14:paraId="61C5C6A5"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Not used</w:t>
            </w:r>
          </w:p>
        </w:tc>
      </w:tr>
      <w:tr w:rsidR="009C29A2" w:rsidRPr="00001499" w14:paraId="40B81D96" w14:textId="77777777" w:rsidTr="00FC7A97">
        <w:trPr>
          <w:cantSplit/>
        </w:trPr>
        <w:tc>
          <w:tcPr>
            <w:tcW w:w="983" w:type="dxa"/>
            <w:shd w:val="clear" w:color="auto" w:fill="auto"/>
            <w:vAlign w:val="center"/>
          </w:tcPr>
          <w:p w14:paraId="0D5324BF" w14:textId="77777777" w:rsidR="009C29A2" w:rsidRPr="00001499" w:rsidRDefault="009C29A2" w:rsidP="00FC7A97">
            <w:pPr>
              <w:pStyle w:val="TableText0"/>
              <w:keepLines/>
              <w:widowControl w:val="0"/>
              <w:rPr>
                <w:rFonts w:eastAsia="Arial Narrow" w:cs="Arial Narrow"/>
                <w:szCs w:val="20"/>
              </w:rPr>
            </w:pPr>
            <w:r w:rsidRPr="00001499">
              <w:rPr>
                <w:rFonts w:eastAsia="Arial Narrow" w:cs="Arial Narrow"/>
                <w:szCs w:val="20"/>
              </w:rPr>
              <w:t>Krishnarajah 2021</w:t>
            </w:r>
          </w:p>
        </w:tc>
        <w:tc>
          <w:tcPr>
            <w:tcW w:w="1320" w:type="dxa"/>
            <w:shd w:val="clear" w:color="auto" w:fill="auto"/>
            <w:vAlign w:val="center"/>
          </w:tcPr>
          <w:p w14:paraId="49B560DE" w14:textId="77777777" w:rsidR="009C29A2" w:rsidRPr="00001499" w:rsidRDefault="009C29A2" w:rsidP="00FC7A97">
            <w:pPr>
              <w:pStyle w:val="TableTitlecentred"/>
              <w:keepNext/>
              <w:keepLines/>
              <w:widowControl w:val="0"/>
              <w:rPr>
                <w:rFonts w:ascii="Arial Narrow" w:eastAsia="Arial Narrow" w:hAnsi="Arial Narrow" w:cs="Arial Narrow"/>
                <w:b w:val="0"/>
                <w:bCs/>
                <w:color w:val="000000" w:themeColor="text1"/>
                <w:sz w:val="20"/>
              </w:rPr>
            </w:pPr>
            <w:r w:rsidRPr="00001499">
              <w:rPr>
                <w:rFonts w:ascii="Arial Narrow" w:eastAsia="Arial Narrow" w:hAnsi="Arial Narrow" w:cs="Arial Narrow"/>
                <w:b w:val="0"/>
                <w:color w:val="000000" w:themeColor="text1"/>
                <w:sz w:val="20"/>
              </w:rPr>
              <w:t>QIVc: 665,047</w:t>
            </w:r>
          </w:p>
          <w:p w14:paraId="4E52084D" w14:textId="77777777" w:rsidR="009C29A2" w:rsidRPr="00001499" w:rsidRDefault="009C29A2" w:rsidP="00FC7A97">
            <w:pPr>
              <w:pStyle w:val="TableTitlecentred"/>
              <w:keepNext/>
              <w:keepLines/>
              <w:widowControl w:val="0"/>
              <w:rPr>
                <w:rFonts w:ascii="Arial Narrow" w:eastAsia="Arial Narrow" w:hAnsi="Arial Narrow" w:cs="Arial Narrow"/>
                <w:b w:val="0"/>
                <w:bCs/>
                <w:sz w:val="20"/>
              </w:rPr>
            </w:pPr>
            <w:r w:rsidRPr="00001499">
              <w:rPr>
                <w:rFonts w:ascii="Arial Narrow" w:eastAsia="Arial Narrow" w:hAnsi="Arial Narrow" w:cs="Arial Narrow"/>
                <w:b w:val="0"/>
                <w:color w:val="000000" w:themeColor="text1"/>
                <w:sz w:val="20"/>
              </w:rPr>
              <w:t>QIVe: 3,062,843</w:t>
            </w:r>
          </w:p>
        </w:tc>
        <w:tc>
          <w:tcPr>
            <w:tcW w:w="1236" w:type="dxa"/>
            <w:shd w:val="clear" w:color="auto" w:fill="auto"/>
            <w:vAlign w:val="center"/>
          </w:tcPr>
          <w:p w14:paraId="3C156224" w14:textId="77777777" w:rsidR="009C29A2" w:rsidRPr="00001499" w:rsidRDefault="009C29A2" w:rsidP="00FC7A97">
            <w:pPr>
              <w:pStyle w:val="TableTextcentred"/>
              <w:keepNext/>
              <w:keepLines/>
              <w:widowControl w:val="0"/>
              <w:rPr>
                <w:rFonts w:eastAsia="Arial Narrow" w:cs="Arial Narrow"/>
                <w:szCs w:val="20"/>
              </w:rPr>
            </w:pPr>
            <w:r w:rsidRPr="00001499">
              <w:rPr>
                <w:rFonts w:ascii="Arial Narrow" w:eastAsia="Arial Narrow" w:hAnsi="Arial Narrow" w:cs="Arial Narrow"/>
                <w:color w:val="000000" w:themeColor="text1"/>
                <w:sz w:val="20"/>
                <w:szCs w:val="20"/>
              </w:rPr>
              <w:t>IPTW and Poisson regression</w:t>
            </w:r>
          </w:p>
        </w:tc>
        <w:tc>
          <w:tcPr>
            <w:tcW w:w="1134" w:type="dxa"/>
            <w:shd w:val="clear" w:color="auto" w:fill="auto"/>
            <w:vAlign w:val="center"/>
          </w:tcPr>
          <w:p w14:paraId="1B62D5B3" w14:textId="77777777" w:rsidR="009C29A2" w:rsidRPr="00001499" w:rsidRDefault="009C29A2" w:rsidP="00FC7A97">
            <w:pPr>
              <w:pStyle w:val="TableText0"/>
              <w:keepLines/>
              <w:widowControl w:val="0"/>
              <w:spacing w:line="259" w:lineRule="auto"/>
              <w:jc w:val="center"/>
              <w:rPr>
                <w:rFonts w:eastAsia="Arial Narrow" w:cs="Arial Narrow"/>
                <w:szCs w:val="20"/>
              </w:rPr>
            </w:pPr>
            <w:r w:rsidRPr="00001499">
              <w:rPr>
                <w:rFonts w:eastAsia="Arial Narrow" w:cs="Arial Narrow"/>
                <w:szCs w:val="20"/>
              </w:rPr>
              <w:t>Moderate</w:t>
            </w:r>
          </w:p>
        </w:tc>
        <w:tc>
          <w:tcPr>
            <w:tcW w:w="1997" w:type="dxa"/>
            <w:shd w:val="clear" w:color="auto" w:fill="auto"/>
            <w:vAlign w:val="center"/>
          </w:tcPr>
          <w:p w14:paraId="39ACE69B"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Administrative claims data (</w:t>
            </w:r>
            <w:r w:rsidRPr="00001499">
              <w:rPr>
                <w:rFonts w:eastAsia="Arial Narrow" w:cs="Arial Narrow"/>
                <w:bCs w:val="0"/>
                <w:color w:val="000000" w:themeColor="text1"/>
                <w:szCs w:val="20"/>
              </w:rPr>
              <w:t>IQVIA Real-World Data Adjudicated Claims – US Database)</w:t>
            </w:r>
          </w:p>
        </w:tc>
        <w:tc>
          <w:tcPr>
            <w:tcW w:w="1479" w:type="dxa"/>
            <w:shd w:val="clear" w:color="auto" w:fill="auto"/>
            <w:vAlign w:val="center"/>
          </w:tcPr>
          <w:p w14:paraId="39179316" w14:textId="77777777" w:rsidR="009C29A2" w:rsidRPr="00001499" w:rsidRDefault="009C29A2" w:rsidP="00FC7A97">
            <w:pPr>
              <w:pStyle w:val="TableTextleftalign"/>
              <w:keepNext/>
              <w:keepLines/>
              <w:widowControl w:val="0"/>
              <w:jc w:val="center"/>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Influenza related hospitalisations or emergency room visits</w:t>
            </w:r>
            <w:r w:rsidRPr="00001499">
              <w:rPr>
                <w:rFonts w:ascii="Arial Narrow" w:eastAsia="Arial Narrow" w:hAnsi="Arial Narrow" w:cs="Arial Narrow"/>
                <w:color w:val="000000" w:themeColor="text1"/>
                <w:sz w:val="20"/>
                <w:szCs w:val="20"/>
                <w:vertAlign w:val="superscript"/>
              </w:rPr>
              <w:t>4</w:t>
            </w:r>
          </w:p>
        </w:tc>
        <w:tc>
          <w:tcPr>
            <w:tcW w:w="868" w:type="dxa"/>
            <w:shd w:val="clear" w:color="auto" w:fill="auto"/>
            <w:vAlign w:val="center"/>
          </w:tcPr>
          <w:p w14:paraId="58729778"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Not used</w:t>
            </w:r>
          </w:p>
          <w:p w14:paraId="3F29C6B0" w14:textId="77777777" w:rsidR="009C29A2" w:rsidRPr="00001499" w:rsidRDefault="009C29A2" w:rsidP="00FC7A97">
            <w:pPr>
              <w:pStyle w:val="TableText0"/>
              <w:keepLines/>
              <w:widowControl w:val="0"/>
              <w:jc w:val="center"/>
              <w:rPr>
                <w:rFonts w:eastAsia="Arial Narrow" w:cs="Arial Narrow"/>
                <w:szCs w:val="20"/>
              </w:rPr>
            </w:pPr>
          </w:p>
        </w:tc>
      </w:tr>
      <w:tr w:rsidR="009C29A2" w:rsidRPr="00001499" w14:paraId="16DA71FE" w14:textId="77777777" w:rsidTr="00FC7A97">
        <w:trPr>
          <w:cantSplit/>
        </w:trPr>
        <w:tc>
          <w:tcPr>
            <w:tcW w:w="9017" w:type="dxa"/>
            <w:gridSpan w:val="7"/>
            <w:shd w:val="clear" w:color="auto" w:fill="auto"/>
            <w:vAlign w:val="center"/>
          </w:tcPr>
          <w:p w14:paraId="7253E08D" w14:textId="77777777" w:rsidR="009C29A2" w:rsidRPr="00001499" w:rsidRDefault="009C29A2" w:rsidP="00FC7A97">
            <w:pPr>
              <w:pStyle w:val="TableText0"/>
              <w:keepLines/>
              <w:widowControl w:val="0"/>
              <w:rPr>
                <w:rFonts w:eastAsia="Arial Narrow" w:cs="Arial Narrow"/>
                <w:b/>
                <w:szCs w:val="20"/>
              </w:rPr>
            </w:pPr>
            <w:r w:rsidRPr="00001499">
              <w:rPr>
                <w:rFonts w:eastAsia="Arial Narrow" w:cs="Arial Narrow"/>
                <w:b/>
                <w:szCs w:val="20"/>
              </w:rPr>
              <w:t>US season 2019-2020</w:t>
            </w:r>
          </w:p>
        </w:tc>
      </w:tr>
      <w:tr w:rsidR="009C29A2" w:rsidRPr="00001499" w14:paraId="3AE1EAF7" w14:textId="77777777" w:rsidTr="00FC7A97">
        <w:trPr>
          <w:cantSplit/>
        </w:trPr>
        <w:tc>
          <w:tcPr>
            <w:tcW w:w="983" w:type="dxa"/>
            <w:shd w:val="clear" w:color="auto" w:fill="auto"/>
            <w:vAlign w:val="center"/>
          </w:tcPr>
          <w:p w14:paraId="5553DEFC" w14:textId="77777777" w:rsidR="009C29A2" w:rsidRPr="00001499" w:rsidRDefault="009C29A2" w:rsidP="00FC7A97">
            <w:pPr>
              <w:pStyle w:val="TableText0"/>
              <w:keepLines/>
              <w:widowControl w:val="0"/>
              <w:rPr>
                <w:rFonts w:eastAsia="Arial Narrow" w:cs="Arial Narrow"/>
                <w:szCs w:val="20"/>
              </w:rPr>
            </w:pPr>
            <w:r w:rsidRPr="00001499">
              <w:rPr>
                <w:rFonts w:eastAsia="Arial Narrow" w:cs="Arial Narrow"/>
                <w:szCs w:val="20"/>
              </w:rPr>
              <w:t xml:space="preserve">Seqirus 2021 </w:t>
            </w:r>
          </w:p>
        </w:tc>
        <w:tc>
          <w:tcPr>
            <w:tcW w:w="1320" w:type="dxa"/>
            <w:shd w:val="clear" w:color="auto" w:fill="auto"/>
            <w:vAlign w:val="center"/>
          </w:tcPr>
          <w:p w14:paraId="0D9E4EDA" w14:textId="77777777" w:rsidR="009C29A2" w:rsidRPr="00001499" w:rsidRDefault="009C29A2" w:rsidP="00FC7A97">
            <w:pPr>
              <w:pStyle w:val="TableTitlecentred"/>
              <w:keepNext/>
              <w:keepLines/>
              <w:widowControl w:val="0"/>
              <w:rPr>
                <w:rFonts w:ascii="Arial Narrow" w:eastAsia="Arial Narrow" w:hAnsi="Arial Narrow" w:cs="Arial Narrow"/>
                <w:b w:val="0"/>
                <w:bCs/>
                <w:color w:val="000000" w:themeColor="text1"/>
                <w:sz w:val="20"/>
              </w:rPr>
            </w:pPr>
            <w:r w:rsidRPr="00001499">
              <w:rPr>
                <w:rFonts w:ascii="Arial Narrow" w:eastAsia="Arial Narrow" w:hAnsi="Arial Narrow" w:cs="Arial Narrow"/>
                <w:b w:val="0"/>
                <w:color w:val="000000" w:themeColor="text1"/>
                <w:sz w:val="20"/>
              </w:rPr>
              <w:t>QIVc: 1,559,695</w:t>
            </w:r>
          </w:p>
          <w:p w14:paraId="0D43CADA" w14:textId="77777777" w:rsidR="009C29A2" w:rsidRPr="00001499" w:rsidRDefault="009C29A2" w:rsidP="00FC7A97">
            <w:pPr>
              <w:pStyle w:val="TableTitlecentred"/>
              <w:keepNext/>
              <w:keepLines/>
              <w:widowControl w:val="0"/>
              <w:rPr>
                <w:rFonts w:ascii="Arial Narrow" w:eastAsia="Arial Narrow" w:hAnsi="Arial Narrow" w:cs="Arial Narrow"/>
                <w:b w:val="0"/>
                <w:bCs/>
                <w:color w:val="000000" w:themeColor="text1"/>
                <w:sz w:val="20"/>
              </w:rPr>
            </w:pPr>
            <w:r w:rsidRPr="00001499">
              <w:rPr>
                <w:rFonts w:ascii="Arial Narrow" w:eastAsia="Arial Narrow" w:hAnsi="Arial Narrow" w:cs="Arial Narrow"/>
                <w:b w:val="0"/>
                <w:color w:val="000000" w:themeColor="text1"/>
                <w:sz w:val="20"/>
              </w:rPr>
              <w:t>QIVe: 5,367,253</w:t>
            </w:r>
          </w:p>
        </w:tc>
        <w:tc>
          <w:tcPr>
            <w:tcW w:w="1236" w:type="dxa"/>
            <w:shd w:val="clear" w:color="auto" w:fill="auto"/>
            <w:vAlign w:val="center"/>
          </w:tcPr>
          <w:p w14:paraId="7CC9D5DF" w14:textId="77777777" w:rsidR="009C29A2" w:rsidRPr="00001499" w:rsidRDefault="009C29A2" w:rsidP="00FC7A97">
            <w:pPr>
              <w:pStyle w:val="TableTextcentred"/>
              <w:keepNext/>
              <w:keepLines/>
              <w:widowControl w:val="0"/>
              <w:rPr>
                <w:rFonts w:eastAsia="Arial Narrow" w:cs="Arial Narrow"/>
                <w:szCs w:val="20"/>
              </w:rPr>
            </w:pPr>
            <w:r w:rsidRPr="00001499">
              <w:rPr>
                <w:rFonts w:ascii="Arial Narrow" w:eastAsia="Arial Narrow" w:hAnsi="Arial Narrow" w:cs="Arial Narrow"/>
                <w:color w:val="000000" w:themeColor="text1"/>
                <w:sz w:val="20"/>
                <w:szCs w:val="20"/>
              </w:rPr>
              <w:t>Doubly robust</w:t>
            </w:r>
          </w:p>
        </w:tc>
        <w:tc>
          <w:tcPr>
            <w:tcW w:w="1134" w:type="dxa"/>
            <w:shd w:val="clear" w:color="auto" w:fill="auto"/>
            <w:vAlign w:val="center"/>
          </w:tcPr>
          <w:p w14:paraId="661ED38E" w14:textId="77777777" w:rsidR="009C29A2" w:rsidRPr="00001499" w:rsidRDefault="009C29A2" w:rsidP="00FC7A97">
            <w:pPr>
              <w:pStyle w:val="TableText0"/>
              <w:keepLines/>
              <w:widowControl w:val="0"/>
              <w:spacing w:line="259" w:lineRule="auto"/>
              <w:jc w:val="center"/>
              <w:rPr>
                <w:rFonts w:eastAsia="Arial Narrow" w:cs="Arial Narrow"/>
                <w:szCs w:val="20"/>
              </w:rPr>
            </w:pPr>
            <w:r w:rsidRPr="00001499">
              <w:rPr>
                <w:rFonts w:eastAsia="Arial Narrow" w:cs="Arial Narrow"/>
                <w:szCs w:val="20"/>
              </w:rPr>
              <w:t>Moderate</w:t>
            </w:r>
          </w:p>
        </w:tc>
        <w:tc>
          <w:tcPr>
            <w:tcW w:w="1997" w:type="dxa"/>
            <w:shd w:val="clear" w:color="auto" w:fill="auto"/>
            <w:vAlign w:val="center"/>
          </w:tcPr>
          <w:p w14:paraId="47A6DF0E"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Electronic medical records linked to pharmacy and medical claims data from primary care and hospitals (AllScripts plus Komodo Health databases)</w:t>
            </w:r>
          </w:p>
        </w:tc>
        <w:tc>
          <w:tcPr>
            <w:tcW w:w="1479" w:type="dxa"/>
            <w:shd w:val="clear" w:color="auto" w:fill="auto"/>
            <w:vAlign w:val="center"/>
          </w:tcPr>
          <w:p w14:paraId="67C7E836" w14:textId="77777777" w:rsidR="009C29A2" w:rsidRPr="00001499" w:rsidRDefault="009C29A2" w:rsidP="00FC7A97">
            <w:pPr>
              <w:pStyle w:val="TableTextleftalign"/>
              <w:keepNext/>
              <w:keepLines/>
              <w:widowControl w:val="0"/>
              <w:jc w:val="center"/>
              <w:rPr>
                <w:rFonts w:ascii="Arial Narrow" w:eastAsia="Arial Narrow" w:hAnsi="Arial Narrow" w:cs="Arial Narrow"/>
                <w:sz w:val="20"/>
                <w:szCs w:val="20"/>
              </w:rPr>
            </w:pPr>
            <w:r w:rsidRPr="00001499">
              <w:rPr>
                <w:rFonts w:ascii="Arial Narrow" w:eastAsia="Arial Narrow" w:hAnsi="Arial Narrow" w:cs="Arial Narrow"/>
                <w:color w:val="000000" w:themeColor="text1"/>
                <w:sz w:val="20"/>
                <w:szCs w:val="20"/>
              </w:rPr>
              <w:t>ILI within primary care or hospital</w:t>
            </w:r>
            <w:r w:rsidRPr="00001499">
              <w:rPr>
                <w:rFonts w:ascii="Arial Narrow" w:eastAsia="Arial Narrow" w:hAnsi="Arial Narrow" w:cs="Arial Narrow"/>
                <w:color w:val="000000" w:themeColor="text1"/>
                <w:sz w:val="20"/>
                <w:szCs w:val="20"/>
                <w:vertAlign w:val="superscript"/>
              </w:rPr>
              <w:t>3</w:t>
            </w:r>
          </w:p>
        </w:tc>
        <w:tc>
          <w:tcPr>
            <w:tcW w:w="868" w:type="dxa"/>
            <w:shd w:val="clear" w:color="auto" w:fill="auto"/>
            <w:vAlign w:val="center"/>
          </w:tcPr>
          <w:p w14:paraId="7B244E6F"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Not used</w:t>
            </w:r>
          </w:p>
        </w:tc>
      </w:tr>
      <w:tr w:rsidR="009C29A2" w:rsidRPr="00001499" w14:paraId="1EE0CA34" w14:textId="77777777" w:rsidTr="00FC7A97">
        <w:trPr>
          <w:cantSplit/>
        </w:trPr>
        <w:tc>
          <w:tcPr>
            <w:tcW w:w="983" w:type="dxa"/>
            <w:shd w:val="clear" w:color="auto" w:fill="auto"/>
            <w:vAlign w:val="center"/>
          </w:tcPr>
          <w:p w14:paraId="07FFDC47" w14:textId="77777777" w:rsidR="009C29A2" w:rsidRPr="00001499" w:rsidRDefault="009C29A2" w:rsidP="00FC7A97">
            <w:pPr>
              <w:pStyle w:val="TableText0"/>
              <w:keepLines/>
              <w:widowControl w:val="0"/>
              <w:rPr>
                <w:rFonts w:eastAsia="Arial Narrow" w:cs="Arial Narrow"/>
                <w:szCs w:val="20"/>
              </w:rPr>
            </w:pPr>
            <w:r w:rsidRPr="00001499">
              <w:rPr>
                <w:rFonts w:eastAsia="Arial Narrow" w:cs="Arial Narrow"/>
                <w:szCs w:val="20"/>
              </w:rPr>
              <w:t>Divino 2021</w:t>
            </w:r>
          </w:p>
          <w:p w14:paraId="7DB23B66" w14:textId="77777777" w:rsidR="009C29A2" w:rsidRPr="00001499" w:rsidRDefault="009C29A2" w:rsidP="00FC7A97">
            <w:pPr>
              <w:pStyle w:val="TableText0"/>
              <w:keepLines/>
              <w:widowControl w:val="0"/>
              <w:rPr>
                <w:rFonts w:eastAsia="Arial Narrow" w:cs="Arial Narrow"/>
                <w:szCs w:val="20"/>
              </w:rPr>
            </w:pPr>
          </w:p>
        </w:tc>
        <w:tc>
          <w:tcPr>
            <w:tcW w:w="1320" w:type="dxa"/>
            <w:shd w:val="clear" w:color="auto" w:fill="auto"/>
            <w:vAlign w:val="center"/>
          </w:tcPr>
          <w:p w14:paraId="399DAD51" w14:textId="77777777" w:rsidR="009C29A2" w:rsidRPr="00001499" w:rsidRDefault="009C29A2" w:rsidP="00FC7A97">
            <w:pPr>
              <w:pStyle w:val="TableTitlecentred"/>
              <w:keepNext/>
              <w:keepLines/>
              <w:widowControl w:val="0"/>
              <w:rPr>
                <w:rFonts w:ascii="Arial Narrow" w:eastAsia="Arial Narrow" w:hAnsi="Arial Narrow" w:cs="Arial Narrow"/>
                <w:b w:val="0"/>
                <w:bCs/>
                <w:sz w:val="20"/>
              </w:rPr>
            </w:pPr>
            <w:r w:rsidRPr="00001499">
              <w:rPr>
                <w:rFonts w:ascii="Arial Narrow" w:eastAsia="Arial Narrow" w:hAnsi="Arial Narrow" w:cs="Arial Narrow"/>
                <w:b w:val="0"/>
                <w:color w:val="000000" w:themeColor="text1"/>
                <w:sz w:val="20"/>
              </w:rPr>
              <w:t>QIVc: 1,138,969</w:t>
            </w:r>
          </w:p>
          <w:p w14:paraId="710EE09A" w14:textId="77777777" w:rsidR="009C29A2" w:rsidRPr="00001499" w:rsidRDefault="009C29A2" w:rsidP="00FC7A97">
            <w:pPr>
              <w:pStyle w:val="TableTitlecentred"/>
              <w:keepNext/>
              <w:keepLines/>
              <w:widowControl w:val="0"/>
              <w:rPr>
                <w:rFonts w:ascii="Arial Narrow" w:eastAsia="Arial Narrow" w:hAnsi="Arial Narrow" w:cs="Arial Narrow"/>
                <w:b w:val="0"/>
                <w:bCs/>
                <w:sz w:val="20"/>
              </w:rPr>
            </w:pPr>
            <w:r w:rsidRPr="00001499">
              <w:rPr>
                <w:rFonts w:ascii="Arial Narrow" w:eastAsia="Arial Narrow" w:hAnsi="Arial Narrow" w:cs="Arial Narrow"/>
                <w:b w:val="0"/>
                <w:color w:val="000000" w:themeColor="text1"/>
                <w:sz w:val="20"/>
              </w:rPr>
              <w:t>QIVe: 3,926,357</w:t>
            </w:r>
          </w:p>
        </w:tc>
        <w:tc>
          <w:tcPr>
            <w:tcW w:w="1236" w:type="dxa"/>
            <w:shd w:val="clear" w:color="auto" w:fill="auto"/>
            <w:vAlign w:val="center"/>
          </w:tcPr>
          <w:p w14:paraId="62CB6E87" w14:textId="77777777" w:rsidR="009C29A2" w:rsidRPr="00001499" w:rsidRDefault="009C29A2" w:rsidP="00FC7A97">
            <w:pPr>
              <w:pStyle w:val="TableTextcentred"/>
              <w:keepNext/>
              <w:keepLines/>
              <w:widowControl w:val="0"/>
              <w:rPr>
                <w:rFonts w:eastAsia="Arial Narrow" w:cs="Arial Narrow"/>
                <w:szCs w:val="20"/>
              </w:rPr>
            </w:pPr>
            <w:r w:rsidRPr="00001499">
              <w:rPr>
                <w:rFonts w:ascii="Arial Narrow" w:eastAsia="Arial Narrow" w:hAnsi="Arial Narrow" w:cs="Arial Narrow"/>
                <w:color w:val="000000" w:themeColor="text1"/>
                <w:sz w:val="20"/>
                <w:szCs w:val="20"/>
              </w:rPr>
              <w:t>IPTW and doubly robust</w:t>
            </w:r>
          </w:p>
        </w:tc>
        <w:tc>
          <w:tcPr>
            <w:tcW w:w="1134" w:type="dxa"/>
            <w:shd w:val="clear" w:color="auto" w:fill="auto"/>
            <w:vAlign w:val="center"/>
          </w:tcPr>
          <w:p w14:paraId="315C112D" w14:textId="77777777" w:rsidR="009C29A2" w:rsidRPr="00001499" w:rsidRDefault="009C29A2" w:rsidP="00FC7A97">
            <w:pPr>
              <w:pStyle w:val="TableText0"/>
              <w:keepLines/>
              <w:widowControl w:val="0"/>
              <w:spacing w:line="259" w:lineRule="auto"/>
              <w:jc w:val="center"/>
              <w:rPr>
                <w:rFonts w:eastAsia="Arial Narrow" w:cs="Arial Narrow"/>
                <w:szCs w:val="20"/>
              </w:rPr>
            </w:pPr>
            <w:r w:rsidRPr="00001499">
              <w:rPr>
                <w:rFonts w:eastAsia="Arial Narrow" w:cs="Arial Narrow"/>
                <w:szCs w:val="20"/>
              </w:rPr>
              <w:t>Moderate</w:t>
            </w:r>
          </w:p>
        </w:tc>
        <w:tc>
          <w:tcPr>
            <w:tcW w:w="1997" w:type="dxa"/>
            <w:shd w:val="clear" w:color="auto" w:fill="auto"/>
            <w:vAlign w:val="center"/>
          </w:tcPr>
          <w:p w14:paraId="340BC6E9"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Administrative claims data (</w:t>
            </w:r>
            <w:r w:rsidRPr="00001499">
              <w:rPr>
                <w:rFonts w:eastAsia="Arial Narrow" w:cs="Arial Narrow"/>
                <w:bCs w:val="0"/>
                <w:color w:val="000000" w:themeColor="text1"/>
                <w:szCs w:val="20"/>
              </w:rPr>
              <w:t>IQVIA Real-World Data Adjudicated Claims – US Database)</w:t>
            </w:r>
          </w:p>
        </w:tc>
        <w:tc>
          <w:tcPr>
            <w:tcW w:w="1479" w:type="dxa"/>
            <w:shd w:val="clear" w:color="auto" w:fill="auto"/>
            <w:vAlign w:val="center"/>
          </w:tcPr>
          <w:p w14:paraId="42DAB123" w14:textId="77777777" w:rsidR="009C29A2" w:rsidRPr="00001499" w:rsidRDefault="009C29A2" w:rsidP="00FC7A97">
            <w:pPr>
              <w:pStyle w:val="TableTextleftalign"/>
              <w:keepNext/>
              <w:keepLines/>
              <w:widowControl w:val="0"/>
              <w:jc w:val="center"/>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Influenza related hospitalisations or emergency room visits</w:t>
            </w:r>
            <w:r w:rsidRPr="00001499">
              <w:rPr>
                <w:rFonts w:ascii="Arial Narrow" w:eastAsia="Arial Narrow" w:hAnsi="Arial Narrow" w:cs="Arial Narrow"/>
                <w:color w:val="000000" w:themeColor="text1"/>
                <w:sz w:val="20"/>
                <w:szCs w:val="20"/>
                <w:vertAlign w:val="superscript"/>
              </w:rPr>
              <w:t>4</w:t>
            </w:r>
          </w:p>
        </w:tc>
        <w:tc>
          <w:tcPr>
            <w:tcW w:w="868" w:type="dxa"/>
            <w:shd w:val="clear" w:color="auto" w:fill="auto"/>
            <w:vAlign w:val="center"/>
          </w:tcPr>
          <w:p w14:paraId="5ACA530C" w14:textId="77777777" w:rsidR="009C29A2" w:rsidRPr="00001499" w:rsidRDefault="009C29A2" w:rsidP="00FC7A97">
            <w:pPr>
              <w:pStyle w:val="TableText0"/>
              <w:keepLines/>
              <w:widowControl w:val="0"/>
              <w:jc w:val="center"/>
              <w:rPr>
                <w:rFonts w:eastAsia="Arial Narrow" w:cs="Arial Narrow"/>
                <w:szCs w:val="20"/>
              </w:rPr>
            </w:pPr>
            <w:r w:rsidRPr="00001499">
              <w:rPr>
                <w:rFonts w:eastAsia="Arial Narrow" w:cs="Arial Narrow"/>
                <w:szCs w:val="20"/>
              </w:rPr>
              <w:t>Not used</w:t>
            </w:r>
          </w:p>
        </w:tc>
      </w:tr>
      <w:tr w:rsidR="009C29A2" w:rsidRPr="00001499" w14:paraId="68E0C54A" w14:textId="77777777" w:rsidTr="00FC7A97">
        <w:trPr>
          <w:cantSplit/>
        </w:trPr>
        <w:tc>
          <w:tcPr>
            <w:tcW w:w="9017" w:type="dxa"/>
            <w:gridSpan w:val="7"/>
            <w:shd w:val="clear" w:color="auto" w:fill="auto"/>
            <w:vAlign w:val="center"/>
          </w:tcPr>
          <w:p w14:paraId="30B9F460" w14:textId="77777777" w:rsidR="009C29A2" w:rsidRPr="00001499" w:rsidRDefault="009C29A2" w:rsidP="00FC7A97">
            <w:pPr>
              <w:pStyle w:val="TableText0"/>
              <w:keepLines/>
              <w:widowControl w:val="0"/>
              <w:spacing w:line="259" w:lineRule="auto"/>
              <w:rPr>
                <w:rFonts w:eastAsia="MS Gothic" w:cs="Times New Roman"/>
                <w:b/>
                <w:szCs w:val="20"/>
              </w:rPr>
            </w:pPr>
            <w:r w:rsidRPr="00001499">
              <w:rPr>
                <w:rFonts w:eastAsia="Arial Narrow" w:cs="Arial Narrow"/>
                <w:b/>
                <w:szCs w:val="20"/>
              </w:rPr>
              <w:t>Meta-analyses</w:t>
            </w:r>
          </w:p>
        </w:tc>
      </w:tr>
      <w:tr w:rsidR="009C29A2" w:rsidRPr="00001499" w14:paraId="25DAECF7" w14:textId="77777777" w:rsidTr="00FC7A97">
        <w:trPr>
          <w:cantSplit/>
        </w:trPr>
        <w:tc>
          <w:tcPr>
            <w:tcW w:w="8149" w:type="dxa"/>
            <w:gridSpan w:val="6"/>
            <w:shd w:val="clear" w:color="auto" w:fill="auto"/>
            <w:vAlign w:val="center"/>
          </w:tcPr>
          <w:p w14:paraId="11FD8D7D" w14:textId="77777777" w:rsidR="009C29A2" w:rsidRPr="00001499" w:rsidRDefault="009C29A2" w:rsidP="00FC7A97">
            <w:pPr>
              <w:pStyle w:val="TableText0"/>
              <w:keepLines/>
              <w:widowControl w:val="0"/>
              <w:rPr>
                <w:rFonts w:eastAsia="Arial Narrow" w:cs="Arial Narrow"/>
                <w:szCs w:val="20"/>
              </w:rPr>
            </w:pPr>
            <w:r w:rsidRPr="00001499">
              <w:rPr>
                <w:rFonts w:eastAsia="Arial Narrow" w:cs="Arial Narrow"/>
                <w:szCs w:val="20"/>
              </w:rPr>
              <w:t>A meta-analysis was conducted for each season, combining presentations to primary care and hospitals, to generate a relative vaccine effectiveness (rVE) estimate for each season.</w:t>
            </w:r>
          </w:p>
        </w:tc>
        <w:tc>
          <w:tcPr>
            <w:tcW w:w="868" w:type="dxa"/>
            <w:shd w:val="clear" w:color="auto" w:fill="auto"/>
            <w:vAlign w:val="center"/>
          </w:tcPr>
          <w:p w14:paraId="4729B393" w14:textId="77777777" w:rsidR="009C29A2" w:rsidRPr="00001499" w:rsidRDefault="009C29A2" w:rsidP="00FC7A97">
            <w:pPr>
              <w:pStyle w:val="TableText0"/>
              <w:keepLines/>
              <w:widowControl w:val="0"/>
              <w:spacing w:line="259" w:lineRule="auto"/>
              <w:jc w:val="center"/>
              <w:rPr>
                <w:rFonts w:eastAsia="Arial Narrow" w:cs="Arial Narrow"/>
                <w:szCs w:val="20"/>
              </w:rPr>
            </w:pPr>
            <w:r w:rsidRPr="00001499">
              <w:rPr>
                <w:rFonts w:eastAsia="Arial Narrow" w:cs="Arial Narrow"/>
                <w:szCs w:val="20"/>
              </w:rPr>
              <w:t>rVE</w:t>
            </w:r>
          </w:p>
        </w:tc>
      </w:tr>
    </w:tbl>
    <w:p w14:paraId="5AC17C0C" w14:textId="77777777" w:rsidR="009C29A2" w:rsidRPr="00001499" w:rsidRDefault="009C29A2" w:rsidP="009C29A2">
      <w:pPr>
        <w:pStyle w:val="TableFigureFooter"/>
      </w:pPr>
      <w:r w:rsidRPr="00001499">
        <w:t>Source: Compiled from Table 2.4.2, p51, Table 2.3.1, p69, Table 2.4.3, p90, Table 2.4.4, p93, and text p85 of the submission.</w:t>
      </w:r>
    </w:p>
    <w:p w14:paraId="4BC0BAAA" w14:textId="77777777" w:rsidR="009C29A2" w:rsidRPr="00001499" w:rsidRDefault="009C29A2" w:rsidP="009C29A2">
      <w:pPr>
        <w:pStyle w:val="TableFigureFooter"/>
        <w:rPr>
          <w:sz w:val="20"/>
          <w:szCs w:val="20"/>
        </w:rPr>
      </w:pPr>
      <w:r w:rsidRPr="00001499">
        <w:t>PSM = propensity score matching, IPTW = inverse probability of treatment weighting, ILI = influenza-like illness, QIVc = cell-based quadrivalent subunit influenza virus vaccine, QIVe = egg-based quadrivalent subunit influenza virus vaccine.</w:t>
      </w:r>
    </w:p>
    <w:p w14:paraId="3BC5F196" w14:textId="77777777" w:rsidR="009C29A2" w:rsidRPr="00001499" w:rsidRDefault="009C29A2" w:rsidP="00AC330C">
      <w:pPr>
        <w:pStyle w:val="TableFigureFooter"/>
        <w:numPr>
          <w:ilvl w:val="0"/>
          <w:numId w:val="13"/>
        </w:numPr>
        <w:rPr>
          <w:rFonts w:eastAsia="Calibri"/>
        </w:rPr>
      </w:pPr>
      <w:r w:rsidRPr="00001499">
        <w:rPr>
          <w:rFonts w:eastAsia="Arial Narrow"/>
        </w:rPr>
        <w:t xml:space="preserve">A </w:t>
      </w:r>
      <w:r w:rsidRPr="00001499">
        <w:rPr>
          <w:rFonts w:eastAsia="Arial Narrow"/>
          <w:iCs/>
        </w:rPr>
        <w:t>post hoc</w:t>
      </w:r>
      <w:r w:rsidRPr="00001499">
        <w:rPr>
          <w:rFonts w:eastAsia="Arial Narrow"/>
        </w:rPr>
        <w:t xml:space="preserve"> PSM analysis was conducted as well as a pre-specified multivariate logistic regression analysis. The PSM analysis was considered more robust by the sponsor and is presented as the main result of this study.</w:t>
      </w:r>
    </w:p>
    <w:p w14:paraId="33D1DB90" w14:textId="77777777" w:rsidR="009C29A2" w:rsidRPr="00001499" w:rsidRDefault="009C29A2" w:rsidP="00AC330C">
      <w:pPr>
        <w:pStyle w:val="TableFigureFooter"/>
        <w:numPr>
          <w:ilvl w:val="0"/>
          <w:numId w:val="13"/>
        </w:numPr>
      </w:pPr>
      <w:r w:rsidRPr="00001499">
        <w:rPr>
          <w:rFonts w:eastAsia="Arial Narrow"/>
        </w:rPr>
        <w:t xml:space="preserve">A </w:t>
      </w:r>
      <w:r w:rsidRPr="00001499">
        <w:rPr>
          <w:rFonts w:eastAsia="Arial Narrow"/>
          <w:iCs/>
        </w:rPr>
        <w:t>post hoc</w:t>
      </w:r>
      <w:r w:rsidRPr="00001499">
        <w:rPr>
          <w:rFonts w:eastAsia="Arial Narrow"/>
        </w:rPr>
        <w:t xml:space="preserve"> doubly robust analysis was conducted as well as a pre-specified multivariate logistic regression analysis. The doubly robust analysis was considered more robust by the sponsor and is presented as the main result of this study.</w:t>
      </w:r>
    </w:p>
    <w:p w14:paraId="14E0F583" w14:textId="77777777" w:rsidR="009C29A2" w:rsidRPr="00001499" w:rsidRDefault="009C29A2" w:rsidP="00AC330C">
      <w:pPr>
        <w:pStyle w:val="TableFigureFooter"/>
        <w:numPr>
          <w:ilvl w:val="0"/>
          <w:numId w:val="13"/>
        </w:numPr>
        <w:rPr>
          <w:rFonts w:eastAsia="Arial Narrow"/>
        </w:rPr>
      </w:pPr>
      <w:r w:rsidRPr="00001499">
        <w:rPr>
          <w:rFonts w:eastAsia="Arial Narrow"/>
        </w:rPr>
        <w:t>Defined by ICD-9 and ICD-10 diagnostic codes specific to influenza: J09*-J11* in any diagnostic position as per “Code Set B”, definition published and validated by US Armed Forces Health Surveillance Center (AFHSC).</w:t>
      </w:r>
    </w:p>
    <w:p w14:paraId="15376009" w14:textId="77777777" w:rsidR="009C29A2" w:rsidRPr="00001499" w:rsidRDefault="009C29A2" w:rsidP="00AC330C">
      <w:pPr>
        <w:pStyle w:val="TableFigureFooter"/>
        <w:numPr>
          <w:ilvl w:val="0"/>
          <w:numId w:val="13"/>
        </w:numPr>
      </w:pPr>
      <w:r w:rsidRPr="00001499">
        <w:rPr>
          <w:rFonts w:eastAsia="Arial Narrow"/>
        </w:rPr>
        <w:t>Defined as ICD-9 487.x, 488.x, ICD-10 J09.x, J10.x, J11.x in any position.</w:t>
      </w:r>
    </w:p>
    <w:p w14:paraId="086BEAA7" w14:textId="07A91DD4" w:rsidR="009C29A2" w:rsidRPr="00001499" w:rsidRDefault="009C29A2" w:rsidP="00AA46C6">
      <w:pPr>
        <w:pStyle w:val="3-BodyText"/>
        <w:ind w:left="709"/>
        <w:rPr>
          <w:rFonts w:eastAsiaTheme="minorEastAsia" w:cstheme="minorBidi"/>
          <w:iCs/>
          <w:color w:val="000000" w:themeColor="text1"/>
        </w:rPr>
      </w:pPr>
      <w:r w:rsidRPr="00001499">
        <w:rPr>
          <w:rFonts w:eastAsia="Calibri"/>
        </w:rPr>
        <w:t xml:space="preserve">The submission claimed that the use of ‘real world evidence’ (RWE) represents the only feasible approach for comparing the performance of different influenza vaccines in settings that are reflective of clinical practice. The submission considered that data from RWE studies are more representative of population use and outcomes than RCTs, which are generally conducted in a restricted number of study subjects over short time </w:t>
      </w:r>
      <w:r w:rsidRPr="00001499">
        <w:rPr>
          <w:rFonts w:eastAsia="Calibri"/>
        </w:rPr>
        <w:lastRenderedPageBreak/>
        <w:t xml:space="preserve">periods. </w:t>
      </w:r>
      <w:r w:rsidRPr="00001499">
        <w:rPr>
          <w:bCs/>
          <w:iCs/>
        </w:rPr>
        <w:t xml:space="preserve">The ESC noted that influenza vaccine efficacy RCTs may also be conducted </w:t>
      </w:r>
      <w:r w:rsidR="00F14128">
        <w:rPr>
          <w:bCs/>
          <w:iCs/>
        </w:rPr>
        <w:t>across</w:t>
      </w:r>
      <w:r w:rsidRPr="00001499">
        <w:rPr>
          <w:bCs/>
          <w:iCs/>
        </w:rPr>
        <w:t xml:space="preserve"> in</w:t>
      </w:r>
      <w:r w:rsidR="00E649DD" w:rsidRPr="00001499">
        <w:rPr>
          <w:bCs/>
          <w:iCs/>
        </w:rPr>
        <w:t>fluenza seasons, but it recognis</w:t>
      </w:r>
      <w:r w:rsidRPr="00001499">
        <w:rPr>
          <w:bCs/>
          <w:iCs/>
        </w:rPr>
        <w:t>ed that the large sample sizes required for statistical significance (</w:t>
      </w:r>
      <w:r w:rsidRPr="00001499">
        <w:rPr>
          <w:rFonts w:eastAsia="Calibri"/>
          <w:iCs/>
        </w:rPr>
        <w:t>given the rarity of the outcomes of laboratory confirmed influenza/medical treatment)</w:t>
      </w:r>
      <w:r w:rsidRPr="00001499">
        <w:rPr>
          <w:bCs/>
          <w:iCs/>
        </w:rPr>
        <w:t xml:space="preserve"> may limit the practicality of such designs. </w:t>
      </w:r>
    </w:p>
    <w:p w14:paraId="21529F21" w14:textId="2C78CF55" w:rsidR="00F74D34" w:rsidRPr="00001499" w:rsidRDefault="009C29A2" w:rsidP="00AA46C6">
      <w:pPr>
        <w:pStyle w:val="3-BodyText"/>
        <w:ind w:left="709"/>
        <w:rPr>
          <w:rFonts w:ascii="Calibri" w:eastAsia="Calibri" w:hAnsi="Calibri" w:cs="Calibri"/>
          <w:iCs/>
          <w:color w:val="000000" w:themeColor="text1"/>
        </w:rPr>
      </w:pPr>
      <w:r w:rsidRPr="00001499">
        <w:t xml:space="preserve">Using the ROBINS-I tool, the six retrospective cohort studies were scored by the submission as having an overall moderate risk of bias, on the basis of a moderate risk of confounding. </w:t>
      </w:r>
      <w:r w:rsidR="00A23C6D">
        <w:t>The sponsor presented analyses that statistically adjusted for the potential confounding effect of possible differences in age, comorbidities, ethnicity, geographic area, payer-type, health-plan type, and healthcare seeking behaviour. However, a moderate risk-of-bias</w:t>
      </w:r>
      <w:r w:rsidR="00284113">
        <w:t xml:space="preserve"> remained</w:t>
      </w:r>
      <w:r w:rsidR="00A23C6D">
        <w:t xml:space="preserve"> due to confounding</w:t>
      </w:r>
      <w:r w:rsidR="00284113">
        <w:t xml:space="preserve"> </w:t>
      </w:r>
      <w:r w:rsidR="00F14128">
        <w:t>given the</w:t>
      </w:r>
      <w:r w:rsidR="00284113">
        <w:t xml:space="preserve"> non randomised </w:t>
      </w:r>
      <w:r w:rsidR="00F14128">
        <w:t>design</w:t>
      </w:r>
      <w:r w:rsidR="00A23C6D">
        <w:t xml:space="preserve">. </w:t>
      </w:r>
      <w:r w:rsidRPr="00001499">
        <w:t xml:space="preserve">The studies </w:t>
      </w:r>
      <w:r w:rsidR="00F31E2A">
        <w:t xml:space="preserve">were </w:t>
      </w:r>
      <w:r w:rsidRPr="00001499">
        <w:t>scored</w:t>
      </w:r>
      <w:r w:rsidR="00F31E2A">
        <w:t xml:space="preserve"> as having</w:t>
      </w:r>
      <w:r w:rsidRPr="00001499">
        <w:t xml:space="preserve"> a low risk of bias in the six other domains of the ROBINS-I tool (i.e. selection bias, misclassification of exposure, deviation from intended vaccine, missing data, misclassification of outcomes, reporting bias).</w:t>
      </w:r>
      <w:r w:rsidR="00F74D34" w:rsidRPr="00001499">
        <w:t xml:space="preserve"> </w:t>
      </w:r>
      <w:r w:rsidR="00A23C6D">
        <w:t xml:space="preserve">Specifically, for misclassification of outcomes, </w:t>
      </w:r>
      <w:r w:rsidR="00A23C6D">
        <w:rPr>
          <w:shd w:val="clear" w:color="auto" w:fill="FFFFFF"/>
        </w:rPr>
        <w:t xml:space="preserve">primary endpoints were influenza-like illness (ILI) primary-care or emergency-room visits or ILI hospitalisations as identified by ICD codes. These could be affected by ICD coding errors. However, it could be argued that these measurement errors possibly affect both groups equally. A limitation is the lack of laboratory (PCR) confirmed influenza as an endpoint. </w:t>
      </w:r>
      <w:bookmarkStart w:id="35" w:name="_Hlk120608471"/>
      <w:r w:rsidR="00A23C6D">
        <w:rPr>
          <w:shd w:val="clear" w:color="auto" w:fill="FFFFFF"/>
        </w:rPr>
        <w:t>One of the studies (Bo</w:t>
      </w:r>
      <w:r w:rsidR="00276BB4">
        <w:rPr>
          <w:shd w:val="clear" w:color="auto" w:fill="FFFFFF"/>
        </w:rPr>
        <w:t>i</w:t>
      </w:r>
      <w:r w:rsidR="00A23C6D">
        <w:rPr>
          <w:shd w:val="clear" w:color="auto" w:fill="FFFFFF"/>
        </w:rPr>
        <w:t xml:space="preserve">kos, 2021) looked at the concordance between laboratory-confirmed influenza and ILI as identified by ICD codes and reported “concordance between trends”. </w:t>
      </w:r>
      <w:bookmarkEnd w:id="35"/>
      <w:r w:rsidR="00A23C6D">
        <w:rPr>
          <w:shd w:val="clear" w:color="auto" w:fill="FFFFFF"/>
        </w:rPr>
        <w:t>Also, the ICD code set used to identify ILI primary care visits was validated in the dependents of military personnel</w:t>
      </w:r>
      <w:r w:rsidR="00F4130A">
        <w:rPr>
          <w:rStyle w:val="FootnoteReference"/>
          <w:shd w:val="clear" w:color="auto" w:fill="FFFFFF"/>
        </w:rPr>
        <w:footnoteReference w:id="3"/>
      </w:r>
      <w:r w:rsidR="00723CC0">
        <w:rPr>
          <w:shd w:val="clear" w:color="auto" w:fill="FFFFFF"/>
        </w:rPr>
        <w:t>.</w:t>
      </w:r>
      <w:r w:rsidR="00F630BF">
        <w:rPr>
          <w:shd w:val="clear" w:color="auto" w:fill="FFFFFF"/>
        </w:rPr>
        <w:t xml:space="preserve"> </w:t>
      </w:r>
    </w:p>
    <w:p w14:paraId="0A524DA8" w14:textId="0CCB26AC" w:rsidR="009C29A2" w:rsidRPr="00001499" w:rsidRDefault="009C29A2" w:rsidP="00AA46C6">
      <w:pPr>
        <w:pStyle w:val="3-BodyText"/>
        <w:ind w:left="709"/>
        <w:rPr>
          <w:rFonts w:eastAsiaTheme="minorEastAsia" w:cstheme="minorBidi"/>
          <w:iCs/>
          <w:color w:val="000000" w:themeColor="text1"/>
        </w:rPr>
      </w:pPr>
      <w:r w:rsidRPr="00001499">
        <w:rPr>
          <w:rFonts w:ascii="Calibri" w:eastAsia="Calibri" w:hAnsi="Calibri" w:cs="Calibri"/>
          <w:color w:val="000000" w:themeColor="text1"/>
        </w:rPr>
        <w:t xml:space="preserve">The submission was concerned that the ATAGI </w:t>
      </w:r>
      <w:r w:rsidR="00554A1B">
        <w:rPr>
          <w:rFonts w:ascii="Calibri" w:eastAsia="Calibri" w:hAnsi="Calibri" w:cs="Calibri"/>
          <w:color w:val="000000" w:themeColor="text1"/>
        </w:rPr>
        <w:t>a</w:t>
      </w:r>
      <w:r w:rsidRPr="00001499">
        <w:rPr>
          <w:rFonts w:ascii="Calibri" w:eastAsia="Calibri" w:hAnsi="Calibri" w:cs="Calibri"/>
          <w:color w:val="000000" w:themeColor="text1"/>
        </w:rPr>
        <w:t>dvice “dismisses the value of RWE studies for the evaluation of QIVc on the basis of ‘risk of unrecognised and uncontrolled confounding in these studies based on their design”. The submission stated that the Seqirus-sponsored retrospective cohort studies were of particularly robust design and applied advanced epidemiological and statistical methodology to control for confounding. While these studies have used a number of methods to adjust for measured confounders, and are more robust than those which do not, the potential for confounding/bias does exit, albeit at a reduced level compared to if those methods had not been used.</w:t>
      </w:r>
      <w:r w:rsidRPr="00001499">
        <w:t xml:space="preserve"> </w:t>
      </w:r>
      <w:r w:rsidRPr="00001499">
        <w:rPr>
          <w:rFonts w:ascii="Calibri" w:eastAsia="Calibri" w:hAnsi="Calibri" w:cs="Calibri"/>
          <w:color w:val="000000" w:themeColor="text1"/>
        </w:rPr>
        <w:t xml:space="preserve">The ability to control confounding depends on the completeness and validity of the recorded information on confounding factors, which can be an issue in the datasets used in the submission’s key studies, particularly in administrative data. Three of six studies (Krishnarajah 2021, Seqirus 2021, and Divino 2021) included a negative control outcome (urinary tract infection, UTI) to address the likelihood of unmeasured confounding. </w:t>
      </w:r>
      <w:r w:rsidR="001F50A2" w:rsidRPr="00001499">
        <w:t xml:space="preserve">The ESC noted the arguments raised in the </w:t>
      </w:r>
      <w:r w:rsidR="0098558E">
        <w:t>Pre-Sub-Committee Response (</w:t>
      </w:r>
      <w:r w:rsidR="001F50A2" w:rsidRPr="00001499">
        <w:t>PSCR</w:t>
      </w:r>
      <w:r w:rsidR="0098558E">
        <w:t>)</w:t>
      </w:r>
      <w:r w:rsidR="001F50A2" w:rsidRPr="00001499">
        <w:t xml:space="preserve"> that confounding was mitigated by the </w:t>
      </w:r>
      <w:r w:rsidR="001F50A2">
        <w:t>urinary tract infection (</w:t>
      </w:r>
      <w:r w:rsidR="001F50A2" w:rsidRPr="00001499">
        <w:t>UTI</w:t>
      </w:r>
      <w:r w:rsidR="001F50A2">
        <w:t>)</w:t>
      </w:r>
      <w:r w:rsidR="001F50A2" w:rsidRPr="00001499">
        <w:t xml:space="preserve"> negative control outcomes. The ESC also noted the </w:t>
      </w:r>
      <w:r w:rsidR="001F50A2" w:rsidRPr="00001499">
        <w:rPr>
          <w:shd w:val="clear" w:color="auto" w:fill="FFFFFF"/>
        </w:rPr>
        <w:t xml:space="preserve">four test negative design (TND) studies, which might provide reassurance about confounding </w:t>
      </w:r>
      <w:r w:rsidR="001F50A2" w:rsidRPr="00001499">
        <w:rPr>
          <w:shd w:val="clear" w:color="auto" w:fill="FFFFFF"/>
        </w:rPr>
        <w:lastRenderedPageBreak/>
        <w:t>due to health-seeking behaviour. The ESC further noted the PSCR comments as to why missing data on race/ethnicity was not likely to bias the results.</w:t>
      </w:r>
    </w:p>
    <w:p w14:paraId="1279E14D" w14:textId="3FC1020D" w:rsidR="009C29A2" w:rsidRPr="00001499" w:rsidRDefault="009C29A2" w:rsidP="00AA46C6">
      <w:pPr>
        <w:pStyle w:val="3-BodyText"/>
        <w:ind w:left="709"/>
      </w:pPr>
      <w:r w:rsidRPr="00001499">
        <w:rPr>
          <w:rFonts w:eastAsia="Calibri"/>
        </w:rPr>
        <w:t>The submission stated that estimates of rVE were presented separately for each season because:</w:t>
      </w:r>
    </w:p>
    <w:p w14:paraId="68C51472" w14:textId="2AC6F96E" w:rsidR="009C29A2" w:rsidRPr="00001499" w:rsidRDefault="009C29A2" w:rsidP="00596D1A">
      <w:pPr>
        <w:pStyle w:val="ListParagraph"/>
        <w:numPr>
          <w:ilvl w:val="0"/>
          <w:numId w:val="11"/>
        </w:numPr>
        <w:ind w:left="1134" w:hanging="414"/>
        <w:rPr>
          <w:rFonts w:eastAsiaTheme="minorEastAsia"/>
        </w:rPr>
      </w:pPr>
      <w:r w:rsidRPr="00001499">
        <w:rPr>
          <w:rFonts w:eastAsia="Calibri"/>
        </w:rPr>
        <w:t xml:space="preserve">The advantage of QIVc over QIVe is </w:t>
      </w:r>
      <w:r w:rsidR="00F31E2A">
        <w:rPr>
          <w:rFonts w:eastAsia="Calibri"/>
        </w:rPr>
        <w:t>due to</w:t>
      </w:r>
      <w:r w:rsidR="00F31E2A" w:rsidRPr="00001499">
        <w:rPr>
          <w:rFonts w:eastAsia="Calibri"/>
        </w:rPr>
        <w:t xml:space="preserve"> </w:t>
      </w:r>
      <w:r w:rsidRPr="00001499">
        <w:rPr>
          <w:rFonts w:eastAsia="Calibri"/>
        </w:rPr>
        <w:t>the elimination of egg-adaptation, and the number of strains in the QIVc vaccine that were cell derived increased over the seasons (</w:t>
      </w:r>
      <w:r w:rsidRPr="00001499">
        <w:rPr>
          <w:rFonts w:eastAsia="Calibri"/>
        </w:rPr>
        <w:fldChar w:fldCharType="begin" w:fldLock="1"/>
      </w:r>
      <w:r w:rsidRPr="00001499">
        <w:rPr>
          <w:rFonts w:eastAsia="Calibri"/>
        </w:rPr>
        <w:instrText xml:space="preserve"> REF _Ref93343917 \h </w:instrText>
      </w:r>
      <w:r w:rsidRPr="00001499">
        <w:rPr>
          <w:rFonts w:eastAsia="Calibri"/>
        </w:rPr>
      </w:r>
      <w:r w:rsidRPr="00001499">
        <w:rPr>
          <w:rFonts w:eastAsia="Calibri"/>
        </w:rPr>
        <w:fldChar w:fldCharType="separate"/>
      </w:r>
      <w:r w:rsidR="005C1FE9" w:rsidRPr="00001499">
        <w:t xml:space="preserve">Table </w:t>
      </w:r>
      <w:r w:rsidR="005C1FE9">
        <w:rPr>
          <w:noProof/>
        </w:rPr>
        <w:t>4</w:t>
      </w:r>
      <w:r w:rsidRPr="00001499">
        <w:rPr>
          <w:rFonts w:eastAsia="Calibri"/>
        </w:rPr>
        <w:fldChar w:fldCharType="end"/>
      </w:r>
      <w:r w:rsidRPr="00001499">
        <w:rPr>
          <w:rFonts w:eastAsia="Calibri"/>
        </w:rPr>
        <w:t>).</w:t>
      </w:r>
    </w:p>
    <w:p w14:paraId="6BAE5292" w14:textId="0DBD22FB" w:rsidR="009C29A2" w:rsidRPr="00001499" w:rsidRDefault="009C29A2" w:rsidP="00596D1A">
      <w:pPr>
        <w:pStyle w:val="ListParagraph"/>
        <w:numPr>
          <w:ilvl w:val="0"/>
          <w:numId w:val="11"/>
        </w:numPr>
        <w:ind w:left="1134" w:hanging="414"/>
        <w:rPr>
          <w:rFonts w:eastAsia="Calibri"/>
        </w:rPr>
      </w:pPr>
      <w:r w:rsidRPr="00001499">
        <w:rPr>
          <w:rFonts w:eastAsia="Calibri"/>
        </w:rPr>
        <w:t>There is seasonal variation in the circulating influenza strains, the vaccine match or mismatch due to antigenic drift, and egg-adaptation (</w:t>
      </w:r>
      <w:r w:rsidRPr="00001499">
        <w:rPr>
          <w:rFonts w:eastAsia="Calibri"/>
        </w:rPr>
        <w:fldChar w:fldCharType="begin" w:fldLock="1"/>
      </w:r>
      <w:r w:rsidRPr="00001499">
        <w:rPr>
          <w:rFonts w:eastAsia="Calibri"/>
        </w:rPr>
        <w:instrText xml:space="preserve"> REF _Ref93343917 \h </w:instrText>
      </w:r>
      <w:r w:rsidRPr="00001499">
        <w:rPr>
          <w:rFonts w:eastAsia="Calibri"/>
        </w:rPr>
      </w:r>
      <w:r w:rsidRPr="00001499">
        <w:rPr>
          <w:rFonts w:eastAsia="Calibri"/>
        </w:rPr>
        <w:fldChar w:fldCharType="separate"/>
      </w:r>
      <w:r w:rsidR="005C1FE9" w:rsidRPr="00001499">
        <w:t xml:space="preserve">Table </w:t>
      </w:r>
      <w:r w:rsidR="005C1FE9">
        <w:rPr>
          <w:noProof/>
        </w:rPr>
        <w:t>4</w:t>
      </w:r>
      <w:r w:rsidRPr="00001499">
        <w:rPr>
          <w:rFonts w:eastAsia="Calibri"/>
        </w:rPr>
        <w:fldChar w:fldCharType="end"/>
      </w:r>
      <w:r w:rsidRPr="00001499">
        <w:rPr>
          <w:rFonts w:eastAsia="Calibri"/>
        </w:rPr>
        <w:t xml:space="preserve">). </w:t>
      </w:r>
    </w:p>
    <w:p w14:paraId="19A2A03B" w14:textId="2BF3BF31" w:rsidR="009C29A2" w:rsidRPr="00001499" w:rsidRDefault="009C29A2" w:rsidP="009C29A2">
      <w:pPr>
        <w:pStyle w:val="TableHeading0"/>
      </w:pPr>
      <w:bookmarkStart w:id="36" w:name="_Ref93343917"/>
      <w:r w:rsidRPr="00001499">
        <w:t xml:space="preserve">Table </w:t>
      </w:r>
      <w:fldSimple w:instr=" SEQ Table \* ARABIC " w:fldLock="1">
        <w:r w:rsidR="005C1FE9">
          <w:rPr>
            <w:noProof/>
          </w:rPr>
          <w:t>4</w:t>
        </w:r>
      </w:fldSimple>
      <w:bookmarkEnd w:id="36"/>
      <w:r w:rsidRPr="00001499">
        <w:rPr>
          <w:rStyle w:val="CommentReference"/>
          <w:b/>
        </w:rPr>
        <w:t>: Northern Hemisphere influenza season characteristics and use of cell-derived candidate vaccine viruses in QIVc manufacturing</w:t>
      </w:r>
    </w:p>
    <w:tbl>
      <w:tblPr>
        <w:tblStyle w:val="TableGrid"/>
        <w:tblW w:w="5000" w:type="pct"/>
        <w:tblLayout w:type="fixed"/>
        <w:tblLook w:val="04A0" w:firstRow="1" w:lastRow="0" w:firstColumn="1" w:lastColumn="0" w:noHBand="0" w:noVBand="1"/>
      </w:tblPr>
      <w:tblGrid>
        <w:gridCol w:w="1204"/>
        <w:gridCol w:w="1295"/>
        <w:gridCol w:w="1203"/>
        <w:gridCol w:w="1279"/>
        <w:gridCol w:w="1279"/>
        <w:gridCol w:w="1310"/>
        <w:gridCol w:w="1447"/>
      </w:tblGrid>
      <w:tr w:rsidR="009C29A2" w:rsidRPr="00001499" w14:paraId="1A200FCC" w14:textId="77777777" w:rsidTr="00FC7A97">
        <w:tc>
          <w:tcPr>
            <w:tcW w:w="1185" w:type="dxa"/>
            <w:vMerge w:val="restart"/>
          </w:tcPr>
          <w:p w14:paraId="0EE9AE36" w14:textId="77777777" w:rsidR="009C29A2" w:rsidRPr="00001499" w:rsidRDefault="009C29A2" w:rsidP="003F11E1">
            <w:pPr>
              <w:pStyle w:val="TableTitlecentred"/>
              <w:keepNext/>
              <w:keepLines/>
              <w:widowControl w:val="0"/>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Season</w:t>
            </w:r>
          </w:p>
        </w:tc>
        <w:tc>
          <w:tcPr>
            <w:tcW w:w="1275" w:type="dxa"/>
            <w:vMerge w:val="restart"/>
          </w:tcPr>
          <w:p w14:paraId="35CCF8A1" w14:textId="77777777" w:rsidR="009C29A2" w:rsidRPr="00001499" w:rsidRDefault="009C29A2" w:rsidP="003F11E1">
            <w:pPr>
              <w:pStyle w:val="TableTitlecentred"/>
              <w:keepNext/>
              <w:keepLines/>
              <w:widowControl w:val="0"/>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QIVc candidate vaccine virus</w:t>
            </w:r>
          </w:p>
        </w:tc>
        <w:tc>
          <w:tcPr>
            <w:tcW w:w="1185" w:type="dxa"/>
            <w:vMerge w:val="restart"/>
          </w:tcPr>
          <w:p w14:paraId="136AF602" w14:textId="77777777" w:rsidR="009C29A2" w:rsidRPr="00001499" w:rsidRDefault="009C29A2" w:rsidP="003F11E1">
            <w:pPr>
              <w:pStyle w:val="TableTitlecentred"/>
              <w:keepNext/>
              <w:keepLines/>
              <w:widowControl w:val="0"/>
              <w:rPr>
                <w:rFonts w:ascii="Arial Narrow" w:eastAsia="Arial Narrow" w:hAnsi="Arial Narrow" w:cs="Arial Narrow"/>
                <w:color w:val="000000" w:themeColor="text1"/>
                <w:sz w:val="16"/>
                <w:szCs w:val="16"/>
              </w:rPr>
            </w:pPr>
            <w:r w:rsidRPr="00001499">
              <w:rPr>
                <w:rFonts w:ascii="Arial Narrow" w:eastAsia="Arial Narrow" w:hAnsi="Arial Narrow" w:cs="Arial Narrow"/>
                <w:color w:val="000000" w:themeColor="text1"/>
                <w:sz w:val="20"/>
              </w:rPr>
              <w:t>Overall VE for any vaccine %</w:t>
            </w:r>
            <w:r w:rsidRPr="00001499">
              <w:br/>
            </w:r>
            <w:r w:rsidRPr="00001499">
              <w:rPr>
                <w:rFonts w:ascii="Arial Narrow" w:eastAsia="Arial Narrow" w:hAnsi="Arial Narrow" w:cs="Arial Narrow"/>
                <w:color w:val="000000" w:themeColor="text1"/>
                <w:sz w:val="20"/>
              </w:rPr>
              <w:t>(95% CI)</w:t>
            </w:r>
            <w:r w:rsidRPr="00001499">
              <w:rPr>
                <w:rFonts w:ascii="Arial Narrow" w:eastAsia="Arial Narrow" w:hAnsi="Arial Narrow" w:cs="Arial Narrow"/>
                <w:color w:val="000000" w:themeColor="text1"/>
                <w:sz w:val="20"/>
                <w:vertAlign w:val="superscript"/>
              </w:rPr>
              <w:t>1</w:t>
            </w:r>
          </w:p>
        </w:tc>
        <w:tc>
          <w:tcPr>
            <w:tcW w:w="1260" w:type="dxa"/>
            <w:vMerge w:val="restart"/>
          </w:tcPr>
          <w:p w14:paraId="096C6314" w14:textId="77777777" w:rsidR="009C29A2" w:rsidRPr="00001499" w:rsidRDefault="009C29A2" w:rsidP="003F11E1">
            <w:pPr>
              <w:pStyle w:val="TableTitlecentred"/>
              <w:keepNext/>
              <w:keepLines/>
              <w:widowControl w:val="0"/>
              <w:rPr>
                <w:rFonts w:ascii="Arial Narrow" w:eastAsia="Arial Narrow" w:hAnsi="Arial Narrow" w:cs="Arial Narrow"/>
                <w:color w:val="000000" w:themeColor="text1"/>
                <w:sz w:val="20"/>
                <w:vertAlign w:val="superscript"/>
              </w:rPr>
            </w:pPr>
            <w:r w:rsidRPr="00001499">
              <w:rPr>
                <w:rFonts w:ascii="Arial Narrow" w:eastAsia="Arial Narrow" w:hAnsi="Arial Narrow" w:cs="Arial Narrow"/>
                <w:color w:val="000000" w:themeColor="text1"/>
                <w:sz w:val="20"/>
              </w:rPr>
              <w:t>Dominant circulating strain(s)</w:t>
            </w:r>
            <w:r w:rsidRPr="00001499">
              <w:rPr>
                <w:rFonts w:ascii="Arial Narrow" w:eastAsia="Arial Narrow" w:hAnsi="Arial Narrow" w:cs="Arial Narrow"/>
                <w:color w:val="000000" w:themeColor="text1"/>
                <w:sz w:val="20"/>
                <w:vertAlign w:val="superscript"/>
              </w:rPr>
              <w:t>3</w:t>
            </w:r>
          </w:p>
        </w:tc>
        <w:tc>
          <w:tcPr>
            <w:tcW w:w="2550" w:type="dxa"/>
            <w:gridSpan w:val="2"/>
          </w:tcPr>
          <w:p w14:paraId="1E219A29" w14:textId="77777777" w:rsidR="009C29A2" w:rsidRPr="00001499" w:rsidRDefault="009C29A2" w:rsidP="003F11E1">
            <w:pPr>
              <w:pStyle w:val="TableTitlecentred"/>
              <w:keepNext/>
              <w:keepLines/>
              <w:widowControl w:val="0"/>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For predominant strain(s)</w:t>
            </w:r>
          </w:p>
        </w:tc>
        <w:tc>
          <w:tcPr>
            <w:tcW w:w="1425" w:type="dxa"/>
          </w:tcPr>
          <w:p w14:paraId="0A23CA99" w14:textId="77777777" w:rsidR="009C29A2" w:rsidRPr="00001499" w:rsidRDefault="009C29A2" w:rsidP="003F11E1">
            <w:pPr>
              <w:pStyle w:val="TableTitlecentred"/>
              <w:keepNext/>
              <w:keepLines/>
              <w:widowControl w:val="0"/>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Season severity</w:t>
            </w:r>
          </w:p>
        </w:tc>
      </w:tr>
      <w:tr w:rsidR="009C29A2" w:rsidRPr="00001499" w14:paraId="6DA8F27D" w14:textId="77777777" w:rsidTr="00FC7A97">
        <w:tc>
          <w:tcPr>
            <w:tcW w:w="1185" w:type="dxa"/>
            <w:vMerge/>
            <w:vAlign w:val="center"/>
          </w:tcPr>
          <w:p w14:paraId="5B0AD222" w14:textId="77777777" w:rsidR="009C29A2" w:rsidRPr="00001499" w:rsidRDefault="009C29A2" w:rsidP="003F11E1">
            <w:pPr>
              <w:keepNext/>
              <w:keepLines/>
              <w:widowControl w:val="0"/>
            </w:pPr>
          </w:p>
        </w:tc>
        <w:tc>
          <w:tcPr>
            <w:tcW w:w="1275" w:type="dxa"/>
            <w:vMerge/>
            <w:vAlign w:val="center"/>
          </w:tcPr>
          <w:p w14:paraId="492C5810" w14:textId="77777777" w:rsidR="009C29A2" w:rsidRPr="00001499" w:rsidRDefault="009C29A2" w:rsidP="003F11E1">
            <w:pPr>
              <w:keepNext/>
              <w:keepLines/>
              <w:widowControl w:val="0"/>
            </w:pPr>
          </w:p>
        </w:tc>
        <w:tc>
          <w:tcPr>
            <w:tcW w:w="1185" w:type="dxa"/>
            <w:vMerge/>
            <w:vAlign w:val="center"/>
          </w:tcPr>
          <w:p w14:paraId="453B455D" w14:textId="77777777" w:rsidR="009C29A2" w:rsidRPr="00001499" w:rsidRDefault="009C29A2" w:rsidP="003F11E1">
            <w:pPr>
              <w:keepNext/>
              <w:keepLines/>
              <w:widowControl w:val="0"/>
            </w:pPr>
          </w:p>
        </w:tc>
        <w:tc>
          <w:tcPr>
            <w:tcW w:w="1260" w:type="dxa"/>
            <w:vMerge/>
            <w:vAlign w:val="center"/>
          </w:tcPr>
          <w:p w14:paraId="0DE0DBAD" w14:textId="77777777" w:rsidR="009C29A2" w:rsidRPr="00001499" w:rsidRDefault="009C29A2" w:rsidP="003F11E1">
            <w:pPr>
              <w:keepNext/>
              <w:keepLines/>
              <w:widowControl w:val="0"/>
            </w:pPr>
          </w:p>
        </w:tc>
        <w:tc>
          <w:tcPr>
            <w:tcW w:w="1260" w:type="dxa"/>
          </w:tcPr>
          <w:p w14:paraId="06583BFD" w14:textId="77777777" w:rsidR="009C29A2" w:rsidRPr="00001499" w:rsidRDefault="009C29A2" w:rsidP="003F11E1">
            <w:pPr>
              <w:pStyle w:val="TableTitlecentred"/>
              <w:keepNext/>
              <w:keepLines/>
              <w:widowControl w:val="0"/>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Antigenic drift</w:t>
            </w:r>
          </w:p>
        </w:tc>
        <w:tc>
          <w:tcPr>
            <w:tcW w:w="1290" w:type="dxa"/>
          </w:tcPr>
          <w:p w14:paraId="02021EF9" w14:textId="77777777" w:rsidR="009C29A2" w:rsidRPr="00001499" w:rsidRDefault="009C29A2" w:rsidP="003F11E1">
            <w:pPr>
              <w:pStyle w:val="TableTitlecentred"/>
              <w:keepNext/>
              <w:keepLines/>
              <w:widowControl w:val="0"/>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Egg-adaptation</w:t>
            </w:r>
          </w:p>
        </w:tc>
        <w:tc>
          <w:tcPr>
            <w:tcW w:w="1425" w:type="dxa"/>
          </w:tcPr>
          <w:p w14:paraId="266AE391" w14:textId="77777777" w:rsidR="009C29A2" w:rsidRPr="00001499" w:rsidRDefault="009C29A2" w:rsidP="003F11E1">
            <w:pPr>
              <w:keepNext/>
              <w:keepLines/>
              <w:widowControl w:val="0"/>
              <w:jc w:val="center"/>
              <w:rPr>
                <w:rFonts w:ascii="Arial Narrow" w:eastAsia="Arial Narrow" w:hAnsi="Arial Narrow" w:cs="Arial Narrow"/>
                <w:color w:val="000000" w:themeColor="text1"/>
              </w:rPr>
            </w:pPr>
          </w:p>
        </w:tc>
      </w:tr>
      <w:tr w:rsidR="009C29A2" w:rsidRPr="00001499" w14:paraId="57DDCE32" w14:textId="77777777" w:rsidTr="00FC7A97">
        <w:tc>
          <w:tcPr>
            <w:tcW w:w="1185" w:type="dxa"/>
          </w:tcPr>
          <w:p w14:paraId="056B9AD4" w14:textId="77777777" w:rsidR="009C29A2" w:rsidRPr="00001499" w:rsidRDefault="009C29A2" w:rsidP="003F11E1">
            <w:pPr>
              <w:pStyle w:val="TableTextleftalign"/>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 xml:space="preserve">NH 2017-18 </w:t>
            </w:r>
          </w:p>
        </w:tc>
        <w:tc>
          <w:tcPr>
            <w:tcW w:w="1275" w:type="dxa"/>
          </w:tcPr>
          <w:p w14:paraId="0C1F5C69"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A(H3N2) only</w:t>
            </w:r>
          </w:p>
        </w:tc>
        <w:tc>
          <w:tcPr>
            <w:tcW w:w="1185" w:type="dxa"/>
          </w:tcPr>
          <w:p w14:paraId="2A28CDC3"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vertAlign w:val="superscript"/>
              </w:rPr>
            </w:pPr>
            <w:r w:rsidRPr="00001499">
              <w:rPr>
                <w:rFonts w:ascii="Arial Narrow" w:eastAsia="Arial Narrow" w:hAnsi="Arial Narrow" w:cs="Arial Narrow"/>
                <w:color w:val="000000" w:themeColor="text1"/>
                <w:sz w:val="20"/>
                <w:szCs w:val="20"/>
              </w:rPr>
              <w:t>38 (31, 43)</w:t>
            </w:r>
            <w:r w:rsidRPr="00001499">
              <w:rPr>
                <w:rFonts w:ascii="Arial Narrow" w:eastAsia="Arial Narrow" w:hAnsi="Arial Narrow" w:cs="Arial Narrow"/>
                <w:color w:val="000000" w:themeColor="text1"/>
                <w:sz w:val="20"/>
                <w:szCs w:val="20"/>
                <w:vertAlign w:val="superscript"/>
              </w:rPr>
              <w:t>2</w:t>
            </w:r>
          </w:p>
        </w:tc>
        <w:tc>
          <w:tcPr>
            <w:tcW w:w="1260" w:type="dxa"/>
          </w:tcPr>
          <w:p w14:paraId="7A6A6C5B"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H3N2 (60%)</w:t>
            </w:r>
          </w:p>
          <w:p w14:paraId="5FCBD9F0"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B-Yam (26%)</w:t>
            </w:r>
          </w:p>
        </w:tc>
        <w:tc>
          <w:tcPr>
            <w:tcW w:w="1260" w:type="dxa"/>
          </w:tcPr>
          <w:p w14:paraId="2A74C832"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No</w:t>
            </w:r>
          </w:p>
        </w:tc>
        <w:tc>
          <w:tcPr>
            <w:tcW w:w="1290" w:type="dxa"/>
          </w:tcPr>
          <w:p w14:paraId="5D30F13E"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vertAlign w:val="superscript"/>
              </w:rPr>
            </w:pPr>
            <w:r w:rsidRPr="00001499">
              <w:rPr>
                <w:rFonts w:ascii="Arial Narrow" w:eastAsia="Arial Narrow" w:hAnsi="Arial Narrow" w:cs="Arial Narrow"/>
                <w:color w:val="000000" w:themeColor="text1"/>
                <w:sz w:val="20"/>
                <w:szCs w:val="20"/>
              </w:rPr>
              <w:t>Yes (H3N2)</w:t>
            </w:r>
            <w:r w:rsidRPr="00001499">
              <w:rPr>
                <w:rFonts w:ascii="Arial Narrow" w:eastAsia="Arial Narrow" w:hAnsi="Arial Narrow" w:cs="Arial Narrow"/>
                <w:color w:val="000000" w:themeColor="text1"/>
                <w:sz w:val="20"/>
                <w:szCs w:val="20"/>
                <w:vertAlign w:val="superscript"/>
              </w:rPr>
              <w:t>4</w:t>
            </w:r>
          </w:p>
        </w:tc>
        <w:tc>
          <w:tcPr>
            <w:tcW w:w="1425" w:type="dxa"/>
          </w:tcPr>
          <w:p w14:paraId="39A3B183" w14:textId="77777777" w:rsidR="009C29A2" w:rsidRPr="00001499" w:rsidRDefault="009C29A2" w:rsidP="003F11E1">
            <w:pPr>
              <w:pStyle w:val="TableTextcentred"/>
              <w:keepNext/>
              <w:keepLines/>
              <w:widowControl w:val="0"/>
              <w:rPr>
                <w:rFonts w:eastAsia="Arial Narrow"/>
                <w:color w:val="000000" w:themeColor="text1"/>
                <w:vertAlign w:val="superscript"/>
              </w:rPr>
            </w:pPr>
            <w:r w:rsidRPr="00001499">
              <w:rPr>
                <w:rFonts w:ascii="Arial Narrow" w:eastAsia="Arial Narrow" w:hAnsi="Arial Narrow" w:cs="Arial Narrow"/>
                <w:color w:val="000000" w:themeColor="text1"/>
                <w:sz w:val="20"/>
                <w:szCs w:val="20"/>
              </w:rPr>
              <w:t>High</w:t>
            </w:r>
            <w:r w:rsidRPr="00001499">
              <w:rPr>
                <w:rFonts w:ascii="Arial Narrow" w:eastAsia="Arial Narrow" w:hAnsi="Arial Narrow" w:cs="Arial Narrow"/>
                <w:color w:val="000000" w:themeColor="text1"/>
                <w:sz w:val="20"/>
                <w:szCs w:val="20"/>
                <w:vertAlign w:val="superscript"/>
              </w:rPr>
              <w:t>8</w:t>
            </w:r>
          </w:p>
        </w:tc>
      </w:tr>
      <w:tr w:rsidR="009C29A2" w:rsidRPr="00001499" w14:paraId="3950C649" w14:textId="77777777" w:rsidTr="00FC7A97">
        <w:tc>
          <w:tcPr>
            <w:tcW w:w="1185" w:type="dxa"/>
          </w:tcPr>
          <w:p w14:paraId="733C4BAC" w14:textId="77777777" w:rsidR="009C29A2" w:rsidRPr="00001499" w:rsidRDefault="009C29A2" w:rsidP="003F11E1">
            <w:pPr>
              <w:pStyle w:val="TableTextleftalign"/>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NH 2018-19</w:t>
            </w:r>
          </w:p>
        </w:tc>
        <w:tc>
          <w:tcPr>
            <w:tcW w:w="1275" w:type="dxa"/>
            <w:tcBorders>
              <w:bottom w:val="single" w:sz="6" w:space="0" w:color="auto"/>
            </w:tcBorders>
          </w:tcPr>
          <w:p w14:paraId="6B2FFAD2"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A(H3N2), B/Victoria and B/Yamagata</w:t>
            </w:r>
          </w:p>
        </w:tc>
        <w:tc>
          <w:tcPr>
            <w:tcW w:w="1185" w:type="dxa"/>
          </w:tcPr>
          <w:p w14:paraId="2AB63583" w14:textId="77777777" w:rsidR="009C29A2" w:rsidRPr="00001499" w:rsidRDefault="009C29A2" w:rsidP="003F11E1">
            <w:pPr>
              <w:pStyle w:val="TableTextcentred"/>
              <w:keepNext/>
              <w:keepLines/>
              <w:widowControl w:val="0"/>
              <w:rPr>
                <w:rFonts w:eastAsia="Arial Narrow"/>
                <w:color w:val="000000" w:themeColor="text1"/>
                <w:vertAlign w:val="superscript"/>
              </w:rPr>
            </w:pPr>
            <w:r w:rsidRPr="00001499">
              <w:rPr>
                <w:rFonts w:ascii="Arial Narrow" w:eastAsia="Arial Narrow" w:hAnsi="Arial Narrow" w:cs="Arial Narrow"/>
                <w:color w:val="000000" w:themeColor="text1"/>
                <w:sz w:val="20"/>
                <w:szCs w:val="20"/>
              </w:rPr>
              <w:t>29 (21, 35)</w:t>
            </w:r>
            <w:r w:rsidRPr="00001499">
              <w:rPr>
                <w:rFonts w:ascii="Arial Narrow" w:eastAsia="Arial Narrow" w:hAnsi="Arial Narrow" w:cs="Arial Narrow"/>
                <w:color w:val="000000" w:themeColor="text1"/>
                <w:sz w:val="20"/>
                <w:szCs w:val="20"/>
                <w:vertAlign w:val="superscript"/>
              </w:rPr>
              <w:t>2</w:t>
            </w:r>
          </w:p>
        </w:tc>
        <w:tc>
          <w:tcPr>
            <w:tcW w:w="1260" w:type="dxa"/>
          </w:tcPr>
          <w:p w14:paraId="2B2FB9BC"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H1N1 (52%)</w:t>
            </w:r>
          </w:p>
          <w:p w14:paraId="60F51E49"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H3N2 (42%)</w:t>
            </w:r>
          </w:p>
        </w:tc>
        <w:tc>
          <w:tcPr>
            <w:tcW w:w="1260" w:type="dxa"/>
          </w:tcPr>
          <w:p w14:paraId="3697D12E"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Yes (H3N2)</w:t>
            </w:r>
          </w:p>
        </w:tc>
        <w:tc>
          <w:tcPr>
            <w:tcW w:w="1290" w:type="dxa"/>
          </w:tcPr>
          <w:p w14:paraId="79409272" w14:textId="77777777" w:rsidR="009C29A2" w:rsidRPr="00001499" w:rsidRDefault="009C29A2" w:rsidP="003F11E1">
            <w:pPr>
              <w:pStyle w:val="TableTextcentred"/>
              <w:keepNext/>
              <w:keepLines/>
              <w:widowControl w:val="0"/>
              <w:rPr>
                <w:rFonts w:eastAsia="Arial Narrow"/>
                <w:color w:val="000000" w:themeColor="text1"/>
                <w:vertAlign w:val="superscript"/>
              </w:rPr>
            </w:pPr>
            <w:r w:rsidRPr="00001499">
              <w:rPr>
                <w:rFonts w:ascii="Arial Narrow" w:eastAsia="Arial Narrow" w:hAnsi="Arial Narrow" w:cs="Arial Narrow"/>
                <w:color w:val="000000" w:themeColor="text1"/>
                <w:sz w:val="20"/>
                <w:szCs w:val="20"/>
              </w:rPr>
              <w:t>Yes (H3N2)</w:t>
            </w:r>
            <w:r w:rsidRPr="00001499">
              <w:rPr>
                <w:rFonts w:ascii="Arial Narrow" w:eastAsia="Arial Narrow" w:hAnsi="Arial Narrow" w:cs="Arial Narrow"/>
                <w:color w:val="000000" w:themeColor="text1"/>
                <w:sz w:val="20"/>
                <w:szCs w:val="20"/>
                <w:vertAlign w:val="superscript"/>
              </w:rPr>
              <w:t>5</w:t>
            </w:r>
          </w:p>
        </w:tc>
        <w:tc>
          <w:tcPr>
            <w:tcW w:w="1425" w:type="dxa"/>
          </w:tcPr>
          <w:p w14:paraId="3D3F1D38" w14:textId="77777777" w:rsidR="009C29A2" w:rsidRPr="00001499" w:rsidRDefault="009C29A2" w:rsidP="003F11E1">
            <w:pPr>
              <w:pStyle w:val="TableTextcentred"/>
              <w:keepNext/>
              <w:keepLines/>
              <w:widowControl w:val="0"/>
              <w:rPr>
                <w:rFonts w:eastAsia="Arial Narrow"/>
                <w:color w:val="000000" w:themeColor="text1"/>
                <w:vertAlign w:val="superscript"/>
              </w:rPr>
            </w:pPr>
            <w:r w:rsidRPr="00001499">
              <w:rPr>
                <w:rFonts w:ascii="Arial Narrow" w:eastAsia="Arial Narrow" w:hAnsi="Arial Narrow" w:cs="Arial Narrow"/>
                <w:color w:val="000000" w:themeColor="text1"/>
                <w:sz w:val="20"/>
                <w:szCs w:val="20"/>
              </w:rPr>
              <w:t>Moderate</w:t>
            </w:r>
            <w:r w:rsidRPr="00001499">
              <w:rPr>
                <w:rFonts w:ascii="Arial Narrow" w:eastAsia="Arial Narrow" w:hAnsi="Arial Narrow" w:cs="Arial Narrow"/>
                <w:color w:val="000000" w:themeColor="text1"/>
                <w:sz w:val="20"/>
                <w:szCs w:val="20"/>
                <w:vertAlign w:val="superscript"/>
              </w:rPr>
              <w:t>9</w:t>
            </w:r>
          </w:p>
        </w:tc>
      </w:tr>
      <w:tr w:rsidR="009C29A2" w:rsidRPr="00001499" w14:paraId="7618274A" w14:textId="77777777" w:rsidTr="00FC7A97">
        <w:tc>
          <w:tcPr>
            <w:tcW w:w="1185" w:type="dxa"/>
          </w:tcPr>
          <w:p w14:paraId="6AD3A94C" w14:textId="77777777" w:rsidR="009C29A2" w:rsidRPr="00001499" w:rsidRDefault="009C29A2" w:rsidP="003F11E1">
            <w:pPr>
              <w:pStyle w:val="TableTextleftalign"/>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NH 2019-20</w:t>
            </w:r>
          </w:p>
        </w:tc>
        <w:tc>
          <w:tcPr>
            <w:tcW w:w="1275" w:type="dxa"/>
            <w:tcBorders>
              <w:bottom w:val="single" w:sz="6" w:space="0" w:color="000000" w:themeColor="text1"/>
            </w:tcBorders>
          </w:tcPr>
          <w:p w14:paraId="5512AD16"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A(H1N1), A(H3N2), B/Victoria and B/Yamagata</w:t>
            </w:r>
          </w:p>
        </w:tc>
        <w:tc>
          <w:tcPr>
            <w:tcW w:w="1185" w:type="dxa"/>
          </w:tcPr>
          <w:p w14:paraId="48871529" w14:textId="2C184E04" w:rsidR="009C29A2" w:rsidRPr="00001499" w:rsidRDefault="009C29A2" w:rsidP="003F11E1">
            <w:pPr>
              <w:pStyle w:val="TableTextcentred"/>
              <w:keepNext/>
              <w:keepLines/>
              <w:widowControl w:val="0"/>
              <w:rPr>
                <w:rFonts w:eastAsia="Arial Narrow"/>
                <w:color w:val="000000" w:themeColor="text1"/>
                <w:vertAlign w:val="superscript"/>
              </w:rPr>
            </w:pPr>
            <w:r w:rsidRPr="00001499">
              <w:rPr>
                <w:rFonts w:ascii="Arial Narrow" w:eastAsia="Arial Narrow" w:hAnsi="Arial Narrow" w:cs="Arial Narrow"/>
                <w:color w:val="000000" w:themeColor="text1"/>
                <w:sz w:val="20"/>
                <w:szCs w:val="20"/>
              </w:rPr>
              <w:t>39 (32, 45)</w:t>
            </w:r>
            <w:r w:rsidRPr="00001499">
              <w:rPr>
                <w:rFonts w:ascii="Arial Narrow" w:eastAsia="Arial Narrow" w:hAnsi="Arial Narrow" w:cs="Arial Narrow"/>
                <w:color w:val="000000" w:themeColor="text1"/>
                <w:sz w:val="20"/>
                <w:szCs w:val="20"/>
                <w:vertAlign w:val="superscript"/>
              </w:rPr>
              <w:t>2</w:t>
            </w:r>
          </w:p>
        </w:tc>
        <w:tc>
          <w:tcPr>
            <w:tcW w:w="1260" w:type="dxa"/>
          </w:tcPr>
          <w:p w14:paraId="01439C84"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H1N1 (54%)</w:t>
            </w:r>
          </w:p>
          <w:p w14:paraId="19D82688" w14:textId="77777777" w:rsidR="009C29A2" w:rsidRPr="00001499" w:rsidRDefault="009C29A2" w:rsidP="003F11E1">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B-Vic (40%)</w:t>
            </w:r>
          </w:p>
        </w:tc>
        <w:tc>
          <w:tcPr>
            <w:tcW w:w="1260" w:type="dxa"/>
          </w:tcPr>
          <w:p w14:paraId="144AFA30" w14:textId="77777777" w:rsidR="009C29A2" w:rsidRPr="00001499" w:rsidRDefault="009C29A2" w:rsidP="003F11E1">
            <w:pPr>
              <w:pStyle w:val="TableTextcentred"/>
              <w:keepNext/>
              <w:keepLines/>
              <w:widowControl w:val="0"/>
              <w:rPr>
                <w:rFonts w:eastAsia="Arial Narrow"/>
                <w:color w:val="000000" w:themeColor="text1"/>
                <w:vertAlign w:val="superscript"/>
              </w:rPr>
            </w:pPr>
            <w:r w:rsidRPr="00001499">
              <w:rPr>
                <w:rFonts w:ascii="Arial Narrow" w:eastAsia="Arial Narrow" w:hAnsi="Arial Narrow" w:cs="Arial Narrow"/>
                <w:color w:val="000000" w:themeColor="text1"/>
                <w:sz w:val="20"/>
                <w:szCs w:val="20"/>
              </w:rPr>
              <w:t>No</w:t>
            </w:r>
            <w:r w:rsidRPr="00001499">
              <w:rPr>
                <w:rFonts w:ascii="Arial Narrow" w:eastAsia="Arial Narrow" w:hAnsi="Arial Narrow" w:cs="Arial Narrow"/>
                <w:color w:val="000000" w:themeColor="text1"/>
                <w:sz w:val="20"/>
                <w:szCs w:val="20"/>
                <w:vertAlign w:val="superscript"/>
              </w:rPr>
              <w:t>6,7</w:t>
            </w:r>
          </w:p>
        </w:tc>
        <w:tc>
          <w:tcPr>
            <w:tcW w:w="1290" w:type="dxa"/>
          </w:tcPr>
          <w:p w14:paraId="1B6CCD0F" w14:textId="77777777" w:rsidR="009C29A2" w:rsidRPr="00001499" w:rsidRDefault="009C29A2" w:rsidP="003F11E1">
            <w:pPr>
              <w:pStyle w:val="TableTextcentred"/>
              <w:keepNext/>
              <w:keepLines/>
              <w:widowControl w:val="0"/>
              <w:rPr>
                <w:rFonts w:eastAsia="Arial Narrow"/>
                <w:color w:val="000000" w:themeColor="text1"/>
                <w:vertAlign w:val="superscript"/>
              </w:rPr>
            </w:pPr>
            <w:r w:rsidRPr="00001499">
              <w:rPr>
                <w:rFonts w:ascii="Arial Narrow" w:eastAsia="Arial Narrow" w:hAnsi="Arial Narrow" w:cs="Arial Narrow"/>
                <w:color w:val="000000" w:themeColor="text1"/>
                <w:sz w:val="20"/>
                <w:szCs w:val="20"/>
              </w:rPr>
              <w:t>Yes (B-Vic)</w:t>
            </w:r>
            <w:r w:rsidRPr="00001499">
              <w:rPr>
                <w:rFonts w:ascii="Arial Narrow" w:eastAsia="Arial Narrow" w:hAnsi="Arial Narrow" w:cs="Arial Narrow"/>
                <w:color w:val="000000" w:themeColor="text1"/>
                <w:sz w:val="20"/>
                <w:szCs w:val="20"/>
                <w:vertAlign w:val="superscript"/>
              </w:rPr>
              <w:t>6,7</w:t>
            </w:r>
          </w:p>
        </w:tc>
        <w:tc>
          <w:tcPr>
            <w:tcW w:w="1425" w:type="dxa"/>
          </w:tcPr>
          <w:p w14:paraId="38036A77" w14:textId="77777777" w:rsidR="009C29A2" w:rsidRPr="00001499" w:rsidRDefault="009C29A2" w:rsidP="003F11E1">
            <w:pPr>
              <w:pStyle w:val="TableTextcentred"/>
              <w:keepNext/>
              <w:keepLines/>
              <w:widowControl w:val="0"/>
              <w:rPr>
                <w:rFonts w:eastAsia="Arial Narrow"/>
                <w:color w:val="000000" w:themeColor="text1"/>
                <w:vertAlign w:val="superscript"/>
              </w:rPr>
            </w:pPr>
            <w:r w:rsidRPr="00001499">
              <w:rPr>
                <w:rFonts w:ascii="Arial Narrow" w:eastAsia="Arial Narrow" w:hAnsi="Arial Narrow" w:cs="Arial Narrow"/>
                <w:color w:val="000000" w:themeColor="text1"/>
                <w:sz w:val="20"/>
                <w:szCs w:val="20"/>
              </w:rPr>
              <w:t>Moderate</w:t>
            </w:r>
            <w:r w:rsidRPr="00001499">
              <w:rPr>
                <w:rFonts w:ascii="Arial Narrow" w:eastAsia="Arial Narrow" w:hAnsi="Arial Narrow" w:cs="Arial Narrow"/>
                <w:color w:val="000000" w:themeColor="text1"/>
                <w:sz w:val="20"/>
                <w:szCs w:val="20"/>
                <w:vertAlign w:val="superscript"/>
              </w:rPr>
              <w:t>10</w:t>
            </w:r>
          </w:p>
        </w:tc>
      </w:tr>
    </w:tbl>
    <w:p w14:paraId="17A83221" w14:textId="77777777" w:rsidR="009C29A2" w:rsidRPr="00001499" w:rsidRDefault="009C29A2" w:rsidP="009C29A2">
      <w:pPr>
        <w:pStyle w:val="TableFigureFooter"/>
        <w:rPr>
          <w:rFonts w:ascii="Calibri" w:eastAsia="Calibri" w:hAnsi="Calibri" w:cs="Calibri"/>
          <w:color w:val="000000" w:themeColor="text1"/>
          <w:sz w:val="16"/>
          <w:szCs w:val="16"/>
        </w:rPr>
      </w:pPr>
      <w:r w:rsidRPr="00001499">
        <w:rPr>
          <w:rFonts w:eastAsia="Arial Narrow" w:cs="Arial Narrow"/>
          <w:color w:val="000000" w:themeColor="text1"/>
          <w:szCs w:val="18"/>
        </w:rPr>
        <w:t>Source: Table 2.5.1, p101 of the submission.</w:t>
      </w:r>
      <w:r w:rsidRPr="00001499">
        <w:rPr>
          <w:rFonts w:ascii="Calibri" w:eastAsia="Calibri" w:hAnsi="Calibri" w:cs="Calibri"/>
          <w:color w:val="000000" w:themeColor="text1"/>
          <w:sz w:val="16"/>
          <w:szCs w:val="16"/>
        </w:rPr>
        <w:t xml:space="preserve"> </w:t>
      </w:r>
    </w:p>
    <w:p w14:paraId="2A97D35D" w14:textId="77777777" w:rsidR="009C29A2" w:rsidRPr="00001499" w:rsidRDefault="009C29A2" w:rsidP="009C29A2">
      <w:pPr>
        <w:pStyle w:val="TableFigureFooter"/>
        <w:rPr>
          <w:rFonts w:eastAsia="Arial Narrow"/>
        </w:rPr>
      </w:pPr>
      <w:r w:rsidRPr="00001499">
        <w:rPr>
          <w:rFonts w:eastAsia="Arial Narrow"/>
        </w:rPr>
        <w:t xml:space="preserve">NH = Northern Hemisphere, VE = vaccine effectiveness, </w:t>
      </w:r>
      <w:r w:rsidRPr="00001499">
        <w:t>QIVc = cell-based quadrivalent subunit influenza virus vaccine</w:t>
      </w:r>
    </w:p>
    <w:p w14:paraId="1D94532E" w14:textId="77777777" w:rsidR="009C29A2" w:rsidRPr="00001499" w:rsidRDefault="009C29A2" w:rsidP="008C65E6">
      <w:pPr>
        <w:pStyle w:val="TableFigureFooter"/>
        <w:numPr>
          <w:ilvl w:val="0"/>
          <w:numId w:val="14"/>
        </w:numPr>
        <w:spacing w:after="0"/>
        <w:ind w:left="284" w:hanging="284"/>
        <w:rPr>
          <w:rFonts w:eastAsia="Arial Narrow" w:cs="Arial Narrow"/>
          <w:color w:val="000000" w:themeColor="text1"/>
          <w:szCs w:val="18"/>
        </w:rPr>
      </w:pPr>
      <w:r w:rsidRPr="00001499">
        <w:rPr>
          <w:rFonts w:eastAsia="Arial Narrow" w:cs="Arial Narrow"/>
          <w:color w:val="000000" w:themeColor="text1"/>
          <w:szCs w:val="18"/>
        </w:rPr>
        <w:t>Vaccine effectiveness for any vaccine vs. any influenza strain.</w:t>
      </w:r>
    </w:p>
    <w:p w14:paraId="5E47CE9F" w14:textId="2F1019C2" w:rsidR="009C29A2" w:rsidRPr="00001499" w:rsidRDefault="009C29A2" w:rsidP="008C65E6">
      <w:pPr>
        <w:pStyle w:val="TableFootnoteindent"/>
        <w:numPr>
          <w:ilvl w:val="0"/>
          <w:numId w:val="14"/>
        </w:numPr>
        <w:ind w:left="284" w:hanging="284"/>
        <w:jc w:val="both"/>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 xml:space="preserve">United States Centers for Disease Control and Prevention. (2020, July 01).  CDC Seasonal Flu Vaccine Effectiveness Studies.  Retrieved November 03, 2020, from </w:t>
      </w:r>
      <w:hyperlink r:id="rId9" w:history="1">
        <w:r w:rsidRPr="00001499">
          <w:rPr>
            <w:rFonts w:ascii="Arial Narrow" w:eastAsia="Arial Narrow" w:hAnsi="Arial Narrow" w:cs="Arial Narrow"/>
            <w:sz w:val="18"/>
            <w:szCs w:val="18"/>
          </w:rPr>
          <w:t>https://www.cdc.gov/flu/vaccines-work/effectiveness-studies.htm</w:t>
        </w:r>
      </w:hyperlink>
    </w:p>
    <w:p w14:paraId="03CE8B79" w14:textId="17B8F8B4" w:rsidR="009C29A2" w:rsidRPr="00001499" w:rsidRDefault="009C29A2" w:rsidP="008C65E6">
      <w:pPr>
        <w:pStyle w:val="TableFootnoteindent"/>
        <w:numPr>
          <w:ilvl w:val="0"/>
          <w:numId w:val="14"/>
        </w:numPr>
        <w:ind w:left="284" w:hanging="284"/>
        <w:jc w:val="both"/>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 xml:space="preserve">United States Centers for Disease Control and Prevention. (2018, July 06).  FluView Interactive. Retrieved January 27, 2021, from </w:t>
      </w:r>
      <w:hyperlink r:id="rId10" w:history="1">
        <w:r w:rsidRPr="00001499">
          <w:rPr>
            <w:rFonts w:ascii="Arial Narrow" w:eastAsia="Arial Narrow" w:hAnsi="Arial Narrow" w:cs="Arial Narrow"/>
            <w:sz w:val="18"/>
            <w:szCs w:val="18"/>
          </w:rPr>
          <w:t>https://www.cdc.gov/flu/weekly/fluviewinteractive.htm</w:t>
        </w:r>
      </w:hyperlink>
    </w:p>
    <w:p w14:paraId="25C94F0A" w14:textId="2E29CC79" w:rsidR="009C29A2" w:rsidRPr="00001499" w:rsidRDefault="009C29A2" w:rsidP="008C65E6">
      <w:pPr>
        <w:pStyle w:val="TableFootnoteindent"/>
        <w:numPr>
          <w:ilvl w:val="0"/>
          <w:numId w:val="14"/>
        </w:numPr>
        <w:ind w:left="284" w:hanging="284"/>
        <w:jc w:val="both"/>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 xml:space="preserve">WHO changes 2 strains for 2018-19 flu vaccine. CIDRAP. (2021). Retrieved 27 January 2021, from </w:t>
      </w:r>
      <w:hyperlink r:id="rId11" w:history="1">
        <w:r w:rsidRPr="00001499">
          <w:rPr>
            <w:rFonts w:ascii="Arial Narrow" w:eastAsia="Arial Narrow" w:hAnsi="Arial Narrow" w:cs="Arial Narrow"/>
            <w:sz w:val="18"/>
            <w:szCs w:val="18"/>
          </w:rPr>
          <w:t>https://www.cidrap.umn.edu/news-perspective/2018/02/who-changes-2-strains-2018-19-flu-vaccine</w:t>
        </w:r>
      </w:hyperlink>
    </w:p>
    <w:p w14:paraId="36EA014F" w14:textId="77777777" w:rsidR="009C29A2" w:rsidRPr="00001499" w:rsidRDefault="009C29A2" w:rsidP="008C65E6">
      <w:pPr>
        <w:pStyle w:val="TableFootnoteindent"/>
        <w:numPr>
          <w:ilvl w:val="0"/>
          <w:numId w:val="14"/>
        </w:numPr>
        <w:ind w:left="284" w:hanging="284"/>
        <w:jc w:val="both"/>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Xu et al. (2019)</w:t>
      </w:r>
    </w:p>
    <w:p w14:paraId="4A4102E6" w14:textId="77777777" w:rsidR="009C29A2" w:rsidRPr="00001499" w:rsidRDefault="009C29A2" w:rsidP="008C65E6">
      <w:pPr>
        <w:pStyle w:val="TableFootnoteindent"/>
        <w:numPr>
          <w:ilvl w:val="0"/>
          <w:numId w:val="14"/>
        </w:numPr>
        <w:ind w:left="284" w:hanging="284"/>
        <w:jc w:val="both"/>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 xml:space="preserve">Dawood et al. (2020) </w:t>
      </w:r>
    </w:p>
    <w:p w14:paraId="3B190B2B" w14:textId="14960D32" w:rsidR="009C29A2" w:rsidRPr="00001499" w:rsidRDefault="009C29A2" w:rsidP="008C65E6">
      <w:pPr>
        <w:pStyle w:val="TableFootnoteindent"/>
        <w:numPr>
          <w:ilvl w:val="0"/>
          <w:numId w:val="14"/>
        </w:numPr>
        <w:ind w:left="284" w:hanging="284"/>
        <w:jc w:val="both"/>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 xml:space="preserve">World Health Organization. (2020). Recommended composition of influenza virus vaccines for use in the 2020- 2021 northern hemisphere influenza season. Who.int. Retrieved 27 January 2021, from </w:t>
      </w:r>
      <w:hyperlink r:id="rId12" w:history="1">
        <w:r w:rsidRPr="00001499">
          <w:rPr>
            <w:rFonts w:ascii="Arial Narrow" w:eastAsia="Arial Narrow" w:hAnsi="Arial Narrow" w:cs="Arial Narrow"/>
            <w:sz w:val="18"/>
            <w:szCs w:val="18"/>
          </w:rPr>
          <w:t>https://www.who.int/influenza/vaccines/virus/recommendations/202002_recommendation.pdf?ua=1</w:t>
        </w:r>
      </w:hyperlink>
    </w:p>
    <w:p w14:paraId="4ACE53C0" w14:textId="5B850114" w:rsidR="009C29A2" w:rsidRPr="00001499" w:rsidRDefault="009C29A2" w:rsidP="008C65E6">
      <w:pPr>
        <w:pStyle w:val="TableFootnoteindent"/>
        <w:numPr>
          <w:ilvl w:val="0"/>
          <w:numId w:val="14"/>
        </w:numPr>
        <w:ind w:left="284" w:hanging="284"/>
        <w:jc w:val="both"/>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 xml:space="preserve">How CDC Classifies Flu Severity | CDC. Cdc.gov. (2021). Retrieved 27 January 2021, from </w:t>
      </w:r>
      <w:hyperlink r:id="rId13" w:history="1">
        <w:r w:rsidRPr="00001499">
          <w:rPr>
            <w:rFonts w:ascii="Arial Narrow" w:eastAsia="Arial Narrow" w:hAnsi="Arial Narrow" w:cs="Arial Narrow"/>
            <w:sz w:val="18"/>
            <w:szCs w:val="18"/>
          </w:rPr>
          <w:t>https://www.cdc.gov/flu/about/classifies-flu-severity.htm</w:t>
        </w:r>
      </w:hyperlink>
    </w:p>
    <w:p w14:paraId="686FD280" w14:textId="18875085" w:rsidR="009C29A2" w:rsidRPr="00001499" w:rsidRDefault="009C29A2" w:rsidP="008C65E6">
      <w:pPr>
        <w:pStyle w:val="TableFootnoteindent"/>
        <w:numPr>
          <w:ilvl w:val="0"/>
          <w:numId w:val="14"/>
        </w:numPr>
        <w:ind w:left="284" w:hanging="284"/>
        <w:jc w:val="both"/>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 xml:space="preserve">Estimated Influenza Illnesses, Medical visits, Hospitalizations, and Deaths in the United States — 2018–2019 influenza season | CDC. Cdc.gov. (2021). Retrieved 27 January 2021, from </w:t>
      </w:r>
      <w:hyperlink r:id="rId14" w:history="1">
        <w:r w:rsidRPr="00001499">
          <w:rPr>
            <w:rFonts w:ascii="Arial Narrow" w:eastAsia="Arial Narrow" w:hAnsi="Arial Narrow" w:cs="Arial Narrow"/>
            <w:sz w:val="18"/>
            <w:szCs w:val="18"/>
          </w:rPr>
          <w:t>https://www.cdc.gov/flu/about/burden/2018-2019.html</w:t>
        </w:r>
      </w:hyperlink>
      <w:r w:rsidRPr="00001499">
        <w:rPr>
          <w:rFonts w:ascii="Arial Narrow" w:eastAsia="Arial Narrow" w:hAnsi="Arial Narrow" w:cs="Arial Narrow"/>
          <w:color w:val="000000" w:themeColor="text1"/>
          <w:sz w:val="18"/>
          <w:szCs w:val="18"/>
        </w:rPr>
        <w:t xml:space="preserve"> </w:t>
      </w:r>
    </w:p>
    <w:p w14:paraId="727D6B72" w14:textId="1A28BDDC" w:rsidR="00F74D34" w:rsidRPr="00001499" w:rsidRDefault="009C29A2" w:rsidP="008C65E6">
      <w:pPr>
        <w:pStyle w:val="TableFootnoteindent"/>
        <w:numPr>
          <w:ilvl w:val="0"/>
          <w:numId w:val="14"/>
        </w:numPr>
        <w:ind w:left="284" w:hanging="284"/>
        <w:jc w:val="both"/>
        <w:rPr>
          <w:rFonts w:ascii="Arial Narrow" w:eastAsia="Arial Narrow" w:hAnsi="Arial Narrow" w:cs="Arial Narrow"/>
          <w:sz w:val="18"/>
          <w:szCs w:val="18"/>
        </w:rPr>
      </w:pPr>
      <w:r w:rsidRPr="00001499">
        <w:rPr>
          <w:rFonts w:ascii="Arial Narrow" w:eastAsia="Arial Narrow" w:hAnsi="Arial Narrow" w:cs="Arial Narrow"/>
          <w:color w:val="000000" w:themeColor="text1"/>
          <w:sz w:val="18"/>
          <w:szCs w:val="18"/>
        </w:rPr>
        <w:t xml:space="preserve">Estimated Influenza Illnesses, Medical visits, Hospitalizations, and Deaths in the United States — 2018–2019 influenza season | CDC. Cdc.gov. (2021). Retrieved 27 January 2021, from </w:t>
      </w:r>
      <w:hyperlink r:id="rId15" w:history="1">
        <w:r w:rsidRPr="00001499">
          <w:rPr>
            <w:rFonts w:ascii="Arial Narrow" w:eastAsia="Arial Narrow" w:hAnsi="Arial Narrow" w:cs="Arial Narrow"/>
            <w:sz w:val="18"/>
            <w:szCs w:val="18"/>
          </w:rPr>
          <w:t>https://www.cdc.gov/flu/about/burden/2018-2019.html</w:t>
        </w:r>
      </w:hyperlink>
      <w:r w:rsidRPr="00001499">
        <w:rPr>
          <w:rFonts w:ascii="Arial Narrow" w:eastAsia="Arial Narrow" w:hAnsi="Arial Narrow" w:cs="Arial Narrow"/>
          <w:sz w:val="18"/>
          <w:szCs w:val="18"/>
        </w:rPr>
        <w:t xml:space="preserve"> </w:t>
      </w:r>
    </w:p>
    <w:p w14:paraId="7699B90B" w14:textId="6598A69B" w:rsidR="009C29A2" w:rsidRPr="00001499" w:rsidRDefault="009C29A2" w:rsidP="00AA46C6">
      <w:pPr>
        <w:pStyle w:val="3-BodyText"/>
        <w:spacing w:before="120"/>
        <w:ind w:left="709"/>
      </w:pPr>
      <w:r w:rsidRPr="00001499">
        <w:rPr>
          <w:rFonts w:eastAsia="Calibri"/>
        </w:rPr>
        <w:t>Because</w:t>
      </w:r>
      <w:r w:rsidR="00F31E2A">
        <w:rPr>
          <w:rFonts w:eastAsia="Calibri"/>
        </w:rPr>
        <w:t xml:space="preserve"> the</w:t>
      </w:r>
      <w:r w:rsidRPr="00001499">
        <w:rPr>
          <w:rFonts w:eastAsia="Calibri"/>
        </w:rPr>
        <w:t xml:space="preserve"> outcomes of the 6 pivotal retrospective cohort studies were clinical</w:t>
      </w:r>
      <w:r w:rsidR="00F31E2A">
        <w:rPr>
          <w:rFonts w:eastAsia="Calibri"/>
        </w:rPr>
        <w:t xml:space="preserve"> and</w:t>
      </w:r>
      <w:r w:rsidRPr="00001499">
        <w:rPr>
          <w:rFonts w:eastAsia="Calibri"/>
        </w:rPr>
        <w:t xml:space="preserve"> not laboratory confirmed, strain specific VE could not be calculated and only overall VE estimates were available. Therefore, the alignment, or otherwise, of the predominant circulating strain(s) and the cell-derived composition of QIVc in any given season </w:t>
      </w:r>
      <w:r w:rsidR="00F31E2A">
        <w:rPr>
          <w:rFonts w:eastAsia="Calibri"/>
        </w:rPr>
        <w:t>requires</w:t>
      </w:r>
      <w:r w:rsidR="00F31E2A" w:rsidRPr="00001499">
        <w:rPr>
          <w:rFonts w:eastAsia="Calibri"/>
        </w:rPr>
        <w:t xml:space="preserve"> </w:t>
      </w:r>
      <w:r w:rsidRPr="00001499">
        <w:rPr>
          <w:rFonts w:eastAsia="Calibri"/>
        </w:rPr>
        <w:t xml:space="preserve">consideration when interpreting overall relative effectiveness. Limiting the assessment of rVE to 2019-2020, when all four strains in the QIVc vaccine </w:t>
      </w:r>
      <w:r w:rsidRPr="00001499">
        <w:rPr>
          <w:rFonts w:eastAsia="Calibri"/>
        </w:rPr>
        <w:lastRenderedPageBreak/>
        <w:t xml:space="preserve">were cell-derived would mean excluding four of six studies, and excluding 2017-2018, where there was a good match between the cell-derived vaccine strain and predominant circulating strain. Any impact of egg-derived components in the QIVc vaccine in 2017-18 and 2018-19 on the rVE estimate, would depend on the predominance and extent of egg adaptation in the egg-derived strains in those seasons. </w:t>
      </w:r>
    </w:p>
    <w:p w14:paraId="025CE4CB" w14:textId="77777777" w:rsidR="009C29A2" w:rsidRPr="00001499" w:rsidRDefault="009C29A2" w:rsidP="009C29A2">
      <w:pPr>
        <w:pStyle w:val="4-SubsectionHeading"/>
      </w:pPr>
      <w:bookmarkStart w:id="37" w:name="_Toc22897641"/>
      <w:bookmarkStart w:id="38" w:name="_Toc22898853"/>
      <w:bookmarkStart w:id="39" w:name="_Toc93410954"/>
      <w:r w:rsidRPr="00001499">
        <w:t>Comparative effectiveness</w:t>
      </w:r>
      <w:bookmarkEnd w:id="37"/>
      <w:bookmarkEnd w:id="38"/>
      <w:bookmarkEnd w:id="39"/>
    </w:p>
    <w:p w14:paraId="40C1F4B8" w14:textId="25B324C7" w:rsidR="009C29A2" w:rsidRPr="00001499" w:rsidRDefault="009C29A2" w:rsidP="00AA46C6">
      <w:pPr>
        <w:pStyle w:val="3-BodyText"/>
        <w:ind w:left="851"/>
      </w:pPr>
      <w:r w:rsidRPr="00001499">
        <w:rPr>
          <w:rFonts w:eastAsia="Calibri"/>
        </w:rPr>
        <w:t xml:space="preserve">The rVE estimates presented in the submission varied with each season, and each clinical outcome, but consistently favoured QIVc, with confidence intervals </w:t>
      </w:r>
      <w:r w:rsidR="00192B2D">
        <w:rPr>
          <w:rFonts w:eastAsia="Calibri"/>
        </w:rPr>
        <w:t xml:space="preserve">(CIs) </w:t>
      </w:r>
      <w:r w:rsidRPr="00001499">
        <w:rPr>
          <w:rFonts w:eastAsia="Calibri"/>
        </w:rPr>
        <w:t xml:space="preserve">that did not cross zero. The supporting test-negative design studies had rVE point estimates that also favoured QIVc however, there were large confidence intervals around the estimates, which may be due to small numbers in the test-negative design studies; for example, 8.5% (95% CI -75.9 to 52.3). </w:t>
      </w:r>
      <w:r w:rsidRPr="00001499">
        <w:rPr>
          <w:rFonts w:eastAsia="Calibri"/>
          <w:iCs/>
        </w:rPr>
        <w:t>The ESC noted that as the studies used very large datasets, some of the statistically significant results arise from relatively small differences between interventions.</w:t>
      </w:r>
    </w:p>
    <w:p w14:paraId="6BD620CB" w14:textId="6496ABD3" w:rsidR="009C29A2" w:rsidRPr="00001499" w:rsidRDefault="009C29A2" w:rsidP="009C29A2">
      <w:pPr>
        <w:pStyle w:val="TableHeading0"/>
      </w:pPr>
      <w:bookmarkStart w:id="40" w:name="_Ref96340358"/>
      <w:r w:rsidRPr="00001499">
        <w:t xml:space="preserve">Table </w:t>
      </w:r>
      <w:fldSimple w:instr=" SEQ Table \* ARABIC " w:fldLock="1">
        <w:r w:rsidR="005C1FE9">
          <w:rPr>
            <w:noProof/>
          </w:rPr>
          <w:t>5</w:t>
        </w:r>
      </w:fldSimple>
      <w:bookmarkEnd w:id="40"/>
      <w:r w:rsidRPr="00001499">
        <w:t>:</w:t>
      </w:r>
      <w:r w:rsidRPr="00001499">
        <w:rPr>
          <w:rStyle w:val="CommentReference"/>
          <w:b/>
        </w:rPr>
        <w:t xml:space="preserve"> </w:t>
      </w:r>
      <w:r w:rsidRPr="00001499">
        <w:t>Estimated relative vaccine effectiveness (rVE) against any influenza strain in the retrospective cohort studies</w:t>
      </w:r>
    </w:p>
    <w:tbl>
      <w:tblPr>
        <w:tblStyle w:val="TableGrid"/>
        <w:tblW w:w="5000" w:type="pct"/>
        <w:tblLayout w:type="fixed"/>
        <w:tblLook w:val="04A0" w:firstRow="1" w:lastRow="0" w:firstColumn="1" w:lastColumn="0" w:noHBand="0" w:noVBand="1"/>
      </w:tblPr>
      <w:tblGrid>
        <w:gridCol w:w="1237"/>
        <w:gridCol w:w="1060"/>
        <w:gridCol w:w="690"/>
        <w:gridCol w:w="1521"/>
        <w:gridCol w:w="690"/>
        <w:gridCol w:w="1656"/>
        <w:gridCol w:w="690"/>
        <w:gridCol w:w="1467"/>
      </w:tblGrid>
      <w:tr w:rsidR="009C29A2" w:rsidRPr="00001499" w14:paraId="649AFA08" w14:textId="77777777" w:rsidTr="00FC7A97">
        <w:trPr>
          <w:trHeight w:val="113"/>
        </w:trPr>
        <w:tc>
          <w:tcPr>
            <w:tcW w:w="686" w:type="pct"/>
            <w:vMerge w:val="restart"/>
            <w:tcBorders>
              <w:top w:val="single" w:sz="6" w:space="0" w:color="auto"/>
              <w:left w:val="single" w:sz="6" w:space="0" w:color="auto"/>
              <w:right w:val="single" w:sz="6" w:space="0" w:color="auto"/>
            </w:tcBorders>
            <w:vAlign w:val="center"/>
          </w:tcPr>
          <w:p w14:paraId="10B4F672"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Study</w:t>
            </w:r>
          </w:p>
        </w:tc>
        <w:tc>
          <w:tcPr>
            <w:tcW w:w="588" w:type="pct"/>
            <w:vMerge w:val="restart"/>
            <w:tcBorders>
              <w:top w:val="single" w:sz="6" w:space="0" w:color="auto"/>
              <w:left w:val="single" w:sz="6" w:space="0" w:color="auto"/>
              <w:right w:val="single" w:sz="6" w:space="0" w:color="auto"/>
            </w:tcBorders>
            <w:vAlign w:val="center"/>
          </w:tcPr>
          <w:p w14:paraId="095F4012"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Primary outcome</w:t>
            </w:r>
          </w:p>
        </w:tc>
        <w:tc>
          <w:tcPr>
            <w:tcW w:w="383" w:type="pct"/>
            <w:vMerge w:val="restart"/>
            <w:tcBorders>
              <w:top w:val="single" w:sz="6" w:space="0" w:color="auto"/>
              <w:left w:val="single" w:sz="6" w:space="0" w:color="auto"/>
              <w:right w:val="single" w:sz="6" w:space="0" w:color="auto"/>
            </w:tcBorders>
            <w:vAlign w:val="center"/>
          </w:tcPr>
          <w:p w14:paraId="26299F0C"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Age</w:t>
            </w:r>
          </w:p>
          <w:p w14:paraId="25C76527"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(yrs)</w:t>
            </w:r>
          </w:p>
        </w:tc>
        <w:tc>
          <w:tcPr>
            <w:tcW w:w="1226" w:type="pct"/>
            <w:gridSpan w:val="2"/>
            <w:tcBorders>
              <w:top w:val="single" w:sz="6" w:space="0" w:color="auto"/>
              <w:left w:val="single" w:sz="6" w:space="0" w:color="auto"/>
              <w:bottom w:val="single" w:sz="6" w:space="0" w:color="auto"/>
              <w:right w:val="single" w:sz="6" w:space="0" w:color="auto"/>
            </w:tcBorders>
            <w:vAlign w:val="center"/>
          </w:tcPr>
          <w:p w14:paraId="6D80622E"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QIVc</w:t>
            </w:r>
          </w:p>
        </w:tc>
        <w:tc>
          <w:tcPr>
            <w:tcW w:w="1302" w:type="pct"/>
            <w:gridSpan w:val="2"/>
            <w:tcBorders>
              <w:top w:val="single" w:sz="6" w:space="0" w:color="auto"/>
              <w:left w:val="single" w:sz="6" w:space="0" w:color="auto"/>
              <w:bottom w:val="single" w:sz="6" w:space="0" w:color="auto"/>
              <w:right w:val="single" w:sz="6" w:space="0" w:color="auto"/>
            </w:tcBorders>
            <w:vAlign w:val="center"/>
          </w:tcPr>
          <w:p w14:paraId="714376D1"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QIVe</w:t>
            </w:r>
          </w:p>
        </w:tc>
        <w:tc>
          <w:tcPr>
            <w:tcW w:w="814" w:type="pct"/>
            <w:vMerge w:val="restart"/>
            <w:tcBorders>
              <w:top w:val="single" w:sz="6" w:space="0" w:color="auto"/>
              <w:left w:val="single" w:sz="6" w:space="0" w:color="auto"/>
              <w:right w:val="single" w:sz="6" w:space="0" w:color="auto"/>
            </w:tcBorders>
            <w:vAlign w:val="center"/>
          </w:tcPr>
          <w:p w14:paraId="443236B9"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Adjusted rVE [%]</w:t>
            </w:r>
          </w:p>
          <w:p w14:paraId="556A285A"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(95% CI)</w:t>
            </w:r>
          </w:p>
        </w:tc>
      </w:tr>
      <w:tr w:rsidR="009C29A2" w:rsidRPr="00001499" w14:paraId="093BA91C" w14:textId="77777777" w:rsidTr="00FC7A97">
        <w:trPr>
          <w:trHeight w:val="113"/>
        </w:trPr>
        <w:tc>
          <w:tcPr>
            <w:tcW w:w="686" w:type="pct"/>
            <w:vMerge/>
            <w:vAlign w:val="center"/>
          </w:tcPr>
          <w:p w14:paraId="2876EFFB" w14:textId="77777777" w:rsidR="009C29A2" w:rsidRPr="00001499" w:rsidRDefault="009C29A2" w:rsidP="00FC7A97"/>
        </w:tc>
        <w:tc>
          <w:tcPr>
            <w:tcW w:w="588" w:type="pct"/>
            <w:vMerge/>
            <w:vAlign w:val="center"/>
          </w:tcPr>
          <w:p w14:paraId="75E13950" w14:textId="77777777" w:rsidR="009C29A2" w:rsidRPr="00001499" w:rsidRDefault="009C29A2" w:rsidP="00FC7A97"/>
        </w:tc>
        <w:tc>
          <w:tcPr>
            <w:tcW w:w="383" w:type="pct"/>
            <w:vMerge/>
            <w:vAlign w:val="center"/>
          </w:tcPr>
          <w:p w14:paraId="5C6096B1" w14:textId="77777777" w:rsidR="009C29A2" w:rsidRPr="00001499" w:rsidRDefault="009C29A2" w:rsidP="00FC7A97"/>
        </w:tc>
        <w:tc>
          <w:tcPr>
            <w:tcW w:w="844" w:type="pct"/>
            <w:tcBorders>
              <w:top w:val="single" w:sz="6" w:space="0" w:color="auto"/>
              <w:left w:val="single" w:sz="6" w:space="0" w:color="auto"/>
              <w:bottom w:val="single" w:sz="6" w:space="0" w:color="auto"/>
              <w:right w:val="single" w:sz="6" w:space="0" w:color="auto"/>
            </w:tcBorders>
            <w:vAlign w:val="center"/>
          </w:tcPr>
          <w:p w14:paraId="0081DC0C"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n/N</w:t>
            </w:r>
          </w:p>
        </w:tc>
        <w:tc>
          <w:tcPr>
            <w:tcW w:w="383" w:type="pct"/>
            <w:tcBorders>
              <w:top w:val="single" w:sz="6" w:space="0" w:color="auto"/>
              <w:bottom w:val="single" w:sz="6" w:space="0" w:color="auto"/>
            </w:tcBorders>
            <w:vAlign w:val="center"/>
          </w:tcPr>
          <w:p w14:paraId="10E36060"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Rate per 1,000</w:t>
            </w:r>
          </w:p>
        </w:tc>
        <w:tc>
          <w:tcPr>
            <w:tcW w:w="919" w:type="pct"/>
            <w:tcBorders>
              <w:top w:val="single" w:sz="6" w:space="0" w:color="auto"/>
              <w:left w:val="single" w:sz="6" w:space="0" w:color="auto"/>
              <w:bottom w:val="single" w:sz="6" w:space="0" w:color="auto"/>
              <w:right w:val="single" w:sz="6" w:space="0" w:color="auto"/>
            </w:tcBorders>
            <w:vAlign w:val="center"/>
          </w:tcPr>
          <w:p w14:paraId="7DF4F633"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n/N</w:t>
            </w:r>
          </w:p>
        </w:tc>
        <w:tc>
          <w:tcPr>
            <w:tcW w:w="383" w:type="pct"/>
            <w:tcBorders>
              <w:top w:val="single" w:sz="6" w:space="0" w:color="auto"/>
              <w:bottom w:val="single" w:sz="6" w:space="0" w:color="auto"/>
              <w:right w:val="single" w:sz="6" w:space="0" w:color="auto"/>
            </w:tcBorders>
            <w:vAlign w:val="center"/>
          </w:tcPr>
          <w:p w14:paraId="3995F821" w14:textId="77777777" w:rsidR="009C29A2" w:rsidRPr="00001499" w:rsidRDefault="009C29A2" w:rsidP="00FC7A97">
            <w:pPr>
              <w:pStyle w:val="TableTitlecentred"/>
              <w:rPr>
                <w:rFonts w:ascii="Arial Narrow" w:eastAsia="Arial Narrow" w:hAnsi="Arial Narrow" w:cs="Arial Narrow"/>
                <w:color w:val="000000" w:themeColor="text1"/>
                <w:sz w:val="20"/>
              </w:rPr>
            </w:pPr>
            <w:r w:rsidRPr="00001499">
              <w:rPr>
                <w:rFonts w:ascii="Arial Narrow" w:eastAsia="Arial Narrow" w:hAnsi="Arial Narrow" w:cs="Arial Narrow"/>
                <w:color w:val="000000" w:themeColor="text1"/>
                <w:sz w:val="20"/>
              </w:rPr>
              <w:t>Rate per 1,000</w:t>
            </w:r>
          </w:p>
        </w:tc>
        <w:tc>
          <w:tcPr>
            <w:tcW w:w="814" w:type="pct"/>
            <w:vMerge/>
            <w:vAlign w:val="center"/>
          </w:tcPr>
          <w:p w14:paraId="495CD3F1" w14:textId="77777777" w:rsidR="009C29A2" w:rsidRPr="00001499" w:rsidRDefault="009C29A2" w:rsidP="00FC7A97"/>
        </w:tc>
      </w:tr>
      <w:tr w:rsidR="009C29A2" w:rsidRPr="00001499" w14:paraId="5384E3C1" w14:textId="77777777" w:rsidTr="00A77DC7">
        <w:trPr>
          <w:trHeight w:val="113"/>
        </w:trPr>
        <w:tc>
          <w:tcPr>
            <w:tcW w:w="5000" w:type="pct"/>
            <w:gridSpan w:val="8"/>
            <w:tcBorders>
              <w:top w:val="single" w:sz="6" w:space="0" w:color="auto"/>
              <w:left w:val="single" w:sz="6" w:space="0" w:color="auto"/>
              <w:bottom w:val="single" w:sz="6" w:space="0" w:color="auto"/>
              <w:right w:val="single" w:sz="6" w:space="0" w:color="auto"/>
            </w:tcBorders>
            <w:shd w:val="clear" w:color="auto" w:fill="auto"/>
          </w:tcPr>
          <w:p w14:paraId="50D34181" w14:textId="77777777" w:rsidR="009C29A2" w:rsidRPr="00001499" w:rsidRDefault="009C29A2" w:rsidP="00FC7A97">
            <w:pPr>
              <w:pStyle w:val="TableTextleftalign"/>
              <w:rPr>
                <w:rFonts w:ascii="Arial Narrow" w:eastAsia="Arial Narrow" w:hAnsi="Arial Narrow" w:cs="Arial Narrow"/>
                <w:color w:val="000000" w:themeColor="text1"/>
                <w:sz w:val="20"/>
                <w:szCs w:val="20"/>
              </w:rPr>
            </w:pPr>
            <w:r w:rsidRPr="00001499">
              <w:rPr>
                <w:rFonts w:ascii="Arial Narrow" w:eastAsia="Arial Narrow" w:hAnsi="Arial Narrow" w:cs="Arial Narrow"/>
                <w:b/>
                <w:bCs/>
                <w:color w:val="000000" w:themeColor="text1"/>
                <w:sz w:val="20"/>
                <w:szCs w:val="20"/>
              </w:rPr>
              <w:t>US Season 2017-18 (cell-derived A(H3N2) CVV only)</w:t>
            </w:r>
          </w:p>
        </w:tc>
      </w:tr>
      <w:tr w:rsidR="009C29A2" w:rsidRPr="00001499" w14:paraId="6140102C" w14:textId="77777777" w:rsidTr="00A77DC7">
        <w:trPr>
          <w:trHeight w:val="113"/>
        </w:trPr>
        <w:tc>
          <w:tcPr>
            <w:tcW w:w="686" w:type="pct"/>
            <w:tcBorders>
              <w:top w:val="single" w:sz="6" w:space="0" w:color="auto"/>
              <w:left w:val="single" w:sz="6" w:space="0" w:color="auto"/>
              <w:bottom w:val="nil"/>
              <w:right w:val="single" w:sz="6" w:space="0" w:color="auto"/>
            </w:tcBorders>
            <w:shd w:val="clear" w:color="auto" w:fill="auto"/>
          </w:tcPr>
          <w:p w14:paraId="2C22408D" w14:textId="77777777" w:rsidR="009C29A2" w:rsidRPr="00001499" w:rsidRDefault="009C29A2" w:rsidP="00FC7A97">
            <w:pPr>
              <w:pStyle w:val="TableTextleftalign"/>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Boikos 2020</w:t>
            </w:r>
          </w:p>
        </w:tc>
        <w:tc>
          <w:tcPr>
            <w:tcW w:w="588" w:type="pct"/>
            <w:tcBorders>
              <w:top w:val="single" w:sz="6" w:space="0" w:color="auto"/>
              <w:left w:val="single" w:sz="6" w:space="0" w:color="auto"/>
              <w:bottom w:val="nil"/>
              <w:right w:val="single" w:sz="6" w:space="0" w:color="auto"/>
            </w:tcBorders>
            <w:shd w:val="clear" w:color="auto" w:fill="auto"/>
          </w:tcPr>
          <w:p w14:paraId="3913281B"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IRPCE</w:t>
            </w:r>
          </w:p>
        </w:tc>
        <w:tc>
          <w:tcPr>
            <w:tcW w:w="383" w:type="pct"/>
            <w:tcBorders>
              <w:top w:val="single" w:sz="6" w:space="0" w:color="auto"/>
              <w:left w:val="single" w:sz="6" w:space="0" w:color="auto"/>
              <w:bottom w:val="nil"/>
              <w:right w:val="single" w:sz="6" w:space="0" w:color="auto"/>
            </w:tcBorders>
            <w:shd w:val="clear" w:color="auto" w:fill="auto"/>
          </w:tcPr>
          <w:p w14:paraId="2EF66735"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≥4</w:t>
            </w:r>
          </w:p>
        </w:tc>
        <w:tc>
          <w:tcPr>
            <w:tcW w:w="844" w:type="pct"/>
            <w:tcBorders>
              <w:top w:val="single" w:sz="6" w:space="0" w:color="auto"/>
              <w:bottom w:val="nil"/>
            </w:tcBorders>
            <w:shd w:val="clear" w:color="auto" w:fill="auto"/>
          </w:tcPr>
          <w:p w14:paraId="3DE21619"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1,705/92,187</w:t>
            </w:r>
          </w:p>
        </w:tc>
        <w:tc>
          <w:tcPr>
            <w:tcW w:w="383" w:type="pct"/>
            <w:tcBorders>
              <w:top w:val="single" w:sz="6" w:space="0" w:color="auto"/>
              <w:bottom w:val="nil"/>
            </w:tcBorders>
            <w:shd w:val="clear" w:color="auto" w:fill="auto"/>
          </w:tcPr>
          <w:p w14:paraId="25769F9D"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18.5</w:t>
            </w:r>
          </w:p>
        </w:tc>
        <w:tc>
          <w:tcPr>
            <w:tcW w:w="919" w:type="pct"/>
            <w:tcBorders>
              <w:top w:val="single" w:sz="6" w:space="0" w:color="auto"/>
              <w:bottom w:val="nil"/>
            </w:tcBorders>
            <w:shd w:val="clear" w:color="auto" w:fill="auto"/>
          </w:tcPr>
          <w:p w14:paraId="52D61E67"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25,645/1,261,675</w:t>
            </w:r>
          </w:p>
        </w:tc>
        <w:tc>
          <w:tcPr>
            <w:tcW w:w="383" w:type="pct"/>
            <w:tcBorders>
              <w:top w:val="single" w:sz="6" w:space="0" w:color="auto"/>
              <w:bottom w:val="nil"/>
            </w:tcBorders>
            <w:shd w:val="clear" w:color="auto" w:fill="auto"/>
          </w:tcPr>
          <w:p w14:paraId="7B59437C" w14:textId="77777777" w:rsidR="009C29A2" w:rsidRPr="00001499" w:rsidRDefault="009C29A2" w:rsidP="00FC7A97">
            <w:pPr>
              <w:pStyle w:val="TableTextcentred"/>
              <w:rPr>
                <w:color w:val="000000" w:themeColor="text1"/>
              </w:rPr>
            </w:pPr>
            <w:r w:rsidRPr="00001499">
              <w:rPr>
                <w:rFonts w:ascii="Arial Narrow" w:eastAsia="Arial Narrow" w:hAnsi="Arial Narrow" w:cs="Arial Narrow"/>
                <w:color w:val="000000" w:themeColor="text1"/>
                <w:sz w:val="20"/>
                <w:szCs w:val="20"/>
              </w:rPr>
              <w:t>20.3</w:t>
            </w:r>
          </w:p>
        </w:tc>
        <w:tc>
          <w:tcPr>
            <w:tcW w:w="814" w:type="pct"/>
            <w:tcBorders>
              <w:top w:val="single" w:sz="6" w:space="0" w:color="auto"/>
              <w:left w:val="single" w:sz="6" w:space="0" w:color="auto"/>
              <w:bottom w:val="single" w:sz="6" w:space="0" w:color="auto"/>
              <w:right w:val="single" w:sz="6" w:space="0" w:color="auto"/>
            </w:tcBorders>
            <w:shd w:val="clear" w:color="auto" w:fill="auto"/>
          </w:tcPr>
          <w:p w14:paraId="2A7EE5BB" w14:textId="77777777" w:rsidR="009C29A2" w:rsidRPr="00001499" w:rsidRDefault="009C29A2" w:rsidP="00FC7A97">
            <w:pPr>
              <w:pStyle w:val="TableTextcentred"/>
              <w:rPr>
                <w:rFonts w:ascii="Arial Narrow" w:eastAsia="Arial Narrow" w:hAnsi="Arial Narrow" w:cs="Arial Narrow"/>
                <w:b/>
                <w:bCs/>
                <w:color w:val="000000" w:themeColor="text1"/>
                <w:sz w:val="20"/>
                <w:szCs w:val="20"/>
              </w:rPr>
            </w:pPr>
            <w:r w:rsidRPr="00001499">
              <w:rPr>
                <w:rFonts w:ascii="Arial Narrow" w:eastAsia="Arial Narrow" w:hAnsi="Arial Narrow" w:cs="Arial Narrow"/>
                <w:b/>
                <w:bCs/>
                <w:color w:val="000000" w:themeColor="text1"/>
                <w:sz w:val="20"/>
                <w:szCs w:val="20"/>
              </w:rPr>
              <w:t xml:space="preserve">19.3% </w:t>
            </w:r>
            <w:r w:rsidRPr="00001499">
              <w:rPr>
                <w:rFonts w:ascii="Arial Narrow" w:eastAsia="Arial Narrow" w:hAnsi="Arial Narrow" w:cs="Arial Narrow"/>
                <w:b/>
                <w:bCs/>
                <w:color w:val="000000" w:themeColor="text1"/>
                <w:sz w:val="20"/>
                <w:szCs w:val="20"/>
              </w:rPr>
              <w:br/>
              <w:t>(9.5, 28.0)</w:t>
            </w:r>
            <w:r w:rsidRPr="00001499">
              <w:rPr>
                <w:rFonts w:ascii="Arial Narrow" w:eastAsia="Arial Narrow" w:hAnsi="Arial Narrow" w:cs="Arial Narrow"/>
                <w:b/>
                <w:bCs/>
                <w:color w:val="000000" w:themeColor="text1"/>
                <w:sz w:val="20"/>
                <w:szCs w:val="20"/>
                <w:vertAlign w:val="superscript"/>
              </w:rPr>
              <w:t>1</w:t>
            </w:r>
          </w:p>
        </w:tc>
      </w:tr>
      <w:tr w:rsidR="009C29A2" w:rsidRPr="00001499" w14:paraId="3BFAB49D" w14:textId="77777777" w:rsidTr="00A77DC7">
        <w:trPr>
          <w:trHeight w:val="113"/>
        </w:trPr>
        <w:tc>
          <w:tcPr>
            <w:tcW w:w="686" w:type="pct"/>
            <w:tcBorders>
              <w:top w:val="single" w:sz="6" w:space="0" w:color="auto"/>
              <w:left w:val="single" w:sz="6" w:space="0" w:color="auto"/>
              <w:bottom w:val="single" w:sz="6" w:space="0" w:color="auto"/>
              <w:right w:val="single" w:sz="6" w:space="0" w:color="auto"/>
            </w:tcBorders>
            <w:shd w:val="clear" w:color="auto" w:fill="auto"/>
          </w:tcPr>
          <w:p w14:paraId="71B94EA2" w14:textId="77777777" w:rsidR="009C29A2" w:rsidRPr="00001499" w:rsidRDefault="009C29A2" w:rsidP="00FC7A97">
            <w:pPr>
              <w:pStyle w:val="TableTextleftalign"/>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Divino 2020</w:t>
            </w:r>
          </w:p>
        </w:tc>
        <w:tc>
          <w:tcPr>
            <w:tcW w:w="588" w:type="pct"/>
            <w:tcBorders>
              <w:top w:val="single" w:sz="6" w:space="0" w:color="auto"/>
              <w:left w:val="single" w:sz="6" w:space="0" w:color="auto"/>
              <w:bottom w:val="single" w:sz="6" w:space="0" w:color="auto"/>
              <w:right w:val="single" w:sz="6" w:space="0" w:color="auto"/>
            </w:tcBorders>
            <w:shd w:val="clear" w:color="auto" w:fill="auto"/>
          </w:tcPr>
          <w:p w14:paraId="6D0A9735"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IRHE</w:t>
            </w:r>
          </w:p>
        </w:tc>
        <w:tc>
          <w:tcPr>
            <w:tcW w:w="383" w:type="pct"/>
            <w:tcBorders>
              <w:top w:val="single" w:sz="6" w:space="0" w:color="auto"/>
              <w:left w:val="single" w:sz="6" w:space="0" w:color="auto"/>
              <w:bottom w:val="single" w:sz="6" w:space="0" w:color="auto"/>
            </w:tcBorders>
            <w:shd w:val="clear" w:color="auto" w:fill="auto"/>
          </w:tcPr>
          <w:p w14:paraId="4A57BDEB"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4-64</w:t>
            </w:r>
          </w:p>
        </w:tc>
        <w:tc>
          <w:tcPr>
            <w:tcW w:w="844" w:type="pct"/>
            <w:tcBorders>
              <w:bottom w:val="single" w:sz="6" w:space="0" w:color="auto"/>
            </w:tcBorders>
            <w:shd w:val="clear" w:color="auto" w:fill="auto"/>
          </w:tcPr>
          <w:p w14:paraId="231DCF58"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1,142/551,544</w:t>
            </w:r>
          </w:p>
        </w:tc>
        <w:tc>
          <w:tcPr>
            <w:tcW w:w="383" w:type="pct"/>
            <w:tcBorders>
              <w:bottom w:val="single" w:sz="6" w:space="0" w:color="auto"/>
            </w:tcBorders>
            <w:shd w:val="clear" w:color="auto" w:fill="auto"/>
          </w:tcPr>
          <w:p w14:paraId="49A816D2"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2.07</w:t>
            </w:r>
          </w:p>
        </w:tc>
        <w:tc>
          <w:tcPr>
            <w:tcW w:w="919" w:type="pct"/>
            <w:tcBorders>
              <w:bottom w:val="single" w:sz="6" w:space="0" w:color="auto"/>
            </w:tcBorders>
            <w:shd w:val="clear" w:color="auto" w:fill="auto"/>
          </w:tcPr>
          <w:p w14:paraId="50804470"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6,230/2,528,966</w:t>
            </w:r>
          </w:p>
        </w:tc>
        <w:tc>
          <w:tcPr>
            <w:tcW w:w="383" w:type="pct"/>
            <w:tcBorders>
              <w:bottom w:val="single" w:sz="6" w:space="0" w:color="auto"/>
            </w:tcBorders>
            <w:shd w:val="clear" w:color="auto" w:fill="auto"/>
          </w:tcPr>
          <w:p w14:paraId="63CE67D5"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2.46</w:t>
            </w:r>
          </w:p>
        </w:tc>
        <w:tc>
          <w:tcPr>
            <w:tcW w:w="814" w:type="pct"/>
            <w:tcBorders>
              <w:top w:val="single" w:sz="6" w:space="0" w:color="auto"/>
              <w:bottom w:val="single" w:sz="6" w:space="0" w:color="auto"/>
              <w:right w:val="single" w:sz="6" w:space="0" w:color="auto"/>
            </w:tcBorders>
            <w:shd w:val="clear" w:color="auto" w:fill="auto"/>
          </w:tcPr>
          <w:p w14:paraId="00724CD8" w14:textId="65A9AC1C" w:rsidR="009C29A2" w:rsidRPr="00001499" w:rsidRDefault="009C29A2" w:rsidP="00FC7A97">
            <w:pPr>
              <w:pStyle w:val="TableTextcentred"/>
              <w:rPr>
                <w:rFonts w:ascii="Arial Narrow" w:eastAsia="Arial Narrow" w:hAnsi="Arial Narrow" w:cs="Arial Narrow"/>
                <w:b/>
                <w:bCs/>
                <w:color w:val="000000" w:themeColor="text1"/>
                <w:sz w:val="20"/>
                <w:szCs w:val="20"/>
              </w:rPr>
            </w:pPr>
            <w:r w:rsidRPr="00001499">
              <w:rPr>
                <w:rFonts w:ascii="Arial Narrow" w:eastAsia="Arial Narrow" w:hAnsi="Arial Narrow" w:cs="Arial Narrow"/>
                <w:b/>
                <w:bCs/>
                <w:color w:val="000000" w:themeColor="text1"/>
                <w:sz w:val="20"/>
                <w:szCs w:val="20"/>
              </w:rPr>
              <w:t xml:space="preserve">14.4% </w:t>
            </w:r>
            <w:r w:rsidR="00A77DC7" w:rsidRPr="00001499">
              <w:rPr>
                <w:rFonts w:ascii="Arial Narrow" w:eastAsia="Arial Narrow" w:hAnsi="Arial Narrow" w:cs="Arial Narrow"/>
                <w:b/>
                <w:bCs/>
                <w:color w:val="000000" w:themeColor="text1"/>
                <w:sz w:val="20"/>
                <w:szCs w:val="20"/>
              </w:rPr>
              <w:br/>
            </w:r>
            <w:r w:rsidRPr="00001499">
              <w:rPr>
                <w:rFonts w:ascii="Arial Narrow" w:eastAsia="Arial Narrow" w:hAnsi="Arial Narrow" w:cs="Arial Narrow"/>
                <w:b/>
                <w:bCs/>
                <w:color w:val="000000" w:themeColor="text1"/>
                <w:sz w:val="20"/>
                <w:szCs w:val="20"/>
              </w:rPr>
              <w:t>(8.8, 19.6)</w:t>
            </w:r>
          </w:p>
        </w:tc>
      </w:tr>
      <w:tr w:rsidR="009C29A2" w:rsidRPr="00001499" w14:paraId="581BA59D" w14:textId="77777777" w:rsidTr="00A77DC7">
        <w:trPr>
          <w:trHeight w:val="113"/>
        </w:trPr>
        <w:tc>
          <w:tcPr>
            <w:tcW w:w="5000" w:type="pct"/>
            <w:gridSpan w:val="8"/>
            <w:tcBorders>
              <w:top w:val="single" w:sz="6" w:space="0" w:color="auto"/>
              <w:left w:val="single" w:sz="6" w:space="0" w:color="auto"/>
              <w:bottom w:val="single" w:sz="6" w:space="0" w:color="auto"/>
              <w:right w:val="single" w:sz="6" w:space="0" w:color="auto"/>
            </w:tcBorders>
            <w:shd w:val="clear" w:color="auto" w:fill="auto"/>
          </w:tcPr>
          <w:p w14:paraId="1BEFC314" w14:textId="77777777" w:rsidR="009C29A2" w:rsidRPr="00001499" w:rsidRDefault="009C29A2" w:rsidP="00FC7A97">
            <w:pPr>
              <w:pStyle w:val="TableTextleftalign"/>
              <w:rPr>
                <w:rFonts w:ascii="Arial Narrow" w:eastAsia="Arial Narrow" w:hAnsi="Arial Narrow" w:cs="Arial Narrow"/>
                <w:color w:val="000000" w:themeColor="text1"/>
                <w:sz w:val="20"/>
                <w:szCs w:val="20"/>
              </w:rPr>
            </w:pPr>
            <w:r w:rsidRPr="00001499">
              <w:rPr>
                <w:rFonts w:ascii="Arial Narrow" w:eastAsia="Arial Narrow" w:hAnsi="Arial Narrow" w:cs="Arial Narrow"/>
                <w:b/>
                <w:bCs/>
                <w:color w:val="000000" w:themeColor="text1"/>
                <w:sz w:val="20"/>
                <w:szCs w:val="20"/>
              </w:rPr>
              <w:t>US Season 2018-19 (cell-derived A(H3N2), B/Victoria and B/Yamagata CVVs)</w:t>
            </w:r>
          </w:p>
        </w:tc>
      </w:tr>
      <w:tr w:rsidR="009C29A2" w:rsidRPr="00001499" w14:paraId="30688761" w14:textId="77777777" w:rsidTr="00A77DC7">
        <w:trPr>
          <w:trHeight w:val="113"/>
        </w:trPr>
        <w:tc>
          <w:tcPr>
            <w:tcW w:w="686" w:type="pct"/>
            <w:tcBorders>
              <w:top w:val="single" w:sz="6" w:space="0" w:color="auto"/>
              <w:left w:val="single" w:sz="6" w:space="0" w:color="auto"/>
              <w:bottom w:val="nil"/>
              <w:right w:val="single" w:sz="6" w:space="0" w:color="auto"/>
            </w:tcBorders>
            <w:shd w:val="clear" w:color="auto" w:fill="auto"/>
          </w:tcPr>
          <w:p w14:paraId="37AD5F96" w14:textId="77777777" w:rsidR="009C29A2" w:rsidRPr="00001499" w:rsidRDefault="009C29A2" w:rsidP="00FC7A97">
            <w:pPr>
              <w:pStyle w:val="TableTextleftalign"/>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Boikos 2021</w:t>
            </w:r>
          </w:p>
        </w:tc>
        <w:tc>
          <w:tcPr>
            <w:tcW w:w="588" w:type="pct"/>
            <w:tcBorders>
              <w:top w:val="single" w:sz="6" w:space="0" w:color="auto"/>
              <w:left w:val="single" w:sz="6" w:space="0" w:color="auto"/>
              <w:bottom w:val="nil"/>
              <w:right w:val="single" w:sz="6" w:space="0" w:color="auto"/>
            </w:tcBorders>
            <w:shd w:val="clear" w:color="auto" w:fill="auto"/>
          </w:tcPr>
          <w:p w14:paraId="1138D862"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IRME</w:t>
            </w:r>
          </w:p>
        </w:tc>
        <w:tc>
          <w:tcPr>
            <w:tcW w:w="383" w:type="pct"/>
            <w:tcBorders>
              <w:top w:val="single" w:sz="6" w:space="0" w:color="auto"/>
              <w:left w:val="single" w:sz="6" w:space="0" w:color="auto"/>
              <w:bottom w:val="nil"/>
            </w:tcBorders>
            <w:shd w:val="clear" w:color="auto" w:fill="auto"/>
          </w:tcPr>
          <w:p w14:paraId="4CD1E7BD"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≥4</w:t>
            </w:r>
          </w:p>
        </w:tc>
        <w:tc>
          <w:tcPr>
            <w:tcW w:w="844" w:type="pct"/>
            <w:tcBorders>
              <w:top w:val="single" w:sz="6" w:space="0" w:color="auto"/>
              <w:bottom w:val="nil"/>
            </w:tcBorders>
            <w:shd w:val="clear" w:color="auto" w:fill="auto"/>
          </w:tcPr>
          <w:p w14:paraId="2BB42A15"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34,520/2,125,430</w:t>
            </w:r>
          </w:p>
        </w:tc>
        <w:tc>
          <w:tcPr>
            <w:tcW w:w="383" w:type="pct"/>
            <w:tcBorders>
              <w:top w:val="single" w:sz="6" w:space="0" w:color="auto"/>
              <w:bottom w:val="nil"/>
            </w:tcBorders>
            <w:shd w:val="clear" w:color="auto" w:fill="auto"/>
          </w:tcPr>
          <w:p w14:paraId="39BF3B1A" w14:textId="77777777" w:rsidR="009C29A2" w:rsidRPr="00001499" w:rsidRDefault="009C29A2" w:rsidP="00FC7A97">
            <w:pPr>
              <w:pStyle w:val="TableTextcentred"/>
              <w:rPr>
                <w:color w:val="000000" w:themeColor="text1"/>
              </w:rPr>
            </w:pPr>
            <w:r w:rsidRPr="00001499">
              <w:rPr>
                <w:rFonts w:ascii="Arial Narrow" w:eastAsia="Arial Narrow" w:hAnsi="Arial Narrow" w:cs="Arial Narrow"/>
                <w:color w:val="000000" w:themeColor="text1"/>
                <w:sz w:val="20"/>
                <w:szCs w:val="20"/>
              </w:rPr>
              <w:t>16.2</w:t>
            </w:r>
          </w:p>
        </w:tc>
        <w:tc>
          <w:tcPr>
            <w:tcW w:w="919" w:type="pct"/>
            <w:tcBorders>
              <w:top w:val="single" w:sz="6" w:space="0" w:color="auto"/>
              <w:bottom w:val="nil"/>
            </w:tcBorders>
            <w:shd w:val="clear" w:color="auto" w:fill="auto"/>
          </w:tcPr>
          <w:p w14:paraId="784B1541"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192,845/8,000,903</w:t>
            </w:r>
          </w:p>
        </w:tc>
        <w:tc>
          <w:tcPr>
            <w:tcW w:w="383" w:type="pct"/>
            <w:tcBorders>
              <w:top w:val="single" w:sz="6" w:space="0" w:color="auto"/>
              <w:bottom w:val="nil"/>
            </w:tcBorders>
            <w:shd w:val="clear" w:color="auto" w:fill="auto"/>
          </w:tcPr>
          <w:p w14:paraId="737B6362" w14:textId="77777777" w:rsidR="009C29A2" w:rsidRPr="00001499" w:rsidRDefault="009C29A2" w:rsidP="00FC7A97">
            <w:pPr>
              <w:pStyle w:val="TableTextcentred"/>
              <w:rPr>
                <w:color w:val="000000" w:themeColor="text1"/>
              </w:rPr>
            </w:pPr>
            <w:r w:rsidRPr="00001499">
              <w:rPr>
                <w:rFonts w:ascii="Arial Narrow" w:eastAsia="Arial Narrow" w:hAnsi="Arial Narrow" w:cs="Arial Narrow"/>
                <w:color w:val="000000" w:themeColor="text1"/>
                <w:sz w:val="20"/>
                <w:szCs w:val="20"/>
              </w:rPr>
              <w:t>24.1</w:t>
            </w:r>
          </w:p>
        </w:tc>
        <w:tc>
          <w:tcPr>
            <w:tcW w:w="814" w:type="pct"/>
            <w:tcBorders>
              <w:top w:val="single" w:sz="6" w:space="0" w:color="auto"/>
              <w:bottom w:val="single" w:sz="6" w:space="0" w:color="auto"/>
              <w:right w:val="single" w:sz="6" w:space="0" w:color="auto"/>
            </w:tcBorders>
            <w:shd w:val="clear" w:color="auto" w:fill="auto"/>
          </w:tcPr>
          <w:p w14:paraId="5FA0A1B5" w14:textId="3ED0E1FC" w:rsidR="009C29A2" w:rsidRPr="00001499" w:rsidRDefault="009C29A2" w:rsidP="00FC7A97">
            <w:pPr>
              <w:pStyle w:val="TableTextcentred"/>
              <w:rPr>
                <w:rFonts w:ascii="Arial Narrow" w:eastAsia="Arial Narrow" w:hAnsi="Arial Narrow" w:cs="Arial Narrow"/>
                <w:b/>
                <w:bCs/>
                <w:color w:val="000000" w:themeColor="text1"/>
                <w:sz w:val="20"/>
                <w:szCs w:val="20"/>
              </w:rPr>
            </w:pPr>
            <w:r w:rsidRPr="00001499">
              <w:rPr>
                <w:rFonts w:ascii="Arial Narrow" w:eastAsia="Arial Narrow" w:hAnsi="Arial Narrow" w:cs="Arial Narrow"/>
                <w:b/>
                <w:bCs/>
                <w:color w:val="000000" w:themeColor="text1"/>
                <w:sz w:val="20"/>
                <w:szCs w:val="20"/>
              </w:rPr>
              <w:t xml:space="preserve">7.6% </w:t>
            </w:r>
            <w:r w:rsidR="00A77DC7" w:rsidRPr="00001499">
              <w:rPr>
                <w:rFonts w:ascii="Arial Narrow" w:eastAsia="Arial Narrow" w:hAnsi="Arial Narrow" w:cs="Arial Narrow"/>
                <w:b/>
                <w:bCs/>
                <w:color w:val="000000" w:themeColor="text1"/>
                <w:sz w:val="20"/>
                <w:szCs w:val="20"/>
              </w:rPr>
              <w:br/>
            </w:r>
            <w:r w:rsidRPr="00001499">
              <w:rPr>
                <w:rFonts w:ascii="Arial Narrow" w:eastAsia="Arial Narrow" w:hAnsi="Arial Narrow" w:cs="Arial Narrow"/>
                <w:b/>
                <w:bCs/>
                <w:color w:val="000000" w:themeColor="text1"/>
                <w:sz w:val="20"/>
                <w:szCs w:val="20"/>
              </w:rPr>
              <w:t>(6.5, 8.6)</w:t>
            </w:r>
            <w:r w:rsidRPr="00001499">
              <w:rPr>
                <w:rFonts w:ascii="Arial Narrow" w:eastAsia="Arial Narrow" w:hAnsi="Arial Narrow" w:cs="Arial Narrow"/>
                <w:b/>
                <w:bCs/>
                <w:color w:val="000000" w:themeColor="text1"/>
                <w:sz w:val="20"/>
                <w:szCs w:val="20"/>
                <w:vertAlign w:val="superscript"/>
              </w:rPr>
              <w:t>2</w:t>
            </w:r>
          </w:p>
        </w:tc>
      </w:tr>
      <w:tr w:rsidR="009C29A2" w:rsidRPr="00001499" w14:paraId="08ABD148" w14:textId="77777777" w:rsidTr="00A77DC7">
        <w:trPr>
          <w:trHeight w:val="113"/>
        </w:trPr>
        <w:tc>
          <w:tcPr>
            <w:tcW w:w="686" w:type="pct"/>
            <w:tcBorders>
              <w:top w:val="single" w:sz="6" w:space="0" w:color="auto"/>
              <w:left w:val="single" w:sz="6" w:space="0" w:color="auto"/>
              <w:bottom w:val="single" w:sz="6" w:space="0" w:color="auto"/>
              <w:right w:val="single" w:sz="6" w:space="0" w:color="auto"/>
            </w:tcBorders>
            <w:shd w:val="clear" w:color="auto" w:fill="auto"/>
          </w:tcPr>
          <w:p w14:paraId="351E59EC" w14:textId="77777777" w:rsidR="009C29A2" w:rsidRPr="00001499" w:rsidRDefault="009C29A2" w:rsidP="00FC7A97">
            <w:pPr>
              <w:pStyle w:val="TableTextleftalign"/>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Krishnarajah 2021</w:t>
            </w:r>
          </w:p>
        </w:tc>
        <w:tc>
          <w:tcPr>
            <w:tcW w:w="588" w:type="pct"/>
            <w:tcBorders>
              <w:top w:val="single" w:sz="6" w:space="0" w:color="auto"/>
              <w:left w:val="single" w:sz="6" w:space="0" w:color="auto"/>
              <w:bottom w:val="single" w:sz="6" w:space="0" w:color="auto"/>
              <w:right w:val="single" w:sz="6" w:space="0" w:color="auto"/>
            </w:tcBorders>
            <w:shd w:val="clear" w:color="auto" w:fill="auto"/>
          </w:tcPr>
          <w:p w14:paraId="686C89B9"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IRHE</w:t>
            </w:r>
          </w:p>
        </w:tc>
        <w:tc>
          <w:tcPr>
            <w:tcW w:w="383" w:type="pct"/>
            <w:tcBorders>
              <w:top w:val="single" w:sz="6" w:space="0" w:color="auto"/>
              <w:left w:val="single" w:sz="6" w:space="0" w:color="auto"/>
              <w:bottom w:val="single" w:sz="6" w:space="0" w:color="auto"/>
            </w:tcBorders>
            <w:shd w:val="clear" w:color="auto" w:fill="auto"/>
          </w:tcPr>
          <w:p w14:paraId="26EC79FE"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4-64</w:t>
            </w:r>
          </w:p>
        </w:tc>
        <w:tc>
          <w:tcPr>
            <w:tcW w:w="844" w:type="pct"/>
            <w:tcBorders>
              <w:bottom w:val="single" w:sz="6" w:space="0" w:color="auto"/>
            </w:tcBorders>
            <w:shd w:val="clear" w:color="auto" w:fill="auto"/>
          </w:tcPr>
          <w:p w14:paraId="5910BB72"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1,049/669,030</w:t>
            </w:r>
          </w:p>
        </w:tc>
        <w:tc>
          <w:tcPr>
            <w:tcW w:w="383" w:type="pct"/>
            <w:tcBorders>
              <w:bottom w:val="single" w:sz="6" w:space="0" w:color="auto"/>
            </w:tcBorders>
            <w:shd w:val="clear" w:color="auto" w:fill="auto"/>
          </w:tcPr>
          <w:p w14:paraId="71F3EAC3"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1.6</w:t>
            </w:r>
          </w:p>
        </w:tc>
        <w:tc>
          <w:tcPr>
            <w:tcW w:w="919" w:type="pct"/>
            <w:tcBorders>
              <w:bottom w:val="single" w:sz="6" w:space="0" w:color="auto"/>
            </w:tcBorders>
            <w:shd w:val="clear" w:color="auto" w:fill="auto"/>
          </w:tcPr>
          <w:p w14:paraId="35823FB0"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5,151/3,062,797</w:t>
            </w:r>
          </w:p>
        </w:tc>
        <w:tc>
          <w:tcPr>
            <w:tcW w:w="383" w:type="pct"/>
            <w:tcBorders>
              <w:bottom w:val="single" w:sz="6" w:space="0" w:color="auto"/>
            </w:tcBorders>
            <w:shd w:val="clear" w:color="auto" w:fill="auto"/>
          </w:tcPr>
          <w:p w14:paraId="60D21EB9"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1.7</w:t>
            </w:r>
          </w:p>
        </w:tc>
        <w:tc>
          <w:tcPr>
            <w:tcW w:w="814" w:type="pct"/>
            <w:tcBorders>
              <w:top w:val="single" w:sz="6" w:space="0" w:color="auto"/>
              <w:bottom w:val="single" w:sz="6" w:space="0" w:color="auto"/>
              <w:right w:val="single" w:sz="6" w:space="0" w:color="auto"/>
            </w:tcBorders>
            <w:shd w:val="clear" w:color="auto" w:fill="auto"/>
          </w:tcPr>
          <w:p w14:paraId="77F18C99" w14:textId="393C9067" w:rsidR="009C29A2" w:rsidRPr="00001499" w:rsidRDefault="009C29A2" w:rsidP="00FC7A97">
            <w:pPr>
              <w:pStyle w:val="TableTextcentred"/>
              <w:rPr>
                <w:rFonts w:ascii="Arial Narrow" w:eastAsia="Arial Narrow" w:hAnsi="Arial Narrow" w:cs="Arial Narrow"/>
                <w:b/>
                <w:bCs/>
                <w:color w:val="000000" w:themeColor="text1"/>
                <w:sz w:val="20"/>
                <w:szCs w:val="20"/>
              </w:rPr>
            </w:pPr>
            <w:r w:rsidRPr="00001499">
              <w:rPr>
                <w:rFonts w:ascii="Arial Narrow" w:eastAsia="Arial Narrow" w:hAnsi="Arial Narrow" w:cs="Arial Narrow"/>
                <w:b/>
                <w:bCs/>
                <w:color w:val="000000" w:themeColor="text1"/>
                <w:sz w:val="20"/>
                <w:szCs w:val="20"/>
              </w:rPr>
              <w:t xml:space="preserve">6.5% </w:t>
            </w:r>
            <w:r w:rsidR="00A77DC7" w:rsidRPr="00001499">
              <w:rPr>
                <w:rFonts w:ascii="Arial Narrow" w:eastAsia="Arial Narrow" w:hAnsi="Arial Narrow" w:cs="Arial Narrow"/>
                <w:b/>
                <w:bCs/>
                <w:color w:val="000000" w:themeColor="text1"/>
                <w:sz w:val="20"/>
                <w:szCs w:val="20"/>
              </w:rPr>
              <w:br/>
            </w:r>
            <w:r w:rsidRPr="00001499">
              <w:rPr>
                <w:rFonts w:ascii="Arial Narrow" w:eastAsia="Arial Narrow" w:hAnsi="Arial Narrow" w:cs="Arial Narrow"/>
                <w:b/>
                <w:bCs/>
                <w:color w:val="000000" w:themeColor="text1"/>
                <w:sz w:val="20"/>
                <w:szCs w:val="20"/>
              </w:rPr>
              <w:t>(0.1, 12.5)</w:t>
            </w:r>
          </w:p>
        </w:tc>
      </w:tr>
      <w:tr w:rsidR="009C29A2" w:rsidRPr="00001499" w14:paraId="062A9DA2" w14:textId="77777777" w:rsidTr="00A77DC7">
        <w:trPr>
          <w:trHeight w:val="113"/>
        </w:trPr>
        <w:tc>
          <w:tcPr>
            <w:tcW w:w="5000" w:type="pct"/>
            <w:gridSpan w:val="8"/>
            <w:tcBorders>
              <w:top w:val="single" w:sz="6" w:space="0" w:color="auto"/>
              <w:left w:val="single" w:sz="6" w:space="0" w:color="auto"/>
              <w:bottom w:val="single" w:sz="6" w:space="0" w:color="auto"/>
              <w:right w:val="single" w:sz="6" w:space="0" w:color="auto"/>
            </w:tcBorders>
            <w:shd w:val="clear" w:color="auto" w:fill="auto"/>
          </w:tcPr>
          <w:p w14:paraId="428868D5" w14:textId="77777777" w:rsidR="009C29A2" w:rsidRPr="00001499" w:rsidRDefault="009C29A2" w:rsidP="00FC7A97">
            <w:pPr>
              <w:pStyle w:val="TableTextleftalign"/>
              <w:rPr>
                <w:rFonts w:ascii="Arial Narrow" w:eastAsia="Arial Narrow" w:hAnsi="Arial Narrow" w:cs="Arial Narrow"/>
                <w:color w:val="000000" w:themeColor="text1"/>
                <w:sz w:val="20"/>
                <w:szCs w:val="20"/>
              </w:rPr>
            </w:pPr>
            <w:r w:rsidRPr="00001499">
              <w:rPr>
                <w:rFonts w:ascii="Arial Narrow" w:eastAsia="Arial Narrow" w:hAnsi="Arial Narrow" w:cs="Arial Narrow"/>
                <w:b/>
                <w:bCs/>
                <w:color w:val="000000" w:themeColor="text1"/>
                <w:sz w:val="20"/>
                <w:szCs w:val="20"/>
              </w:rPr>
              <w:t>US Season 2019-20 (all QIVc components cell-derived)</w:t>
            </w:r>
          </w:p>
        </w:tc>
      </w:tr>
      <w:tr w:rsidR="009C29A2" w:rsidRPr="00001499" w14:paraId="24CB4F34" w14:textId="77777777" w:rsidTr="00FC7A97">
        <w:trPr>
          <w:trHeight w:val="113"/>
        </w:trPr>
        <w:tc>
          <w:tcPr>
            <w:tcW w:w="686" w:type="pct"/>
            <w:tcBorders>
              <w:top w:val="single" w:sz="6" w:space="0" w:color="auto"/>
              <w:left w:val="single" w:sz="6" w:space="0" w:color="auto"/>
              <w:bottom w:val="single" w:sz="6" w:space="0" w:color="auto"/>
              <w:right w:val="single" w:sz="6" w:space="0" w:color="auto"/>
            </w:tcBorders>
          </w:tcPr>
          <w:p w14:paraId="2BEDF2B2" w14:textId="77777777" w:rsidR="009C29A2" w:rsidRPr="00001499" w:rsidRDefault="009C29A2" w:rsidP="00FC7A97">
            <w:pPr>
              <w:pStyle w:val="TableTextleftalign"/>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Seqirus 2021</w:t>
            </w:r>
          </w:p>
        </w:tc>
        <w:tc>
          <w:tcPr>
            <w:tcW w:w="588" w:type="pct"/>
            <w:tcBorders>
              <w:top w:val="single" w:sz="6" w:space="0" w:color="auto"/>
              <w:left w:val="single" w:sz="6" w:space="0" w:color="auto"/>
              <w:bottom w:val="single" w:sz="6" w:space="0" w:color="auto"/>
              <w:right w:val="single" w:sz="6" w:space="0" w:color="auto"/>
            </w:tcBorders>
          </w:tcPr>
          <w:p w14:paraId="62845BE5"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IRME</w:t>
            </w:r>
          </w:p>
        </w:tc>
        <w:tc>
          <w:tcPr>
            <w:tcW w:w="383" w:type="pct"/>
            <w:tcBorders>
              <w:top w:val="single" w:sz="6" w:space="0" w:color="auto"/>
              <w:left w:val="single" w:sz="6" w:space="0" w:color="auto"/>
              <w:bottom w:val="single" w:sz="6" w:space="0" w:color="auto"/>
            </w:tcBorders>
          </w:tcPr>
          <w:p w14:paraId="0AC65A1A"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≥4</w:t>
            </w:r>
          </w:p>
        </w:tc>
        <w:tc>
          <w:tcPr>
            <w:tcW w:w="844" w:type="pct"/>
            <w:tcBorders>
              <w:top w:val="single" w:sz="6" w:space="0" w:color="auto"/>
              <w:bottom w:val="single" w:sz="6" w:space="0" w:color="auto"/>
            </w:tcBorders>
          </w:tcPr>
          <w:p w14:paraId="767B5F39"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22,368/1,559,695</w:t>
            </w:r>
          </w:p>
        </w:tc>
        <w:tc>
          <w:tcPr>
            <w:tcW w:w="383" w:type="pct"/>
            <w:tcBorders>
              <w:top w:val="single" w:sz="6" w:space="0" w:color="auto"/>
              <w:bottom w:val="single" w:sz="6" w:space="0" w:color="auto"/>
            </w:tcBorders>
          </w:tcPr>
          <w:p w14:paraId="76010E5B"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14.3</w:t>
            </w:r>
          </w:p>
          <w:p w14:paraId="2190B49E" w14:textId="77777777" w:rsidR="009C29A2" w:rsidRPr="00001499" w:rsidRDefault="009C29A2" w:rsidP="00FC7A97">
            <w:pPr>
              <w:pStyle w:val="TableTextcentred"/>
              <w:rPr>
                <w:color w:val="000000" w:themeColor="text1"/>
              </w:rPr>
            </w:pPr>
          </w:p>
        </w:tc>
        <w:tc>
          <w:tcPr>
            <w:tcW w:w="919" w:type="pct"/>
            <w:tcBorders>
              <w:top w:val="single" w:sz="6" w:space="0" w:color="auto"/>
              <w:bottom w:val="single" w:sz="6" w:space="0" w:color="auto"/>
            </w:tcBorders>
          </w:tcPr>
          <w:p w14:paraId="476DD91B"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138,386/5,367,253</w:t>
            </w:r>
          </w:p>
        </w:tc>
        <w:tc>
          <w:tcPr>
            <w:tcW w:w="383" w:type="pct"/>
            <w:tcBorders>
              <w:top w:val="single" w:sz="6" w:space="0" w:color="auto"/>
              <w:bottom w:val="single" w:sz="6" w:space="0" w:color="auto"/>
            </w:tcBorders>
          </w:tcPr>
          <w:p w14:paraId="5C2EB421"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25.8</w:t>
            </w:r>
          </w:p>
          <w:p w14:paraId="06C12F3B" w14:textId="77777777" w:rsidR="009C29A2" w:rsidRPr="00001499" w:rsidRDefault="009C29A2" w:rsidP="00FC7A97">
            <w:pPr>
              <w:pStyle w:val="TableTextcentred"/>
              <w:rPr>
                <w:color w:val="000000" w:themeColor="text1"/>
              </w:rPr>
            </w:pPr>
          </w:p>
        </w:tc>
        <w:tc>
          <w:tcPr>
            <w:tcW w:w="814" w:type="pct"/>
            <w:tcBorders>
              <w:top w:val="single" w:sz="6" w:space="0" w:color="auto"/>
              <w:bottom w:val="single" w:sz="6" w:space="0" w:color="auto"/>
              <w:right w:val="single" w:sz="6" w:space="0" w:color="auto"/>
            </w:tcBorders>
          </w:tcPr>
          <w:p w14:paraId="3C3DAAB9" w14:textId="77777777" w:rsidR="009C29A2" w:rsidRPr="00001499" w:rsidRDefault="009C29A2" w:rsidP="00FC7A97">
            <w:pPr>
              <w:pStyle w:val="TableTextcentred"/>
              <w:rPr>
                <w:rFonts w:ascii="Arial Narrow" w:eastAsia="Arial Narrow" w:hAnsi="Arial Narrow" w:cs="Arial Narrow"/>
                <w:b/>
                <w:bCs/>
                <w:color w:val="000000" w:themeColor="text1"/>
                <w:sz w:val="20"/>
                <w:szCs w:val="20"/>
              </w:rPr>
            </w:pPr>
            <w:r w:rsidRPr="00001499">
              <w:rPr>
                <w:rFonts w:ascii="Arial Narrow" w:eastAsia="Arial Narrow" w:hAnsi="Arial Narrow" w:cs="Arial Narrow"/>
                <w:b/>
                <w:bCs/>
                <w:color w:val="000000" w:themeColor="text1"/>
                <w:sz w:val="20"/>
                <w:szCs w:val="20"/>
              </w:rPr>
              <w:t xml:space="preserve">17.2% </w:t>
            </w:r>
            <w:r w:rsidRPr="00001499">
              <w:rPr>
                <w:rFonts w:ascii="Arial Narrow" w:eastAsia="Arial Narrow" w:hAnsi="Arial Narrow" w:cs="Arial Narrow"/>
                <w:b/>
                <w:bCs/>
                <w:color w:val="000000" w:themeColor="text1"/>
                <w:sz w:val="20"/>
                <w:szCs w:val="20"/>
              </w:rPr>
              <w:br/>
              <w:t>(15.8, 18.6)</w:t>
            </w:r>
            <w:r w:rsidRPr="00001499">
              <w:rPr>
                <w:rFonts w:ascii="Arial Narrow" w:eastAsia="Arial Narrow" w:hAnsi="Arial Narrow" w:cs="Arial Narrow"/>
                <w:b/>
                <w:bCs/>
                <w:color w:val="000000" w:themeColor="text1"/>
                <w:sz w:val="20"/>
                <w:szCs w:val="20"/>
                <w:vertAlign w:val="superscript"/>
              </w:rPr>
              <w:t>2</w:t>
            </w:r>
          </w:p>
        </w:tc>
      </w:tr>
      <w:tr w:rsidR="009C29A2" w:rsidRPr="00001499" w14:paraId="203E3445" w14:textId="77777777" w:rsidTr="00FC7A97">
        <w:trPr>
          <w:trHeight w:val="113"/>
        </w:trPr>
        <w:tc>
          <w:tcPr>
            <w:tcW w:w="686" w:type="pct"/>
            <w:tcBorders>
              <w:top w:val="single" w:sz="6" w:space="0" w:color="auto"/>
              <w:left w:val="single" w:sz="6" w:space="0" w:color="auto"/>
              <w:bottom w:val="single" w:sz="6" w:space="0" w:color="auto"/>
              <w:right w:val="single" w:sz="6" w:space="0" w:color="auto"/>
            </w:tcBorders>
          </w:tcPr>
          <w:p w14:paraId="26AA491F" w14:textId="77777777" w:rsidR="009C29A2" w:rsidRPr="00001499" w:rsidRDefault="009C29A2" w:rsidP="00FC7A97">
            <w:pPr>
              <w:pStyle w:val="TableTextleftalign"/>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Divino 2021</w:t>
            </w:r>
          </w:p>
        </w:tc>
        <w:tc>
          <w:tcPr>
            <w:tcW w:w="588" w:type="pct"/>
            <w:tcBorders>
              <w:top w:val="single" w:sz="6" w:space="0" w:color="auto"/>
              <w:left w:val="single" w:sz="6" w:space="0" w:color="auto"/>
              <w:bottom w:val="single" w:sz="6" w:space="0" w:color="auto"/>
              <w:right w:val="single" w:sz="6" w:space="0" w:color="auto"/>
            </w:tcBorders>
          </w:tcPr>
          <w:p w14:paraId="6DC3EBD2"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IRHE</w:t>
            </w:r>
          </w:p>
        </w:tc>
        <w:tc>
          <w:tcPr>
            <w:tcW w:w="383" w:type="pct"/>
            <w:tcBorders>
              <w:top w:val="single" w:sz="6" w:space="0" w:color="auto"/>
              <w:left w:val="single" w:sz="6" w:space="0" w:color="auto"/>
              <w:bottom w:val="single" w:sz="6" w:space="0" w:color="auto"/>
            </w:tcBorders>
          </w:tcPr>
          <w:p w14:paraId="103AD506"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4-64</w:t>
            </w:r>
          </w:p>
        </w:tc>
        <w:tc>
          <w:tcPr>
            <w:tcW w:w="844" w:type="pct"/>
            <w:tcBorders>
              <w:bottom w:val="single" w:sz="6" w:space="0" w:color="auto"/>
            </w:tcBorders>
          </w:tcPr>
          <w:p w14:paraId="3C0AF2DD"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2,011/1,150,134</w:t>
            </w:r>
          </w:p>
        </w:tc>
        <w:tc>
          <w:tcPr>
            <w:tcW w:w="383" w:type="pct"/>
            <w:tcBorders>
              <w:bottom w:val="single" w:sz="6" w:space="0" w:color="auto"/>
            </w:tcBorders>
          </w:tcPr>
          <w:p w14:paraId="0B13DE28"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1.75</w:t>
            </w:r>
          </w:p>
        </w:tc>
        <w:tc>
          <w:tcPr>
            <w:tcW w:w="919" w:type="pct"/>
            <w:tcBorders>
              <w:bottom w:val="single" w:sz="6" w:space="0" w:color="auto"/>
            </w:tcBorders>
          </w:tcPr>
          <w:p w14:paraId="143E5E27"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7,248/3,924,819</w:t>
            </w:r>
          </w:p>
        </w:tc>
        <w:tc>
          <w:tcPr>
            <w:tcW w:w="383" w:type="pct"/>
            <w:tcBorders>
              <w:bottom w:val="single" w:sz="6" w:space="0" w:color="auto"/>
            </w:tcBorders>
          </w:tcPr>
          <w:p w14:paraId="37AECBCB" w14:textId="77777777" w:rsidR="009C29A2" w:rsidRPr="00001499" w:rsidRDefault="009C29A2" w:rsidP="00FC7A97">
            <w:pPr>
              <w:pStyle w:val="TableTextcentred"/>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1.85</w:t>
            </w:r>
          </w:p>
        </w:tc>
        <w:tc>
          <w:tcPr>
            <w:tcW w:w="814" w:type="pct"/>
            <w:tcBorders>
              <w:top w:val="single" w:sz="6" w:space="0" w:color="auto"/>
              <w:bottom w:val="single" w:sz="6" w:space="0" w:color="auto"/>
              <w:right w:val="single" w:sz="6" w:space="0" w:color="auto"/>
            </w:tcBorders>
          </w:tcPr>
          <w:p w14:paraId="47CD0B7A" w14:textId="637C9E46" w:rsidR="009C29A2" w:rsidRPr="00001499" w:rsidRDefault="009C29A2" w:rsidP="00FC7A97">
            <w:pPr>
              <w:pStyle w:val="TableTextcentred"/>
              <w:rPr>
                <w:rFonts w:ascii="Arial Narrow" w:eastAsia="Arial Narrow" w:hAnsi="Arial Narrow" w:cs="Arial Narrow"/>
                <w:b/>
                <w:bCs/>
                <w:color w:val="000000" w:themeColor="text1"/>
                <w:sz w:val="20"/>
                <w:szCs w:val="20"/>
              </w:rPr>
            </w:pPr>
            <w:r w:rsidRPr="00001499">
              <w:rPr>
                <w:rFonts w:ascii="Arial Narrow" w:eastAsia="Arial Narrow" w:hAnsi="Arial Narrow" w:cs="Arial Narrow"/>
                <w:b/>
                <w:bCs/>
                <w:color w:val="000000" w:themeColor="text1"/>
                <w:sz w:val="20"/>
                <w:szCs w:val="20"/>
              </w:rPr>
              <w:t xml:space="preserve">6.8% </w:t>
            </w:r>
            <w:r w:rsidR="00A77DC7" w:rsidRPr="00001499">
              <w:rPr>
                <w:rFonts w:ascii="Arial Narrow" w:eastAsia="Arial Narrow" w:hAnsi="Arial Narrow" w:cs="Arial Narrow"/>
                <w:b/>
                <w:bCs/>
                <w:color w:val="000000" w:themeColor="text1"/>
                <w:sz w:val="20"/>
                <w:szCs w:val="20"/>
              </w:rPr>
              <w:br/>
            </w:r>
            <w:r w:rsidRPr="00001499">
              <w:rPr>
                <w:rFonts w:ascii="Arial Narrow" w:eastAsia="Arial Narrow" w:hAnsi="Arial Narrow" w:cs="Arial Narrow"/>
                <w:b/>
                <w:bCs/>
                <w:color w:val="000000" w:themeColor="text1"/>
                <w:sz w:val="20"/>
                <w:szCs w:val="20"/>
              </w:rPr>
              <w:t>(2.1, 11.3)</w:t>
            </w:r>
            <w:r w:rsidRPr="00001499">
              <w:rPr>
                <w:rFonts w:ascii="Arial Narrow" w:eastAsia="Arial Narrow" w:hAnsi="Arial Narrow" w:cs="Arial Narrow"/>
                <w:b/>
                <w:bCs/>
                <w:color w:val="000000" w:themeColor="text1"/>
                <w:sz w:val="20"/>
                <w:szCs w:val="20"/>
                <w:vertAlign w:val="superscript"/>
              </w:rPr>
              <w:t>4</w:t>
            </w:r>
          </w:p>
        </w:tc>
      </w:tr>
    </w:tbl>
    <w:p w14:paraId="0D67F297" w14:textId="77777777" w:rsidR="009C29A2" w:rsidRPr="00001499" w:rsidRDefault="009C29A2" w:rsidP="009C29A2">
      <w:pPr>
        <w:pStyle w:val="TableFigureFooter"/>
        <w:keepNext/>
        <w:keepLines/>
        <w:rPr>
          <w:rFonts w:eastAsia="Arial Narrow" w:cs="Arial Narrow"/>
          <w:b/>
          <w:bCs/>
          <w:color w:val="000000" w:themeColor="text1"/>
          <w:szCs w:val="18"/>
        </w:rPr>
      </w:pPr>
      <w:r w:rsidRPr="00001499">
        <w:rPr>
          <w:rFonts w:eastAsia="Arial Narrow" w:cs="Arial Narrow"/>
          <w:b/>
          <w:bCs/>
          <w:color w:val="000000" w:themeColor="text1"/>
          <w:szCs w:val="18"/>
        </w:rPr>
        <w:t>Statistically significant results are presented in bold.</w:t>
      </w:r>
    </w:p>
    <w:p w14:paraId="67D2552F" w14:textId="77777777" w:rsidR="009C29A2" w:rsidRPr="00001499" w:rsidRDefault="009C29A2" w:rsidP="009C29A2">
      <w:pPr>
        <w:pStyle w:val="TableFigureFooter"/>
        <w:rPr>
          <w:rFonts w:eastAsia="Arial Narrow" w:cs="Arial Narrow"/>
          <w:color w:val="000000" w:themeColor="text1"/>
        </w:rPr>
      </w:pPr>
      <w:r w:rsidRPr="00001499">
        <w:rPr>
          <w:rFonts w:eastAsia="Arial Narrow" w:cs="Arial Narrow"/>
          <w:color w:val="000000" w:themeColor="text1"/>
        </w:rPr>
        <w:t>Source: Table 2.5.2 p101 of the submission</w:t>
      </w:r>
      <w:r w:rsidRPr="00001499">
        <w:rPr>
          <w:rFonts w:ascii="Calibri" w:eastAsia="Calibri" w:hAnsi="Calibri" w:cs="Calibri"/>
          <w:color w:val="000000" w:themeColor="text1"/>
          <w:sz w:val="16"/>
          <w:szCs w:val="16"/>
        </w:rPr>
        <w:t xml:space="preserve"> </w:t>
      </w:r>
      <w:r w:rsidRPr="00001499">
        <w:rPr>
          <w:rFonts w:eastAsia="Arial Narrow" w:cs="Arial Narrow"/>
          <w:color w:val="000000" w:themeColor="text1"/>
        </w:rPr>
        <w:t>and corrected during the evaluation (</w:t>
      </w:r>
      <w:r w:rsidRPr="00001499">
        <w:rPr>
          <w:rFonts w:eastAsia="Arial Narrow"/>
        </w:rPr>
        <w:t>the numbers were a percentage rather than a rate per 1000 as per the heading for all Boikos/Seqirus papers i.e. 1.85 not 18.5; and for Divino 2021 0.175 instead of 1.75.</w:t>
      </w:r>
      <w:r w:rsidRPr="00001499">
        <w:rPr>
          <w:rFonts w:eastAsia="Arial Narrow" w:cs="Arial Narrow"/>
          <w:color w:val="000000" w:themeColor="text1"/>
        </w:rPr>
        <w:t>)</w:t>
      </w:r>
    </w:p>
    <w:p w14:paraId="0B1ACD1C" w14:textId="77777777" w:rsidR="009C29A2" w:rsidRPr="00001499" w:rsidRDefault="009C29A2" w:rsidP="009C29A2">
      <w:pPr>
        <w:pStyle w:val="TableFigureFooter"/>
        <w:rPr>
          <w:rFonts w:eastAsia="Arial Narrow"/>
        </w:rPr>
      </w:pPr>
      <w:r w:rsidRPr="00001499">
        <w:rPr>
          <w:rFonts w:eastAsia="Calibri"/>
        </w:rPr>
        <w:t xml:space="preserve">CI = confidence interval, n = number of participants with event, N = total participants in group, </w:t>
      </w:r>
      <w:r w:rsidRPr="00001499">
        <w:rPr>
          <w:rFonts w:eastAsia="Arial Narrow"/>
        </w:rPr>
        <w:t xml:space="preserve">CVV = candidate vaccine virus, rVE = relative vaccine effectiveness, IRHE = Influenza related hospital encounters, IRPCE = Influenza related primary care encounters, IRME = Influenza related medical encounters (primary care or hospital), </w:t>
      </w:r>
      <w:r w:rsidRPr="00001499">
        <w:t>QIVc = cell-based quadrivalent subunit influenza virus vaccine, QIVe = egg-based quadrivalent subunit influenza virus vaccine.</w:t>
      </w:r>
    </w:p>
    <w:p w14:paraId="1E3B6744" w14:textId="77777777" w:rsidR="009C29A2" w:rsidRPr="00001499" w:rsidRDefault="009C29A2" w:rsidP="00723CC0">
      <w:pPr>
        <w:pStyle w:val="TableFigureFooter"/>
        <w:numPr>
          <w:ilvl w:val="0"/>
          <w:numId w:val="15"/>
        </w:numPr>
        <w:ind w:left="284" w:hanging="284"/>
        <w:rPr>
          <w:rFonts w:eastAsia="Arial Narrow"/>
          <w:szCs w:val="18"/>
        </w:rPr>
      </w:pPr>
      <w:r w:rsidRPr="00001499">
        <w:rPr>
          <w:rFonts w:eastAsia="Arial Narrow"/>
          <w:szCs w:val="18"/>
        </w:rPr>
        <w:t>Propensity score matched (PSM) analysis.</w:t>
      </w:r>
    </w:p>
    <w:p w14:paraId="67F5691A" w14:textId="77777777" w:rsidR="009C29A2" w:rsidRPr="00001499" w:rsidRDefault="009C29A2" w:rsidP="00723CC0">
      <w:pPr>
        <w:pStyle w:val="TableFigureFooter"/>
        <w:numPr>
          <w:ilvl w:val="0"/>
          <w:numId w:val="15"/>
        </w:numPr>
        <w:ind w:left="284" w:hanging="284"/>
        <w:rPr>
          <w:rFonts w:eastAsia="Arial Narrow"/>
          <w:szCs w:val="18"/>
        </w:rPr>
      </w:pPr>
      <w:r w:rsidRPr="00001499">
        <w:rPr>
          <w:rFonts w:eastAsia="Arial Narrow"/>
          <w:szCs w:val="18"/>
        </w:rPr>
        <w:t xml:space="preserve">Post hoc, “doubly robust” </w:t>
      </w:r>
      <w:r w:rsidRPr="00001499">
        <w:rPr>
          <w:szCs w:val="18"/>
        </w:rPr>
        <w:t>inverse probability treatment weighting</w:t>
      </w:r>
      <w:r w:rsidRPr="00001499">
        <w:t xml:space="preserve"> (</w:t>
      </w:r>
      <w:r w:rsidRPr="00001499">
        <w:rPr>
          <w:rFonts w:eastAsia="Arial Narrow"/>
          <w:szCs w:val="18"/>
        </w:rPr>
        <w:t>IPTW) analysis; n patients calculated from published rates.</w:t>
      </w:r>
    </w:p>
    <w:p w14:paraId="4CCDFCA3" w14:textId="77777777" w:rsidR="009C29A2" w:rsidRPr="00001499" w:rsidRDefault="009C29A2" w:rsidP="00723CC0">
      <w:pPr>
        <w:pStyle w:val="TableFigureFooter"/>
        <w:numPr>
          <w:ilvl w:val="0"/>
          <w:numId w:val="15"/>
        </w:numPr>
        <w:ind w:left="284" w:hanging="284"/>
        <w:rPr>
          <w:szCs w:val="18"/>
        </w:rPr>
      </w:pPr>
      <w:r w:rsidRPr="00001499">
        <w:rPr>
          <w:rFonts w:eastAsia="Arial Narrow"/>
          <w:szCs w:val="18"/>
        </w:rPr>
        <w:t>Post-IPTW adjusted sample.</w:t>
      </w:r>
    </w:p>
    <w:p w14:paraId="1561CC2A" w14:textId="77777777" w:rsidR="009C29A2" w:rsidRPr="00001499" w:rsidRDefault="009C29A2" w:rsidP="00723CC0">
      <w:pPr>
        <w:pStyle w:val="TableFigureFooter"/>
        <w:numPr>
          <w:ilvl w:val="0"/>
          <w:numId w:val="15"/>
        </w:numPr>
        <w:ind w:left="284" w:hanging="284"/>
        <w:rPr>
          <w:szCs w:val="18"/>
        </w:rPr>
      </w:pPr>
      <w:r w:rsidRPr="00001499">
        <w:rPr>
          <w:rFonts w:eastAsia="Arial Narrow"/>
          <w:szCs w:val="18"/>
        </w:rPr>
        <w:t>“Doubly robust” sensitivity analysis.</w:t>
      </w:r>
    </w:p>
    <w:p w14:paraId="63E21DA7" w14:textId="1839881A" w:rsidR="009C29A2" w:rsidRPr="00001499" w:rsidRDefault="009C29A2" w:rsidP="00AA46C6">
      <w:pPr>
        <w:pStyle w:val="3-BodyText"/>
        <w:ind w:left="709"/>
        <w:rPr>
          <w:rFonts w:eastAsia="Calibri"/>
          <w:color w:val="0078D4"/>
          <w:u w:val="single"/>
        </w:rPr>
      </w:pPr>
      <w:r w:rsidRPr="00001499">
        <w:rPr>
          <w:rFonts w:eastAsia="Calibri"/>
        </w:rPr>
        <w:lastRenderedPageBreak/>
        <w:t xml:space="preserve">Seasonal variability: the rVE estimates in the 2017-2018 season were amongst the highest, when </w:t>
      </w:r>
      <w:r w:rsidRPr="00001499" w:rsidDel="31D56572">
        <w:rPr>
          <w:rFonts w:eastAsia="Calibri"/>
        </w:rPr>
        <w:t xml:space="preserve">only </w:t>
      </w:r>
      <w:r w:rsidRPr="00001499">
        <w:rPr>
          <w:rFonts w:eastAsia="Calibri"/>
        </w:rPr>
        <w:t xml:space="preserve">the H3N2 strain was </w:t>
      </w:r>
      <w:r w:rsidRPr="00001499" w:rsidDel="31D56572">
        <w:rPr>
          <w:rFonts w:eastAsia="Calibri"/>
        </w:rPr>
        <w:t>cell-derived</w:t>
      </w:r>
      <w:r w:rsidR="003712EB" w:rsidRPr="00001499">
        <w:rPr>
          <w:rFonts w:eastAsia="Calibri"/>
        </w:rPr>
        <w:t>.</w:t>
      </w:r>
      <w:r w:rsidRPr="00001499" w:rsidDel="31D56572">
        <w:rPr>
          <w:rFonts w:eastAsia="Calibri"/>
        </w:rPr>
        <w:t xml:space="preserve"> </w:t>
      </w:r>
      <w:r w:rsidRPr="00001499">
        <w:rPr>
          <w:rFonts w:eastAsia="Calibri"/>
        </w:rPr>
        <w:t>H3N2</w:t>
      </w:r>
      <w:r w:rsidRPr="00001499" w:rsidDel="31D56572">
        <w:rPr>
          <w:rFonts w:eastAsia="Calibri"/>
        </w:rPr>
        <w:t xml:space="preserve"> was also</w:t>
      </w:r>
      <w:r w:rsidRPr="00001499">
        <w:rPr>
          <w:rFonts w:eastAsia="Calibri"/>
        </w:rPr>
        <w:t xml:space="preserve"> the predominant circulating strain, and there was evidence of egg adaptation for this strain. Because of this, the estimates from 2017-2018 could be considered a best-case scenario for QIVc across these three seasons. The rVE estimates were the lowest in 2018-19, when H1N1 was more predominant than H3N2, and the QIVc vaccine did not contain a cell-derived H1N1 component. </w:t>
      </w:r>
      <w:r w:rsidR="00D81030">
        <w:rPr>
          <w:rFonts w:eastAsia="Calibri"/>
        </w:rPr>
        <w:t xml:space="preserve">The pre-PBAC </w:t>
      </w:r>
      <w:r w:rsidR="00AE63FB">
        <w:rPr>
          <w:rFonts w:eastAsia="Calibri"/>
        </w:rPr>
        <w:t>R</w:t>
      </w:r>
      <w:r w:rsidR="00D81030">
        <w:rPr>
          <w:rFonts w:eastAsia="Calibri"/>
        </w:rPr>
        <w:t>esponse acknowledged that the rVE of QIVc will vary from year</w:t>
      </w:r>
      <w:r w:rsidR="00A1705A">
        <w:rPr>
          <w:rFonts w:eastAsia="Calibri"/>
        </w:rPr>
        <w:t>-</w:t>
      </w:r>
      <w:r w:rsidR="00D81030">
        <w:rPr>
          <w:rFonts w:eastAsia="Calibri"/>
        </w:rPr>
        <w:t>to</w:t>
      </w:r>
      <w:r w:rsidR="00A1705A">
        <w:rPr>
          <w:rFonts w:eastAsia="Calibri"/>
        </w:rPr>
        <w:t>-</w:t>
      </w:r>
      <w:r w:rsidR="00D81030">
        <w:rPr>
          <w:rFonts w:eastAsia="Calibri"/>
        </w:rPr>
        <w:t>year based on the season-specific characteristics of the circulating virus and its match to vaccine strains, including the degree of egg adaptation, and emphasised that this variability was incorporated into the economic model.</w:t>
      </w:r>
    </w:p>
    <w:p w14:paraId="74988AEC" w14:textId="19FD31F4" w:rsidR="009C29A2" w:rsidRPr="00001499" w:rsidRDefault="009C29A2" w:rsidP="00AA46C6">
      <w:pPr>
        <w:pStyle w:val="3-BodyText"/>
        <w:ind w:left="709"/>
        <w:rPr>
          <w:rFonts w:eastAsia="Calibri"/>
        </w:rPr>
      </w:pPr>
      <w:r w:rsidRPr="00001499">
        <w:rPr>
          <w:rFonts w:eastAsia="Calibri"/>
        </w:rPr>
        <w:t xml:space="preserve">Egg adaptation and cell-derived vaccine: the submission stated that the studies were likely to underestimate the true benefit that would have been observed had a fully cell-derived vaccine been used. </w:t>
      </w:r>
      <w:r w:rsidRPr="00001499">
        <w:rPr>
          <w:rFonts w:eastAsia="Calibri"/>
          <w:iCs/>
        </w:rPr>
        <w:t xml:space="preserve">However, </w:t>
      </w:r>
      <w:r w:rsidRPr="00001499">
        <w:rPr>
          <w:rFonts w:eastAsia="Calibri"/>
        </w:rPr>
        <w:t>the magnitude of any impact would depend on the extent of egg adaptation in the predominant non-cell derived strains in these seasons. In 2018-19, for example, it would depend on the degree of egg adaptation in H1N1. The submission did not provide any data on egg-adaption for H1N1 in the northern hemisphere for this year, but public sources include more commentary on the emergence of considerable genetic diversity among H1N1 than on egg-adaption</w:t>
      </w:r>
      <w:r w:rsidRPr="00001499">
        <w:rPr>
          <w:rStyle w:val="FootnoteReference"/>
          <w:rFonts w:eastAsia="Calibri"/>
        </w:rPr>
        <w:footnoteReference w:id="4"/>
      </w:r>
      <w:r w:rsidRPr="00001499">
        <w:rPr>
          <w:rFonts w:eastAsia="Calibri"/>
          <w:vertAlign w:val="superscript"/>
        </w:rPr>
        <w:t>,</w:t>
      </w:r>
      <w:r w:rsidRPr="00001499">
        <w:rPr>
          <w:rStyle w:val="FootnoteReference"/>
          <w:rFonts w:eastAsia="Calibri"/>
        </w:rPr>
        <w:footnoteReference w:id="5"/>
      </w:r>
      <w:r w:rsidRPr="00001499">
        <w:rPr>
          <w:rFonts w:eastAsia="Calibri"/>
        </w:rPr>
        <w:t xml:space="preserve">. </w:t>
      </w:r>
      <w:r w:rsidRPr="00001499">
        <w:rPr>
          <w:rFonts w:eastAsia="Calibri"/>
          <w:iCs/>
        </w:rPr>
        <w:t>An analysis of the degree of antigenic similarity between cell and egg-propagated vaccine reference viruses and the circulating viruses for the 2016-2020 Southern Hemisphere seasons was presented by the submission and</w:t>
      </w:r>
      <w:r w:rsidRPr="00001499">
        <w:rPr>
          <w:rFonts w:eastAsia="Calibri"/>
        </w:rPr>
        <w:t xml:space="preserve"> indicated virtually no egg adaptation for H1N1 in Australia in the 2018 or 2019 influenza seasons.</w:t>
      </w:r>
      <w:r w:rsidR="000B540C">
        <w:rPr>
          <w:rFonts w:eastAsia="Calibri"/>
        </w:rPr>
        <w:t xml:space="preserve"> The pre-PBAC response </w:t>
      </w:r>
      <w:r w:rsidR="00794585">
        <w:rPr>
          <w:rFonts w:eastAsia="Calibri"/>
        </w:rPr>
        <w:t xml:space="preserve">referenced </w:t>
      </w:r>
      <w:r w:rsidR="00F37ABF">
        <w:rPr>
          <w:rFonts w:eastAsia="Calibri"/>
        </w:rPr>
        <w:t xml:space="preserve">a study analysing </w:t>
      </w:r>
      <w:r w:rsidR="00EA2BBE" w:rsidRPr="00EA2BBE">
        <w:rPr>
          <w:rFonts w:eastAsia="Calibri"/>
        </w:rPr>
        <w:t xml:space="preserve">data </w:t>
      </w:r>
      <w:r w:rsidR="00F37ABF">
        <w:rPr>
          <w:rFonts w:eastAsia="Calibri"/>
        </w:rPr>
        <w:t>from</w:t>
      </w:r>
      <w:r w:rsidR="00EA2BBE" w:rsidRPr="00EA2BBE">
        <w:rPr>
          <w:rFonts w:eastAsia="Calibri"/>
        </w:rPr>
        <w:t xml:space="preserve"> annual and interim reports published by the Worldwide Influenza Centre, London.  This data enabled retrospective assessment of antigenic similarity between circulating and WHO reference viruses propagated in either eggs or cells from the 2002</w:t>
      </w:r>
      <w:r w:rsidR="00EA2BBE">
        <w:rPr>
          <w:rFonts w:eastAsia="Calibri"/>
        </w:rPr>
        <w:t xml:space="preserve"> </w:t>
      </w:r>
      <w:r w:rsidR="00EA2BBE" w:rsidRPr="00EA2BBE">
        <w:rPr>
          <w:rFonts w:eastAsia="Calibri"/>
        </w:rPr>
        <w:t>to 2018 Northern and Southern influenza seasons</w:t>
      </w:r>
      <w:r w:rsidR="00F37ABF">
        <w:rPr>
          <w:rStyle w:val="FootnoteReference"/>
          <w:rFonts w:eastAsia="Calibri"/>
        </w:rPr>
        <w:footnoteReference w:id="6"/>
      </w:r>
      <w:r w:rsidR="00EA2BBE" w:rsidRPr="00EA2BBE">
        <w:rPr>
          <w:rFonts w:eastAsia="Calibri"/>
        </w:rPr>
        <w:t xml:space="preserve">. </w:t>
      </w:r>
      <w:r w:rsidR="00B87CD1">
        <w:rPr>
          <w:rFonts w:eastAsia="Calibri"/>
        </w:rPr>
        <w:t>T</w:t>
      </w:r>
      <w:r w:rsidR="00EA2BBE">
        <w:rPr>
          <w:rFonts w:eastAsia="Calibri"/>
        </w:rPr>
        <w:t xml:space="preserve">he pre-PBAC Response noted that </w:t>
      </w:r>
      <w:r w:rsidR="00F37ABF">
        <w:rPr>
          <w:rFonts w:eastAsia="Calibri"/>
        </w:rPr>
        <w:t>the study</w:t>
      </w:r>
      <w:r w:rsidR="00794585">
        <w:rPr>
          <w:rFonts w:eastAsia="Calibri"/>
        </w:rPr>
        <w:t xml:space="preserve"> </w:t>
      </w:r>
      <w:r w:rsidR="00EA2BBE">
        <w:rPr>
          <w:rFonts w:eastAsia="Calibri"/>
        </w:rPr>
        <w:t>showed</w:t>
      </w:r>
      <w:r w:rsidR="00794585">
        <w:rPr>
          <w:rFonts w:eastAsia="Calibri"/>
        </w:rPr>
        <w:t xml:space="preserve"> evidence of egg-adaption for </w:t>
      </w:r>
      <w:r w:rsidR="00794585" w:rsidRPr="00F37A65">
        <w:t>the A(H3N2)</w:t>
      </w:r>
      <w:r w:rsidR="00794585">
        <w:t>,</w:t>
      </w:r>
      <w:r w:rsidR="00794585" w:rsidRPr="00F37A65">
        <w:t xml:space="preserve"> B/Yamagata</w:t>
      </w:r>
      <w:r w:rsidR="00794585">
        <w:t xml:space="preserve">, and </w:t>
      </w:r>
      <w:r w:rsidR="00794585" w:rsidRPr="00F37A65">
        <w:t>B/Victoria strain</w:t>
      </w:r>
      <w:r w:rsidR="00794585">
        <w:t>s</w:t>
      </w:r>
      <w:r w:rsidR="002B5F8D">
        <w:rPr>
          <w:rFonts w:eastAsia="Calibri"/>
        </w:rPr>
        <w:t xml:space="preserve"> </w:t>
      </w:r>
      <w:r w:rsidR="00794585">
        <w:rPr>
          <w:rFonts w:eastAsia="Calibri"/>
        </w:rPr>
        <w:t>for seasons varying between 2002 and 20</w:t>
      </w:r>
      <w:r w:rsidR="00EA2BBE">
        <w:rPr>
          <w:rFonts w:eastAsia="Calibri"/>
        </w:rPr>
        <w:t>18</w:t>
      </w:r>
      <w:r w:rsidR="00794585">
        <w:rPr>
          <w:rFonts w:eastAsia="Calibri"/>
        </w:rPr>
        <w:t xml:space="preserve"> across Northern and Southern influenza seasons</w:t>
      </w:r>
      <w:r w:rsidR="00EA2BBE">
        <w:rPr>
          <w:rFonts w:eastAsia="Calibri"/>
        </w:rPr>
        <w:t xml:space="preserve">. The pre-PBAC Response also noted </w:t>
      </w:r>
      <w:r w:rsidR="002B5F8D">
        <w:rPr>
          <w:rFonts w:eastAsia="Calibri"/>
        </w:rPr>
        <w:t xml:space="preserve">that </w:t>
      </w:r>
      <w:r w:rsidR="002B5F8D">
        <w:t>r</w:t>
      </w:r>
      <w:r w:rsidR="002B5F8D" w:rsidRPr="00F37A65">
        <w:t xml:space="preserve">ecent antigenic characterisation studies using post-vaccination human antisera </w:t>
      </w:r>
      <w:r w:rsidR="002B5F8D" w:rsidRPr="00472AC1">
        <w:t>suggest egg-adaptation may also occur in A(H1N1)</w:t>
      </w:r>
      <w:r w:rsidR="002B5F8D">
        <w:t xml:space="preserve"> strains. </w:t>
      </w:r>
    </w:p>
    <w:p w14:paraId="1B167839" w14:textId="705E51F4" w:rsidR="009C29A2" w:rsidRPr="00001499" w:rsidRDefault="009C29A2" w:rsidP="00AA46C6">
      <w:pPr>
        <w:pStyle w:val="3-BodyText"/>
        <w:ind w:left="709"/>
        <w:rPr>
          <w:rFonts w:eastAsia="Calibri"/>
          <w:color w:val="0078D4"/>
          <w:u w:val="single"/>
        </w:rPr>
      </w:pPr>
      <w:r w:rsidRPr="00001499">
        <w:rPr>
          <w:rFonts w:eastAsia="Calibri"/>
        </w:rPr>
        <w:t xml:space="preserve">Variability in outcome measures: the </w:t>
      </w:r>
      <w:r w:rsidR="00F86BC9">
        <w:rPr>
          <w:rFonts w:eastAsia="Calibri"/>
        </w:rPr>
        <w:t xml:space="preserve">largest variation in </w:t>
      </w:r>
      <w:r w:rsidRPr="00001499">
        <w:rPr>
          <w:rFonts w:eastAsia="Calibri"/>
        </w:rPr>
        <w:t>rVE</w:t>
      </w:r>
      <w:r w:rsidR="00F86BC9">
        <w:rPr>
          <w:rFonts w:eastAsia="Calibri"/>
        </w:rPr>
        <w:t xml:space="preserve"> within a season</w:t>
      </w:r>
      <w:r w:rsidRPr="00001499">
        <w:rPr>
          <w:rFonts w:eastAsia="Calibri"/>
        </w:rPr>
        <w:t xml:space="preserve"> </w:t>
      </w:r>
      <w:r w:rsidR="00F86BC9">
        <w:rPr>
          <w:rFonts w:eastAsia="Calibri"/>
        </w:rPr>
        <w:t>was</w:t>
      </w:r>
      <w:r w:rsidRPr="00001499">
        <w:rPr>
          <w:rFonts w:eastAsia="Calibri"/>
        </w:rPr>
        <w:t xml:space="preserve"> across the two different studies for 2019-2020. </w:t>
      </w:r>
      <w:r w:rsidR="00F86BC9">
        <w:rPr>
          <w:rFonts w:eastAsia="Calibri"/>
        </w:rPr>
        <w:t>For</w:t>
      </w:r>
      <w:r w:rsidRPr="00001499">
        <w:rPr>
          <w:rFonts w:eastAsia="Calibri"/>
        </w:rPr>
        <w:t xml:space="preserve"> Seqirus 2021 disaggregated </w:t>
      </w:r>
      <w:r w:rsidRPr="00001499">
        <w:rPr>
          <w:rFonts w:eastAsia="Calibri"/>
        </w:rPr>
        <w:lastRenderedPageBreak/>
        <w:t>analys</w:t>
      </w:r>
      <w:r w:rsidR="00F86BC9">
        <w:rPr>
          <w:rFonts w:eastAsia="Calibri"/>
        </w:rPr>
        <w:t>e</w:t>
      </w:r>
      <w:r w:rsidRPr="00001499">
        <w:rPr>
          <w:rFonts w:eastAsia="Calibri"/>
        </w:rPr>
        <w:t>s by hospitalisation or primary care presentation</w:t>
      </w:r>
      <w:r w:rsidR="00F86BC9">
        <w:rPr>
          <w:rFonts w:eastAsia="Calibri"/>
        </w:rPr>
        <w:t xml:space="preserve"> were presented</w:t>
      </w:r>
      <w:r w:rsidRPr="00001499">
        <w:rPr>
          <w:rFonts w:eastAsia="Calibri"/>
        </w:rPr>
        <w:t>. The rVE for the hospitalisation outcome (5.7%, 95% CI 2.6% to 8.7%, any diagnosis</w:t>
      </w:r>
      <w:r w:rsidR="00F86BC9">
        <w:rPr>
          <w:rFonts w:eastAsia="Calibri"/>
        </w:rPr>
        <w:t>;</w:t>
      </w:r>
      <w:r w:rsidRPr="00001499">
        <w:rPr>
          <w:rFonts w:eastAsia="Calibri"/>
        </w:rPr>
        <w:t xml:space="preserve"> figures for admission diagnosis were very similar) was similar to that </w:t>
      </w:r>
      <w:r w:rsidR="00F86BC9">
        <w:rPr>
          <w:rFonts w:eastAsia="Calibri"/>
        </w:rPr>
        <w:t>for</w:t>
      </w:r>
      <w:r w:rsidRPr="00001499">
        <w:rPr>
          <w:rFonts w:eastAsia="Calibri"/>
        </w:rPr>
        <w:t xml:space="preserve"> the hospital-based Divino </w:t>
      </w:r>
      <w:r w:rsidR="00723CC0">
        <w:rPr>
          <w:rFonts w:eastAsia="Calibri"/>
        </w:rPr>
        <w:t>(</w:t>
      </w:r>
      <w:r w:rsidRPr="00001499">
        <w:rPr>
          <w:rFonts w:eastAsia="Calibri"/>
        </w:rPr>
        <w:t>2021</w:t>
      </w:r>
      <w:r w:rsidR="00723CC0">
        <w:rPr>
          <w:rFonts w:eastAsia="Calibri"/>
        </w:rPr>
        <w:t>)</w:t>
      </w:r>
      <w:r w:rsidRPr="00001499">
        <w:rPr>
          <w:rFonts w:eastAsia="Calibri"/>
        </w:rPr>
        <w:t xml:space="preserve"> study, with a much larger rVE for primary care </w:t>
      </w:r>
      <w:r w:rsidR="00F86BC9">
        <w:rPr>
          <w:rFonts w:eastAsia="Calibri"/>
        </w:rPr>
        <w:t xml:space="preserve">presentation </w:t>
      </w:r>
      <w:r w:rsidRPr="00001499">
        <w:rPr>
          <w:rFonts w:eastAsia="Calibri"/>
        </w:rPr>
        <w:t>(20.8%, 95% CI 19.2% to 22.4%).</w:t>
      </w:r>
    </w:p>
    <w:p w14:paraId="480ED92E" w14:textId="1E782689" w:rsidR="009C29A2" w:rsidRPr="00001499" w:rsidRDefault="009C29A2" w:rsidP="00AA46C6">
      <w:pPr>
        <w:pStyle w:val="3-BodyText"/>
        <w:keepNext/>
        <w:keepLines/>
        <w:ind w:left="709"/>
        <w:rPr>
          <w:rFonts w:eastAsia="Calibri"/>
        </w:rPr>
      </w:pPr>
      <w:bookmarkStart w:id="41" w:name="_Ref96346468"/>
      <w:r w:rsidRPr="00001499">
        <w:rPr>
          <w:rFonts w:eastAsia="Calibri"/>
        </w:rPr>
        <w:t>Evaluation of rVE point estimates: point estimates of rVE from the observational studies ranged from 6.5% to 19.3% (</w:t>
      </w:r>
      <w:r w:rsidRPr="00001499">
        <w:rPr>
          <w:rFonts w:eastAsia="Calibri"/>
          <w:highlight w:val="yellow"/>
        </w:rPr>
        <w:fldChar w:fldCharType="begin" w:fldLock="1"/>
      </w:r>
      <w:r w:rsidRPr="00001499">
        <w:rPr>
          <w:rFonts w:eastAsia="Calibri"/>
        </w:rPr>
        <w:instrText xml:space="preserve"> REF _Ref96340358 \h </w:instrText>
      </w:r>
      <w:r w:rsidRPr="00001499">
        <w:rPr>
          <w:rFonts w:eastAsia="Calibri"/>
          <w:highlight w:val="yellow"/>
        </w:rPr>
      </w:r>
      <w:r w:rsidRPr="00001499">
        <w:rPr>
          <w:rFonts w:eastAsia="Calibri"/>
          <w:highlight w:val="yellow"/>
        </w:rPr>
        <w:fldChar w:fldCharType="separate"/>
      </w:r>
      <w:r w:rsidR="005C1FE9" w:rsidRPr="00001499">
        <w:t xml:space="preserve">Table </w:t>
      </w:r>
      <w:r w:rsidR="005C1FE9">
        <w:rPr>
          <w:noProof/>
        </w:rPr>
        <w:t>5</w:t>
      </w:r>
      <w:r w:rsidRPr="00001499">
        <w:rPr>
          <w:rFonts w:eastAsia="Calibri"/>
          <w:highlight w:val="yellow"/>
        </w:rPr>
        <w:fldChar w:fldCharType="end"/>
      </w:r>
      <w:r w:rsidRPr="00001499">
        <w:rPr>
          <w:rFonts w:eastAsia="Calibri"/>
        </w:rPr>
        <w:t>).</w:t>
      </w:r>
      <w:bookmarkEnd w:id="41"/>
      <w:r w:rsidRPr="00001499">
        <w:rPr>
          <w:rFonts w:eastAsia="Calibri"/>
        </w:rPr>
        <w:t xml:space="preserve"> </w:t>
      </w:r>
    </w:p>
    <w:p w14:paraId="7CAE9592" w14:textId="521F4D1E" w:rsidR="009C29A2" w:rsidRPr="00001499" w:rsidRDefault="009C29A2" w:rsidP="00192B2D">
      <w:pPr>
        <w:pStyle w:val="ListParagraph"/>
        <w:numPr>
          <w:ilvl w:val="0"/>
          <w:numId w:val="9"/>
        </w:numPr>
        <w:ind w:left="1134"/>
        <w:rPr>
          <w:rFonts w:eastAsiaTheme="minorEastAsia" w:cstheme="minorBidi"/>
          <w:color w:val="000000" w:themeColor="text1"/>
        </w:rPr>
      </w:pPr>
      <w:r w:rsidRPr="00001499">
        <w:rPr>
          <w:rFonts w:ascii="Calibri" w:eastAsia="Calibri" w:hAnsi="Calibri" w:cs="Calibri"/>
          <w:color w:val="000000" w:themeColor="text1"/>
        </w:rPr>
        <w:t xml:space="preserve">As most effect sizes </w:t>
      </w:r>
      <w:r w:rsidRPr="00001499">
        <w:rPr>
          <w:rFonts w:ascii="Calibri" w:eastAsia="Calibri" w:hAnsi="Calibri" w:cs="Calibri"/>
          <w:iCs/>
          <w:color w:val="000000" w:themeColor="text1"/>
        </w:rPr>
        <w:t>across the studies</w:t>
      </w:r>
      <w:r w:rsidRPr="00001499">
        <w:rPr>
          <w:rFonts w:ascii="Calibri" w:eastAsia="Calibri" w:hAnsi="Calibri" w:cs="Calibri"/>
          <w:color w:val="000000" w:themeColor="text1"/>
        </w:rPr>
        <w:t xml:space="preserve"> are reasonably small, any potential for remaining confounding is of greater concern, as effect sizes larger than these in observational epidemiologic studies have been generated by residual and/or unmeasured confounding alone</w:t>
      </w:r>
      <w:r w:rsidRPr="00001499">
        <w:rPr>
          <w:rStyle w:val="FootnoteReference"/>
          <w:rFonts w:eastAsia="Calibri" w:cs="Calibri"/>
          <w:color w:val="000000" w:themeColor="text1"/>
        </w:rPr>
        <w:footnoteReference w:id="7"/>
      </w:r>
      <w:r w:rsidRPr="00001499">
        <w:rPr>
          <w:rFonts w:ascii="Calibri" w:eastAsia="Calibri" w:hAnsi="Calibri" w:cs="Calibri"/>
          <w:color w:val="000000" w:themeColor="text1"/>
        </w:rPr>
        <w:t xml:space="preserve">, and </w:t>
      </w:r>
      <w:r w:rsidRPr="00001499">
        <w:rPr>
          <w:rFonts w:ascii="Calibri" w:eastAsia="Calibri" w:hAnsi="Calibri" w:cs="Calibri"/>
          <w:iCs/>
          <w:color w:val="000000" w:themeColor="text1"/>
        </w:rPr>
        <w:t>strong statistical associations in</w:t>
      </w:r>
      <w:r w:rsidRPr="00001499">
        <w:rPr>
          <w:rFonts w:ascii="Calibri" w:eastAsia="Calibri" w:hAnsi="Calibri" w:cs="Calibri"/>
          <w:color w:val="000000" w:themeColor="text1"/>
        </w:rPr>
        <w:t xml:space="preserve"> study results are considered less likely to be due to bias</w:t>
      </w:r>
      <w:r w:rsidRPr="00001499">
        <w:rPr>
          <w:rStyle w:val="FootnoteReference"/>
          <w:rFonts w:eastAsia="Calibri" w:cs="Calibri"/>
          <w:color w:val="000000" w:themeColor="text1"/>
        </w:rPr>
        <w:footnoteReference w:id="8"/>
      </w:r>
      <w:r w:rsidRPr="00001499">
        <w:rPr>
          <w:rFonts w:ascii="Calibri" w:eastAsia="Calibri" w:hAnsi="Calibri" w:cs="Calibri"/>
          <w:color w:val="000000" w:themeColor="text1"/>
        </w:rPr>
        <w:t>.</w:t>
      </w:r>
    </w:p>
    <w:p w14:paraId="50ACF667" w14:textId="517A1D60" w:rsidR="009C29A2" w:rsidRPr="00001499" w:rsidRDefault="009C29A2" w:rsidP="00192B2D">
      <w:pPr>
        <w:pStyle w:val="ListParagraph"/>
        <w:numPr>
          <w:ilvl w:val="0"/>
          <w:numId w:val="9"/>
        </w:numPr>
        <w:ind w:left="1134"/>
        <w:rPr>
          <w:rFonts w:ascii="Calibri" w:eastAsia="Calibri" w:hAnsi="Calibri" w:cs="Calibri"/>
          <w:iCs/>
          <w:color w:val="000000" w:themeColor="text1"/>
        </w:rPr>
      </w:pPr>
      <w:r w:rsidRPr="00001499">
        <w:rPr>
          <w:rFonts w:ascii="Calibri" w:eastAsia="Calibri" w:hAnsi="Calibri" w:cs="Calibri"/>
          <w:color w:val="000000" w:themeColor="text1"/>
        </w:rPr>
        <w:t xml:space="preserve">It is unclear what these values of rVE mean in terms of a clinically important difference. ATAGI advice indicated, “It is unclear if these levels of rVE are clinically significant. With an estimated vaccine effectiveness (overall) of around 50% in Australia (as reported in WHO Collaborating Centre for Reference and Research on Influenza review of Australian 2019 influenza season), this level of rVE would increase the effectiveness of the influenza vaccine to between approximately 53% and 59%. This is within the range of normal vaccine effectiveness variation; for example, in 2018 influenza vaccine effectiveness was 58% against hospitalisation due to influenza and 68% against GP presentation due to influenza. Between 2012 and 2017, vaccine effectiveness for GP presentations ranged from 35-60%, and 13-50% for hospitalisation”. </w:t>
      </w:r>
      <w:r w:rsidRPr="00001499">
        <w:rPr>
          <w:rFonts w:ascii="Calibri" w:eastAsia="Calibri" w:hAnsi="Calibri" w:cs="Calibri"/>
          <w:iCs/>
          <w:color w:val="000000" w:themeColor="text1"/>
        </w:rPr>
        <w:t>The PSCR contended that the magnitude of incremental effectiveness of QIVc compared to QIVe was clinically relevant, noting that Lewis (2021) had shown that a 5% rVE can avert significant disease, especially in seasons when the absolute VE of the comparator is low. Lewis (2021) conducted a scenario analysis using data from adults ≥</w:t>
      </w:r>
      <w:r w:rsidR="00192B2D">
        <w:rPr>
          <w:rFonts w:ascii="Calibri" w:eastAsia="Calibri" w:hAnsi="Calibri" w:cs="Calibri"/>
          <w:iCs/>
          <w:color w:val="000000" w:themeColor="text1"/>
        </w:rPr>
        <w:t xml:space="preserve"> </w:t>
      </w:r>
      <w:r w:rsidRPr="00001499">
        <w:rPr>
          <w:rFonts w:ascii="Calibri" w:eastAsia="Calibri" w:hAnsi="Calibri" w:cs="Calibri"/>
          <w:iCs/>
          <w:color w:val="000000" w:themeColor="text1"/>
        </w:rPr>
        <w:t>65 years, with absolute VE estimates ranging from a 30% to 60%. An impact of a 5% rVE was seen using data from people ≥</w:t>
      </w:r>
      <w:r w:rsidR="00192B2D">
        <w:rPr>
          <w:rFonts w:ascii="Calibri" w:eastAsia="Calibri" w:hAnsi="Calibri" w:cs="Calibri"/>
          <w:iCs/>
          <w:color w:val="000000" w:themeColor="text1"/>
        </w:rPr>
        <w:t xml:space="preserve"> </w:t>
      </w:r>
      <w:r w:rsidRPr="00001499">
        <w:rPr>
          <w:rFonts w:ascii="Calibri" w:eastAsia="Calibri" w:hAnsi="Calibri" w:cs="Calibri"/>
          <w:iCs/>
          <w:color w:val="000000" w:themeColor="text1"/>
        </w:rPr>
        <w:t>65 years, and it was greatest in scenarios with lower absolute VE (11,700 additional hospitalisations averted at 30%, and 6,700 at 60%).</w:t>
      </w:r>
      <w:r w:rsidRPr="00001499">
        <w:rPr>
          <w:rStyle w:val="FootnoteReference"/>
          <w:rFonts w:eastAsia="Calibri" w:cs="Calibri"/>
          <w:iCs/>
          <w:color w:val="000000" w:themeColor="text1"/>
        </w:rPr>
        <w:footnoteReference w:id="9"/>
      </w:r>
      <w:r w:rsidRPr="00001499">
        <w:rPr>
          <w:rFonts w:ascii="Calibri" w:eastAsia="Calibri" w:hAnsi="Calibri" w:cs="Calibri"/>
          <w:iCs/>
          <w:color w:val="000000" w:themeColor="text1"/>
        </w:rPr>
        <w:t xml:space="preserve"> The PSCR also re-presented data from the submission’s static cohort modelling to assert the clinical relevance of the modelled rVE (0% to 15.6%) in terms of burden of disease presented, as shown in the table below. </w:t>
      </w:r>
      <w:bookmarkStart w:id="42" w:name="_Hlk120608544"/>
      <w:r w:rsidRPr="00001499">
        <w:rPr>
          <w:rFonts w:ascii="Calibri" w:eastAsia="Calibri" w:hAnsi="Calibri" w:cs="Calibri"/>
          <w:iCs/>
          <w:color w:val="000000" w:themeColor="text1"/>
        </w:rPr>
        <w:t xml:space="preserve">The ESC noted that in some years there will be no impact </w:t>
      </w:r>
      <w:r w:rsidR="002F7EBC">
        <w:rPr>
          <w:rFonts w:ascii="Calibri" w:eastAsia="Calibri" w:hAnsi="Calibri" w:cs="Calibri"/>
          <w:iCs/>
          <w:color w:val="000000" w:themeColor="text1"/>
        </w:rPr>
        <w:t>of</w:t>
      </w:r>
      <w:r w:rsidRPr="00001499">
        <w:rPr>
          <w:rFonts w:ascii="Calibri" w:eastAsia="Calibri" w:hAnsi="Calibri" w:cs="Calibri"/>
          <w:iCs/>
          <w:color w:val="000000" w:themeColor="text1"/>
        </w:rPr>
        <w:t xml:space="preserve"> QIV</w:t>
      </w:r>
      <w:r w:rsidR="002F7EBC">
        <w:rPr>
          <w:rFonts w:ascii="Calibri" w:eastAsia="Calibri" w:hAnsi="Calibri" w:cs="Calibri"/>
          <w:iCs/>
          <w:color w:val="000000" w:themeColor="text1"/>
        </w:rPr>
        <w:t>c</w:t>
      </w:r>
      <w:r w:rsidRPr="00001499">
        <w:rPr>
          <w:rFonts w:ascii="Calibri" w:eastAsia="Calibri" w:hAnsi="Calibri" w:cs="Calibri"/>
          <w:iCs/>
          <w:color w:val="000000" w:themeColor="text1"/>
        </w:rPr>
        <w:t>.</w:t>
      </w:r>
      <w:bookmarkEnd w:id="42"/>
    </w:p>
    <w:p w14:paraId="1675AAB5" w14:textId="026B23EC" w:rsidR="009C29A2" w:rsidRPr="00001499" w:rsidRDefault="009C29A2" w:rsidP="009C29A2">
      <w:pPr>
        <w:pStyle w:val="TableHeading0"/>
        <w:rPr>
          <w:iCs/>
        </w:rPr>
      </w:pPr>
      <w:r w:rsidRPr="00001499">
        <w:rPr>
          <w:iCs/>
        </w:rPr>
        <w:lastRenderedPageBreak/>
        <w:t xml:space="preserve">Table </w:t>
      </w:r>
      <w:r w:rsidRPr="00001499">
        <w:rPr>
          <w:iCs/>
        </w:rPr>
        <w:fldChar w:fldCharType="begin" w:fldLock="1"/>
      </w:r>
      <w:r w:rsidRPr="00001499">
        <w:rPr>
          <w:iCs/>
        </w:rPr>
        <w:instrText xml:space="preserve"> SEQ Table \* ARABIC </w:instrText>
      </w:r>
      <w:r w:rsidRPr="00001499">
        <w:rPr>
          <w:iCs/>
        </w:rPr>
        <w:fldChar w:fldCharType="separate"/>
      </w:r>
      <w:r w:rsidR="005C1FE9">
        <w:rPr>
          <w:iCs/>
          <w:noProof/>
        </w:rPr>
        <w:t>6</w:t>
      </w:r>
      <w:r w:rsidRPr="00001499">
        <w:rPr>
          <w:iCs/>
        </w:rPr>
        <w:fldChar w:fldCharType="end"/>
      </w:r>
      <w:r w:rsidRPr="00001499">
        <w:rPr>
          <w:iCs/>
        </w:rPr>
        <w:t>: Estimated absolute QIVc effectiveness and influenza burden averted in the context of the observed QIVe effectiveness and burden of illness in 2015-2019 in Australia</w:t>
      </w:r>
    </w:p>
    <w:tbl>
      <w:tblPr>
        <w:tblStyle w:val="TableGrid"/>
        <w:tblW w:w="5000" w:type="pct"/>
        <w:tblLayout w:type="fixed"/>
        <w:tblLook w:val="04A0" w:firstRow="1" w:lastRow="0" w:firstColumn="1" w:lastColumn="0" w:noHBand="0" w:noVBand="1"/>
      </w:tblPr>
      <w:tblGrid>
        <w:gridCol w:w="735"/>
        <w:gridCol w:w="885"/>
        <w:gridCol w:w="1127"/>
        <w:gridCol w:w="1251"/>
        <w:gridCol w:w="2660"/>
        <w:gridCol w:w="1559"/>
        <w:gridCol w:w="800"/>
      </w:tblGrid>
      <w:tr w:rsidR="009C29A2" w:rsidRPr="00001499" w14:paraId="103A84CD" w14:textId="77777777" w:rsidTr="00FC7A97">
        <w:trPr>
          <w:trHeight w:val="20"/>
        </w:trPr>
        <w:tc>
          <w:tcPr>
            <w:tcW w:w="735" w:type="dxa"/>
            <w:vMerge w:val="restart"/>
          </w:tcPr>
          <w:p w14:paraId="3B229AB3" w14:textId="77777777" w:rsidR="009C29A2" w:rsidRPr="00001499" w:rsidRDefault="009C29A2" w:rsidP="00FC7A97">
            <w:pPr>
              <w:pStyle w:val="Tabletitlecentred0"/>
              <w:rPr>
                <w:rFonts w:ascii="Arial Narrow" w:hAnsi="Arial Narrow"/>
                <w:iCs/>
                <w:sz w:val="20"/>
              </w:rPr>
            </w:pPr>
            <w:r w:rsidRPr="00001499">
              <w:rPr>
                <w:rFonts w:ascii="Arial Narrow" w:hAnsi="Arial Narrow"/>
                <w:iCs/>
                <w:sz w:val="20"/>
              </w:rPr>
              <w:t>Year</w:t>
            </w:r>
          </w:p>
        </w:tc>
        <w:tc>
          <w:tcPr>
            <w:tcW w:w="885" w:type="dxa"/>
            <w:vMerge w:val="restart"/>
          </w:tcPr>
          <w:p w14:paraId="3995A0AA" w14:textId="77777777" w:rsidR="009C29A2" w:rsidRPr="00001499" w:rsidRDefault="009C29A2" w:rsidP="00FC7A97">
            <w:pPr>
              <w:pStyle w:val="Tabletitlecentred0"/>
              <w:rPr>
                <w:rFonts w:ascii="Arial Narrow" w:hAnsi="Arial Narrow"/>
                <w:iCs/>
                <w:sz w:val="20"/>
                <w:vertAlign w:val="superscript"/>
              </w:rPr>
            </w:pPr>
            <w:r w:rsidRPr="00001499">
              <w:rPr>
                <w:rFonts w:ascii="Arial Narrow" w:hAnsi="Arial Narrow"/>
                <w:iCs/>
                <w:sz w:val="20"/>
              </w:rPr>
              <w:t>VE QIVe</w:t>
            </w:r>
            <w:r w:rsidRPr="00001499">
              <w:rPr>
                <w:rFonts w:ascii="Arial Narrow" w:hAnsi="Arial Narrow"/>
                <w:iCs/>
                <w:sz w:val="20"/>
                <w:vertAlign w:val="superscript"/>
              </w:rPr>
              <w:t>1</w:t>
            </w:r>
          </w:p>
        </w:tc>
        <w:tc>
          <w:tcPr>
            <w:tcW w:w="1127" w:type="dxa"/>
            <w:vMerge w:val="restart"/>
          </w:tcPr>
          <w:p w14:paraId="3C417938" w14:textId="77777777" w:rsidR="009C29A2" w:rsidRPr="00001499" w:rsidRDefault="009C29A2" w:rsidP="00FC7A97">
            <w:pPr>
              <w:pStyle w:val="Tabletitlecentred0"/>
              <w:rPr>
                <w:rFonts w:ascii="Arial Narrow" w:hAnsi="Arial Narrow"/>
                <w:iCs/>
                <w:sz w:val="20"/>
              </w:rPr>
            </w:pPr>
            <w:r w:rsidRPr="00001499">
              <w:rPr>
                <w:rFonts w:ascii="Arial Narrow" w:hAnsi="Arial Narrow"/>
                <w:iCs/>
                <w:sz w:val="20"/>
              </w:rPr>
              <w:t xml:space="preserve">Base case rVE </w:t>
            </w:r>
          </w:p>
        </w:tc>
        <w:tc>
          <w:tcPr>
            <w:tcW w:w="1251" w:type="dxa"/>
            <w:vMerge w:val="restart"/>
          </w:tcPr>
          <w:p w14:paraId="36D41C8E" w14:textId="77777777" w:rsidR="009C29A2" w:rsidRPr="00001499" w:rsidRDefault="009C29A2" w:rsidP="00FC7A97">
            <w:pPr>
              <w:pStyle w:val="Tabletitlecentred0"/>
              <w:rPr>
                <w:rFonts w:ascii="Arial Narrow" w:hAnsi="Arial Narrow"/>
                <w:iCs/>
                <w:sz w:val="20"/>
              </w:rPr>
            </w:pPr>
            <w:r w:rsidRPr="00001499">
              <w:rPr>
                <w:rFonts w:ascii="Arial Narrow" w:hAnsi="Arial Narrow"/>
                <w:iCs/>
                <w:sz w:val="20"/>
              </w:rPr>
              <w:t>Estimated VE QIVc</w:t>
            </w:r>
          </w:p>
        </w:tc>
        <w:tc>
          <w:tcPr>
            <w:tcW w:w="5019" w:type="dxa"/>
            <w:gridSpan w:val="3"/>
          </w:tcPr>
          <w:p w14:paraId="02584ACE" w14:textId="77777777" w:rsidR="009C29A2" w:rsidRPr="00001499" w:rsidRDefault="009C29A2" w:rsidP="00FC7A97">
            <w:pPr>
              <w:pStyle w:val="Tabletitlecentred0"/>
              <w:rPr>
                <w:rFonts w:ascii="Arial Narrow" w:hAnsi="Arial Narrow"/>
                <w:iCs/>
                <w:sz w:val="20"/>
              </w:rPr>
            </w:pPr>
            <w:r w:rsidRPr="00001499">
              <w:rPr>
                <w:rFonts w:ascii="Arial Narrow" w:hAnsi="Arial Narrow"/>
                <w:iCs/>
                <w:sz w:val="20"/>
              </w:rPr>
              <w:t>Estimated burden averted in the proposed vaccinated NIP population</w:t>
            </w:r>
          </w:p>
        </w:tc>
      </w:tr>
      <w:tr w:rsidR="009C29A2" w:rsidRPr="00001499" w14:paraId="1E7955AE" w14:textId="77777777" w:rsidTr="00FC7A97">
        <w:trPr>
          <w:trHeight w:val="20"/>
        </w:trPr>
        <w:tc>
          <w:tcPr>
            <w:tcW w:w="735" w:type="dxa"/>
            <w:vMerge/>
          </w:tcPr>
          <w:p w14:paraId="30055649" w14:textId="77777777" w:rsidR="009C29A2" w:rsidRPr="00001499" w:rsidRDefault="009C29A2" w:rsidP="00FC7A97">
            <w:pPr>
              <w:pStyle w:val="Tabletitlecentred0"/>
              <w:rPr>
                <w:rFonts w:ascii="Arial Narrow" w:hAnsi="Arial Narrow"/>
                <w:iCs/>
                <w:sz w:val="20"/>
              </w:rPr>
            </w:pPr>
          </w:p>
        </w:tc>
        <w:tc>
          <w:tcPr>
            <w:tcW w:w="885" w:type="dxa"/>
            <w:vMerge/>
          </w:tcPr>
          <w:p w14:paraId="57CC06A2" w14:textId="77777777" w:rsidR="009C29A2" w:rsidRPr="00001499" w:rsidRDefault="009C29A2" w:rsidP="00FC7A97">
            <w:pPr>
              <w:pStyle w:val="Tabletitlecentred0"/>
              <w:rPr>
                <w:rFonts w:ascii="Arial Narrow" w:hAnsi="Arial Narrow"/>
                <w:iCs/>
                <w:sz w:val="20"/>
              </w:rPr>
            </w:pPr>
          </w:p>
        </w:tc>
        <w:tc>
          <w:tcPr>
            <w:tcW w:w="1127" w:type="dxa"/>
            <w:vMerge/>
          </w:tcPr>
          <w:p w14:paraId="49276611" w14:textId="77777777" w:rsidR="009C29A2" w:rsidRPr="00001499" w:rsidRDefault="009C29A2" w:rsidP="00FC7A97">
            <w:pPr>
              <w:pStyle w:val="Tabletitlecentred0"/>
              <w:rPr>
                <w:rFonts w:ascii="Arial Narrow" w:hAnsi="Arial Narrow"/>
                <w:iCs/>
                <w:sz w:val="20"/>
              </w:rPr>
            </w:pPr>
          </w:p>
        </w:tc>
        <w:tc>
          <w:tcPr>
            <w:tcW w:w="1251" w:type="dxa"/>
            <w:vMerge/>
          </w:tcPr>
          <w:p w14:paraId="078385A0" w14:textId="77777777" w:rsidR="009C29A2" w:rsidRPr="00001499" w:rsidRDefault="009C29A2" w:rsidP="00FC7A97">
            <w:pPr>
              <w:pStyle w:val="Tabletitlecentred0"/>
              <w:rPr>
                <w:rFonts w:ascii="Arial Narrow" w:hAnsi="Arial Narrow"/>
                <w:iCs/>
                <w:sz w:val="20"/>
              </w:rPr>
            </w:pPr>
          </w:p>
        </w:tc>
        <w:tc>
          <w:tcPr>
            <w:tcW w:w="2660" w:type="dxa"/>
          </w:tcPr>
          <w:p w14:paraId="5BAA10BB" w14:textId="77777777" w:rsidR="009C29A2" w:rsidRPr="00001499" w:rsidRDefault="009C29A2" w:rsidP="00FC7A97">
            <w:pPr>
              <w:pStyle w:val="Tabletitlecentred0"/>
              <w:rPr>
                <w:rFonts w:ascii="Arial Narrow" w:hAnsi="Arial Narrow"/>
                <w:iCs/>
                <w:sz w:val="20"/>
              </w:rPr>
            </w:pPr>
            <w:r w:rsidRPr="00001499">
              <w:rPr>
                <w:rFonts w:ascii="Arial Narrow" w:hAnsi="Arial Narrow"/>
                <w:iCs/>
                <w:sz w:val="20"/>
              </w:rPr>
              <w:t>Medically attended influenza</w:t>
            </w:r>
          </w:p>
        </w:tc>
        <w:tc>
          <w:tcPr>
            <w:tcW w:w="1559" w:type="dxa"/>
          </w:tcPr>
          <w:p w14:paraId="2650CC52" w14:textId="77777777" w:rsidR="009C29A2" w:rsidRPr="00001499" w:rsidRDefault="009C29A2" w:rsidP="00FC7A97">
            <w:pPr>
              <w:pStyle w:val="Tabletitlecentred0"/>
              <w:rPr>
                <w:rFonts w:ascii="Arial Narrow" w:hAnsi="Arial Narrow"/>
                <w:iCs/>
                <w:sz w:val="20"/>
              </w:rPr>
            </w:pPr>
            <w:r w:rsidRPr="00001499">
              <w:rPr>
                <w:rFonts w:ascii="Arial Narrow" w:hAnsi="Arial Narrow"/>
                <w:iCs/>
                <w:sz w:val="20"/>
              </w:rPr>
              <w:t>Hospitalisations</w:t>
            </w:r>
          </w:p>
        </w:tc>
        <w:tc>
          <w:tcPr>
            <w:tcW w:w="800" w:type="dxa"/>
          </w:tcPr>
          <w:p w14:paraId="04BB3F55" w14:textId="77777777" w:rsidR="009C29A2" w:rsidRPr="00001499" w:rsidRDefault="009C29A2" w:rsidP="00FC7A97">
            <w:pPr>
              <w:pStyle w:val="Tabletitlecentred0"/>
              <w:rPr>
                <w:rFonts w:ascii="Arial Narrow" w:hAnsi="Arial Narrow"/>
                <w:iCs/>
                <w:sz w:val="20"/>
              </w:rPr>
            </w:pPr>
            <w:r w:rsidRPr="00001499">
              <w:rPr>
                <w:rFonts w:ascii="Arial Narrow" w:hAnsi="Arial Narrow"/>
                <w:iCs/>
                <w:sz w:val="20"/>
              </w:rPr>
              <w:t>Deaths</w:t>
            </w:r>
          </w:p>
        </w:tc>
      </w:tr>
      <w:tr w:rsidR="009C29A2" w:rsidRPr="00001499" w14:paraId="698FCC76" w14:textId="77777777" w:rsidTr="00FC7A97">
        <w:tc>
          <w:tcPr>
            <w:tcW w:w="735" w:type="dxa"/>
          </w:tcPr>
          <w:p w14:paraId="2FD8B7B9"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2015</w:t>
            </w:r>
          </w:p>
        </w:tc>
        <w:tc>
          <w:tcPr>
            <w:tcW w:w="885" w:type="dxa"/>
          </w:tcPr>
          <w:p w14:paraId="280D00EF"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54.0%</w:t>
            </w:r>
          </w:p>
        </w:tc>
        <w:tc>
          <w:tcPr>
            <w:tcW w:w="1127" w:type="dxa"/>
          </w:tcPr>
          <w:p w14:paraId="15E9AAAB"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14.0% </w:t>
            </w:r>
          </w:p>
        </w:tc>
        <w:tc>
          <w:tcPr>
            <w:tcW w:w="1251" w:type="dxa"/>
          </w:tcPr>
          <w:p w14:paraId="40450D6E"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60.4% </w:t>
            </w:r>
          </w:p>
        </w:tc>
        <w:tc>
          <w:tcPr>
            <w:tcW w:w="2660" w:type="dxa"/>
          </w:tcPr>
          <w:p w14:paraId="34210E5A"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2,005</w:t>
            </w:r>
          </w:p>
        </w:tc>
        <w:tc>
          <w:tcPr>
            <w:tcW w:w="1559" w:type="dxa"/>
          </w:tcPr>
          <w:p w14:paraId="733060EB"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548</w:t>
            </w:r>
          </w:p>
        </w:tc>
        <w:tc>
          <w:tcPr>
            <w:tcW w:w="800" w:type="dxa"/>
          </w:tcPr>
          <w:p w14:paraId="2203097D"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18</w:t>
            </w:r>
          </w:p>
        </w:tc>
      </w:tr>
      <w:tr w:rsidR="009C29A2" w:rsidRPr="00001499" w14:paraId="4F23DBE0" w14:textId="77777777" w:rsidTr="00FC7A97">
        <w:tc>
          <w:tcPr>
            <w:tcW w:w="735" w:type="dxa"/>
          </w:tcPr>
          <w:p w14:paraId="4CA3B2B8"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2016</w:t>
            </w:r>
          </w:p>
        </w:tc>
        <w:tc>
          <w:tcPr>
            <w:tcW w:w="885" w:type="dxa"/>
          </w:tcPr>
          <w:p w14:paraId="3F0C0D3E"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40.0%</w:t>
            </w:r>
          </w:p>
        </w:tc>
        <w:tc>
          <w:tcPr>
            <w:tcW w:w="1127" w:type="dxa"/>
          </w:tcPr>
          <w:p w14:paraId="4C64D98A"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15.6% </w:t>
            </w:r>
          </w:p>
        </w:tc>
        <w:tc>
          <w:tcPr>
            <w:tcW w:w="1251" w:type="dxa"/>
          </w:tcPr>
          <w:p w14:paraId="53FA710D"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49.4% </w:t>
            </w:r>
          </w:p>
        </w:tc>
        <w:tc>
          <w:tcPr>
            <w:tcW w:w="2660" w:type="dxa"/>
          </w:tcPr>
          <w:p w14:paraId="49CFEB78"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1,978</w:t>
            </w:r>
          </w:p>
        </w:tc>
        <w:tc>
          <w:tcPr>
            <w:tcW w:w="1559" w:type="dxa"/>
          </w:tcPr>
          <w:p w14:paraId="48893C13"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627</w:t>
            </w:r>
          </w:p>
        </w:tc>
        <w:tc>
          <w:tcPr>
            <w:tcW w:w="800" w:type="dxa"/>
          </w:tcPr>
          <w:p w14:paraId="53D28ACE"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22</w:t>
            </w:r>
          </w:p>
        </w:tc>
      </w:tr>
      <w:tr w:rsidR="009C29A2" w:rsidRPr="00001499" w14:paraId="649F5A15" w14:textId="77777777" w:rsidTr="00FC7A97">
        <w:tc>
          <w:tcPr>
            <w:tcW w:w="735" w:type="dxa"/>
          </w:tcPr>
          <w:p w14:paraId="2DB6EE74"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2017</w:t>
            </w:r>
          </w:p>
        </w:tc>
        <w:tc>
          <w:tcPr>
            <w:tcW w:w="885" w:type="dxa"/>
          </w:tcPr>
          <w:p w14:paraId="5DE695F4"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33.0%</w:t>
            </w:r>
          </w:p>
        </w:tc>
        <w:tc>
          <w:tcPr>
            <w:tcW w:w="1127" w:type="dxa"/>
          </w:tcPr>
          <w:p w14:paraId="7213AC38"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15.6% </w:t>
            </w:r>
          </w:p>
        </w:tc>
        <w:tc>
          <w:tcPr>
            <w:tcW w:w="1251" w:type="dxa"/>
          </w:tcPr>
          <w:p w14:paraId="77C2E6D6"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43.5% </w:t>
            </w:r>
          </w:p>
        </w:tc>
        <w:tc>
          <w:tcPr>
            <w:tcW w:w="2660" w:type="dxa"/>
          </w:tcPr>
          <w:p w14:paraId="0B1EA1BF"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5,370</w:t>
            </w:r>
          </w:p>
        </w:tc>
        <w:tc>
          <w:tcPr>
            <w:tcW w:w="1559" w:type="dxa"/>
          </w:tcPr>
          <w:p w14:paraId="312FD58F"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1,340</w:t>
            </w:r>
          </w:p>
        </w:tc>
        <w:tc>
          <w:tcPr>
            <w:tcW w:w="800" w:type="dxa"/>
          </w:tcPr>
          <w:p w14:paraId="13209922"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49</w:t>
            </w:r>
          </w:p>
        </w:tc>
      </w:tr>
      <w:tr w:rsidR="009C29A2" w:rsidRPr="00001499" w14:paraId="7504C018" w14:textId="77777777" w:rsidTr="00FC7A97">
        <w:tc>
          <w:tcPr>
            <w:tcW w:w="735" w:type="dxa"/>
          </w:tcPr>
          <w:p w14:paraId="504FC253"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2018</w:t>
            </w:r>
          </w:p>
        </w:tc>
        <w:tc>
          <w:tcPr>
            <w:tcW w:w="885" w:type="dxa"/>
          </w:tcPr>
          <w:p w14:paraId="1EDEDD2B"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68.0%</w:t>
            </w:r>
          </w:p>
        </w:tc>
        <w:tc>
          <w:tcPr>
            <w:tcW w:w="1127" w:type="dxa"/>
          </w:tcPr>
          <w:p w14:paraId="66D78D7D"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0.0% </w:t>
            </w:r>
          </w:p>
        </w:tc>
        <w:tc>
          <w:tcPr>
            <w:tcW w:w="1251" w:type="dxa"/>
          </w:tcPr>
          <w:p w14:paraId="765BF090"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68.0% </w:t>
            </w:r>
          </w:p>
        </w:tc>
        <w:tc>
          <w:tcPr>
            <w:tcW w:w="2660" w:type="dxa"/>
          </w:tcPr>
          <w:p w14:paraId="4028C3B1"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0</w:t>
            </w:r>
          </w:p>
        </w:tc>
        <w:tc>
          <w:tcPr>
            <w:tcW w:w="1559" w:type="dxa"/>
          </w:tcPr>
          <w:p w14:paraId="76E82F0B"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0</w:t>
            </w:r>
          </w:p>
        </w:tc>
        <w:tc>
          <w:tcPr>
            <w:tcW w:w="800" w:type="dxa"/>
          </w:tcPr>
          <w:p w14:paraId="4461BFB8"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0</w:t>
            </w:r>
          </w:p>
        </w:tc>
      </w:tr>
      <w:tr w:rsidR="009C29A2" w:rsidRPr="00001499" w14:paraId="24D2D3D8" w14:textId="77777777" w:rsidTr="00FC7A97">
        <w:tc>
          <w:tcPr>
            <w:tcW w:w="735" w:type="dxa"/>
          </w:tcPr>
          <w:p w14:paraId="524A5925"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2019</w:t>
            </w:r>
          </w:p>
        </w:tc>
        <w:tc>
          <w:tcPr>
            <w:tcW w:w="885" w:type="dxa"/>
          </w:tcPr>
          <w:p w14:paraId="094AC72C"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47.6%</w:t>
            </w:r>
          </w:p>
        </w:tc>
        <w:tc>
          <w:tcPr>
            <w:tcW w:w="1127" w:type="dxa"/>
          </w:tcPr>
          <w:p w14:paraId="14C79796"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15.6% </w:t>
            </w:r>
          </w:p>
        </w:tc>
        <w:tc>
          <w:tcPr>
            <w:tcW w:w="1251" w:type="dxa"/>
          </w:tcPr>
          <w:p w14:paraId="480F1C99"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 xml:space="preserve">55.8% </w:t>
            </w:r>
          </w:p>
        </w:tc>
        <w:tc>
          <w:tcPr>
            <w:tcW w:w="2660" w:type="dxa"/>
          </w:tcPr>
          <w:p w14:paraId="06C901E3"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6,780</w:t>
            </w:r>
          </w:p>
        </w:tc>
        <w:tc>
          <w:tcPr>
            <w:tcW w:w="1559" w:type="dxa"/>
          </w:tcPr>
          <w:p w14:paraId="685A0EF2"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1,594</w:t>
            </w:r>
          </w:p>
        </w:tc>
        <w:tc>
          <w:tcPr>
            <w:tcW w:w="800" w:type="dxa"/>
          </w:tcPr>
          <w:p w14:paraId="61FC3D91" w14:textId="77777777" w:rsidR="009C29A2" w:rsidRPr="00001499" w:rsidRDefault="009C29A2" w:rsidP="00FC7A97">
            <w:pPr>
              <w:pStyle w:val="TableTextcentred"/>
              <w:rPr>
                <w:rFonts w:ascii="Arial Narrow" w:hAnsi="Arial Narrow"/>
                <w:iCs/>
                <w:sz w:val="20"/>
                <w:szCs w:val="20"/>
              </w:rPr>
            </w:pPr>
            <w:r w:rsidRPr="00001499">
              <w:rPr>
                <w:rFonts w:ascii="Arial Narrow" w:hAnsi="Arial Narrow"/>
                <w:iCs/>
                <w:sz w:val="20"/>
                <w:szCs w:val="20"/>
              </w:rPr>
              <w:t>56</w:t>
            </w:r>
          </w:p>
        </w:tc>
      </w:tr>
    </w:tbl>
    <w:p w14:paraId="4715DC16" w14:textId="77777777" w:rsidR="009C29A2" w:rsidRPr="00001499" w:rsidRDefault="009C29A2" w:rsidP="009C29A2">
      <w:pPr>
        <w:pStyle w:val="TableFootnoteindent"/>
        <w:rPr>
          <w:rFonts w:ascii="Arial Narrow" w:hAnsi="Arial Narrow"/>
          <w:iCs/>
          <w:sz w:val="18"/>
          <w:szCs w:val="18"/>
        </w:rPr>
      </w:pPr>
      <w:r w:rsidRPr="00001499">
        <w:rPr>
          <w:rFonts w:ascii="Arial Narrow" w:hAnsi="Arial Narrow"/>
          <w:iCs/>
          <w:sz w:val="18"/>
          <w:szCs w:val="18"/>
        </w:rPr>
        <w:t>1</w:t>
      </w:r>
      <w:r w:rsidRPr="00001499">
        <w:rPr>
          <w:rFonts w:ascii="Arial Narrow" w:hAnsi="Arial Narrow"/>
          <w:iCs/>
          <w:sz w:val="18"/>
          <w:szCs w:val="18"/>
        </w:rPr>
        <w:tab/>
        <w:t>VE estimate from primary care.</w:t>
      </w:r>
    </w:p>
    <w:p w14:paraId="6CFB6B9A" w14:textId="300F5961" w:rsidR="009C29A2" w:rsidRPr="00001499" w:rsidRDefault="009C29A2" w:rsidP="00A77DC7">
      <w:pPr>
        <w:pStyle w:val="TableSource"/>
        <w:rPr>
          <w:rFonts w:ascii="Arial Narrow" w:hAnsi="Arial Narrow"/>
          <w:i w:val="0"/>
          <w:sz w:val="18"/>
          <w:szCs w:val="18"/>
        </w:rPr>
      </w:pPr>
      <w:r w:rsidRPr="00001499">
        <w:rPr>
          <w:rFonts w:ascii="Arial Narrow" w:hAnsi="Arial Narrow"/>
          <w:i w:val="0"/>
          <w:sz w:val="18"/>
          <w:szCs w:val="18"/>
        </w:rPr>
        <w:t xml:space="preserve">Source: </w:t>
      </w:r>
      <w:r w:rsidRPr="00001499">
        <w:rPr>
          <w:rFonts w:ascii="Arial Narrow" w:hAnsi="Arial Narrow"/>
          <w:i w:val="0"/>
          <w:sz w:val="18"/>
          <w:szCs w:val="18"/>
        </w:rPr>
        <w:tab/>
        <w:t>Submission Tables 3.3.2, 3.3.3, 3.8.16, shown in Table 2 of the PSCR.</w:t>
      </w:r>
    </w:p>
    <w:p w14:paraId="045BD76E" w14:textId="2C5279E8" w:rsidR="009C29A2" w:rsidRPr="00001499" w:rsidRDefault="009C29A2" w:rsidP="00AC330C">
      <w:pPr>
        <w:pStyle w:val="ListParagraph"/>
        <w:numPr>
          <w:ilvl w:val="0"/>
          <w:numId w:val="9"/>
        </w:numPr>
        <w:spacing w:before="120"/>
        <w:ind w:left="709" w:hanging="357"/>
        <w:rPr>
          <w:rFonts w:ascii="Calibri" w:eastAsia="Calibri" w:hAnsi="Calibri" w:cs="Calibri"/>
          <w:iCs/>
          <w:color w:val="000000" w:themeColor="text1"/>
        </w:rPr>
      </w:pPr>
      <w:r w:rsidRPr="00001499">
        <w:rPr>
          <w:rFonts w:ascii="Calibri" w:eastAsia="Calibri" w:hAnsi="Calibri" w:cs="Calibri"/>
          <w:color w:val="000000" w:themeColor="text1"/>
        </w:rPr>
        <w:t xml:space="preserve">The combined primary care and hospitalisation outcomes for 2019-20 have masked an apparent difference in rVE in these settings, with a small point estimate </w:t>
      </w:r>
      <w:r w:rsidRPr="00001499">
        <w:rPr>
          <w:rFonts w:ascii="Calibri" w:eastAsia="Calibri" w:hAnsi="Calibri" w:cs="Calibri"/>
          <w:iCs/>
          <w:color w:val="000000" w:themeColor="text1"/>
        </w:rPr>
        <w:t>(5.7%)</w:t>
      </w:r>
      <w:r w:rsidRPr="00001499">
        <w:rPr>
          <w:rFonts w:ascii="Calibri" w:eastAsia="Calibri" w:hAnsi="Calibri" w:cs="Calibri"/>
          <w:color w:val="000000" w:themeColor="text1"/>
        </w:rPr>
        <w:t xml:space="preserve"> for hospitalisation and a larger </w:t>
      </w:r>
      <w:r w:rsidR="00F86BC9">
        <w:rPr>
          <w:rFonts w:ascii="Calibri" w:eastAsia="Calibri" w:hAnsi="Calibri" w:cs="Calibri"/>
          <w:color w:val="000000" w:themeColor="text1"/>
        </w:rPr>
        <w:t>estimate</w:t>
      </w:r>
      <w:r w:rsidR="00F86BC9" w:rsidRPr="00001499">
        <w:rPr>
          <w:rFonts w:ascii="Calibri" w:eastAsia="Calibri" w:hAnsi="Calibri" w:cs="Calibri"/>
          <w:color w:val="000000" w:themeColor="text1"/>
        </w:rPr>
        <w:t xml:space="preserve"> </w:t>
      </w:r>
      <w:r w:rsidRPr="00001499">
        <w:rPr>
          <w:rFonts w:ascii="Calibri" w:eastAsia="Calibri" w:hAnsi="Calibri" w:cs="Calibri"/>
          <w:color w:val="000000" w:themeColor="text1"/>
        </w:rPr>
        <w:t xml:space="preserve">for primary care </w:t>
      </w:r>
      <w:r w:rsidRPr="00001499">
        <w:rPr>
          <w:rFonts w:ascii="Calibri" w:eastAsia="Calibri" w:hAnsi="Calibri" w:cs="Calibri"/>
          <w:iCs/>
          <w:color w:val="000000" w:themeColor="text1"/>
        </w:rPr>
        <w:t>(20.8%) based</w:t>
      </w:r>
      <w:r w:rsidRPr="00001499">
        <w:rPr>
          <w:rFonts w:ascii="Calibri" w:eastAsia="Calibri" w:hAnsi="Calibri" w:cs="Calibri"/>
          <w:color w:val="000000" w:themeColor="text1"/>
        </w:rPr>
        <w:t xml:space="preserve"> </w:t>
      </w:r>
      <w:r w:rsidRPr="00001499">
        <w:rPr>
          <w:rFonts w:ascii="Calibri" w:eastAsia="Calibri" w:hAnsi="Calibri" w:cs="Calibri"/>
          <w:iCs/>
          <w:color w:val="000000" w:themeColor="text1"/>
        </w:rPr>
        <w:t>on disaggregated analysis of Seqirus 2021</w:t>
      </w:r>
      <w:r w:rsidRPr="00001499">
        <w:rPr>
          <w:rFonts w:ascii="Calibri" w:eastAsia="Calibri" w:hAnsi="Calibri" w:cs="Calibri"/>
          <w:color w:val="000000" w:themeColor="text1"/>
        </w:rPr>
        <w:t xml:space="preserve">. For 2018-19, the point estimates for hospital only (Krishnarajah 2021, </w:t>
      </w:r>
      <w:r w:rsidRPr="00001499">
        <w:rPr>
          <w:rFonts w:ascii="Calibri" w:eastAsia="Calibri" w:hAnsi="Calibri" w:cs="Calibri"/>
          <w:iCs/>
          <w:color w:val="000000" w:themeColor="text1"/>
        </w:rPr>
        <w:t>6.5%</w:t>
      </w:r>
      <w:r w:rsidRPr="00001499">
        <w:rPr>
          <w:rFonts w:ascii="Calibri" w:eastAsia="Calibri" w:hAnsi="Calibri" w:cs="Calibri"/>
          <w:color w:val="000000" w:themeColor="text1"/>
        </w:rPr>
        <w:t xml:space="preserve">), and the hospital and primary care combined (Boikos 2021, </w:t>
      </w:r>
      <w:r w:rsidRPr="00001499">
        <w:rPr>
          <w:rFonts w:ascii="Calibri" w:eastAsia="Calibri" w:hAnsi="Calibri" w:cs="Calibri"/>
          <w:iCs/>
          <w:color w:val="000000" w:themeColor="text1"/>
        </w:rPr>
        <w:t>7.6%</w:t>
      </w:r>
      <w:r w:rsidRPr="00001499">
        <w:rPr>
          <w:rFonts w:ascii="Calibri" w:eastAsia="Calibri" w:hAnsi="Calibri" w:cs="Calibri"/>
          <w:color w:val="000000" w:themeColor="text1"/>
        </w:rPr>
        <w:t xml:space="preserve">) are similar, which may suggest little difference between QIVe and QIVc in this season, though as disaggregated data are not available </w:t>
      </w:r>
      <w:r w:rsidRPr="00001499">
        <w:rPr>
          <w:rFonts w:ascii="Calibri" w:eastAsia="Calibri" w:hAnsi="Calibri" w:cs="Calibri"/>
          <w:iCs/>
          <w:color w:val="000000" w:themeColor="text1"/>
        </w:rPr>
        <w:t>for 2018-2019</w:t>
      </w:r>
      <w:r w:rsidRPr="00001499">
        <w:rPr>
          <w:rFonts w:ascii="Calibri" w:eastAsia="Calibri" w:hAnsi="Calibri" w:cs="Calibri"/>
          <w:color w:val="000000" w:themeColor="text1"/>
        </w:rPr>
        <w:t xml:space="preserve">, this cannot be confirmed. In general, overall VE estimates can differ by outcome (primary care versus hospitalisation encounters) and by season, and rVE may also differ between </w:t>
      </w:r>
      <w:r w:rsidRPr="00001499">
        <w:rPr>
          <w:rFonts w:ascii="Calibri" w:eastAsia="Calibri" w:hAnsi="Calibri" w:cs="Calibri"/>
          <w:iCs/>
          <w:color w:val="000000" w:themeColor="text1"/>
        </w:rPr>
        <w:t>primary care and hospital</w:t>
      </w:r>
      <w:r w:rsidRPr="00001499">
        <w:rPr>
          <w:rFonts w:ascii="Calibri" w:eastAsia="Calibri" w:hAnsi="Calibri" w:cs="Calibri"/>
          <w:color w:val="000000" w:themeColor="text1"/>
        </w:rPr>
        <w:t xml:space="preserve"> settings in a variable way across influenza seasons, likely dependent on circulating strain, match/mismatch of vaccine, and severity of the season (as well as egg-adaptation). Disaggregated rVE results are more informative for this reason. </w:t>
      </w:r>
      <w:r w:rsidRPr="00001499">
        <w:rPr>
          <w:rFonts w:ascii="Calibri" w:eastAsia="Calibri" w:hAnsi="Calibri" w:cs="Calibri"/>
          <w:iCs/>
          <w:color w:val="000000" w:themeColor="text1"/>
        </w:rPr>
        <w:t>The PSCR commented that there was no data to support a difference in vaccine effectiveness by severity, noting that if there were, it might be expected that the vaccine would be more effective at preventing severe outcomes, but that none of the studies had shown a trend towards greater effectiveness in the hospital setting. The ESC considered</w:t>
      </w:r>
      <w:r w:rsidRPr="00001499">
        <w:rPr>
          <w:rFonts w:ascii="Times New Roman" w:hAnsi="Times New Roman" w:cs="Times New Roman"/>
          <w:iCs/>
          <w:snapToGrid/>
          <w:sz w:val="22"/>
          <w:szCs w:val="22"/>
        </w:rPr>
        <w:t xml:space="preserve"> </w:t>
      </w:r>
      <w:r w:rsidRPr="00001499">
        <w:rPr>
          <w:rFonts w:ascii="Calibri" w:eastAsia="Calibri" w:hAnsi="Calibri" w:cs="Calibri"/>
          <w:iCs/>
          <w:color w:val="000000" w:themeColor="text1"/>
        </w:rPr>
        <w:t>having one measure for all influenza outcomes meant that any factors influencing disease severity and types of medical encounters may be obscured</w:t>
      </w:r>
      <w:r w:rsidR="00FC7A97" w:rsidRPr="00001499">
        <w:rPr>
          <w:rFonts w:ascii="Calibri" w:eastAsia="Calibri" w:hAnsi="Calibri" w:cs="Calibri"/>
          <w:iCs/>
          <w:color w:val="000000" w:themeColor="text1"/>
        </w:rPr>
        <w:t xml:space="preserve"> (e.g. circulating strains)</w:t>
      </w:r>
      <w:r w:rsidRPr="00001499">
        <w:rPr>
          <w:rFonts w:ascii="Calibri" w:eastAsia="Calibri" w:hAnsi="Calibri" w:cs="Calibri"/>
          <w:iCs/>
          <w:color w:val="000000" w:themeColor="text1"/>
        </w:rPr>
        <w:t xml:space="preserve">, and it noted that effects in different settings were unable to be modelled separately. It was also unclear why the submission did not provide disaggregated data from these studies. </w:t>
      </w:r>
    </w:p>
    <w:p w14:paraId="52643A67" w14:textId="77777777" w:rsidR="009C29A2" w:rsidRPr="00001499" w:rsidRDefault="009C29A2" w:rsidP="009C29A2">
      <w:pPr>
        <w:pStyle w:val="5-SubsectionSubheading"/>
      </w:pPr>
      <w:bookmarkStart w:id="43" w:name="_Hlk94605940"/>
      <w:r w:rsidRPr="00001499">
        <w:t xml:space="preserve">rVE estimates by age group </w:t>
      </w:r>
      <w:bookmarkEnd w:id="43"/>
    </w:p>
    <w:p w14:paraId="6A215808" w14:textId="2A8A4105" w:rsidR="009C29A2" w:rsidRPr="00001499" w:rsidRDefault="004F220D" w:rsidP="00AA46C6">
      <w:pPr>
        <w:pStyle w:val="3-BodyText"/>
        <w:ind w:left="709"/>
        <w:rPr>
          <w:rFonts w:eastAsia="Calibri"/>
        </w:rPr>
      </w:pPr>
      <w:r>
        <w:rPr>
          <w:rFonts w:eastAsia="Calibri"/>
        </w:rPr>
        <w:t>rVE estimates based on s</w:t>
      </w:r>
      <w:r w:rsidR="009C29A2" w:rsidRPr="00001499">
        <w:rPr>
          <w:rFonts w:eastAsia="Calibri"/>
        </w:rPr>
        <w:t xml:space="preserve">ubgroup analyses by age also generally favoured QIVc over QIVe, although some confidence intervals crossed zero. </w:t>
      </w:r>
    </w:p>
    <w:p w14:paraId="34C5C7E3" w14:textId="00490981" w:rsidR="00400920" w:rsidRPr="00CC34A1" w:rsidRDefault="009C29A2" w:rsidP="00CC34A1">
      <w:pPr>
        <w:pStyle w:val="3-BodyText"/>
        <w:ind w:left="709"/>
      </w:pPr>
      <w:bookmarkStart w:id="44" w:name="_Ref92962220"/>
      <w:bookmarkStart w:id="45" w:name="_Ref96359997"/>
      <w:r w:rsidRPr="00EA2BBE">
        <w:rPr>
          <w:rFonts w:eastAsia="Calibri"/>
        </w:rPr>
        <w:t xml:space="preserve">The rVE estimates were not always significant </w:t>
      </w:r>
      <w:r w:rsidR="004F220D">
        <w:rPr>
          <w:rFonts w:eastAsia="Calibri"/>
        </w:rPr>
        <w:t>for the</w:t>
      </w:r>
      <w:r w:rsidR="004F220D" w:rsidRPr="00EA2BBE">
        <w:rPr>
          <w:rFonts w:eastAsia="Calibri"/>
        </w:rPr>
        <w:t xml:space="preserve"> </w:t>
      </w:r>
      <w:r w:rsidRPr="00EA2BBE">
        <w:rPr>
          <w:rFonts w:eastAsia="Calibri"/>
        </w:rPr>
        <w:t xml:space="preserve">age </w:t>
      </w:r>
      <w:r w:rsidR="004F220D">
        <w:rPr>
          <w:rFonts w:eastAsia="Calibri"/>
        </w:rPr>
        <w:t>sub</w:t>
      </w:r>
      <w:r w:rsidRPr="00EA2BBE">
        <w:rPr>
          <w:rFonts w:eastAsia="Calibri"/>
        </w:rPr>
        <w:t>group analys</w:t>
      </w:r>
      <w:r w:rsidR="004F220D">
        <w:rPr>
          <w:rFonts w:eastAsia="Calibri"/>
        </w:rPr>
        <w:t>e</w:t>
      </w:r>
      <w:r w:rsidRPr="00EA2BBE">
        <w:rPr>
          <w:rFonts w:eastAsia="Calibri"/>
        </w:rPr>
        <w:t>s, particularly where the number of children vaccinated with QIVc with a medical encounter in eithe</w:t>
      </w:r>
      <w:r w:rsidRPr="000F35E3">
        <w:rPr>
          <w:rFonts w:eastAsia="Calibri"/>
        </w:rPr>
        <w:t xml:space="preserve">r primary care or hospitalisation was low (IRPCE or IRHE, </w:t>
      </w:r>
      <w:r w:rsidRPr="00EA2BBE">
        <w:rPr>
          <w:rFonts w:eastAsia="Calibri"/>
        </w:rPr>
        <w:fldChar w:fldCharType="begin" w:fldLock="1"/>
      </w:r>
      <w:r w:rsidRPr="00EA2BBE">
        <w:rPr>
          <w:rFonts w:eastAsia="Calibri"/>
        </w:rPr>
        <w:instrText xml:space="preserve"> REF _Ref93344641 \h </w:instrText>
      </w:r>
      <w:r w:rsidRPr="00EA2BBE">
        <w:rPr>
          <w:rFonts w:eastAsia="Calibri"/>
        </w:rPr>
      </w:r>
      <w:r w:rsidRPr="00EA2BBE">
        <w:rPr>
          <w:rFonts w:eastAsia="Calibri"/>
        </w:rPr>
        <w:fldChar w:fldCharType="separate"/>
      </w:r>
      <w:r w:rsidR="005C1FE9" w:rsidRPr="00001499">
        <w:t xml:space="preserve">Table </w:t>
      </w:r>
      <w:r w:rsidR="005C1FE9">
        <w:rPr>
          <w:noProof/>
        </w:rPr>
        <w:t>7</w:t>
      </w:r>
      <w:r w:rsidRPr="00EA2BBE">
        <w:rPr>
          <w:rFonts w:eastAsia="Calibri"/>
        </w:rPr>
        <w:fldChar w:fldCharType="end"/>
      </w:r>
      <w:r w:rsidRPr="00EA2BBE">
        <w:rPr>
          <w:rFonts w:eastAsia="Calibri"/>
        </w:rPr>
        <w:t xml:space="preserve">). The age groups specified in these studies for children, namely </w:t>
      </w:r>
      <w:r w:rsidR="002B43E7" w:rsidRPr="00EA2BBE">
        <w:rPr>
          <w:rFonts w:eastAsia="Calibri"/>
        </w:rPr>
        <w:t xml:space="preserve">4 </w:t>
      </w:r>
      <w:r w:rsidRPr="00EA2BBE">
        <w:rPr>
          <w:rFonts w:eastAsia="Calibri"/>
        </w:rPr>
        <w:t xml:space="preserve">to 17 years, do not reflect the proposed listing </w:t>
      </w:r>
      <w:r w:rsidR="002B43E7" w:rsidRPr="00EA2BBE">
        <w:rPr>
          <w:rFonts w:eastAsia="Calibri"/>
        </w:rPr>
        <w:t xml:space="preserve">of the submission </w:t>
      </w:r>
      <w:r w:rsidRPr="00EA2BBE">
        <w:rPr>
          <w:rFonts w:eastAsia="Calibri"/>
        </w:rPr>
        <w:t xml:space="preserve">(two to five years). </w:t>
      </w:r>
      <w:r w:rsidR="004F220D">
        <w:rPr>
          <w:rFonts w:eastAsia="Calibri"/>
        </w:rPr>
        <w:t>T</w:t>
      </w:r>
      <w:r w:rsidRPr="00EA2BBE">
        <w:rPr>
          <w:rFonts w:eastAsia="Calibri"/>
        </w:rPr>
        <w:t>here is no data on effectiveness compared with QIVe for children aged two to four years.</w:t>
      </w:r>
      <w:bookmarkEnd w:id="44"/>
      <w:r w:rsidRPr="00EA2BBE">
        <w:rPr>
          <w:rFonts w:eastAsia="Calibri"/>
        </w:rPr>
        <w:t xml:space="preserve"> The TGA dossier for registration in this age group was based on Study V130_12, a phase 3/4 RCT in </w:t>
      </w:r>
      <w:r w:rsidRPr="00EA2BBE">
        <w:rPr>
          <w:rFonts w:eastAsia="Calibri"/>
        </w:rPr>
        <w:lastRenderedPageBreak/>
        <w:t>children 2 to &lt;18 years of age, with a non-influenza vaccine comparator (Menveo®, Meningococcal ACWY vaccine).</w:t>
      </w:r>
      <w:bookmarkEnd w:id="45"/>
      <w:r w:rsidR="002B43E7" w:rsidRPr="00EA2BBE">
        <w:rPr>
          <w:rFonts w:eastAsia="Calibri"/>
        </w:rPr>
        <w:t xml:space="preserve"> </w:t>
      </w:r>
      <w:bookmarkStart w:id="46" w:name="_Ref93344641"/>
    </w:p>
    <w:p w14:paraId="24CF2466" w14:textId="004D691A" w:rsidR="009C29A2" w:rsidRPr="00F37ABF" w:rsidRDefault="009C29A2" w:rsidP="00F37ABF">
      <w:pPr>
        <w:pStyle w:val="3-BodyText"/>
        <w:numPr>
          <w:ilvl w:val="0"/>
          <w:numId w:val="0"/>
        </w:numPr>
        <w:ind w:left="-11"/>
        <w:rPr>
          <w:rFonts w:ascii="Arial Narrow" w:eastAsiaTheme="minorHAnsi" w:hAnsi="Arial Narrow" w:cstheme="minorBidi"/>
          <w:b/>
          <w:snapToGrid/>
          <w:sz w:val="20"/>
          <w:szCs w:val="22"/>
          <w:lang w:eastAsia="en-US"/>
        </w:rPr>
      </w:pPr>
      <w:r w:rsidRPr="00F37ABF">
        <w:rPr>
          <w:rFonts w:ascii="Arial Narrow" w:eastAsiaTheme="minorHAnsi" w:hAnsi="Arial Narrow" w:cstheme="minorBidi"/>
          <w:b/>
          <w:snapToGrid/>
          <w:sz w:val="20"/>
          <w:szCs w:val="22"/>
          <w:lang w:eastAsia="en-US"/>
        </w:rPr>
        <w:t xml:space="preserve">Table </w:t>
      </w:r>
      <w:r w:rsidR="00DB6D34" w:rsidRPr="00F37ABF">
        <w:rPr>
          <w:rFonts w:ascii="Arial Narrow" w:eastAsiaTheme="minorHAnsi" w:hAnsi="Arial Narrow" w:cstheme="minorBidi"/>
          <w:b/>
          <w:snapToGrid/>
          <w:sz w:val="20"/>
          <w:szCs w:val="22"/>
          <w:lang w:eastAsia="en-US"/>
        </w:rPr>
        <w:fldChar w:fldCharType="begin" w:fldLock="1"/>
      </w:r>
      <w:r w:rsidR="00DB6D34" w:rsidRPr="00F37ABF">
        <w:rPr>
          <w:rFonts w:ascii="Arial Narrow" w:eastAsiaTheme="minorHAnsi" w:hAnsi="Arial Narrow" w:cstheme="minorBidi"/>
          <w:b/>
          <w:snapToGrid/>
          <w:sz w:val="20"/>
          <w:szCs w:val="22"/>
          <w:lang w:eastAsia="en-US"/>
        </w:rPr>
        <w:instrText xml:space="preserve"> SEQ Table \* ARABIC </w:instrText>
      </w:r>
      <w:r w:rsidR="00DB6D34" w:rsidRPr="00F37ABF">
        <w:rPr>
          <w:rFonts w:ascii="Arial Narrow" w:eastAsiaTheme="minorHAnsi" w:hAnsi="Arial Narrow" w:cstheme="minorBidi"/>
          <w:b/>
          <w:snapToGrid/>
          <w:sz w:val="20"/>
          <w:szCs w:val="22"/>
          <w:lang w:eastAsia="en-US"/>
        </w:rPr>
        <w:fldChar w:fldCharType="separate"/>
      </w:r>
      <w:r w:rsidR="005C1FE9" w:rsidRPr="00F37ABF">
        <w:rPr>
          <w:rFonts w:ascii="Arial Narrow" w:eastAsiaTheme="minorHAnsi" w:hAnsi="Arial Narrow" w:cstheme="minorBidi"/>
          <w:b/>
          <w:snapToGrid/>
          <w:sz w:val="20"/>
          <w:szCs w:val="22"/>
          <w:lang w:eastAsia="en-US"/>
        </w:rPr>
        <w:t>7</w:t>
      </w:r>
      <w:r w:rsidR="00DB6D34" w:rsidRPr="00F37ABF">
        <w:rPr>
          <w:rFonts w:ascii="Arial Narrow" w:eastAsiaTheme="minorHAnsi" w:hAnsi="Arial Narrow" w:cstheme="minorBidi"/>
          <w:b/>
          <w:snapToGrid/>
          <w:sz w:val="20"/>
          <w:szCs w:val="22"/>
          <w:lang w:eastAsia="en-US"/>
        </w:rPr>
        <w:fldChar w:fldCharType="end"/>
      </w:r>
      <w:bookmarkEnd w:id="46"/>
      <w:r w:rsidRPr="00F37ABF">
        <w:rPr>
          <w:rFonts w:eastAsiaTheme="minorHAnsi" w:cstheme="minorBidi"/>
          <w:snapToGrid/>
          <w:szCs w:val="22"/>
          <w:lang w:eastAsia="en-US"/>
        </w:rPr>
        <w:t>:</w:t>
      </w:r>
      <w:r w:rsidRPr="00F37ABF">
        <w:rPr>
          <w:rFonts w:ascii="Arial Narrow" w:eastAsiaTheme="minorHAnsi" w:hAnsi="Arial Narrow" w:cstheme="minorBidi"/>
          <w:b/>
          <w:snapToGrid/>
          <w:sz w:val="20"/>
          <w:szCs w:val="22"/>
          <w:lang w:eastAsia="en-US"/>
        </w:rPr>
        <w:t xml:space="preserve"> Estimated relative vaccine effectiveness (rVE) from the retrospective cohort studies against any influenza strain – subgroups stratified by age</w:t>
      </w:r>
    </w:p>
    <w:tbl>
      <w:tblPr>
        <w:tblStyle w:val="TableGrid"/>
        <w:tblW w:w="5000" w:type="pct"/>
        <w:tblLayout w:type="fixed"/>
        <w:tblLook w:val="04A0" w:firstRow="1" w:lastRow="0" w:firstColumn="1" w:lastColumn="0" w:noHBand="0" w:noVBand="1"/>
      </w:tblPr>
      <w:tblGrid>
        <w:gridCol w:w="843"/>
        <w:gridCol w:w="992"/>
        <w:gridCol w:w="709"/>
        <w:gridCol w:w="1701"/>
        <w:gridCol w:w="709"/>
        <w:gridCol w:w="1559"/>
        <w:gridCol w:w="741"/>
        <w:gridCol w:w="165"/>
        <w:gridCol w:w="1592"/>
      </w:tblGrid>
      <w:tr w:rsidR="009C29A2" w:rsidRPr="00001499" w14:paraId="43CAB57B" w14:textId="77777777" w:rsidTr="00FC7A97">
        <w:trPr>
          <w:trHeight w:val="20"/>
        </w:trPr>
        <w:tc>
          <w:tcPr>
            <w:tcW w:w="843" w:type="dxa"/>
            <w:vMerge w:val="restart"/>
            <w:tcBorders>
              <w:top w:val="single" w:sz="6" w:space="0" w:color="auto"/>
              <w:left w:val="single" w:sz="6" w:space="0" w:color="auto"/>
              <w:right w:val="single" w:sz="6" w:space="0" w:color="auto"/>
            </w:tcBorders>
          </w:tcPr>
          <w:p w14:paraId="39B41B2C"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Study</w:t>
            </w:r>
          </w:p>
        </w:tc>
        <w:tc>
          <w:tcPr>
            <w:tcW w:w="992" w:type="dxa"/>
            <w:vMerge w:val="restart"/>
            <w:tcBorders>
              <w:top w:val="single" w:sz="6" w:space="0" w:color="auto"/>
              <w:left w:val="single" w:sz="6" w:space="0" w:color="auto"/>
              <w:right w:val="single" w:sz="6" w:space="0" w:color="auto"/>
            </w:tcBorders>
          </w:tcPr>
          <w:p w14:paraId="4D8330B7"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Primary outcome</w:t>
            </w:r>
          </w:p>
        </w:tc>
        <w:tc>
          <w:tcPr>
            <w:tcW w:w="709" w:type="dxa"/>
            <w:vMerge w:val="restart"/>
            <w:tcBorders>
              <w:top w:val="single" w:sz="6" w:space="0" w:color="auto"/>
              <w:left w:val="single" w:sz="6" w:space="0" w:color="auto"/>
              <w:right w:val="single" w:sz="6" w:space="0" w:color="auto"/>
            </w:tcBorders>
          </w:tcPr>
          <w:p w14:paraId="3CF0AC21"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Age (yrs)</w:t>
            </w:r>
          </w:p>
        </w:tc>
        <w:tc>
          <w:tcPr>
            <w:tcW w:w="2410" w:type="dxa"/>
            <w:gridSpan w:val="2"/>
            <w:tcBorders>
              <w:top w:val="single" w:sz="6" w:space="0" w:color="auto"/>
              <w:left w:val="single" w:sz="6" w:space="0" w:color="auto"/>
              <w:bottom w:val="single" w:sz="6" w:space="0" w:color="auto"/>
              <w:right w:val="single" w:sz="6" w:space="0" w:color="auto"/>
            </w:tcBorders>
          </w:tcPr>
          <w:p w14:paraId="78084B0C"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QIVc</w:t>
            </w:r>
          </w:p>
        </w:tc>
        <w:tc>
          <w:tcPr>
            <w:tcW w:w="2300" w:type="dxa"/>
            <w:gridSpan w:val="2"/>
            <w:tcBorders>
              <w:top w:val="single" w:sz="6" w:space="0" w:color="auto"/>
              <w:left w:val="single" w:sz="6" w:space="0" w:color="auto"/>
              <w:bottom w:val="single" w:sz="6" w:space="0" w:color="auto"/>
              <w:right w:val="single" w:sz="6" w:space="0" w:color="auto"/>
            </w:tcBorders>
          </w:tcPr>
          <w:p w14:paraId="7133FC20"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QIVe</w:t>
            </w:r>
          </w:p>
        </w:tc>
        <w:tc>
          <w:tcPr>
            <w:tcW w:w="1757" w:type="dxa"/>
            <w:gridSpan w:val="2"/>
            <w:vMerge w:val="restart"/>
            <w:tcBorders>
              <w:top w:val="single" w:sz="6" w:space="0" w:color="auto"/>
              <w:left w:val="single" w:sz="6" w:space="0" w:color="auto"/>
              <w:right w:val="single" w:sz="6" w:space="0" w:color="auto"/>
            </w:tcBorders>
          </w:tcPr>
          <w:p w14:paraId="725C3FB3"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Adjusted rVE [%]</w:t>
            </w:r>
          </w:p>
          <w:p w14:paraId="58049B67"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(95% CI)</w:t>
            </w:r>
          </w:p>
        </w:tc>
      </w:tr>
      <w:tr w:rsidR="009C29A2" w:rsidRPr="00001499" w14:paraId="0FE7C85B" w14:textId="77777777" w:rsidTr="00FC7A97">
        <w:trPr>
          <w:trHeight w:val="20"/>
        </w:trPr>
        <w:tc>
          <w:tcPr>
            <w:tcW w:w="843" w:type="dxa"/>
            <w:vMerge/>
            <w:vAlign w:val="center"/>
          </w:tcPr>
          <w:p w14:paraId="52A0FB36" w14:textId="77777777" w:rsidR="009C29A2" w:rsidRPr="00001499" w:rsidRDefault="009C29A2" w:rsidP="00FC7A97">
            <w:pPr>
              <w:keepNext/>
              <w:keepLines/>
              <w:widowControl w:val="0"/>
            </w:pPr>
          </w:p>
        </w:tc>
        <w:tc>
          <w:tcPr>
            <w:tcW w:w="992" w:type="dxa"/>
            <w:vMerge/>
            <w:vAlign w:val="center"/>
          </w:tcPr>
          <w:p w14:paraId="04D2240F" w14:textId="77777777" w:rsidR="009C29A2" w:rsidRPr="00001499" w:rsidRDefault="009C29A2" w:rsidP="00FC7A97">
            <w:pPr>
              <w:keepNext/>
              <w:keepLines/>
              <w:widowControl w:val="0"/>
            </w:pPr>
          </w:p>
        </w:tc>
        <w:tc>
          <w:tcPr>
            <w:tcW w:w="709" w:type="dxa"/>
            <w:vMerge/>
            <w:vAlign w:val="center"/>
          </w:tcPr>
          <w:p w14:paraId="0CBDF3F9" w14:textId="77777777" w:rsidR="009C29A2" w:rsidRPr="00001499" w:rsidRDefault="009C29A2" w:rsidP="00FC7A97">
            <w:pPr>
              <w:keepNext/>
              <w:keepLines/>
              <w:widowControl w:val="0"/>
            </w:pPr>
          </w:p>
        </w:tc>
        <w:tc>
          <w:tcPr>
            <w:tcW w:w="1701" w:type="dxa"/>
            <w:tcBorders>
              <w:top w:val="single" w:sz="6" w:space="0" w:color="auto"/>
              <w:left w:val="single" w:sz="6" w:space="0" w:color="auto"/>
              <w:bottom w:val="single" w:sz="6" w:space="0" w:color="auto"/>
              <w:right w:val="single" w:sz="6" w:space="0" w:color="auto"/>
            </w:tcBorders>
          </w:tcPr>
          <w:p w14:paraId="6E45447D"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 xml:space="preserve">n/N </w:t>
            </w:r>
          </w:p>
        </w:tc>
        <w:tc>
          <w:tcPr>
            <w:tcW w:w="709" w:type="dxa"/>
            <w:tcBorders>
              <w:top w:val="single" w:sz="6" w:space="0" w:color="auto"/>
              <w:bottom w:val="single" w:sz="6" w:space="0" w:color="auto"/>
            </w:tcBorders>
          </w:tcPr>
          <w:p w14:paraId="72614F9E"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 xml:space="preserve">Rate (%) </w:t>
            </w:r>
          </w:p>
        </w:tc>
        <w:tc>
          <w:tcPr>
            <w:tcW w:w="1559" w:type="dxa"/>
            <w:tcBorders>
              <w:top w:val="single" w:sz="6" w:space="0" w:color="auto"/>
              <w:left w:val="single" w:sz="6" w:space="0" w:color="auto"/>
              <w:bottom w:val="single" w:sz="6" w:space="0" w:color="auto"/>
              <w:right w:val="single" w:sz="6" w:space="0" w:color="auto"/>
            </w:tcBorders>
          </w:tcPr>
          <w:p w14:paraId="1A3842EF"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 xml:space="preserve">n/N </w:t>
            </w:r>
          </w:p>
        </w:tc>
        <w:tc>
          <w:tcPr>
            <w:tcW w:w="741" w:type="dxa"/>
            <w:tcBorders>
              <w:top w:val="single" w:sz="6" w:space="0" w:color="auto"/>
              <w:bottom w:val="single" w:sz="6" w:space="0" w:color="auto"/>
            </w:tcBorders>
          </w:tcPr>
          <w:p w14:paraId="7B6C78E7"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 xml:space="preserve">Rate (%) </w:t>
            </w:r>
          </w:p>
        </w:tc>
        <w:tc>
          <w:tcPr>
            <w:tcW w:w="1757" w:type="dxa"/>
            <w:gridSpan w:val="2"/>
            <w:vMerge/>
            <w:vAlign w:val="center"/>
          </w:tcPr>
          <w:p w14:paraId="0B672AF6" w14:textId="77777777" w:rsidR="009C29A2" w:rsidRPr="00001499" w:rsidRDefault="009C29A2" w:rsidP="00FC7A97">
            <w:pPr>
              <w:keepNext/>
              <w:keepLines/>
              <w:widowControl w:val="0"/>
            </w:pPr>
          </w:p>
        </w:tc>
      </w:tr>
      <w:tr w:rsidR="009C29A2" w:rsidRPr="00001499" w14:paraId="49769162" w14:textId="77777777" w:rsidTr="00A77DC7">
        <w:trPr>
          <w:trHeight w:val="20"/>
        </w:trPr>
        <w:tc>
          <w:tcPr>
            <w:tcW w:w="4954" w:type="dxa"/>
            <w:gridSpan w:val="5"/>
            <w:tcBorders>
              <w:top w:val="single" w:sz="6" w:space="0" w:color="auto"/>
              <w:left w:val="single" w:sz="6" w:space="0" w:color="auto"/>
              <w:bottom w:val="single" w:sz="6" w:space="0" w:color="auto"/>
              <w:right w:val="nil"/>
            </w:tcBorders>
            <w:shd w:val="clear" w:color="auto" w:fill="auto"/>
          </w:tcPr>
          <w:p w14:paraId="49FE0C3F" w14:textId="77777777" w:rsidR="009C29A2" w:rsidRPr="00001499" w:rsidRDefault="009C29A2" w:rsidP="00FC7A97">
            <w:pPr>
              <w:pStyle w:val="TableTextcentred"/>
              <w:keepNext/>
              <w:keepLines/>
              <w:widowControl w:val="0"/>
              <w:jc w:val="left"/>
              <w:rPr>
                <w:rFonts w:ascii="Arial Narrow" w:eastAsia="Arial Narrow" w:hAnsi="Arial Narrow" w:cs="Arial Narrow"/>
                <w:sz w:val="20"/>
                <w:szCs w:val="20"/>
              </w:rPr>
            </w:pPr>
            <w:r w:rsidRPr="00001499">
              <w:rPr>
                <w:rFonts w:ascii="Arial Narrow" w:eastAsia="Arial Narrow" w:hAnsi="Arial Narrow" w:cs="Arial Narrow"/>
                <w:b/>
                <w:bCs/>
                <w:sz w:val="20"/>
                <w:szCs w:val="20"/>
              </w:rPr>
              <w:t>US Season 2017-18 (cell-derived A(H3N2) CVV only)</w:t>
            </w:r>
          </w:p>
        </w:tc>
        <w:tc>
          <w:tcPr>
            <w:tcW w:w="2300" w:type="dxa"/>
            <w:gridSpan w:val="2"/>
            <w:tcBorders>
              <w:top w:val="single" w:sz="6" w:space="0" w:color="auto"/>
              <w:left w:val="nil"/>
              <w:bottom w:val="single" w:sz="6" w:space="0" w:color="auto"/>
              <w:right w:val="nil"/>
            </w:tcBorders>
            <w:shd w:val="clear" w:color="auto" w:fill="auto"/>
          </w:tcPr>
          <w:p w14:paraId="3228A7C7" w14:textId="77777777" w:rsidR="009C29A2" w:rsidRPr="00001499" w:rsidRDefault="009C29A2" w:rsidP="00FC7A97">
            <w:pPr>
              <w:keepNext/>
              <w:keepLines/>
              <w:widowControl w:val="0"/>
              <w:jc w:val="center"/>
              <w:rPr>
                <w:rFonts w:ascii="Arial Narrow" w:eastAsia="Arial Narrow" w:hAnsi="Arial Narrow" w:cs="Arial Narrow"/>
              </w:rPr>
            </w:pPr>
          </w:p>
        </w:tc>
        <w:tc>
          <w:tcPr>
            <w:tcW w:w="1757" w:type="dxa"/>
            <w:gridSpan w:val="2"/>
            <w:tcBorders>
              <w:top w:val="single" w:sz="6" w:space="0" w:color="auto"/>
              <w:left w:val="nil"/>
              <w:bottom w:val="single" w:sz="6" w:space="0" w:color="auto"/>
              <w:right w:val="single" w:sz="6" w:space="0" w:color="auto"/>
            </w:tcBorders>
            <w:shd w:val="clear" w:color="auto" w:fill="auto"/>
          </w:tcPr>
          <w:p w14:paraId="5CB93D6E" w14:textId="77777777" w:rsidR="009C29A2" w:rsidRPr="00001499" w:rsidRDefault="009C29A2" w:rsidP="00FC7A97">
            <w:pPr>
              <w:keepNext/>
              <w:keepLines/>
              <w:widowControl w:val="0"/>
              <w:jc w:val="center"/>
              <w:rPr>
                <w:rFonts w:ascii="Arial Narrow" w:eastAsia="Arial Narrow" w:hAnsi="Arial Narrow" w:cs="Arial Narrow"/>
              </w:rPr>
            </w:pPr>
          </w:p>
        </w:tc>
      </w:tr>
      <w:tr w:rsidR="009C29A2" w:rsidRPr="00001499" w14:paraId="56C10CAD" w14:textId="77777777" w:rsidTr="00A77DC7">
        <w:trPr>
          <w:trHeight w:val="20"/>
        </w:trPr>
        <w:tc>
          <w:tcPr>
            <w:tcW w:w="843" w:type="dxa"/>
            <w:vMerge w:val="restart"/>
            <w:tcBorders>
              <w:top w:val="single" w:sz="6" w:space="0" w:color="auto"/>
              <w:left w:val="single" w:sz="6" w:space="0" w:color="auto"/>
              <w:bottom w:val="single" w:sz="6" w:space="0" w:color="auto"/>
              <w:right w:val="single" w:sz="6" w:space="0" w:color="auto"/>
            </w:tcBorders>
            <w:shd w:val="clear" w:color="auto" w:fill="auto"/>
          </w:tcPr>
          <w:p w14:paraId="64B43012" w14:textId="77777777" w:rsidR="009C29A2" w:rsidRPr="00001499" w:rsidRDefault="009C29A2" w:rsidP="00FC7A97">
            <w:pPr>
              <w:pStyle w:val="TableTextleftalign"/>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Boikos 2020</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tcPr>
          <w:p w14:paraId="6FA509B6"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IRPCE</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9728FE4"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4-17</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B06F29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115/7,465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494B596"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1.54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807209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10,816/404,510</w:t>
            </w:r>
          </w:p>
        </w:tc>
        <w:tc>
          <w:tcPr>
            <w:tcW w:w="741" w:type="dxa"/>
            <w:tcBorders>
              <w:top w:val="single" w:sz="6" w:space="0" w:color="auto"/>
              <w:left w:val="single" w:sz="6" w:space="0" w:color="auto"/>
              <w:bottom w:val="single" w:sz="6" w:space="0" w:color="auto"/>
              <w:right w:val="single" w:sz="6" w:space="0" w:color="auto"/>
            </w:tcBorders>
            <w:shd w:val="clear" w:color="auto" w:fill="auto"/>
          </w:tcPr>
          <w:p w14:paraId="64795C26"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2.67</w:t>
            </w:r>
          </w:p>
        </w:tc>
        <w:tc>
          <w:tcPr>
            <w:tcW w:w="1757" w:type="dxa"/>
            <w:gridSpan w:val="2"/>
            <w:tcBorders>
              <w:top w:val="single" w:sz="6" w:space="0" w:color="auto"/>
              <w:left w:val="single" w:sz="6" w:space="0" w:color="auto"/>
              <w:bottom w:val="single" w:sz="6" w:space="0" w:color="auto"/>
              <w:right w:val="single" w:sz="6" w:space="0" w:color="auto"/>
            </w:tcBorders>
            <w:shd w:val="clear" w:color="auto" w:fill="auto"/>
          </w:tcPr>
          <w:p w14:paraId="1ED11937" w14:textId="77777777" w:rsidR="009C29A2" w:rsidRPr="00001499" w:rsidRDefault="009C29A2" w:rsidP="00FC7A97">
            <w:pPr>
              <w:pStyle w:val="TableTextcentred"/>
              <w:keepNext/>
              <w:keepLines/>
              <w:widowControl w:val="0"/>
              <w:rPr>
                <w:rFonts w:ascii="Arial Narrow" w:eastAsia="Arial Narrow" w:hAnsi="Arial Narrow" w:cs="Arial Narrow"/>
                <w:sz w:val="16"/>
                <w:szCs w:val="16"/>
              </w:rPr>
            </w:pPr>
            <w:r w:rsidRPr="00001499">
              <w:rPr>
                <w:rFonts w:ascii="Arial Narrow" w:eastAsia="Arial Narrow" w:hAnsi="Arial Narrow" w:cs="Arial Narrow"/>
                <w:sz w:val="20"/>
                <w:szCs w:val="20"/>
              </w:rPr>
              <w:t>18.8 (-53.9, 57.2)</w:t>
            </w:r>
            <w:r w:rsidRPr="00001499">
              <w:rPr>
                <w:rFonts w:ascii="Arial Narrow" w:eastAsia="Arial Narrow" w:hAnsi="Arial Narrow" w:cs="Arial Narrow"/>
                <w:sz w:val="20"/>
                <w:szCs w:val="20"/>
                <w:vertAlign w:val="superscript"/>
              </w:rPr>
              <w:t>1</w:t>
            </w:r>
          </w:p>
        </w:tc>
      </w:tr>
      <w:tr w:rsidR="009C29A2" w:rsidRPr="00001499" w14:paraId="73FBCB37" w14:textId="77777777" w:rsidTr="00A77DC7">
        <w:trPr>
          <w:trHeight w:val="20"/>
        </w:trPr>
        <w:tc>
          <w:tcPr>
            <w:tcW w:w="843" w:type="dxa"/>
            <w:vMerge/>
            <w:shd w:val="clear" w:color="auto" w:fill="auto"/>
            <w:vAlign w:val="center"/>
          </w:tcPr>
          <w:p w14:paraId="47101D71" w14:textId="77777777" w:rsidR="009C29A2" w:rsidRPr="00001499" w:rsidRDefault="009C29A2" w:rsidP="00FC7A97">
            <w:pPr>
              <w:keepNext/>
              <w:keepLines/>
              <w:widowControl w:val="0"/>
            </w:pPr>
          </w:p>
        </w:tc>
        <w:tc>
          <w:tcPr>
            <w:tcW w:w="992" w:type="dxa"/>
            <w:vMerge/>
            <w:shd w:val="clear" w:color="auto" w:fill="auto"/>
            <w:vAlign w:val="center"/>
          </w:tcPr>
          <w:p w14:paraId="504654A9" w14:textId="77777777" w:rsidR="009C29A2" w:rsidRPr="00001499" w:rsidRDefault="009C29A2" w:rsidP="00FC7A97">
            <w:pPr>
              <w:keepNext/>
              <w:keepLines/>
              <w:widowControl w:val="0"/>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52AC4B7"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18-64</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4C97AD8"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1,069/55,104</w:t>
            </w:r>
          </w:p>
        </w:tc>
        <w:tc>
          <w:tcPr>
            <w:tcW w:w="709" w:type="dxa"/>
            <w:tcBorders>
              <w:left w:val="single" w:sz="6" w:space="0" w:color="auto"/>
              <w:right w:val="single" w:sz="6" w:space="0" w:color="auto"/>
            </w:tcBorders>
            <w:shd w:val="clear" w:color="auto" w:fill="auto"/>
          </w:tcPr>
          <w:p w14:paraId="007A8C8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1.94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86F067D"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10,021/693,014</w:t>
            </w:r>
          </w:p>
        </w:tc>
        <w:tc>
          <w:tcPr>
            <w:tcW w:w="741" w:type="dxa"/>
            <w:tcBorders>
              <w:left w:val="single" w:sz="6" w:space="0" w:color="auto"/>
              <w:right w:val="single" w:sz="6" w:space="0" w:color="auto"/>
            </w:tcBorders>
            <w:shd w:val="clear" w:color="auto" w:fill="auto"/>
          </w:tcPr>
          <w:p w14:paraId="5658E09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1.45</w:t>
            </w:r>
          </w:p>
        </w:tc>
        <w:tc>
          <w:tcPr>
            <w:tcW w:w="1757" w:type="dxa"/>
            <w:gridSpan w:val="2"/>
            <w:tcBorders>
              <w:top w:val="single" w:sz="6" w:space="0" w:color="auto"/>
              <w:left w:val="single" w:sz="6" w:space="0" w:color="auto"/>
              <w:bottom w:val="single" w:sz="6" w:space="0" w:color="auto"/>
              <w:right w:val="single" w:sz="6" w:space="0" w:color="auto"/>
            </w:tcBorders>
            <w:shd w:val="clear" w:color="auto" w:fill="auto"/>
          </w:tcPr>
          <w:p w14:paraId="2AAE18D7" w14:textId="77777777" w:rsidR="009C29A2" w:rsidRPr="00001499" w:rsidRDefault="009C29A2" w:rsidP="00FC7A97">
            <w:pPr>
              <w:pStyle w:val="TableTextcentred"/>
              <w:keepNext/>
              <w:keepLines/>
              <w:widowControl w:val="0"/>
              <w:rPr>
                <w:rFonts w:ascii="Arial Narrow" w:eastAsia="Arial Narrow" w:hAnsi="Arial Narrow" w:cs="Arial Narrow"/>
                <w:sz w:val="16"/>
                <w:szCs w:val="16"/>
              </w:rPr>
            </w:pPr>
            <w:r w:rsidRPr="00001499">
              <w:rPr>
                <w:rFonts w:ascii="Arial Narrow" w:eastAsia="Arial Narrow" w:hAnsi="Arial Narrow" w:cs="Arial Narrow"/>
                <w:b/>
                <w:bCs/>
                <w:sz w:val="20"/>
                <w:szCs w:val="20"/>
              </w:rPr>
              <w:t>26.8 (14.1, 37.6)</w:t>
            </w:r>
            <w:r w:rsidRPr="00001499">
              <w:rPr>
                <w:rFonts w:ascii="Arial Narrow" w:eastAsia="Arial Narrow" w:hAnsi="Arial Narrow" w:cs="Arial Narrow"/>
                <w:sz w:val="20"/>
                <w:szCs w:val="20"/>
                <w:vertAlign w:val="superscript"/>
              </w:rPr>
              <w:t xml:space="preserve"> 1</w:t>
            </w:r>
          </w:p>
        </w:tc>
      </w:tr>
      <w:tr w:rsidR="009C29A2" w:rsidRPr="00001499" w14:paraId="74682720" w14:textId="77777777" w:rsidTr="00A77DC7">
        <w:trPr>
          <w:trHeight w:val="20"/>
        </w:trPr>
        <w:tc>
          <w:tcPr>
            <w:tcW w:w="843" w:type="dxa"/>
            <w:vMerge w:val="restart"/>
            <w:tcBorders>
              <w:top w:val="single" w:sz="6" w:space="0" w:color="auto"/>
              <w:left w:val="single" w:sz="6" w:space="0" w:color="auto"/>
              <w:right w:val="single" w:sz="6" w:space="0" w:color="auto"/>
            </w:tcBorders>
            <w:shd w:val="clear" w:color="auto" w:fill="auto"/>
          </w:tcPr>
          <w:p w14:paraId="1DAFF864" w14:textId="77777777" w:rsidR="009C29A2" w:rsidRPr="00001499" w:rsidRDefault="009C29A2" w:rsidP="00FC7A97">
            <w:pPr>
              <w:pStyle w:val="TableTextleftalign"/>
              <w:keepNext/>
              <w:keepLines/>
              <w:widowControl w:val="0"/>
              <w:rPr>
                <w:rFonts w:ascii="Arial Narrow" w:eastAsia="Arial Narrow" w:hAnsi="Arial Narrow" w:cs="Arial Narrow"/>
                <w:sz w:val="16"/>
                <w:szCs w:val="16"/>
              </w:rPr>
            </w:pPr>
            <w:r w:rsidRPr="00001499">
              <w:rPr>
                <w:rFonts w:ascii="Arial Narrow" w:eastAsia="Arial Narrow" w:hAnsi="Arial Narrow" w:cs="Arial Narrow"/>
                <w:sz w:val="20"/>
                <w:szCs w:val="20"/>
              </w:rPr>
              <w:t>Divino 2020</w:t>
            </w:r>
            <w:r w:rsidRPr="00001499">
              <w:rPr>
                <w:rFonts w:ascii="Arial Narrow" w:eastAsia="Arial Narrow" w:hAnsi="Arial Narrow" w:cs="Arial Narrow"/>
                <w:sz w:val="20"/>
                <w:szCs w:val="20"/>
                <w:vertAlign w:val="superscript"/>
              </w:rPr>
              <w:t>2</w:t>
            </w:r>
          </w:p>
        </w:tc>
        <w:tc>
          <w:tcPr>
            <w:tcW w:w="992" w:type="dxa"/>
            <w:vMerge w:val="restart"/>
            <w:tcBorders>
              <w:top w:val="single" w:sz="6" w:space="0" w:color="auto"/>
              <w:left w:val="single" w:sz="6" w:space="0" w:color="auto"/>
              <w:right w:val="single" w:sz="6" w:space="0" w:color="auto"/>
            </w:tcBorders>
            <w:shd w:val="clear" w:color="auto" w:fill="auto"/>
          </w:tcPr>
          <w:p w14:paraId="02D8CE1A"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IRHE</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26770A5"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4-17</w:t>
            </w:r>
          </w:p>
        </w:tc>
        <w:tc>
          <w:tcPr>
            <w:tcW w:w="1701" w:type="dxa"/>
            <w:tcBorders>
              <w:left w:val="single" w:sz="6" w:space="0" w:color="auto"/>
              <w:right w:val="single" w:sz="6" w:space="0" w:color="auto"/>
            </w:tcBorders>
            <w:shd w:val="clear" w:color="auto" w:fill="auto"/>
          </w:tcPr>
          <w:p w14:paraId="6559426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131/54,419</w:t>
            </w:r>
          </w:p>
        </w:tc>
        <w:tc>
          <w:tcPr>
            <w:tcW w:w="709" w:type="dxa"/>
            <w:tcBorders>
              <w:left w:val="single" w:sz="6" w:space="0" w:color="auto"/>
              <w:right w:val="single" w:sz="6" w:space="0" w:color="auto"/>
            </w:tcBorders>
            <w:shd w:val="clear" w:color="auto" w:fill="auto"/>
          </w:tcPr>
          <w:p w14:paraId="2C567AA9"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0.240</w:t>
            </w:r>
          </w:p>
        </w:tc>
        <w:tc>
          <w:tcPr>
            <w:tcW w:w="1559" w:type="dxa"/>
            <w:tcBorders>
              <w:left w:val="single" w:sz="6" w:space="0" w:color="auto"/>
              <w:right w:val="single" w:sz="6" w:space="0" w:color="auto"/>
            </w:tcBorders>
            <w:shd w:val="clear" w:color="auto" w:fill="auto"/>
          </w:tcPr>
          <w:p w14:paraId="0CAC732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2,245/798,415</w:t>
            </w:r>
          </w:p>
        </w:tc>
        <w:tc>
          <w:tcPr>
            <w:tcW w:w="741" w:type="dxa"/>
            <w:tcBorders>
              <w:left w:val="single" w:sz="6" w:space="0" w:color="auto"/>
              <w:right w:val="single" w:sz="6" w:space="0" w:color="auto"/>
            </w:tcBorders>
            <w:shd w:val="clear" w:color="auto" w:fill="auto"/>
          </w:tcPr>
          <w:p w14:paraId="4ECB274A"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0.281</w:t>
            </w:r>
          </w:p>
        </w:tc>
        <w:tc>
          <w:tcPr>
            <w:tcW w:w="1757" w:type="dxa"/>
            <w:gridSpan w:val="2"/>
            <w:tcBorders>
              <w:top w:val="single" w:sz="6" w:space="0" w:color="auto"/>
              <w:left w:val="single" w:sz="6" w:space="0" w:color="auto"/>
              <w:bottom w:val="single" w:sz="6" w:space="0" w:color="auto"/>
              <w:right w:val="single" w:sz="6" w:space="0" w:color="auto"/>
            </w:tcBorders>
            <w:shd w:val="clear" w:color="auto" w:fill="auto"/>
          </w:tcPr>
          <w:p w14:paraId="62AF2696"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13.1 (-3.7, 27.1)</w:t>
            </w:r>
          </w:p>
        </w:tc>
      </w:tr>
      <w:tr w:rsidR="009C29A2" w:rsidRPr="00001499" w14:paraId="3CD69C8C" w14:textId="77777777" w:rsidTr="00A77DC7">
        <w:trPr>
          <w:trHeight w:val="20"/>
        </w:trPr>
        <w:tc>
          <w:tcPr>
            <w:tcW w:w="843" w:type="dxa"/>
            <w:vMerge/>
            <w:shd w:val="clear" w:color="auto" w:fill="auto"/>
            <w:vAlign w:val="center"/>
          </w:tcPr>
          <w:p w14:paraId="5AB1E046" w14:textId="77777777" w:rsidR="009C29A2" w:rsidRPr="00001499" w:rsidRDefault="009C29A2" w:rsidP="00FC7A97">
            <w:pPr>
              <w:keepNext/>
              <w:keepLines/>
              <w:widowControl w:val="0"/>
            </w:pPr>
          </w:p>
        </w:tc>
        <w:tc>
          <w:tcPr>
            <w:tcW w:w="992" w:type="dxa"/>
            <w:vMerge/>
            <w:shd w:val="clear" w:color="auto" w:fill="auto"/>
            <w:vAlign w:val="center"/>
          </w:tcPr>
          <w:p w14:paraId="74F5BBC3" w14:textId="77777777" w:rsidR="009C29A2" w:rsidRPr="00001499" w:rsidRDefault="009C29A2" w:rsidP="00FC7A97">
            <w:pPr>
              <w:keepNext/>
              <w:keepLines/>
              <w:widowControl w:val="0"/>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2311BF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18-64</w:t>
            </w:r>
          </w:p>
        </w:tc>
        <w:tc>
          <w:tcPr>
            <w:tcW w:w="1701" w:type="dxa"/>
            <w:tcBorders>
              <w:left w:val="single" w:sz="6" w:space="0" w:color="auto"/>
              <w:right w:val="single" w:sz="6" w:space="0" w:color="auto"/>
            </w:tcBorders>
            <w:shd w:val="clear" w:color="auto" w:fill="auto"/>
          </w:tcPr>
          <w:p w14:paraId="010B34A5"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976/499,156</w:t>
            </w:r>
          </w:p>
        </w:tc>
        <w:tc>
          <w:tcPr>
            <w:tcW w:w="709" w:type="dxa"/>
            <w:tcBorders>
              <w:left w:val="single" w:sz="6" w:space="0" w:color="auto"/>
              <w:right w:val="single" w:sz="6" w:space="0" w:color="auto"/>
            </w:tcBorders>
            <w:shd w:val="clear" w:color="auto" w:fill="auto"/>
          </w:tcPr>
          <w:p w14:paraId="25EF43D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0.196</w:t>
            </w:r>
          </w:p>
        </w:tc>
        <w:tc>
          <w:tcPr>
            <w:tcW w:w="1559" w:type="dxa"/>
            <w:tcBorders>
              <w:left w:val="single" w:sz="6" w:space="0" w:color="auto"/>
              <w:right w:val="single" w:sz="6" w:space="0" w:color="auto"/>
            </w:tcBorders>
            <w:shd w:val="clear" w:color="auto" w:fill="auto"/>
          </w:tcPr>
          <w:p w14:paraId="670AFEF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4,053/1,730,403</w:t>
            </w:r>
          </w:p>
        </w:tc>
        <w:tc>
          <w:tcPr>
            <w:tcW w:w="741" w:type="dxa"/>
            <w:tcBorders>
              <w:left w:val="single" w:sz="6" w:space="0" w:color="auto"/>
              <w:right w:val="single" w:sz="6" w:space="0" w:color="auto"/>
            </w:tcBorders>
            <w:shd w:val="clear" w:color="auto" w:fill="auto"/>
          </w:tcPr>
          <w:p w14:paraId="2BE3A62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0.234</w:t>
            </w:r>
          </w:p>
        </w:tc>
        <w:tc>
          <w:tcPr>
            <w:tcW w:w="1757" w:type="dxa"/>
            <w:gridSpan w:val="2"/>
            <w:tcBorders>
              <w:top w:val="single" w:sz="6" w:space="0" w:color="auto"/>
              <w:left w:val="single" w:sz="6" w:space="0" w:color="auto"/>
              <w:bottom w:val="single" w:sz="6" w:space="0" w:color="auto"/>
              <w:right w:val="single" w:sz="6" w:space="0" w:color="auto"/>
            </w:tcBorders>
            <w:shd w:val="clear" w:color="auto" w:fill="auto"/>
          </w:tcPr>
          <w:p w14:paraId="576AF219" w14:textId="77777777" w:rsidR="009C29A2" w:rsidRPr="00001499" w:rsidRDefault="009C29A2" w:rsidP="00FC7A97">
            <w:pPr>
              <w:pStyle w:val="TableTextcentred"/>
              <w:keepNext/>
              <w:keepLines/>
              <w:widowControl w:val="0"/>
              <w:rPr>
                <w:rFonts w:ascii="Arial Narrow" w:eastAsia="Arial Narrow" w:hAnsi="Arial Narrow" w:cs="Arial Narrow"/>
                <w:b/>
                <w:bCs/>
                <w:sz w:val="20"/>
                <w:szCs w:val="20"/>
              </w:rPr>
            </w:pPr>
            <w:r w:rsidRPr="00001499">
              <w:rPr>
                <w:rFonts w:ascii="Arial Narrow" w:eastAsia="Arial Narrow" w:hAnsi="Arial Narrow" w:cs="Arial Narrow"/>
                <w:b/>
                <w:bCs/>
                <w:sz w:val="20"/>
                <w:szCs w:val="20"/>
              </w:rPr>
              <w:t>13.1 (6.79, 18.96)</w:t>
            </w:r>
          </w:p>
        </w:tc>
      </w:tr>
      <w:tr w:rsidR="009C29A2" w:rsidRPr="00001499" w14:paraId="7D1D4F8D" w14:textId="77777777" w:rsidTr="00A77DC7">
        <w:trPr>
          <w:trHeight w:val="20"/>
        </w:trPr>
        <w:tc>
          <w:tcPr>
            <w:tcW w:w="7419" w:type="dxa"/>
            <w:gridSpan w:val="8"/>
            <w:tcBorders>
              <w:top w:val="single" w:sz="6" w:space="0" w:color="auto"/>
              <w:left w:val="single" w:sz="6" w:space="0" w:color="auto"/>
              <w:bottom w:val="single" w:sz="6" w:space="0" w:color="auto"/>
              <w:right w:val="nil"/>
            </w:tcBorders>
            <w:shd w:val="clear" w:color="auto" w:fill="auto"/>
          </w:tcPr>
          <w:p w14:paraId="10407D2E" w14:textId="77777777" w:rsidR="009C29A2" w:rsidRPr="00001499" w:rsidRDefault="009C29A2" w:rsidP="00FC7A97">
            <w:pPr>
              <w:pStyle w:val="TableTextcentred"/>
              <w:keepNext/>
              <w:keepLines/>
              <w:widowControl w:val="0"/>
              <w:jc w:val="left"/>
              <w:rPr>
                <w:rFonts w:ascii="Arial Narrow" w:eastAsia="Arial Narrow" w:hAnsi="Arial Narrow" w:cs="Arial Narrow"/>
                <w:sz w:val="20"/>
                <w:szCs w:val="20"/>
              </w:rPr>
            </w:pPr>
            <w:r w:rsidRPr="00001499">
              <w:rPr>
                <w:rFonts w:ascii="Arial Narrow" w:eastAsia="Arial Narrow" w:hAnsi="Arial Narrow" w:cs="Arial Narrow"/>
                <w:b/>
                <w:bCs/>
                <w:sz w:val="20"/>
                <w:szCs w:val="20"/>
              </w:rPr>
              <w:t>US Season 2018-19 (cell-derived A(H3N2), B/Victoria and B/Yamagata CVVs)</w:t>
            </w:r>
          </w:p>
        </w:tc>
        <w:tc>
          <w:tcPr>
            <w:tcW w:w="1592" w:type="dxa"/>
            <w:tcBorders>
              <w:top w:val="single" w:sz="6" w:space="0" w:color="auto"/>
              <w:left w:val="nil"/>
              <w:bottom w:val="single" w:sz="6" w:space="0" w:color="auto"/>
              <w:right w:val="single" w:sz="6" w:space="0" w:color="auto"/>
            </w:tcBorders>
            <w:shd w:val="clear" w:color="auto" w:fill="auto"/>
          </w:tcPr>
          <w:p w14:paraId="150F0AC8" w14:textId="77777777" w:rsidR="009C29A2" w:rsidRPr="00001499" w:rsidRDefault="009C29A2" w:rsidP="00FC7A97">
            <w:pPr>
              <w:keepNext/>
              <w:keepLines/>
              <w:widowControl w:val="0"/>
              <w:jc w:val="center"/>
              <w:rPr>
                <w:rFonts w:ascii="Arial Narrow" w:eastAsia="Arial Narrow" w:hAnsi="Arial Narrow" w:cs="Arial Narrow"/>
              </w:rPr>
            </w:pPr>
          </w:p>
        </w:tc>
      </w:tr>
      <w:tr w:rsidR="009C29A2" w:rsidRPr="00001499" w14:paraId="0F3CCE82" w14:textId="77777777" w:rsidTr="00A77DC7">
        <w:trPr>
          <w:trHeight w:val="20"/>
        </w:trPr>
        <w:tc>
          <w:tcPr>
            <w:tcW w:w="843" w:type="dxa"/>
            <w:vMerge w:val="restart"/>
            <w:tcBorders>
              <w:top w:val="single" w:sz="6" w:space="0" w:color="auto"/>
              <w:left w:val="single" w:sz="6" w:space="0" w:color="auto"/>
              <w:bottom w:val="single" w:sz="6" w:space="0" w:color="auto"/>
              <w:right w:val="single" w:sz="6" w:space="0" w:color="auto"/>
            </w:tcBorders>
            <w:shd w:val="clear" w:color="auto" w:fill="auto"/>
          </w:tcPr>
          <w:p w14:paraId="6881DD90" w14:textId="77777777" w:rsidR="009C29A2" w:rsidRPr="00001499" w:rsidRDefault="009C29A2" w:rsidP="00FC7A97">
            <w:pPr>
              <w:pStyle w:val="TableTextleftalign"/>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Boikos 2021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91DDB9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IRME</w:t>
            </w:r>
          </w:p>
        </w:tc>
        <w:tc>
          <w:tcPr>
            <w:tcW w:w="709" w:type="dxa"/>
            <w:tcBorders>
              <w:top w:val="single" w:sz="6" w:space="0" w:color="auto"/>
              <w:bottom w:val="single" w:sz="6" w:space="0" w:color="auto"/>
            </w:tcBorders>
            <w:shd w:val="clear" w:color="auto" w:fill="auto"/>
          </w:tcPr>
          <w:p w14:paraId="697D25F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4-17</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1272C5D" w14:textId="77777777" w:rsidR="009C29A2" w:rsidRPr="00001499" w:rsidRDefault="009C29A2" w:rsidP="00FC7A97">
            <w:pPr>
              <w:pStyle w:val="TableTextcentred"/>
              <w:keepNext/>
              <w:keepLines/>
              <w:widowControl w:val="0"/>
              <w:ind w:left="-223" w:firstLine="223"/>
              <w:rPr>
                <w:rFonts w:ascii="Arial Narrow" w:eastAsia="Arial Narrow" w:hAnsi="Arial Narrow" w:cs="Arial Narrow"/>
                <w:sz w:val="20"/>
                <w:szCs w:val="20"/>
              </w:rPr>
            </w:pPr>
            <w:r w:rsidRPr="00001499">
              <w:rPr>
                <w:rFonts w:ascii="Arial Narrow" w:eastAsia="Arial Narrow" w:hAnsi="Arial Narrow" w:cs="Arial Narrow"/>
                <w:sz w:val="20"/>
                <w:szCs w:val="20"/>
              </w:rPr>
              <w:t>4,115/78,602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6DD89E8"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5.24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0063E0"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94,187/1,628,038</w:t>
            </w:r>
          </w:p>
        </w:tc>
        <w:tc>
          <w:tcPr>
            <w:tcW w:w="741" w:type="dxa"/>
            <w:tcBorders>
              <w:top w:val="single" w:sz="6" w:space="0" w:color="auto"/>
              <w:left w:val="single" w:sz="6" w:space="0" w:color="auto"/>
              <w:bottom w:val="single" w:sz="6" w:space="0" w:color="auto"/>
              <w:right w:val="single" w:sz="6" w:space="0" w:color="auto"/>
            </w:tcBorders>
            <w:shd w:val="clear" w:color="auto" w:fill="auto"/>
          </w:tcPr>
          <w:p w14:paraId="0604381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5.79</w:t>
            </w:r>
          </w:p>
        </w:tc>
        <w:tc>
          <w:tcPr>
            <w:tcW w:w="1757" w:type="dxa"/>
            <w:gridSpan w:val="2"/>
            <w:tcBorders>
              <w:top w:val="single" w:sz="6" w:space="0" w:color="auto"/>
              <w:bottom w:val="single" w:sz="6" w:space="0" w:color="auto"/>
            </w:tcBorders>
            <w:shd w:val="clear" w:color="auto" w:fill="auto"/>
          </w:tcPr>
          <w:p w14:paraId="6AE93255" w14:textId="77777777" w:rsidR="009C29A2" w:rsidRPr="00001499" w:rsidRDefault="009C29A2" w:rsidP="00FC7A97">
            <w:pPr>
              <w:pStyle w:val="TableTextcentred"/>
              <w:keepNext/>
              <w:keepLines/>
              <w:widowControl w:val="0"/>
              <w:rPr>
                <w:rFonts w:ascii="Arial Narrow" w:eastAsia="Arial Narrow" w:hAnsi="Arial Narrow" w:cs="Arial Narrow"/>
                <w:b/>
                <w:bCs/>
                <w:sz w:val="16"/>
                <w:szCs w:val="16"/>
              </w:rPr>
            </w:pPr>
            <w:r w:rsidRPr="00001499">
              <w:rPr>
                <w:rFonts w:ascii="Arial Narrow" w:eastAsia="Arial Narrow" w:hAnsi="Arial Narrow" w:cs="Arial Narrow"/>
                <w:b/>
                <w:bCs/>
                <w:sz w:val="20"/>
                <w:szCs w:val="20"/>
              </w:rPr>
              <w:t>3.9 (0.9, 7.0)</w:t>
            </w:r>
            <w:r w:rsidRPr="00001499">
              <w:rPr>
                <w:rFonts w:ascii="Arial Narrow" w:eastAsia="Arial Narrow" w:hAnsi="Arial Narrow" w:cs="Arial Narrow"/>
                <w:b/>
                <w:bCs/>
                <w:sz w:val="20"/>
                <w:szCs w:val="20"/>
                <w:vertAlign w:val="superscript"/>
              </w:rPr>
              <w:t>3</w:t>
            </w:r>
          </w:p>
        </w:tc>
      </w:tr>
      <w:tr w:rsidR="009C29A2" w:rsidRPr="00001499" w14:paraId="5CC1DBFF" w14:textId="77777777" w:rsidTr="00A77DC7">
        <w:trPr>
          <w:trHeight w:val="20"/>
        </w:trPr>
        <w:tc>
          <w:tcPr>
            <w:tcW w:w="843" w:type="dxa"/>
            <w:vMerge/>
            <w:shd w:val="clear" w:color="auto" w:fill="auto"/>
            <w:vAlign w:val="center"/>
          </w:tcPr>
          <w:p w14:paraId="2ACB0CCC" w14:textId="77777777" w:rsidR="009C29A2" w:rsidRPr="00001499" w:rsidRDefault="009C29A2" w:rsidP="00FC7A97">
            <w:pPr>
              <w:keepNext/>
              <w:keepLines/>
              <w:widowControl w:val="0"/>
            </w:pPr>
          </w:p>
        </w:tc>
        <w:tc>
          <w:tcPr>
            <w:tcW w:w="992" w:type="dxa"/>
            <w:tcBorders>
              <w:top w:val="single" w:sz="6" w:space="0" w:color="auto"/>
              <w:bottom w:val="single" w:sz="6" w:space="0" w:color="auto"/>
              <w:right w:val="single" w:sz="6" w:space="0" w:color="auto"/>
            </w:tcBorders>
            <w:shd w:val="clear" w:color="auto" w:fill="auto"/>
          </w:tcPr>
          <w:p w14:paraId="4AB6B118"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IRME</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DB4CE64"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18-64</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C5EC90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24,084/1,529,189</w:t>
            </w:r>
          </w:p>
        </w:tc>
        <w:tc>
          <w:tcPr>
            <w:tcW w:w="709" w:type="dxa"/>
            <w:tcBorders>
              <w:left w:val="single" w:sz="6" w:space="0" w:color="auto"/>
              <w:right w:val="single" w:sz="6" w:space="0" w:color="auto"/>
            </w:tcBorders>
            <w:shd w:val="clear" w:color="auto" w:fill="auto"/>
          </w:tcPr>
          <w:p w14:paraId="5B526D80"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1.57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43FB99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87,113/5,384,922</w:t>
            </w:r>
          </w:p>
        </w:tc>
        <w:tc>
          <w:tcPr>
            <w:tcW w:w="741" w:type="dxa"/>
            <w:tcBorders>
              <w:left w:val="single" w:sz="6" w:space="0" w:color="auto"/>
              <w:right w:val="single" w:sz="6" w:space="0" w:color="auto"/>
            </w:tcBorders>
            <w:shd w:val="clear" w:color="auto" w:fill="auto"/>
          </w:tcPr>
          <w:p w14:paraId="1BC0AE6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1.62</w:t>
            </w:r>
          </w:p>
        </w:tc>
        <w:tc>
          <w:tcPr>
            <w:tcW w:w="1757" w:type="dxa"/>
            <w:gridSpan w:val="2"/>
            <w:tcBorders>
              <w:top w:val="single" w:sz="6" w:space="0" w:color="auto"/>
              <w:left w:val="single" w:sz="6" w:space="0" w:color="auto"/>
              <w:bottom w:val="single" w:sz="6" w:space="0" w:color="auto"/>
              <w:right w:val="single" w:sz="6" w:space="0" w:color="auto"/>
            </w:tcBorders>
            <w:shd w:val="clear" w:color="auto" w:fill="auto"/>
          </w:tcPr>
          <w:p w14:paraId="49EE79C2" w14:textId="77777777" w:rsidR="009C29A2" w:rsidRPr="00001499" w:rsidRDefault="009C29A2" w:rsidP="00FC7A97">
            <w:pPr>
              <w:pStyle w:val="TableTextcentred"/>
              <w:keepNext/>
              <w:keepLines/>
              <w:widowControl w:val="0"/>
              <w:rPr>
                <w:rFonts w:ascii="Arial Narrow" w:eastAsia="Arial Narrow" w:hAnsi="Arial Narrow" w:cs="Arial Narrow"/>
                <w:b/>
                <w:bCs/>
                <w:sz w:val="16"/>
                <w:szCs w:val="16"/>
              </w:rPr>
            </w:pPr>
            <w:r w:rsidRPr="00001499">
              <w:rPr>
                <w:rFonts w:ascii="Arial Narrow" w:eastAsia="Arial Narrow" w:hAnsi="Arial Narrow" w:cs="Arial Narrow"/>
                <w:b/>
                <w:bCs/>
                <w:sz w:val="20"/>
                <w:szCs w:val="20"/>
              </w:rPr>
              <w:t>6.5 (5.2, 7.9)</w:t>
            </w:r>
            <w:r w:rsidRPr="00001499">
              <w:rPr>
                <w:rFonts w:ascii="Arial Narrow" w:eastAsia="Arial Narrow" w:hAnsi="Arial Narrow" w:cs="Arial Narrow"/>
                <w:b/>
                <w:bCs/>
                <w:sz w:val="20"/>
                <w:szCs w:val="20"/>
                <w:vertAlign w:val="superscript"/>
              </w:rPr>
              <w:t>3</w:t>
            </w:r>
          </w:p>
        </w:tc>
      </w:tr>
      <w:tr w:rsidR="009C29A2" w:rsidRPr="00001499" w14:paraId="5C230BAC" w14:textId="77777777" w:rsidTr="00A77DC7">
        <w:trPr>
          <w:trHeight w:val="20"/>
        </w:trPr>
        <w:tc>
          <w:tcPr>
            <w:tcW w:w="843" w:type="dxa"/>
            <w:vMerge w:val="restart"/>
            <w:tcBorders>
              <w:top w:val="single" w:sz="6" w:space="0" w:color="auto"/>
              <w:left w:val="single" w:sz="6" w:space="0" w:color="auto"/>
              <w:right w:val="single" w:sz="6" w:space="0" w:color="auto"/>
            </w:tcBorders>
            <w:shd w:val="clear" w:color="auto" w:fill="auto"/>
          </w:tcPr>
          <w:p w14:paraId="14219B48" w14:textId="77777777" w:rsidR="009C29A2" w:rsidRPr="00001499" w:rsidRDefault="009C29A2" w:rsidP="00FC7A97">
            <w:pPr>
              <w:pStyle w:val="TableTextleftalign"/>
              <w:keepNext/>
              <w:keepLines/>
              <w:widowControl w:val="0"/>
              <w:rPr>
                <w:rFonts w:ascii="Arial Narrow" w:eastAsia="Arial Narrow" w:hAnsi="Arial Narrow" w:cs="Arial Narrow"/>
                <w:sz w:val="16"/>
                <w:szCs w:val="16"/>
              </w:rPr>
            </w:pPr>
            <w:r w:rsidRPr="00001499">
              <w:rPr>
                <w:rFonts w:ascii="Arial Narrow" w:eastAsia="Arial Narrow" w:hAnsi="Arial Narrow" w:cs="Arial Narrow"/>
                <w:sz w:val="20"/>
                <w:szCs w:val="20"/>
              </w:rPr>
              <w:t>Krishnarajah 2021</w:t>
            </w:r>
            <w:r w:rsidRPr="00001499">
              <w:rPr>
                <w:rFonts w:ascii="Arial Narrow" w:eastAsia="Arial Narrow" w:hAnsi="Arial Narrow" w:cs="Arial Narrow"/>
                <w:sz w:val="20"/>
                <w:szCs w:val="20"/>
                <w:vertAlign w:val="superscript"/>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84EE43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IRHE</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596ABC9"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4-17</w:t>
            </w:r>
          </w:p>
        </w:tc>
        <w:tc>
          <w:tcPr>
            <w:tcW w:w="1701" w:type="dxa"/>
            <w:tcBorders>
              <w:left w:val="single" w:sz="6" w:space="0" w:color="auto"/>
              <w:right w:val="single" w:sz="6" w:space="0" w:color="auto"/>
            </w:tcBorders>
            <w:shd w:val="clear" w:color="auto" w:fill="auto"/>
          </w:tcPr>
          <w:p w14:paraId="70491DA0"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167/74,304</w:t>
            </w:r>
          </w:p>
        </w:tc>
        <w:tc>
          <w:tcPr>
            <w:tcW w:w="709" w:type="dxa"/>
            <w:tcBorders>
              <w:left w:val="single" w:sz="6" w:space="0" w:color="auto"/>
              <w:right w:val="single" w:sz="6" w:space="0" w:color="auto"/>
            </w:tcBorders>
            <w:shd w:val="clear" w:color="auto" w:fill="auto"/>
          </w:tcPr>
          <w:p w14:paraId="40027AA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0.23</w:t>
            </w:r>
          </w:p>
        </w:tc>
        <w:tc>
          <w:tcPr>
            <w:tcW w:w="1559" w:type="dxa"/>
            <w:tcBorders>
              <w:left w:val="single" w:sz="6" w:space="0" w:color="auto"/>
              <w:right w:val="single" w:sz="6" w:space="0" w:color="auto"/>
            </w:tcBorders>
            <w:shd w:val="clear" w:color="auto" w:fill="auto"/>
          </w:tcPr>
          <w:p w14:paraId="3A278E44"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2,087/839,744</w:t>
            </w:r>
          </w:p>
        </w:tc>
        <w:tc>
          <w:tcPr>
            <w:tcW w:w="741" w:type="dxa"/>
            <w:tcBorders>
              <w:left w:val="single" w:sz="6" w:space="0" w:color="auto"/>
              <w:right w:val="single" w:sz="6" w:space="0" w:color="auto"/>
            </w:tcBorders>
            <w:shd w:val="clear" w:color="auto" w:fill="auto"/>
          </w:tcPr>
          <w:p w14:paraId="1A899262"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0.25</w:t>
            </w:r>
          </w:p>
        </w:tc>
        <w:tc>
          <w:tcPr>
            <w:tcW w:w="1757" w:type="dxa"/>
            <w:gridSpan w:val="2"/>
            <w:tcBorders>
              <w:top w:val="single" w:sz="6" w:space="0" w:color="auto"/>
              <w:left w:val="single" w:sz="6" w:space="0" w:color="auto"/>
              <w:bottom w:val="single" w:sz="6" w:space="0" w:color="auto"/>
              <w:right w:val="single" w:sz="6" w:space="0" w:color="auto"/>
            </w:tcBorders>
            <w:shd w:val="clear" w:color="auto" w:fill="auto"/>
          </w:tcPr>
          <w:p w14:paraId="2AC17E9D"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8.54 (-7.1, 21.9)</w:t>
            </w:r>
          </w:p>
        </w:tc>
      </w:tr>
      <w:tr w:rsidR="009C29A2" w:rsidRPr="00001499" w14:paraId="65525F7A" w14:textId="77777777" w:rsidTr="00A77DC7">
        <w:trPr>
          <w:trHeight w:val="20"/>
        </w:trPr>
        <w:tc>
          <w:tcPr>
            <w:tcW w:w="843" w:type="dxa"/>
            <w:vMerge/>
            <w:shd w:val="clear" w:color="auto" w:fill="auto"/>
            <w:vAlign w:val="center"/>
          </w:tcPr>
          <w:p w14:paraId="4783BFFE" w14:textId="77777777" w:rsidR="009C29A2" w:rsidRPr="00001499" w:rsidRDefault="009C29A2" w:rsidP="00FC7A97">
            <w:pPr>
              <w:keepNext/>
              <w:keepLines/>
              <w:widowControl w:val="0"/>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4694C7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IRHE</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6A6445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18-64</w:t>
            </w:r>
          </w:p>
        </w:tc>
        <w:tc>
          <w:tcPr>
            <w:tcW w:w="1701" w:type="dxa"/>
            <w:tcBorders>
              <w:left w:val="single" w:sz="6" w:space="0" w:color="auto"/>
              <w:right w:val="single" w:sz="6" w:space="0" w:color="auto"/>
            </w:tcBorders>
            <w:shd w:val="clear" w:color="auto" w:fill="auto"/>
          </w:tcPr>
          <w:p w14:paraId="6399C8A0"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792/590,705</w:t>
            </w:r>
          </w:p>
        </w:tc>
        <w:tc>
          <w:tcPr>
            <w:tcW w:w="709" w:type="dxa"/>
            <w:tcBorders>
              <w:left w:val="single" w:sz="6" w:space="0" w:color="auto"/>
              <w:right w:val="single" w:sz="6" w:space="0" w:color="auto"/>
            </w:tcBorders>
            <w:shd w:val="clear" w:color="auto" w:fill="auto"/>
          </w:tcPr>
          <w:p w14:paraId="1DB29358"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0.13</w:t>
            </w:r>
          </w:p>
        </w:tc>
        <w:tc>
          <w:tcPr>
            <w:tcW w:w="1559" w:type="dxa"/>
            <w:tcBorders>
              <w:left w:val="single" w:sz="6" w:space="0" w:color="auto"/>
              <w:right w:val="single" w:sz="6" w:space="0" w:color="auto"/>
            </w:tcBorders>
            <w:shd w:val="clear" w:color="auto" w:fill="auto"/>
          </w:tcPr>
          <w:p w14:paraId="66CB5C0D"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3,166/2,223,435</w:t>
            </w:r>
          </w:p>
        </w:tc>
        <w:tc>
          <w:tcPr>
            <w:tcW w:w="741" w:type="dxa"/>
            <w:tcBorders>
              <w:left w:val="single" w:sz="6" w:space="0" w:color="auto"/>
              <w:right w:val="single" w:sz="6" w:space="0" w:color="auto"/>
            </w:tcBorders>
            <w:shd w:val="clear" w:color="auto" w:fill="auto"/>
          </w:tcPr>
          <w:p w14:paraId="22974AB2"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0.14</w:t>
            </w:r>
          </w:p>
        </w:tc>
        <w:tc>
          <w:tcPr>
            <w:tcW w:w="1757" w:type="dxa"/>
            <w:gridSpan w:val="2"/>
            <w:tcBorders>
              <w:top w:val="single" w:sz="6" w:space="0" w:color="auto"/>
              <w:left w:val="single" w:sz="6" w:space="0" w:color="auto"/>
              <w:bottom w:val="single" w:sz="6" w:space="0" w:color="auto"/>
              <w:right w:val="single" w:sz="6" w:space="0" w:color="auto"/>
            </w:tcBorders>
            <w:shd w:val="clear" w:color="auto" w:fill="auto"/>
          </w:tcPr>
          <w:p w14:paraId="21195EB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4.9 (-2.8, 12.1)</w:t>
            </w:r>
          </w:p>
        </w:tc>
      </w:tr>
      <w:tr w:rsidR="009C29A2" w:rsidRPr="00001499" w14:paraId="637051AD" w14:textId="77777777" w:rsidTr="00A77DC7">
        <w:trPr>
          <w:trHeight w:val="20"/>
        </w:trPr>
        <w:tc>
          <w:tcPr>
            <w:tcW w:w="7419" w:type="dxa"/>
            <w:gridSpan w:val="8"/>
            <w:tcBorders>
              <w:top w:val="single" w:sz="6" w:space="0" w:color="auto"/>
              <w:left w:val="single" w:sz="6" w:space="0" w:color="auto"/>
              <w:bottom w:val="single" w:sz="6" w:space="0" w:color="auto"/>
              <w:right w:val="nil"/>
            </w:tcBorders>
            <w:shd w:val="clear" w:color="auto" w:fill="auto"/>
          </w:tcPr>
          <w:p w14:paraId="2425A77C" w14:textId="77777777" w:rsidR="009C29A2" w:rsidRPr="00001499" w:rsidRDefault="009C29A2" w:rsidP="00FC7A97">
            <w:pPr>
              <w:pStyle w:val="TableTextcentred"/>
              <w:keepNext/>
              <w:keepLines/>
              <w:widowControl w:val="0"/>
              <w:jc w:val="left"/>
              <w:rPr>
                <w:rFonts w:ascii="Arial Narrow" w:eastAsia="Arial Narrow" w:hAnsi="Arial Narrow"/>
                <w:sz w:val="20"/>
                <w:szCs w:val="20"/>
                <w:vertAlign w:val="superscript"/>
              </w:rPr>
            </w:pPr>
            <w:r w:rsidRPr="00001499">
              <w:rPr>
                <w:rFonts w:ascii="Arial Narrow" w:eastAsia="Arial Narrow" w:hAnsi="Arial Narrow" w:cs="Arial Narrow"/>
                <w:b/>
                <w:bCs/>
                <w:sz w:val="20"/>
                <w:szCs w:val="20"/>
              </w:rPr>
              <w:t>US Season 2019-20 (all components cell-derived)</w:t>
            </w:r>
            <w:r w:rsidRPr="00001499">
              <w:rPr>
                <w:rFonts w:ascii="Arial Narrow" w:eastAsia="Arial Narrow" w:hAnsi="Arial Narrow" w:cs="Arial Narrow"/>
                <w:b/>
                <w:bCs/>
                <w:sz w:val="20"/>
                <w:szCs w:val="20"/>
                <w:vertAlign w:val="superscript"/>
              </w:rPr>
              <w:t>4</w:t>
            </w:r>
          </w:p>
        </w:tc>
        <w:tc>
          <w:tcPr>
            <w:tcW w:w="1592" w:type="dxa"/>
            <w:tcBorders>
              <w:top w:val="single" w:sz="6" w:space="0" w:color="auto"/>
              <w:left w:val="nil"/>
              <w:bottom w:val="single" w:sz="6" w:space="0" w:color="auto"/>
              <w:right w:val="single" w:sz="6" w:space="0" w:color="auto"/>
            </w:tcBorders>
            <w:shd w:val="clear" w:color="auto" w:fill="auto"/>
          </w:tcPr>
          <w:p w14:paraId="5397038E" w14:textId="77777777" w:rsidR="009C29A2" w:rsidRPr="00001499" w:rsidRDefault="009C29A2" w:rsidP="00FC7A97">
            <w:pPr>
              <w:keepNext/>
              <w:keepLines/>
              <w:widowControl w:val="0"/>
              <w:jc w:val="center"/>
              <w:rPr>
                <w:rFonts w:ascii="Arial Narrow" w:eastAsia="Arial Narrow" w:hAnsi="Arial Narrow" w:cs="Arial Narrow"/>
              </w:rPr>
            </w:pPr>
          </w:p>
        </w:tc>
      </w:tr>
      <w:tr w:rsidR="009C29A2" w:rsidRPr="00001499" w14:paraId="1531C61D" w14:textId="77777777" w:rsidTr="00A77DC7">
        <w:trPr>
          <w:trHeight w:val="20"/>
        </w:trPr>
        <w:tc>
          <w:tcPr>
            <w:tcW w:w="843" w:type="dxa"/>
            <w:vMerge w:val="restart"/>
            <w:tcBorders>
              <w:top w:val="single" w:sz="6" w:space="0" w:color="auto"/>
              <w:left w:val="single" w:sz="6" w:space="0" w:color="auto"/>
              <w:bottom w:val="single" w:sz="6" w:space="0" w:color="auto"/>
              <w:right w:val="single" w:sz="6" w:space="0" w:color="auto"/>
            </w:tcBorders>
            <w:shd w:val="clear" w:color="auto" w:fill="auto"/>
          </w:tcPr>
          <w:p w14:paraId="66FA33AF" w14:textId="77777777" w:rsidR="009C29A2" w:rsidRPr="00001499" w:rsidRDefault="009C29A2" w:rsidP="00FC7A97">
            <w:pPr>
              <w:pStyle w:val="TableTextleftalign"/>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Seqirus 2021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79DB89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IRME</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8C0120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4-17</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B81BE0A"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2,936/60,480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B64516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2930EF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76,618/1,240,990</w:t>
            </w:r>
          </w:p>
        </w:tc>
        <w:tc>
          <w:tcPr>
            <w:tcW w:w="741" w:type="dxa"/>
            <w:tcBorders>
              <w:top w:val="single" w:sz="6" w:space="0" w:color="auto"/>
              <w:left w:val="single" w:sz="6" w:space="0" w:color="auto"/>
              <w:bottom w:val="single" w:sz="6" w:space="0" w:color="auto"/>
              <w:right w:val="single" w:sz="6" w:space="0" w:color="auto"/>
            </w:tcBorders>
            <w:shd w:val="clear" w:color="auto" w:fill="auto"/>
          </w:tcPr>
          <w:p w14:paraId="1EB1146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6.2</w:t>
            </w:r>
          </w:p>
        </w:tc>
        <w:tc>
          <w:tcPr>
            <w:tcW w:w="1757" w:type="dxa"/>
            <w:gridSpan w:val="2"/>
            <w:tcBorders>
              <w:top w:val="single" w:sz="6" w:space="0" w:color="auto"/>
              <w:left w:val="single" w:sz="6" w:space="0" w:color="auto"/>
              <w:bottom w:val="single" w:sz="6" w:space="0" w:color="auto"/>
              <w:right w:val="single" w:sz="6" w:space="0" w:color="auto"/>
            </w:tcBorders>
            <w:shd w:val="clear" w:color="auto" w:fill="auto"/>
          </w:tcPr>
          <w:p w14:paraId="0A69BAD9" w14:textId="77777777" w:rsidR="009C29A2" w:rsidRPr="00001499" w:rsidRDefault="009C29A2" w:rsidP="00FC7A97">
            <w:pPr>
              <w:pStyle w:val="TableTextcentred"/>
              <w:keepNext/>
              <w:keepLines/>
              <w:widowControl w:val="0"/>
              <w:rPr>
                <w:rFonts w:ascii="Arial Narrow" w:eastAsia="Arial Narrow" w:hAnsi="Arial Narrow" w:cs="Arial Narrow"/>
                <w:b/>
                <w:bCs/>
                <w:sz w:val="16"/>
                <w:szCs w:val="16"/>
              </w:rPr>
            </w:pPr>
            <w:r w:rsidRPr="00001499">
              <w:rPr>
                <w:rFonts w:ascii="Arial Narrow" w:eastAsia="Arial Narrow" w:hAnsi="Arial Narrow" w:cs="Arial Narrow"/>
                <w:b/>
                <w:bCs/>
                <w:sz w:val="20"/>
                <w:szCs w:val="20"/>
              </w:rPr>
              <w:t>12.2 (7.5, 16.6)</w:t>
            </w:r>
            <w:r w:rsidRPr="00001499">
              <w:rPr>
                <w:rFonts w:ascii="Arial Narrow" w:eastAsia="Arial Narrow" w:hAnsi="Arial Narrow" w:cs="Arial Narrow"/>
                <w:b/>
                <w:bCs/>
                <w:sz w:val="20"/>
                <w:szCs w:val="20"/>
                <w:vertAlign w:val="superscript"/>
              </w:rPr>
              <w:t>3</w:t>
            </w:r>
          </w:p>
        </w:tc>
      </w:tr>
      <w:tr w:rsidR="009C29A2" w:rsidRPr="00001499" w14:paraId="431D4AA1" w14:textId="77777777" w:rsidTr="00FC7A97">
        <w:trPr>
          <w:trHeight w:val="20"/>
        </w:trPr>
        <w:tc>
          <w:tcPr>
            <w:tcW w:w="843" w:type="dxa"/>
            <w:vMerge/>
            <w:vAlign w:val="center"/>
          </w:tcPr>
          <w:p w14:paraId="318A119D" w14:textId="77777777" w:rsidR="009C29A2" w:rsidRPr="00001499" w:rsidRDefault="009C29A2" w:rsidP="00FC7A97">
            <w:pPr>
              <w:keepNext/>
              <w:keepLines/>
              <w:widowControl w:val="0"/>
            </w:pPr>
          </w:p>
        </w:tc>
        <w:tc>
          <w:tcPr>
            <w:tcW w:w="992" w:type="dxa"/>
            <w:tcBorders>
              <w:top w:val="single" w:sz="6" w:space="0" w:color="auto"/>
              <w:left w:val="single" w:sz="6" w:space="0" w:color="auto"/>
              <w:bottom w:val="single" w:sz="6" w:space="0" w:color="auto"/>
              <w:right w:val="single" w:sz="6" w:space="0" w:color="auto"/>
            </w:tcBorders>
          </w:tcPr>
          <w:p w14:paraId="18D28E07"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IRME</w:t>
            </w:r>
          </w:p>
        </w:tc>
        <w:tc>
          <w:tcPr>
            <w:tcW w:w="709" w:type="dxa"/>
            <w:tcBorders>
              <w:top w:val="single" w:sz="6" w:space="0" w:color="auto"/>
              <w:left w:val="single" w:sz="6" w:space="0" w:color="auto"/>
              <w:bottom w:val="single" w:sz="6" w:space="0" w:color="auto"/>
              <w:right w:val="single" w:sz="6" w:space="0" w:color="auto"/>
            </w:tcBorders>
          </w:tcPr>
          <w:p w14:paraId="609F5BC9"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18-64</w:t>
            </w:r>
          </w:p>
        </w:tc>
        <w:tc>
          <w:tcPr>
            <w:tcW w:w="1701" w:type="dxa"/>
            <w:tcBorders>
              <w:top w:val="single" w:sz="6" w:space="0" w:color="auto"/>
              <w:left w:val="single" w:sz="6" w:space="0" w:color="auto"/>
              <w:bottom w:val="single" w:sz="6" w:space="0" w:color="auto"/>
              <w:right w:val="single" w:sz="6" w:space="0" w:color="auto"/>
            </w:tcBorders>
          </w:tcPr>
          <w:p w14:paraId="5C912587"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16,030/1,144,427</w:t>
            </w:r>
          </w:p>
        </w:tc>
        <w:tc>
          <w:tcPr>
            <w:tcW w:w="709" w:type="dxa"/>
            <w:tcBorders>
              <w:left w:val="single" w:sz="6" w:space="0" w:color="auto"/>
              <w:right w:val="single" w:sz="6" w:space="0" w:color="auto"/>
            </w:tcBorders>
          </w:tcPr>
          <w:p w14:paraId="4759A16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1.4</w:t>
            </w:r>
          </w:p>
        </w:tc>
        <w:tc>
          <w:tcPr>
            <w:tcW w:w="1559" w:type="dxa"/>
            <w:tcBorders>
              <w:top w:val="single" w:sz="6" w:space="0" w:color="auto"/>
              <w:left w:val="single" w:sz="6" w:space="0" w:color="auto"/>
              <w:bottom w:val="single" w:sz="6" w:space="0" w:color="auto"/>
              <w:right w:val="single" w:sz="6" w:space="0" w:color="auto"/>
            </w:tcBorders>
          </w:tcPr>
          <w:p w14:paraId="5490F14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55,761/3,427,818</w:t>
            </w:r>
          </w:p>
        </w:tc>
        <w:tc>
          <w:tcPr>
            <w:tcW w:w="741" w:type="dxa"/>
            <w:tcBorders>
              <w:left w:val="single" w:sz="6" w:space="0" w:color="auto"/>
              <w:right w:val="single" w:sz="6" w:space="0" w:color="auto"/>
            </w:tcBorders>
          </w:tcPr>
          <w:p w14:paraId="5786533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1.6</w:t>
            </w:r>
          </w:p>
        </w:tc>
        <w:tc>
          <w:tcPr>
            <w:tcW w:w="1757" w:type="dxa"/>
            <w:gridSpan w:val="2"/>
            <w:tcBorders>
              <w:top w:val="single" w:sz="6" w:space="0" w:color="auto"/>
              <w:left w:val="single" w:sz="6" w:space="0" w:color="auto"/>
              <w:bottom w:val="single" w:sz="6" w:space="0" w:color="auto"/>
              <w:right w:val="single" w:sz="6" w:space="0" w:color="auto"/>
            </w:tcBorders>
          </w:tcPr>
          <w:p w14:paraId="5732636E" w14:textId="77777777" w:rsidR="009C29A2" w:rsidRPr="00001499" w:rsidRDefault="009C29A2" w:rsidP="00FC7A97">
            <w:pPr>
              <w:pStyle w:val="TableTextcentred"/>
              <w:keepNext/>
              <w:keepLines/>
              <w:widowControl w:val="0"/>
              <w:rPr>
                <w:rFonts w:ascii="Arial Narrow" w:eastAsia="Arial Narrow" w:hAnsi="Arial Narrow" w:cs="Arial Narrow"/>
                <w:b/>
                <w:bCs/>
                <w:sz w:val="16"/>
                <w:szCs w:val="16"/>
              </w:rPr>
            </w:pPr>
            <w:r w:rsidRPr="00001499">
              <w:rPr>
                <w:rFonts w:ascii="Arial Narrow" w:eastAsia="Arial Narrow" w:hAnsi="Arial Narrow" w:cs="Arial Narrow"/>
                <w:b/>
                <w:bCs/>
                <w:sz w:val="20"/>
                <w:szCs w:val="20"/>
              </w:rPr>
              <w:t>11.9 (10.2, 13.6)</w:t>
            </w:r>
            <w:r w:rsidRPr="00001499">
              <w:rPr>
                <w:rFonts w:ascii="Arial Narrow" w:eastAsia="Arial Narrow" w:hAnsi="Arial Narrow" w:cs="Arial Narrow"/>
                <w:b/>
                <w:bCs/>
                <w:sz w:val="20"/>
                <w:szCs w:val="20"/>
                <w:vertAlign w:val="superscript"/>
              </w:rPr>
              <w:t>3</w:t>
            </w:r>
          </w:p>
        </w:tc>
      </w:tr>
    </w:tbl>
    <w:p w14:paraId="55C4C9E5" w14:textId="77777777" w:rsidR="009C29A2" w:rsidRPr="00001499" w:rsidRDefault="009C29A2" w:rsidP="009C29A2">
      <w:pPr>
        <w:pStyle w:val="TableFigureFooter"/>
        <w:keepNext/>
        <w:keepLines/>
        <w:rPr>
          <w:rFonts w:eastAsia="Arial Narrow" w:cs="Arial Narrow"/>
          <w:b/>
          <w:bCs/>
          <w:color w:val="000000" w:themeColor="text1"/>
          <w:szCs w:val="18"/>
        </w:rPr>
      </w:pPr>
      <w:r w:rsidRPr="00001499">
        <w:rPr>
          <w:rFonts w:eastAsia="Arial Narrow" w:cs="Arial Narrow"/>
          <w:b/>
          <w:bCs/>
          <w:color w:val="000000" w:themeColor="text1"/>
          <w:szCs w:val="18"/>
        </w:rPr>
        <w:t>Statistically significant results are presented in bold.</w:t>
      </w:r>
    </w:p>
    <w:p w14:paraId="79823400" w14:textId="77777777" w:rsidR="009C29A2" w:rsidRPr="00001499" w:rsidRDefault="009C29A2" w:rsidP="009C29A2">
      <w:pPr>
        <w:pStyle w:val="TableFigureFooter"/>
        <w:keepNext/>
        <w:keepLines/>
      </w:pPr>
      <w:r w:rsidRPr="00001499">
        <w:rPr>
          <w:rFonts w:eastAsia="Arial Narrow" w:cs="Arial Narrow"/>
          <w:color w:val="000000" w:themeColor="text1"/>
          <w:szCs w:val="18"/>
        </w:rPr>
        <w:t xml:space="preserve">Source: Table 2.6.1, p109 of the submission </w:t>
      </w:r>
      <w:r w:rsidRPr="00001499">
        <w:t xml:space="preserve"> </w:t>
      </w:r>
    </w:p>
    <w:p w14:paraId="1311CDBA" w14:textId="77777777" w:rsidR="009C29A2" w:rsidRPr="00001499" w:rsidRDefault="009C29A2" w:rsidP="009C29A2">
      <w:pPr>
        <w:pStyle w:val="TableFigureFooter"/>
        <w:keepNext/>
        <w:keepLines/>
        <w:rPr>
          <w:rFonts w:eastAsia="Arial Narrow" w:cs="Arial Narrow"/>
          <w:color w:val="000000" w:themeColor="text1"/>
        </w:rPr>
      </w:pPr>
      <w:r w:rsidRPr="00001499">
        <w:rPr>
          <w:rFonts w:eastAsia="Arial Narrow" w:cs="Arial Narrow"/>
          <w:color w:val="000000" w:themeColor="text1"/>
        </w:rPr>
        <w:t xml:space="preserve">CI = confidence interval, n = number of participants with event, N = total participants in group, CVV = candidate vaccine virus, rVE = relative vaccine effectiveness, IRHE = Influenza related hospital encounters, IRPCE = Influenza related primary care encounters, IRME = Influenza related medical encounters (primary care or hospital), </w:t>
      </w:r>
      <w:r w:rsidRPr="00001499">
        <w:t>QIVc = cell-based quadrivalent subunit influenza virus vaccine, QIVe = egg- based quadrivalent subunit influenza virus vaccine</w:t>
      </w:r>
    </w:p>
    <w:p w14:paraId="2D0E1770" w14:textId="77777777" w:rsidR="009C29A2" w:rsidRPr="00001499" w:rsidRDefault="009C29A2" w:rsidP="000F35E3">
      <w:pPr>
        <w:pStyle w:val="TableFigureFooter"/>
        <w:keepNext/>
        <w:keepLines/>
        <w:numPr>
          <w:ilvl w:val="0"/>
          <w:numId w:val="16"/>
        </w:numPr>
        <w:ind w:left="284" w:hanging="294"/>
        <w:rPr>
          <w:rFonts w:eastAsia="Arial Narrow"/>
        </w:rPr>
      </w:pPr>
      <w:r w:rsidRPr="00001499">
        <w:rPr>
          <w:rFonts w:eastAsia="Arial Narrow"/>
        </w:rPr>
        <w:t>Propensity score matching (PSM) analysis.</w:t>
      </w:r>
    </w:p>
    <w:p w14:paraId="10A5E660" w14:textId="77777777" w:rsidR="009C29A2" w:rsidRPr="00001499" w:rsidRDefault="009C29A2" w:rsidP="000F35E3">
      <w:pPr>
        <w:pStyle w:val="TableFigureFooter"/>
        <w:keepNext/>
        <w:keepLines/>
        <w:numPr>
          <w:ilvl w:val="0"/>
          <w:numId w:val="16"/>
        </w:numPr>
        <w:ind w:left="284" w:hanging="294"/>
        <w:rPr>
          <w:rFonts w:eastAsia="Arial Narrow"/>
        </w:rPr>
      </w:pPr>
      <w:r w:rsidRPr="00001499">
        <w:rPr>
          <w:rFonts w:eastAsia="Arial Narrow"/>
        </w:rPr>
        <w:t>Rates converted to % from rate per 1000.</w:t>
      </w:r>
    </w:p>
    <w:p w14:paraId="4783BDAD" w14:textId="77777777" w:rsidR="009C29A2" w:rsidRPr="00001499" w:rsidRDefault="009C29A2" w:rsidP="000F35E3">
      <w:pPr>
        <w:pStyle w:val="TableFigureFooter"/>
        <w:keepNext/>
        <w:keepLines/>
        <w:numPr>
          <w:ilvl w:val="0"/>
          <w:numId w:val="16"/>
        </w:numPr>
        <w:ind w:left="284" w:hanging="294"/>
        <w:rPr>
          <w:rFonts w:eastAsia="Arial Narrow"/>
        </w:rPr>
      </w:pPr>
      <w:r w:rsidRPr="00001499">
        <w:rPr>
          <w:rFonts w:eastAsia="Arial Narrow"/>
        </w:rPr>
        <w:t>“Doubly robust” analysis.</w:t>
      </w:r>
    </w:p>
    <w:p w14:paraId="241076A8" w14:textId="77777777" w:rsidR="009C29A2" w:rsidRPr="00001499" w:rsidRDefault="009C29A2" w:rsidP="000F35E3">
      <w:pPr>
        <w:pStyle w:val="TableFigureFooter"/>
        <w:keepNext/>
        <w:keepLines/>
        <w:numPr>
          <w:ilvl w:val="0"/>
          <w:numId w:val="16"/>
        </w:numPr>
        <w:ind w:left="284" w:hanging="294"/>
      </w:pPr>
      <w:r w:rsidRPr="00001499">
        <w:rPr>
          <w:rFonts w:eastAsia="Arial Narrow"/>
        </w:rPr>
        <w:t>Note that Divino 2021 did not present data by age group.</w:t>
      </w:r>
    </w:p>
    <w:p w14:paraId="26A4D895" w14:textId="77777777" w:rsidR="009C29A2" w:rsidRPr="00001499" w:rsidRDefault="009C29A2" w:rsidP="009C29A2">
      <w:pPr>
        <w:pStyle w:val="5-SubsectionSubheading"/>
      </w:pPr>
      <w:bookmarkStart w:id="47" w:name="_Ref92962019"/>
      <w:r w:rsidRPr="00001499">
        <w:t xml:space="preserve">rVE estimates for high risk population </w:t>
      </w:r>
    </w:p>
    <w:p w14:paraId="1D15A5E5" w14:textId="731B870E" w:rsidR="009C29A2" w:rsidRPr="00001499" w:rsidRDefault="009C29A2" w:rsidP="00AA46C6">
      <w:pPr>
        <w:pStyle w:val="3-BodyText"/>
        <w:ind w:left="709"/>
        <w:rPr>
          <w:rFonts w:eastAsia="Calibri"/>
        </w:rPr>
      </w:pPr>
      <w:r w:rsidRPr="00001499">
        <w:rPr>
          <w:rFonts w:eastAsia="Calibri"/>
        </w:rPr>
        <w:t xml:space="preserve">Results for the </w:t>
      </w:r>
      <w:proofErr w:type="gramStart"/>
      <w:r w:rsidRPr="00001499">
        <w:rPr>
          <w:rFonts w:eastAsia="Calibri"/>
        </w:rPr>
        <w:t>high risk</w:t>
      </w:r>
      <w:proofErr w:type="gramEnd"/>
      <w:r w:rsidRPr="00001499">
        <w:rPr>
          <w:rFonts w:eastAsia="Calibri"/>
        </w:rPr>
        <w:t xml:space="preserve"> population (</w:t>
      </w:r>
      <w:r w:rsidRPr="00001499">
        <w:rPr>
          <w:rFonts w:eastAsia="Calibri"/>
        </w:rPr>
        <w:fldChar w:fldCharType="begin" w:fldLock="1"/>
      </w:r>
      <w:r w:rsidRPr="00001499">
        <w:rPr>
          <w:rFonts w:eastAsia="Calibri"/>
        </w:rPr>
        <w:instrText xml:space="preserve"> REF _Ref93344758 \h </w:instrText>
      </w:r>
      <w:r w:rsidRPr="00001499">
        <w:rPr>
          <w:rFonts w:eastAsia="Calibri"/>
        </w:rPr>
      </w:r>
      <w:r w:rsidRPr="00001499">
        <w:rPr>
          <w:rFonts w:eastAsia="Calibri"/>
        </w:rPr>
        <w:fldChar w:fldCharType="separate"/>
      </w:r>
      <w:r w:rsidR="005C1FE9" w:rsidRPr="00001499">
        <w:t xml:space="preserve">Table </w:t>
      </w:r>
      <w:r w:rsidR="005C1FE9">
        <w:rPr>
          <w:noProof/>
        </w:rPr>
        <w:t>8</w:t>
      </w:r>
      <w:r w:rsidRPr="00001499">
        <w:rPr>
          <w:rFonts w:eastAsia="Calibri"/>
        </w:rPr>
        <w:fldChar w:fldCharType="end"/>
      </w:r>
      <w:r w:rsidRPr="00001499">
        <w:rPr>
          <w:rFonts w:eastAsia="Calibri"/>
        </w:rPr>
        <w:t xml:space="preserve">) were generally similar to the whole population. ATAGI stated that it was acceptable to apply vaccine effectiveness estimates from the general population to the group of people at increased risk of influenza disease and complications. </w:t>
      </w:r>
      <w:r w:rsidR="00B578E1" w:rsidRPr="00001499">
        <w:rPr>
          <w:rFonts w:eastAsia="Calibri"/>
        </w:rPr>
        <w:t xml:space="preserve">For 2017-18 and 2019-20 </w:t>
      </w:r>
      <w:r w:rsidRPr="00001499">
        <w:rPr>
          <w:rFonts w:eastAsia="Calibri"/>
        </w:rPr>
        <w:t>the</w:t>
      </w:r>
      <w:r w:rsidR="00B578E1" w:rsidRPr="00001499">
        <w:rPr>
          <w:rFonts w:eastAsia="Calibri"/>
        </w:rPr>
        <w:t xml:space="preserve"> point estimates for</w:t>
      </w:r>
      <w:r w:rsidRPr="00001499">
        <w:rPr>
          <w:rFonts w:eastAsia="Calibri"/>
        </w:rPr>
        <w:t xml:space="preserve"> rVE for the </w:t>
      </w:r>
      <w:proofErr w:type="gramStart"/>
      <w:r w:rsidRPr="00001499">
        <w:rPr>
          <w:rFonts w:eastAsia="Calibri"/>
        </w:rPr>
        <w:t>high risk</w:t>
      </w:r>
      <w:proofErr w:type="gramEnd"/>
      <w:r w:rsidRPr="00001499">
        <w:rPr>
          <w:rFonts w:eastAsia="Calibri"/>
        </w:rPr>
        <w:t xml:space="preserve"> population were lower than the rVE applied (results from meta-analysis) in the economic model (shown in </w:t>
      </w:r>
      <w:r w:rsidRPr="00001499">
        <w:rPr>
          <w:rFonts w:eastAsia="Calibri"/>
        </w:rPr>
        <w:fldChar w:fldCharType="begin" w:fldLock="1"/>
      </w:r>
      <w:r w:rsidRPr="00001499">
        <w:rPr>
          <w:rFonts w:eastAsia="Calibri"/>
        </w:rPr>
        <w:instrText xml:space="preserve"> REF _Ref93344837 \h  \* MERGEFORMAT </w:instrText>
      </w:r>
      <w:r w:rsidRPr="00001499">
        <w:rPr>
          <w:rFonts w:eastAsia="Calibri"/>
        </w:rPr>
      </w:r>
      <w:r w:rsidRPr="00001499">
        <w:rPr>
          <w:rFonts w:eastAsia="Calibri"/>
        </w:rPr>
        <w:fldChar w:fldCharType="separate"/>
      </w:r>
      <w:r w:rsidR="005C1FE9" w:rsidRPr="00001499">
        <w:t xml:space="preserve">Table </w:t>
      </w:r>
      <w:r w:rsidR="005C1FE9">
        <w:rPr>
          <w:noProof/>
        </w:rPr>
        <w:t>9</w:t>
      </w:r>
      <w:r w:rsidRPr="00001499">
        <w:rPr>
          <w:rFonts w:eastAsia="Calibri"/>
        </w:rPr>
        <w:fldChar w:fldCharType="end"/>
      </w:r>
      <w:bookmarkEnd w:id="47"/>
      <w:r w:rsidRPr="00001499">
        <w:rPr>
          <w:rFonts w:eastAsia="Calibri"/>
        </w:rPr>
        <w:t xml:space="preserve">). </w:t>
      </w:r>
    </w:p>
    <w:p w14:paraId="628A0CE5" w14:textId="06407532" w:rsidR="009C29A2" w:rsidRPr="00001499" w:rsidRDefault="009C29A2" w:rsidP="009C29A2">
      <w:pPr>
        <w:pStyle w:val="TableHeading0"/>
      </w:pPr>
      <w:bookmarkStart w:id="48" w:name="_Ref93344758"/>
      <w:r w:rsidRPr="00001499">
        <w:lastRenderedPageBreak/>
        <w:t xml:space="preserve">Table </w:t>
      </w:r>
      <w:fldSimple w:instr=" SEQ Table \* ARABIC " w:fldLock="1">
        <w:r w:rsidR="005C1FE9">
          <w:rPr>
            <w:noProof/>
          </w:rPr>
          <w:t>8</w:t>
        </w:r>
      </w:fldSimple>
      <w:bookmarkEnd w:id="48"/>
      <w:r w:rsidRPr="00001499">
        <w:rPr>
          <w:rStyle w:val="CommentReference"/>
          <w:b/>
        </w:rPr>
        <w:t>:</w:t>
      </w:r>
      <w:r w:rsidRPr="00001499">
        <w:t xml:space="preserve"> Estimated relative vaccine effectiveness in high-risk patients (aged 4 years and older)</w:t>
      </w:r>
    </w:p>
    <w:tbl>
      <w:tblPr>
        <w:tblStyle w:val="TableGrid"/>
        <w:tblW w:w="0" w:type="auto"/>
        <w:tblLayout w:type="fixed"/>
        <w:tblLook w:val="04A0" w:firstRow="1" w:lastRow="0" w:firstColumn="1" w:lastColumn="0" w:noHBand="0" w:noVBand="1"/>
      </w:tblPr>
      <w:tblGrid>
        <w:gridCol w:w="1268"/>
        <w:gridCol w:w="851"/>
        <w:gridCol w:w="708"/>
        <w:gridCol w:w="1560"/>
        <w:gridCol w:w="653"/>
        <w:gridCol w:w="1615"/>
        <w:gridCol w:w="708"/>
        <w:gridCol w:w="1577"/>
      </w:tblGrid>
      <w:tr w:rsidR="009C29A2" w:rsidRPr="00001499" w14:paraId="1F8C7FAC" w14:textId="77777777" w:rsidTr="00FC7A97">
        <w:trPr>
          <w:trHeight w:val="20"/>
        </w:trPr>
        <w:tc>
          <w:tcPr>
            <w:tcW w:w="1268" w:type="dxa"/>
            <w:tcBorders>
              <w:top w:val="single" w:sz="6" w:space="0" w:color="auto"/>
              <w:left w:val="single" w:sz="6" w:space="0" w:color="auto"/>
              <w:right w:val="single" w:sz="6" w:space="0" w:color="auto"/>
            </w:tcBorders>
            <w:vAlign w:val="center"/>
          </w:tcPr>
          <w:p w14:paraId="651D8AB3"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Study</w:t>
            </w:r>
          </w:p>
        </w:tc>
        <w:tc>
          <w:tcPr>
            <w:tcW w:w="851" w:type="dxa"/>
            <w:tcBorders>
              <w:top w:val="single" w:sz="6" w:space="0" w:color="auto"/>
              <w:left w:val="single" w:sz="6" w:space="0" w:color="auto"/>
              <w:right w:val="single" w:sz="6" w:space="0" w:color="auto"/>
            </w:tcBorders>
            <w:vAlign w:val="center"/>
          </w:tcPr>
          <w:p w14:paraId="395EE93E"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Outcome</w:t>
            </w:r>
          </w:p>
        </w:tc>
        <w:tc>
          <w:tcPr>
            <w:tcW w:w="708" w:type="dxa"/>
            <w:tcBorders>
              <w:top w:val="single" w:sz="6" w:space="0" w:color="auto"/>
              <w:left w:val="single" w:sz="6" w:space="0" w:color="auto"/>
              <w:right w:val="single" w:sz="6" w:space="0" w:color="auto"/>
            </w:tcBorders>
            <w:vAlign w:val="center"/>
          </w:tcPr>
          <w:p w14:paraId="0926BECD"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Group</w:t>
            </w:r>
          </w:p>
        </w:tc>
        <w:tc>
          <w:tcPr>
            <w:tcW w:w="2213" w:type="dxa"/>
            <w:gridSpan w:val="2"/>
            <w:tcBorders>
              <w:left w:val="single" w:sz="6" w:space="0" w:color="auto"/>
            </w:tcBorders>
            <w:vAlign w:val="center"/>
          </w:tcPr>
          <w:p w14:paraId="2E7278B1"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QIVc</w:t>
            </w:r>
          </w:p>
        </w:tc>
        <w:tc>
          <w:tcPr>
            <w:tcW w:w="2323" w:type="dxa"/>
            <w:gridSpan w:val="2"/>
            <w:vAlign w:val="center"/>
          </w:tcPr>
          <w:p w14:paraId="788CFD4F"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QIVe</w:t>
            </w:r>
          </w:p>
        </w:tc>
        <w:tc>
          <w:tcPr>
            <w:tcW w:w="1577" w:type="dxa"/>
            <w:vAlign w:val="center"/>
          </w:tcPr>
          <w:p w14:paraId="53DEA5D3"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 xml:space="preserve">Adjusted rVE </w:t>
            </w:r>
            <w:r w:rsidRPr="00001499">
              <w:br/>
            </w:r>
            <w:r w:rsidRPr="00001499">
              <w:rPr>
                <w:rFonts w:ascii="Arial Narrow" w:eastAsia="Arial Narrow" w:hAnsi="Arial Narrow" w:cs="Arial Narrow"/>
                <w:sz w:val="20"/>
              </w:rPr>
              <w:t>(95% CI)</w:t>
            </w:r>
          </w:p>
        </w:tc>
      </w:tr>
      <w:tr w:rsidR="009C29A2" w:rsidRPr="00001499" w14:paraId="7161D670" w14:textId="77777777" w:rsidTr="00FC7A97">
        <w:trPr>
          <w:trHeight w:val="20"/>
        </w:trPr>
        <w:tc>
          <w:tcPr>
            <w:tcW w:w="8940" w:type="dxa"/>
            <w:gridSpan w:val="8"/>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0AB22A" w14:textId="77777777" w:rsidR="009C29A2" w:rsidRPr="00001499" w:rsidRDefault="009C29A2" w:rsidP="00FC7A97">
            <w:pPr>
              <w:pStyle w:val="TableTextleftalign"/>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US Season 2017-18 (cell-derived A(H3N2) CVV only)</w:t>
            </w:r>
          </w:p>
        </w:tc>
      </w:tr>
      <w:tr w:rsidR="009C29A2" w:rsidRPr="00001499" w14:paraId="62DA16FB" w14:textId="77777777" w:rsidTr="00A77DC7">
        <w:trPr>
          <w:trHeight w:val="20"/>
        </w:trPr>
        <w:tc>
          <w:tcPr>
            <w:tcW w:w="2827" w:type="dxa"/>
            <w:gridSpan w:val="3"/>
            <w:tcBorders>
              <w:top w:val="single" w:sz="6" w:space="0" w:color="auto"/>
              <w:left w:val="single" w:sz="6" w:space="0" w:color="auto"/>
              <w:bottom w:val="single" w:sz="6" w:space="0" w:color="auto"/>
              <w:right w:val="single" w:sz="6" w:space="0" w:color="auto"/>
            </w:tcBorders>
            <w:shd w:val="clear" w:color="auto" w:fill="auto"/>
          </w:tcPr>
          <w:p w14:paraId="516C7727" w14:textId="77777777" w:rsidR="009C29A2" w:rsidRPr="00001499" w:rsidRDefault="009C29A2" w:rsidP="00FC7A97">
            <w:pPr>
              <w:keepNext/>
              <w:keepLines/>
              <w:widowControl w:val="0"/>
              <w:jc w:val="center"/>
              <w:rPr>
                <w:rFonts w:ascii="Arial Narrow" w:eastAsia="Arial Narrow" w:hAnsi="Arial Narrow" w:cs="Arial Narrow"/>
              </w:rPr>
            </w:pPr>
          </w:p>
        </w:tc>
        <w:tc>
          <w:tcPr>
            <w:tcW w:w="1560" w:type="dxa"/>
            <w:tcBorders>
              <w:top w:val="single" w:sz="6" w:space="0" w:color="auto"/>
              <w:left w:val="single" w:sz="6" w:space="0" w:color="auto"/>
              <w:bottom w:val="single" w:sz="6" w:space="0" w:color="auto"/>
            </w:tcBorders>
            <w:shd w:val="clear" w:color="auto" w:fill="auto"/>
          </w:tcPr>
          <w:p w14:paraId="492405B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n/N </w:t>
            </w:r>
          </w:p>
        </w:tc>
        <w:tc>
          <w:tcPr>
            <w:tcW w:w="653" w:type="dxa"/>
            <w:tcBorders>
              <w:top w:val="single" w:sz="6" w:space="0" w:color="auto"/>
              <w:bottom w:val="single" w:sz="6" w:space="0" w:color="auto"/>
            </w:tcBorders>
            <w:shd w:val="clear" w:color="auto" w:fill="auto"/>
          </w:tcPr>
          <w:p w14:paraId="05FCCCBA"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Rate (%) </w:t>
            </w:r>
          </w:p>
        </w:tc>
        <w:tc>
          <w:tcPr>
            <w:tcW w:w="1615" w:type="dxa"/>
            <w:tcBorders>
              <w:top w:val="single" w:sz="6" w:space="0" w:color="auto"/>
              <w:bottom w:val="single" w:sz="6" w:space="0" w:color="auto"/>
            </w:tcBorders>
            <w:shd w:val="clear" w:color="auto" w:fill="auto"/>
          </w:tcPr>
          <w:p w14:paraId="4E469D5D"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n/N </w:t>
            </w:r>
          </w:p>
        </w:tc>
        <w:tc>
          <w:tcPr>
            <w:tcW w:w="708" w:type="dxa"/>
            <w:tcBorders>
              <w:top w:val="single" w:sz="6" w:space="0" w:color="auto"/>
              <w:bottom w:val="single" w:sz="6" w:space="0" w:color="auto"/>
            </w:tcBorders>
            <w:shd w:val="clear" w:color="auto" w:fill="auto"/>
          </w:tcPr>
          <w:p w14:paraId="060FCF8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Rate (%) </w:t>
            </w:r>
          </w:p>
        </w:tc>
        <w:tc>
          <w:tcPr>
            <w:tcW w:w="1577" w:type="dxa"/>
            <w:tcBorders>
              <w:top w:val="single" w:sz="6" w:space="0" w:color="auto"/>
              <w:bottom w:val="single" w:sz="6" w:space="0" w:color="auto"/>
              <w:right w:val="single" w:sz="6" w:space="0" w:color="auto"/>
            </w:tcBorders>
            <w:shd w:val="clear" w:color="auto" w:fill="auto"/>
          </w:tcPr>
          <w:p w14:paraId="279A3B1A" w14:textId="77777777" w:rsidR="009C29A2" w:rsidRPr="00001499" w:rsidRDefault="009C29A2" w:rsidP="00FC7A97">
            <w:pPr>
              <w:keepNext/>
              <w:keepLines/>
              <w:widowControl w:val="0"/>
              <w:jc w:val="center"/>
              <w:rPr>
                <w:rFonts w:ascii="Arial Narrow" w:eastAsia="Arial Narrow" w:hAnsi="Arial Narrow" w:cs="Arial Narrow"/>
              </w:rPr>
            </w:pPr>
          </w:p>
        </w:tc>
      </w:tr>
      <w:tr w:rsidR="009C29A2" w:rsidRPr="00001499" w14:paraId="62FFDE77" w14:textId="77777777" w:rsidTr="00A77DC7">
        <w:trPr>
          <w:trHeight w:val="20"/>
        </w:trPr>
        <w:tc>
          <w:tcPr>
            <w:tcW w:w="1268" w:type="dxa"/>
            <w:vMerge w:val="restart"/>
            <w:tcBorders>
              <w:top w:val="single" w:sz="6" w:space="0" w:color="auto"/>
              <w:left w:val="single" w:sz="6" w:space="0" w:color="auto"/>
              <w:bottom w:val="single" w:sz="6" w:space="0" w:color="auto"/>
              <w:right w:val="single" w:sz="6" w:space="0" w:color="auto"/>
            </w:tcBorders>
            <w:shd w:val="clear" w:color="auto" w:fill="auto"/>
          </w:tcPr>
          <w:p w14:paraId="63B08069" w14:textId="77777777" w:rsidR="009C29A2" w:rsidRPr="00001499" w:rsidRDefault="009C29A2" w:rsidP="00FC7A97">
            <w:pPr>
              <w:pStyle w:val="TableTextleftalign"/>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Divino 2020</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53B253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IRHE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90EBBF7" w14:textId="77777777" w:rsidR="009C29A2" w:rsidRPr="00001499" w:rsidRDefault="009C29A2" w:rsidP="00FC7A97">
            <w:pPr>
              <w:pStyle w:val="TableTextcentred"/>
              <w:keepNext/>
              <w:keepLines/>
              <w:widowControl w:val="0"/>
              <w:rPr>
                <w:rFonts w:ascii="Arial Narrow" w:eastAsia="Arial Narrow" w:hAnsi="Arial Narrow" w:cs="Arial Narrow"/>
                <w:sz w:val="16"/>
                <w:szCs w:val="16"/>
              </w:rPr>
            </w:pPr>
            <w:r w:rsidRPr="00001499">
              <w:rPr>
                <w:rFonts w:ascii="Arial Narrow" w:eastAsia="Arial Narrow" w:hAnsi="Arial Narrow" w:cs="Arial Narrow"/>
                <w:sz w:val="20"/>
                <w:szCs w:val="20"/>
              </w:rPr>
              <w:t>HR</w:t>
            </w:r>
            <w:r w:rsidRPr="00001499">
              <w:rPr>
                <w:rFonts w:ascii="Arial Narrow" w:eastAsia="Arial Narrow" w:hAnsi="Arial Narrow" w:cs="Arial Narrow"/>
                <w:sz w:val="20"/>
                <w:szCs w:val="20"/>
                <w:vertAlign w:val="superscript"/>
              </w:rPr>
              <w:t>1,2</w:t>
            </w:r>
          </w:p>
        </w:tc>
        <w:tc>
          <w:tcPr>
            <w:tcW w:w="1560" w:type="dxa"/>
            <w:shd w:val="clear" w:color="auto" w:fill="auto"/>
          </w:tcPr>
          <w:p w14:paraId="554DD389"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521/119,060</w:t>
            </w:r>
          </w:p>
        </w:tc>
        <w:tc>
          <w:tcPr>
            <w:tcW w:w="653" w:type="dxa"/>
            <w:shd w:val="clear" w:color="auto" w:fill="auto"/>
          </w:tcPr>
          <w:p w14:paraId="25B922A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0.438</w:t>
            </w:r>
          </w:p>
        </w:tc>
        <w:tc>
          <w:tcPr>
            <w:tcW w:w="1615" w:type="dxa"/>
            <w:shd w:val="clear" w:color="auto" w:fill="auto"/>
          </w:tcPr>
          <w:p w14:paraId="4A746D57"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2,435/491,496</w:t>
            </w:r>
          </w:p>
        </w:tc>
        <w:tc>
          <w:tcPr>
            <w:tcW w:w="708" w:type="dxa"/>
            <w:shd w:val="clear" w:color="auto" w:fill="auto"/>
          </w:tcPr>
          <w:p w14:paraId="6F936D4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0.495</w:t>
            </w:r>
          </w:p>
        </w:tc>
        <w:tc>
          <w:tcPr>
            <w:tcW w:w="1577" w:type="dxa"/>
            <w:tcBorders>
              <w:top w:val="single" w:sz="6" w:space="0" w:color="auto"/>
              <w:left w:val="single" w:sz="6" w:space="0" w:color="auto"/>
              <w:bottom w:val="single" w:sz="6" w:space="0" w:color="auto"/>
              <w:right w:val="single" w:sz="6" w:space="0" w:color="auto"/>
            </w:tcBorders>
            <w:shd w:val="clear" w:color="auto" w:fill="auto"/>
          </w:tcPr>
          <w:p w14:paraId="05D54D37" w14:textId="77777777" w:rsidR="009C29A2" w:rsidRPr="00001499" w:rsidRDefault="009C29A2" w:rsidP="00FC7A97">
            <w:pPr>
              <w:pStyle w:val="TableTextcentred"/>
              <w:keepNext/>
              <w:keepLines/>
              <w:widowControl w:val="0"/>
              <w:rPr>
                <w:rFonts w:ascii="Arial Narrow" w:eastAsia="Arial Narrow" w:hAnsi="Arial Narrow" w:cs="Arial Narrow"/>
                <w:b/>
                <w:bCs/>
                <w:sz w:val="20"/>
                <w:szCs w:val="20"/>
              </w:rPr>
            </w:pPr>
            <w:r w:rsidRPr="00001499">
              <w:rPr>
                <w:rFonts w:ascii="Arial Narrow" w:eastAsia="Arial Narrow" w:hAnsi="Arial Narrow" w:cs="Arial Narrow"/>
                <w:b/>
                <w:bCs/>
                <w:sz w:val="20"/>
                <w:szCs w:val="20"/>
              </w:rPr>
              <w:t>10.1% (1.1, 18.2)</w:t>
            </w:r>
          </w:p>
        </w:tc>
      </w:tr>
      <w:tr w:rsidR="009C29A2" w:rsidRPr="00001499" w14:paraId="06B07BD1" w14:textId="77777777" w:rsidTr="00A77DC7">
        <w:trPr>
          <w:trHeight w:val="20"/>
        </w:trPr>
        <w:tc>
          <w:tcPr>
            <w:tcW w:w="1268" w:type="dxa"/>
            <w:vMerge/>
            <w:shd w:val="clear" w:color="auto" w:fill="auto"/>
            <w:vAlign w:val="center"/>
          </w:tcPr>
          <w:p w14:paraId="0D0670DF" w14:textId="77777777" w:rsidR="009C29A2" w:rsidRPr="00001499" w:rsidRDefault="009C29A2" w:rsidP="00FC7A97">
            <w:pPr>
              <w:keepNext/>
              <w:keepLines/>
              <w:widowControl w:val="0"/>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B24D53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IRHE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F15177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All</w:t>
            </w:r>
          </w:p>
        </w:tc>
        <w:tc>
          <w:tcPr>
            <w:tcW w:w="1560" w:type="dxa"/>
            <w:tcBorders>
              <w:bottom w:val="single" w:sz="6" w:space="0" w:color="auto"/>
            </w:tcBorders>
            <w:shd w:val="clear" w:color="auto" w:fill="auto"/>
          </w:tcPr>
          <w:p w14:paraId="4731302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1,142/551,544</w:t>
            </w:r>
          </w:p>
        </w:tc>
        <w:tc>
          <w:tcPr>
            <w:tcW w:w="653" w:type="dxa"/>
            <w:tcBorders>
              <w:bottom w:val="single" w:sz="6" w:space="0" w:color="auto"/>
            </w:tcBorders>
            <w:shd w:val="clear" w:color="auto" w:fill="auto"/>
          </w:tcPr>
          <w:p w14:paraId="45121E4A"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0.207</w:t>
            </w:r>
          </w:p>
        </w:tc>
        <w:tc>
          <w:tcPr>
            <w:tcW w:w="1615" w:type="dxa"/>
            <w:tcBorders>
              <w:bottom w:val="single" w:sz="6" w:space="0" w:color="auto"/>
            </w:tcBorders>
            <w:shd w:val="clear" w:color="auto" w:fill="auto"/>
          </w:tcPr>
          <w:p w14:paraId="6320E4F5"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6,230/2,528,966</w:t>
            </w:r>
          </w:p>
        </w:tc>
        <w:tc>
          <w:tcPr>
            <w:tcW w:w="708" w:type="dxa"/>
            <w:tcBorders>
              <w:bottom w:val="single" w:sz="6" w:space="0" w:color="auto"/>
            </w:tcBorders>
            <w:shd w:val="clear" w:color="auto" w:fill="auto"/>
          </w:tcPr>
          <w:p w14:paraId="7FFC704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0.246</w:t>
            </w:r>
          </w:p>
        </w:tc>
        <w:tc>
          <w:tcPr>
            <w:tcW w:w="1577" w:type="dxa"/>
            <w:tcBorders>
              <w:top w:val="single" w:sz="6" w:space="0" w:color="auto"/>
              <w:bottom w:val="single" w:sz="6" w:space="0" w:color="auto"/>
              <w:right w:val="single" w:sz="6" w:space="0" w:color="auto"/>
            </w:tcBorders>
            <w:shd w:val="clear" w:color="auto" w:fill="auto"/>
          </w:tcPr>
          <w:p w14:paraId="126D505B" w14:textId="77777777" w:rsidR="009C29A2" w:rsidRPr="00001499" w:rsidRDefault="009C29A2" w:rsidP="00FC7A97">
            <w:pPr>
              <w:pStyle w:val="TableTextcentred"/>
              <w:keepNext/>
              <w:keepLines/>
              <w:widowControl w:val="0"/>
              <w:rPr>
                <w:rFonts w:ascii="Arial Narrow" w:eastAsia="Arial Narrow" w:hAnsi="Arial Narrow" w:cs="Arial Narrow"/>
                <w:b/>
                <w:bCs/>
                <w:sz w:val="20"/>
                <w:szCs w:val="20"/>
              </w:rPr>
            </w:pPr>
            <w:r w:rsidRPr="00001499">
              <w:rPr>
                <w:rFonts w:ascii="Arial Narrow" w:eastAsia="Arial Narrow" w:hAnsi="Arial Narrow" w:cs="Arial Narrow"/>
                <w:b/>
                <w:bCs/>
                <w:sz w:val="20"/>
                <w:szCs w:val="20"/>
              </w:rPr>
              <w:t>14.4% (8.8, 19.6)</w:t>
            </w:r>
          </w:p>
        </w:tc>
      </w:tr>
      <w:tr w:rsidR="009C29A2" w:rsidRPr="00001499" w14:paraId="555CAC63" w14:textId="77777777" w:rsidTr="00A77DC7">
        <w:trPr>
          <w:trHeight w:val="20"/>
        </w:trPr>
        <w:tc>
          <w:tcPr>
            <w:tcW w:w="8940" w:type="dxa"/>
            <w:gridSpan w:val="8"/>
            <w:tcBorders>
              <w:top w:val="single" w:sz="6" w:space="0" w:color="auto"/>
              <w:left w:val="single" w:sz="6" w:space="0" w:color="auto"/>
              <w:bottom w:val="single" w:sz="6" w:space="0" w:color="auto"/>
              <w:right w:val="single" w:sz="6" w:space="0" w:color="auto"/>
            </w:tcBorders>
            <w:shd w:val="clear" w:color="auto" w:fill="auto"/>
          </w:tcPr>
          <w:p w14:paraId="3B8AC2B7" w14:textId="77777777" w:rsidR="009C29A2" w:rsidRPr="00001499" w:rsidRDefault="009C29A2" w:rsidP="00FC7A97">
            <w:pPr>
              <w:pStyle w:val="TableTextleftalign"/>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US Season 2018-19 (cell-derived A(H3N2), B/Victoria and B/Yamagata CVVs)</w:t>
            </w:r>
          </w:p>
        </w:tc>
      </w:tr>
      <w:tr w:rsidR="009C29A2" w:rsidRPr="00001499" w14:paraId="469B9496" w14:textId="77777777" w:rsidTr="00A77DC7">
        <w:trPr>
          <w:trHeight w:val="20"/>
        </w:trPr>
        <w:tc>
          <w:tcPr>
            <w:tcW w:w="2827" w:type="dxa"/>
            <w:gridSpan w:val="3"/>
            <w:tcBorders>
              <w:top w:val="single" w:sz="6" w:space="0" w:color="auto"/>
              <w:left w:val="single" w:sz="6" w:space="0" w:color="auto"/>
              <w:bottom w:val="single" w:sz="6" w:space="0" w:color="auto"/>
              <w:right w:val="single" w:sz="6" w:space="0" w:color="auto"/>
            </w:tcBorders>
            <w:shd w:val="clear" w:color="auto" w:fill="auto"/>
          </w:tcPr>
          <w:p w14:paraId="5F4E3DDC" w14:textId="77777777" w:rsidR="009C29A2" w:rsidRPr="00001499" w:rsidRDefault="009C29A2" w:rsidP="00FC7A97">
            <w:pPr>
              <w:keepNext/>
              <w:keepLines/>
              <w:widowControl w:val="0"/>
              <w:jc w:val="center"/>
              <w:rPr>
                <w:rFonts w:ascii="Arial Narrow" w:eastAsia="Arial Narrow" w:hAnsi="Arial Narrow" w:cs="Arial Narrow"/>
              </w:rPr>
            </w:pPr>
          </w:p>
        </w:tc>
        <w:tc>
          <w:tcPr>
            <w:tcW w:w="1560" w:type="dxa"/>
            <w:tcBorders>
              <w:top w:val="single" w:sz="6" w:space="0" w:color="auto"/>
              <w:left w:val="single" w:sz="6" w:space="0" w:color="auto"/>
              <w:bottom w:val="single" w:sz="6" w:space="0" w:color="auto"/>
            </w:tcBorders>
            <w:shd w:val="clear" w:color="auto" w:fill="auto"/>
          </w:tcPr>
          <w:p w14:paraId="57A81057"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n/N </w:t>
            </w:r>
          </w:p>
        </w:tc>
        <w:tc>
          <w:tcPr>
            <w:tcW w:w="653" w:type="dxa"/>
            <w:tcBorders>
              <w:top w:val="single" w:sz="6" w:space="0" w:color="auto"/>
              <w:bottom w:val="single" w:sz="6" w:space="0" w:color="auto"/>
            </w:tcBorders>
            <w:shd w:val="clear" w:color="auto" w:fill="auto"/>
          </w:tcPr>
          <w:p w14:paraId="6587B744"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Rate </w:t>
            </w:r>
          </w:p>
        </w:tc>
        <w:tc>
          <w:tcPr>
            <w:tcW w:w="1615" w:type="dxa"/>
            <w:tcBorders>
              <w:top w:val="single" w:sz="6" w:space="0" w:color="auto"/>
              <w:bottom w:val="single" w:sz="6" w:space="0" w:color="auto"/>
            </w:tcBorders>
            <w:shd w:val="clear" w:color="auto" w:fill="auto"/>
          </w:tcPr>
          <w:p w14:paraId="228E877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n/N </w:t>
            </w:r>
          </w:p>
        </w:tc>
        <w:tc>
          <w:tcPr>
            <w:tcW w:w="708" w:type="dxa"/>
            <w:tcBorders>
              <w:top w:val="single" w:sz="6" w:space="0" w:color="auto"/>
              <w:bottom w:val="single" w:sz="6" w:space="0" w:color="auto"/>
            </w:tcBorders>
            <w:shd w:val="clear" w:color="auto" w:fill="auto"/>
          </w:tcPr>
          <w:p w14:paraId="50F0B3C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Rate </w:t>
            </w:r>
          </w:p>
        </w:tc>
        <w:tc>
          <w:tcPr>
            <w:tcW w:w="1577" w:type="dxa"/>
            <w:tcBorders>
              <w:top w:val="single" w:sz="6" w:space="0" w:color="auto"/>
              <w:bottom w:val="single" w:sz="6" w:space="0" w:color="auto"/>
              <w:right w:val="single" w:sz="6" w:space="0" w:color="auto"/>
            </w:tcBorders>
            <w:shd w:val="clear" w:color="auto" w:fill="auto"/>
          </w:tcPr>
          <w:p w14:paraId="3D2EC72B" w14:textId="77777777" w:rsidR="009C29A2" w:rsidRPr="00001499" w:rsidRDefault="009C29A2" w:rsidP="00FC7A97">
            <w:pPr>
              <w:keepNext/>
              <w:keepLines/>
              <w:widowControl w:val="0"/>
              <w:jc w:val="center"/>
              <w:rPr>
                <w:rFonts w:ascii="Arial Narrow" w:eastAsia="Arial Narrow" w:hAnsi="Arial Narrow" w:cs="Arial Narrow"/>
              </w:rPr>
            </w:pPr>
          </w:p>
        </w:tc>
      </w:tr>
      <w:tr w:rsidR="009C29A2" w:rsidRPr="00001499" w14:paraId="6D8EFEAE" w14:textId="77777777" w:rsidTr="00A77DC7">
        <w:trPr>
          <w:trHeight w:val="20"/>
        </w:trPr>
        <w:tc>
          <w:tcPr>
            <w:tcW w:w="1268" w:type="dxa"/>
            <w:tcBorders>
              <w:top w:val="single" w:sz="6" w:space="0" w:color="auto"/>
              <w:left w:val="single" w:sz="6" w:space="0" w:color="auto"/>
              <w:bottom w:val="nil"/>
              <w:right w:val="single" w:sz="6" w:space="0" w:color="auto"/>
            </w:tcBorders>
            <w:shd w:val="clear" w:color="auto" w:fill="auto"/>
          </w:tcPr>
          <w:p w14:paraId="59A021C5" w14:textId="77777777" w:rsidR="009C29A2" w:rsidRPr="00001499" w:rsidRDefault="009C29A2" w:rsidP="00FC7A97">
            <w:pPr>
              <w:pStyle w:val="TableTextleftalign"/>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Boikos 2021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F3C764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IMRE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D9186D5"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 xml:space="preserve">HR </w:t>
            </w:r>
          </w:p>
        </w:tc>
        <w:tc>
          <w:tcPr>
            <w:tcW w:w="1560" w:type="dxa"/>
            <w:shd w:val="clear" w:color="auto" w:fill="auto"/>
          </w:tcPr>
          <w:p w14:paraId="52EE96E2"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8,362/471,301</w:t>
            </w:r>
          </w:p>
        </w:tc>
        <w:tc>
          <w:tcPr>
            <w:tcW w:w="653" w:type="dxa"/>
            <w:shd w:val="clear" w:color="auto" w:fill="auto"/>
          </w:tcPr>
          <w:p w14:paraId="261F3F89"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1.77</w:t>
            </w:r>
          </w:p>
        </w:tc>
        <w:tc>
          <w:tcPr>
            <w:tcW w:w="1615" w:type="dxa"/>
            <w:shd w:val="clear" w:color="auto" w:fill="auto"/>
          </w:tcPr>
          <w:p w14:paraId="17D51FA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40,956/1,641,915</w:t>
            </w:r>
          </w:p>
        </w:tc>
        <w:tc>
          <w:tcPr>
            <w:tcW w:w="708" w:type="dxa"/>
            <w:shd w:val="clear" w:color="auto" w:fill="auto"/>
          </w:tcPr>
          <w:p w14:paraId="662CC619"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2.49</w:t>
            </w:r>
          </w:p>
        </w:tc>
        <w:tc>
          <w:tcPr>
            <w:tcW w:w="1577" w:type="dxa"/>
            <w:tcBorders>
              <w:top w:val="single" w:sz="6" w:space="0" w:color="auto"/>
              <w:left w:val="single" w:sz="6" w:space="0" w:color="auto"/>
              <w:bottom w:val="single" w:sz="6" w:space="0" w:color="auto"/>
              <w:right w:val="single" w:sz="6" w:space="0" w:color="auto"/>
            </w:tcBorders>
            <w:shd w:val="clear" w:color="auto" w:fill="auto"/>
          </w:tcPr>
          <w:p w14:paraId="5EB8AB42" w14:textId="77777777" w:rsidR="009C29A2" w:rsidRPr="00001499" w:rsidRDefault="009C29A2" w:rsidP="00FC7A97">
            <w:pPr>
              <w:pStyle w:val="TableTextcentred"/>
              <w:keepNext/>
              <w:keepLines/>
              <w:widowControl w:val="0"/>
              <w:rPr>
                <w:rFonts w:ascii="Arial Narrow" w:eastAsia="Arial Narrow" w:hAnsi="Arial Narrow" w:cs="Arial Narrow"/>
                <w:b/>
                <w:bCs/>
                <w:sz w:val="20"/>
                <w:szCs w:val="20"/>
              </w:rPr>
            </w:pPr>
            <w:r w:rsidRPr="00001499">
              <w:rPr>
                <w:rFonts w:ascii="Arial Narrow" w:eastAsia="Arial Narrow" w:hAnsi="Arial Narrow" w:cs="Arial Narrow"/>
                <w:b/>
                <w:bCs/>
                <w:sz w:val="20"/>
                <w:szCs w:val="20"/>
              </w:rPr>
              <w:t>13.4% (11.4, 15.4)</w:t>
            </w:r>
          </w:p>
        </w:tc>
      </w:tr>
      <w:tr w:rsidR="009C29A2" w:rsidRPr="00001499" w14:paraId="08EB9F76" w14:textId="77777777" w:rsidTr="00A77DC7">
        <w:trPr>
          <w:trHeight w:val="20"/>
        </w:trPr>
        <w:tc>
          <w:tcPr>
            <w:tcW w:w="1268" w:type="dxa"/>
            <w:shd w:val="clear" w:color="auto" w:fill="auto"/>
            <w:vAlign w:val="center"/>
          </w:tcPr>
          <w:p w14:paraId="21CD5525" w14:textId="77777777" w:rsidR="009C29A2" w:rsidRPr="00001499" w:rsidRDefault="009C29A2" w:rsidP="00FC7A97">
            <w:pPr>
              <w:keepNext/>
              <w:keepLines/>
              <w:widowControl w:val="0"/>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D4830B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IMRE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812F1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All</w:t>
            </w:r>
          </w:p>
        </w:tc>
        <w:tc>
          <w:tcPr>
            <w:tcW w:w="1560" w:type="dxa"/>
            <w:tcBorders>
              <w:bottom w:val="single" w:sz="6" w:space="0" w:color="auto"/>
            </w:tcBorders>
            <w:shd w:val="clear" w:color="auto" w:fill="auto"/>
          </w:tcPr>
          <w:p w14:paraId="37F7C2E5"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34,520/2,125,430</w:t>
            </w:r>
          </w:p>
        </w:tc>
        <w:tc>
          <w:tcPr>
            <w:tcW w:w="653" w:type="dxa"/>
            <w:tcBorders>
              <w:bottom w:val="single" w:sz="6" w:space="0" w:color="auto"/>
            </w:tcBorders>
            <w:shd w:val="clear" w:color="auto" w:fill="auto"/>
          </w:tcPr>
          <w:p w14:paraId="36FCA09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1.6</w:t>
            </w:r>
          </w:p>
        </w:tc>
        <w:tc>
          <w:tcPr>
            <w:tcW w:w="1615" w:type="dxa"/>
            <w:tcBorders>
              <w:bottom w:val="single" w:sz="6" w:space="0" w:color="auto"/>
            </w:tcBorders>
            <w:shd w:val="clear" w:color="auto" w:fill="auto"/>
          </w:tcPr>
          <w:p w14:paraId="14AA5D36"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192,845/8,000,903</w:t>
            </w:r>
          </w:p>
        </w:tc>
        <w:tc>
          <w:tcPr>
            <w:tcW w:w="708" w:type="dxa"/>
            <w:tcBorders>
              <w:bottom w:val="single" w:sz="6" w:space="0" w:color="auto"/>
            </w:tcBorders>
            <w:shd w:val="clear" w:color="auto" w:fill="auto"/>
          </w:tcPr>
          <w:p w14:paraId="66C6A09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2.4</w:t>
            </w:r>
          </w:p>
        </w:tc>
        <w:tc>
          <w:tcPr>
            <w:tcW w:w="1577" w:type="dxa"/>
            <w:tcBorders>
              <w:top w:val="single" w:sz="6" w:space="0" w:color="auto"/>
              <w:left w:val="single" w:sz="6" w:space="0" w:color="auto"/>
              <w:bottom w:val="single" w:sz="6" w:space="0" w:color="auto"/>
              <w:right w:val="single" w:sz="6" w:space="0" w:color="auto"/>
            </w:tcBorders>
            <w:shd w:val="clear" w:color="auto" w:fill="auto"/>
          </w:tcPr>
          <w:p w14:paraId="6D0C38CA" w14:textId="77777777" w:rsidR="009C29A2" w:rsidRPr="00001499" w:rsidRDefault="009C29A2" w:rsidP="00FC7A97">
            <w:pPr>
              <w:pStyle w:val="TableTextcentred"/>
              <w:keepNext/>
              <w:keepLines/>
              <w:widowControl w:val="0"/>
              <w:rPr>
                <w:rFonts w:ascii="Arial Narrow" w:eastAsia="Arial Narrow" w:hAnsi="Arial Narrow" w:cs="Arial Narrow"/>
                <w:b/>
                <w:bCs/>
                <w:sz w:val="20"/>
                <w:szCs w:val="20"/>
              </w:rPr>
            </w:pPr>
            <w:r w:rsidRPr="00001499">
              <w:rPr>
                <w:rFonts w:ascii="Arial Narrow" w:eastAsia="Arial Narrow" w:hAnsi="Arial Narrow" w:cs="Arial Narrow"/>
                <w:b/>
                <w:bCs/>
                <w:sz w:val="20"/>
                <w:szCs w:val="20"/>
              </w:rPr>
              <w:t>7.6% (6.5, 8.6)</w:t>
            </w:r>
          </w:p>
        </w:tc>
      </w:tr>
      <w:tr w:rsidR="009C29A2" w:rsidRPr="00001499" w14:paraId="27B122BC" w14:textId="77777777" w:rsidTr="00A77DC7">
        <w:trPr>
          <w:trHeight w:val="20"/>
        </w:trPr>
        <w:tc>
          <w:tcPr>
            <w:tcW w:w="1268" w:type="dxa"/>
            <w:tcBorders>
              <w:top w:val="single" w:sz="6" w:space="0" w:color="auto"/>
              <w:left w:val="single" w:sz="6" w:space="0" w:color="auto"/>
              <w:bottom w:val="nil"/>
              <w:right w:val="single" w:sz="6" w:space="0" w:color="auto"/>
            </w:tcBorders>
            <w:shd w:val="clear" w:color="auto" w:fill="auto"/>
          </w:tcPr>
          <w:p w14:paraId="525131EE" w14:textId="77777777" w:rsidR="009C29A2" w:rsidRPr="00001499" w:rsidRDefault="009C29A2" w:rsidP="00FC7A97">
            <w:pPr>
              <w:pStyle w:val="TableTextleftalign"/>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Krishnarajah 2021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FF55CE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IRHE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2FA5499" w14:textId="77777777" w:rsidR="009C29A2" w:rsidRPr="00001499" w:rsidRDefault="009C29A2" w:rsidP="00FC7A97">
            <w:pPr>
              <w:pStyle w:val="TableTextcentred"/>
              <w:keepNext/>
              <w:keepLines/>
              <w:widowControl w:val="0"/>
              <w:rPr>
                <w:rFonts w:ascii="Arial Narrow" w:eastAsia="Arial Narrow" w:hAnsi="Arial Narrow" w:cs="Arial Narrow"/>
                <w:sz w:val="16"/>
                <w:szCs w:val="16"/>
              </w:rPr>
            </w:pPr>
            <w:r w:rsidRPr="00001499">
              <w:rPr>
                <w:rFonts w:ascii="Arial Narrow" w:eastAsia="Arial Narrow" w:hAnsi="Arial Narrow" w:cs="Arial Narrow"/>
                <w:sz w:val="20"/>
                <w:szCs w:val="20"/>
              </w:rPr>
              <w:t>HR</w:t>
            </w:r>
            <w:r w:rsidRPr="00001499">
              <w:rPr>
                <w:rFonts w:ascii="Arial Narrow" w:eastAsia="Arial Narrow" w:hAnsi="Arial Narrow" w:cs="Arial Narrow"/>
                <w:sz w:val="20"/>
                <w:szCs w:val="20"/>
                <w:vertAlign w:val="superscript"/>
              </w:rPr>
              <w:t>1</w:t>
            </w:r>
          </w:p>
        </w:tc>
        <w:tc>
          <w:tcPr>
            <w:tcW w:w="1560" w:type="dxa"/>
            <w:shd w:val="clear" w:color="auto" w:fill="auto"/>
          </w:tcPr>
          <w:p w14:paraId="688C5862"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454/142,150</w:t>
            </w:r>
          </w:p>
        </w:tc>
        <w:tc>
          <w:tcPr>
            <w:tcW w:w="653" w:type="dxa"/>
            <w:shd w:val="clear" w:color="auto" w:fill="auto"/>
          </w:tcPr>
          <w:p w14:paraId="6B278988"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0.32</w:t>
            </w:r>
          </w:p>
        </w:tc>
        <w:tc>
          <w:tcPr>
            <w:tcW w:w="1615" w:type="dxa"/>
            <w:shd w:val="clear" w:color="auto" w:fill="auto"/>
          </w:tcPr>
          <w:p w14:paraId="66D40FC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1,891/584, 959</w:t>
            </w:r>
          </w:p>
        </w:tc>
        <w:tc>
          <w:tcPr>
            <w:tcW w:w="708" w:type="dxa"/>
            <w:shd w:val="clear" w:color="auto" w:fill="auto"/>
          </w:tcPr>
          <w:p w14:paraId="706D47E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0.32</w:t>
            </w:r>
          </w:p>
        </w:tc>
        <w:tc>
          <w:tcPr>
            <w:tcW w:w="1577" w:type="dxa"/>
            <w:tcBorders>
              <w:top w:val="single" w:sz="6" w:space="0" w:color="auto"/>
              <w:left w:val="single" w:sz="6" w:space="0" w:color="auto"/>
              <w:bottom w:val="single" w:sz="6" w:space="0" w:color="auto"/>
              <w:right w:val="single" w:sz="6" w:space="0" w:color="auto"/>
            </w:tcBorders>
            <w:shd w:val="clear" w:color="auto" w:fill="auto"/>
          </w:tcPr>
          <w:p w14:paraId="2B6DA07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0.91%</w:t>
            </w:r>
            <w:r w:rsidRPr="00001499">
              <w:rPr>
                <w:rFonts w:eastAsia="Arial Narrow"/>
              </w:rPr>
              <w:br/>
            </w:r>
            <w:r w:rsidRPr="00001499">
              <w:rPr>
                <w:rFonts w:ascii="Arial Narrow" w:eastAsia="Arial Narrow" w:hAnsi="Arial Narrow" w:cs="Arial Narrow"/>
                <w:sz w:val="20"/>
                <w:szCs w:val="20"/>
              </w:rPr>
              <w:t>(-0.98%, 10.6%)</w:t>
            </w:r>
          </w:p>
        </w:tc>
      </w:tr>
      <w:tr w:rsidR="009C29A2" w:rsidRPr="00001499" w14:paraId="2D680B06" w14:textId="77777777" w:rsidTr="00A77DC7">
        <w:trPr>
          <w:trHeight w:val="20"/>
        </w:trPr>
        <w:tc>
          <w:tcPr>
            <w:tcW w:w="1268" w:type="dxa"/>
            <w:shd w:val="clear" w:color="auto" w:fill="auto"/>
            <w:vAlign w:val="center"/>
          </w:tcPr>
          <w:p w14:paraId="518E60A9" w14:textId="77777777" w:rsidR="009C29A2" w:rsidRPr="00001499" w:rsidRDefault="009C29A2" w:rsidP="00FC7A97">
            <w:pPr>
              <w:keepNext/>
              <w:keepLines/>
              <w:widowControl w:val="0"/>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E1F0F7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IRHE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8A1C496"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All</w:t>
            </w:r>
          </w:p>
        </w:tc>
        <w:tc>
          <w:tcPr>
            <w:tcW w:w="1560" w:type="dxa"/>
            <w:tcBorders>
              <w:bottom w:val="single" w:sz="6" w:space="0" w:color="auto"/>
            </w:tcBorders>
            <w:shd w:val="clear" w:color="auto" w:fill="auto"/>
          </w:tcPr>
          <w:p w14:paraId="20FFA5B5"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1,049/669,030</w:t>
            </w:r>
          </w:p>
        </w:tc>
        <w:tc>
          <w:tcPr>
            <w:tcW w:w="653" w:type="dxa"/>
            <w:tcBorders>
              <w:bottom w:val="single" w:sz="6" w:space="0" w:color="auto"/>
            </w:tcBorders>
            <w:shd w:val="clear" w:color="auto" w:fill="auto"/>
          </w:tcPr>
          <w:p w14:paraId="0A84C3D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0.16</w:t>
            </w:r>
          </w:p>
        </w:tc>
        <w:tc>
          <w:tcPr>
            <w:tcW w:w="1615" w:type="dxa"/>
            <w:tcBorders>
              <w:bottom w:val="single" w:sz="6" w:space="0" w:color="auto"/>
            </w:tcBorders>
            <w:shd w:val="clear" w:color="auto" w:fill="auto"/>
          </w:tcPr>
          <w:p w14:paraId="225A7DC1"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5,151/3,062,797</w:t>
            </w:r>
          </w:p>
        </w:tc>
        <w:tc>
          <w:tcPr>
            <w:tcW w:w="708" w:type="dxa"/>
            <w:tcBorders>
              <w:bottom w:val="single" w:sz="6" w:space="0" w:color="auto"/>
            </w:tcBorders>
            <w:shd w:val="clear" w:color="auto" w:fill="auto"/>
          </w:tcPr>
          <w:p w14:paraId="04971CC0"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0.17</w:t>
            </w:r>
          </w:p>
        </w:tc>
        <w:tc>
          <w:tcPr>
            <w:tcW w:w="1577" w:type="dxa"/>
            <w:tcBorders>
              <w:top w:val="single" w:sz="6" w:space="0" w:color="auto"/>
              <w:left w:val="single" w:sz="6" w:space="0" w:color="auto"/>
              <w:bottom w:val="single" w:sz="6" w:space="0" w:color="auto"/>
              <w:right w:val="single" w:sz="6" w:space="0" w:color="auto"/>
            </w:tcBorders>
            <w:shd w:val="clear" w:color="auto" w:fill="auto"/>
          </w:tcPr>
          <w:p w14:paraId="343697BD" w14:textId="77777777" w:rsidR="009C29A2" w:rsidRPr="00001499" w:rsidRDefault="009C29A2" w:rsidP="00FC7A97">
            <w:pPr>
              <w:pStyle w:val="TableTextcentred"/>
              <w:keepNext/>
              <w:keepLines/>
              <w:widowControl w:val="0"/>
              <w:rPr>
                <w:rFonts w:ascii="Arial Narrow" w:eastAsia="Arial Narrow" w:hAnsi="Arial Narrow" w:cs="Arial Narrow"/>
                <w:b/>
                <w:bCs/>
                <w:sz w:val="20"/>
                <w:szCs w:val="20"/>
              </w:rPr>
            </w:pPr>
            <w:r w:rsidRPr="00001499">
              <w:rPr>
                <w:rFonts w:ascii="Arial Narrow" w:eastAsia="Arial Narrow" w:hAnsi="Arial Narrow" w:cs="Arial Narrow"/>
                <w:b/>
                <w:bCs/>
                <w:sz w:val="20"/>
                <w:szCs w:val="20"/>
              </w:rPr>
              <w:t>6.5% (0.1, 12.5)</w:t>
            </w:r>
          </w:p>
        </w:tc>
      </w:tr>
      <w:tr w:rsidR="009C29A2" w:rsidRPr="00001499" w14:paraId="2179613D" w14:textId="77777777" w:rsidTr="00A77DC7">
        <w:trPr>
          <w:trHeight w:val="20"/>
        </w:trPr>
        <w:tc>
          <w:tcPr>
            <w:tcW w:w="8940" w:type="dxa"/>
            <w:gridSpan w:val="8"/>
            <w:tcBorders>
              <w:top w:val="single" w:sz="6" w:space="0" w:color="auto"/>
              <w:left w:val="single" w:sz="6" w:space="0" w:color="auto"/>
              <w:bottom w:val="nil"/>
              <w:right w:val="single" w:sz="6" w:space="0" w:color="auto"/>
            </w:tcBorders>
            <w:shd w:val="clear" w:color="auto" w:fill="auto"/>
          </w:tcPr>
          <w:p w14:paraId="0B7BA519" w14:textId="77777777" w:rsidR="009C29A2" w:rsidRPr="00001499" w:rsidRDefault="009C29A2" w:rsidP="00FC7A97">
            <w:pPr>
              <w:pStyle w:val="TableTextcentred"/>
              <w:keepNext/>
              <w:keepLines/>
              <w:widowControl w:val="0"/>
              <w:jc w:val="left"/>
              <w:rPr>
                <w:rFonts w:ascii="Arial Narrow" w:eastAsia="Arial Narrow" w:hAnsi="Arial Narrow" w:cs="Arial Narrow"/>
                <w:sz w:val="20"/>
                <w:szCs w:val="20"/>
                <w:vertAlign w:val="superscript"/>
              </w:rPr>
            </w:pPr>
            <w:r w:rsidRPr="00001499">
              <w:rPr>
                <w:rFonts w:ascii="Arial Narrow" w:eastAsia="Arial Narrow" w:hAnsi="Arial Narrow" w:cs="Arial Narrow"/>
                <w:b/>
                <w:bCs/>
                <w:sz w:val="20"/>
                <w:szCs w:val="20"/>
              </w:rPr>
              <w:t>US Season 2019-20 (all components cell-derived)</w:t>
            </w:r>
            <w:r w:rsidRPr="00001499">
              <w:rPr>
                <w:rFonts w:ascii="Arial Narrow" w:eastAsia="Arial Narrow" w:hAnsi="Arial Narrow" w:cs="Arial Narrow"/>
                <w:b/>
                <w:bCs/>
                <w:sz w:val="20"/>
                <w:szCs w:val="20"/>
                <w:vertAlign w:val="superscript"/>
              </w:rPr>
              <w:t>4</w:t>
            </w:r>
          </w:p>
        </w:tc>
      </w:tr>
      <w:tr w:rsidR="009C29A2" w:rsidRPr="00001499" w14:paraId="2984D8B9" w14:textId="77777777" w:rsidTr="00A77DC7">
        <w:trPr>
          <w:trHeight w:val="20"/>
        </w:trPr>
        <w:tc>
          <w:tcPr>
            <w:tcW w:w="2827" w:type="dxa"/>
            <w:gridSpan w:val="3"/>
            <w:tcBorders>
              <w:top w:val="single" w:sz="6" w:space="0" w:color="auto"/>
              <w:left w:val="single" w:sz="6" w:space="0" w:color="auto"/>
              <w:bottom w:val="single" w:sz="6" w:space="0" w:color="auto"/>
              <w:right w:val="single" w:sz="6" w:space="0" w:color="auto"/>
            </w:tcBorders>
            <w:shd w:val="clear" w:color="auto" w:fill="auto"/>
          </w:tcPr>
          <w:p w14:paraId="48941AA1" w14:textId="77777777" w:rsidR="009C29A2" w:rsidRPr="00001499" w:rsidRDefault="009C29A2" w:rsidP="00FC7A97">
            <w:pPr>
              <w:keepNext/>
              <w:keepLines/>
              <w:widowControl w:val="0"/>
              <w:jc w:val="center"/>
              <w:rPr>
                <w:rFonts w:ascii="Arial Narrow" w:eastAsia="Arial Narrow" w:hAnsi="Arial Narrow" w:cs="Arial Narrow"/>
              </w:rPr>
            </w:pPr>
          </w:p>
        </w:tc>
        <w:tc>
          <w:tcPr>
            <w:tcW w:w="1560" w:type="dxa"/>
            <w:tcBorders>
              <w:top w:val="single" w:sz="6" w:space="0" w:color="auto"/>
              <w:left w:val="single" w:sz="6" w:space="0" w:color="auto"/>
            </w:tcBorders>
            <w:shd w:val="clear" w:color="auto" w:fill="auto"/>
          </w:tcPr>
          <w:p w14:paraId="74CE788A"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n/N </w:t>
            </w:r>
          </w:p>
        </w:tc>
        <w:tc>
          <w:tcPr>
            <w:tcW w:w="653" w:type="dxa"/>
            <w:tcBorders>
              <w:top w:val="single" w:sz="6" w:space="0" w:color="auto"/>
            </w:tcBorders>
            <w:shd w:val="clear" w:color="auto" w:fill="auto"/>
          </w:tcPr>
          <w:p w14:paraId="2FF32F1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Rate </w:t>
            </w:r>
          </w:p>
        </w:tc>
        <w:tc>
          <w:tcPr>
            <w:tcW w:w="1615" w:type="dxa"/>
            <w:tcBorders>
              <w:top w:val="single" w:sz="6" w:space="0" w:color="auto"/>
            </w:tcBorders>
            <w:shd w:val="clear" w:color="auto" w:fill="auto"/>
          </w:tcPr>
          <w:p w14:paraId="1F630B15"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n/N </w:t>
            </w:r>
          </w:p>
        </w:tc>
        <w:tc>
          <w:tcPr>
            <w:tcW w:w="708" w:type="dxa"/>
            <w:tcBorders>
              <w:top w:val="single" w:sz="6" w:space="0" w:color="auto"/>
            </w:tcBorders>
            <w:shd w:val="clear" w:color="auto" w:fill="auto"/>
          </w:tcPr>
          <w:p w14:paraId="35ACEA2A"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b/>
                <w:bCs/>
                <w:sz w:val="20"/>
                <w:szCs w:val="20"/>
              </w:rPr>
              <w:t xml:space="preserve">Rate </w:t>
            </w:r>
          </w:p>
        </w:tc>
        <w:tc>
          <w:tcPr>
            <w:tcW w:w="1577" w:type="dxa"/>
            <w:tcBorders>
              <w:top w:val="single" w:sz="6" w:space="0" w:color="auto"/>
              <w:right w:val="single" w:sz="6" w:space="0" w:color="auto"/>
            </w:tcBorders>
            <w:shd w:val="clear" w:color="auto" w:fill="auto"/>
          </w:tcPr>
          <w:p w14:paraId="45A01650" w14:textId="77777777" w:rsidR="009C29A2" w:rsidRPr="00001499" w:rsidRDefault="009C29A2" w:rsidP="00FC7A97">
            <w:pPr>
              <w:keepNext/>
              <w:keepLines/>
              <w:widowControl w:val="0"/>
              <w:jc w:val="center"/>
              <w:rPr>
                <w:rFonts w:ascii="Arial Narrow" w:eastAsia="Arial Narrow" w:hAnsi="Arial Narrow" w:cs="Arial Narrow"/>
              </w:rPr>
            </w:pPr>
          </w:p>
        </w:tc>
      </w:tr>
      <w:tr w:rsidR="009C29A2" w:rsidRPr="00001499" w14:paraId="77CB2A25" w14:textId="77777777" w:rsidTr="00FC7A97">
        <w:trPr>
          <w:trHeight w:val="20"/>
        </w:trPr>
        <w:tc>
          <w:tcPr>
            <w:tcW w:w="1268" w:type="dxa"/>
            <w:vMerge w:val="restart"/>
            <w:tcBorders>
              <w:top w:val="single" w:sz="6" w:space="0" w:color="auto"/>
              <w:left w:val="single" w:sz="6" w:space="0" w:color="auto"/>
              <w:bottom w:val="single" w:sz="6" w:space="0" w:color="auto"/>
              <w:right w:val="single" w:sz="6" w:space="0" w:color="auto"/>
            </w:tcBorders>
          </w:tcPr>
          <w:p w14:paraId="687B0CFE" w14:textId="77777777" w:rsidR="009C29A2" w:rsidRPr="00001499" w:rsidRDefault="009C29A2" w:rsidP="00FC7A97">
            <w:pPr>
              <w:pStyle w:val="TableTextleftalign"/>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Divino 2021</w:t>
            </w:r>
          </w:p>
        </w:tc>
        <w:tc>
          <w:tcPr>
            <w:tcW w:w="851" w:type="dxa"/>
            <w:tcBorders>
              <w:top w:val="single" w:sz="6" w:space="0" w:color="auto"/>
              <w:left w:val="single" w:sz="6" w:space="0" w:color="auto"/>
              <w:bottom w:val="single" w:sz="6" w:space="0" w:color="auto"/>
              <w:right w:val="single" w:sz="6" w:space="0" w:color="auto"/>
            </w:tcBorders>
          </w:tcPr>
          <w:p w14:paraId="53AE59A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IRHE</w:t>
            </w:r>
          </w:p>
        </w:tc>
        <w:tc>
          <w:tcPr>
            <w:tcW w:w="708" w:type="dxa"/>
            <w:tcBorders>
              <w:top w:val="single" w:sz="6" w:space="0" w:color="auto"/>
              <w:left w:val="single" w:sz="6" w:space="0" w:color="auto"/>
              <w:bottom w:val="single" w:sz="6" w:space="0" w:color="auto"/>
              <w:right w:val="single" w:sz="6" w:space="0" w:color="auto"/>
            </w:tcBorders>
          </w:tcPr>
          <w:p w14:paraId="62B2D673" w14:textId="77777777" w:rsidR="009C29A2" w:rsidRPr="00001499" w:rsidRDefault="009C29A2" w:rsidP="00FC7A97">
            <w:pPr>
              <w:pStyle w:val="TableTextcentred"/>
              <w:keepNext/>
              <w:keepLines/>
              <w:widowControl w:val="0"/>
              <w:rPr>
                <w:rFonts w:ascii="Arial Narrow" w:eastAsia="Arial Narrow" w:hAnsi="Arial Narrow" w:cs="Arial Narrow"/>
                <w:sz w:val="16"/>
                <w:szCs w:val="16"/>
              </w:rPr>
            </w:pPr>
            <w:r w:rsidRPr="00001499">
              <w:rPr>
                <w:rFonts w:ascii="Arial Narrow" w:eastAsia="Arial Narrow" w:hAnsi="Arial Narrow" w:cs="Arial Narrow"/>
                <w:sz w:val="20"/>
                <w:szCs w:val="20"/>
              </w:rPr>
              <w:t>HR</w:t>
            </w:r>
            <w:r w:rsidRPr="00001499">
              <w:rPr>
                <w:rFonts w:ascii="Arial Narrow" w:eastAsia="Arial Narrow" w:hAnsi="Arial Narrow" w:cs="Arial Narrow"/>
                <w:sz w:val="20"/>
                <w:szCs w:val="20"/>
                <w:vertAlign w:val="superscript"/>
              </w:rPr>
              <w:t>1</w:t>
            </w:r>
          </w:p>
        </w:tc>
        <w:tc>
          <w:tcPr>
            <w:tcW w:w="1560" w:type="dxa"/>
          </w:tcPr>
          <w:p w14:paraId="01D9F81C"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755/247,172</w:t>
            </w:r>
          </w:p>
        </w:tc>
        <w:tc>
          <w:tcPr>
            <w:tcW w:w="653" w:type="dxa"/>
          </w:tcPr>
          <w:p w14:paraId="22100717"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0.306</w:t>
            </w:r>
          </w:p>
        </w:tc>
        <w:tc>
          <w:tcPr>
            <w:tcW w:w="1615" w:type="dxa"/>
          </w:tcPr>
          <w:p w14:paraId="5BECCAA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2,622/767,973</w:t>
            </w:r>
          </w:p>
        </w:tc>
        <w:tc>
          <w:tcPr>
            <w:tcW w:w="708" w:type="dxa"/>
          </w:tcPr>
          <w:p w14:paraId="26287770"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0.341</w:t>
            </w:r>
          </w:p>
        </w:tc>
        <w:tc>
          <w:tcPr>
            <w:tcW w:w="1577" w:type="dxa"/>
            <w:tcBorders>
              <w:top w:val="single" w:sz="6" w:space="0" w:color="auto"/>
              <w:left w:val="single" w:sz="6" w:space="0" w:color="auto"/>
              <w:bottom w:val="single" w:sz="6" w:space="0" w:color="auto"/>
              <w:right w:val="single" w:sz="6" w:space="0" w:color="auto"/>
            </w:tcBorders>
          </w:tcPr>
          <w:p w14:paraId="797AD1AF" w14:textId="77777777" w:rsidR="009C29A2" w:rsidRPr="00001499" w:rsidRDefault="009C29A2" w:rsidP="00FC7A97">
            <w:pPr>
              <w:pStyle w:val="TableTextcentred"/>
              <w:keepNext/>
              <w:keepLines/>
              <w:widowControl w:val="0"/>
              <w:rPr>
                <w:rFonts w:ascii="Arial Narrow" w:eastAsia="Arial Narrow" w:hAnsi="Arial Narrow" w:cs="Arial Narrow"/>
                <w:b/>
                <w:bCs/>
                <w:sz w:val="20"/>
                <w:szCs w:val="20"/>
              </w:rPr>
            </w:pPr>
            <w:r w:rsidRPr="00001499">
              <w:rPr>
                <w:rFonts w:ascii="Arial Narrow" w:eastAsia="Arial Narrow" w:hAnsi="Arial Narrow" w:cs="Arial Narrow"/>
                <w:b/>
                <w:bCs/>
                <w:sz w:val="20"/>
                <w:szCs w:val="20"/>
              </w:rPr>
              <w:t>10.5% (2.9, 17.4)</w:t>
            </w:r>
          </w:p>
        </w:tc>
      </w:tr>
      <w:tr w:rsidR="009C29A2" w:rsidRPr="00001499" w14:paraId="72D60A28" w14:textId="77777777" w:rsidTr="00FC7A97">
        <w:trPr>
          <w:trHeight w:val="20"/>
        </w:trPr>
        <w:tc>
          <w:tcPr>
            <w:tcW w:w="1268" w:type="dxa"/>
            <w:vMerge/>
            <w:vAlign w:val="center"/>
          </w:tcPr>
          <w:p w14:paraId="481CCC25" w14:textId="77777777" w:rsidR="009C29A2" w:rsidRPr="00001499" w:rsidRDefault="009C29A2" w:rsidP="00FC7A97">
            <w:pPr>
              <w:keepNext/>
              <w:keepLines/>
              <w:widowControl w:val="0"/>
            </w:pPr>
          </w:p>
        </w:tc>
        <w:tc>
          <w:tcPr>
            <w:tcW w:w="851" w:type="dxa"/>
            <w:tcBorders>
              <w:top w:val="single" w:sz="6" w:space="0" w:color="auto"/>
              <w:left w:val="single" w:sz="6" w:space="0" w:color="auto"/>
              <w:bottom w:val="single" w:sz="6" w:space="0" w:color="auto"/>
              <w:right w:val="single" w:sz="6" w:space="0" w:color="auto"/>
            </w:tcBorders>
          </w:tcPr>
          <w:p w14:paraId="13D08747"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IRHE</w:t>
            </w:r>
          </w:p>
        </w:tc>
        <w:tc>
          <w:tcPr>
            <w:tcW w:w="708" w:type="dxa"/>
            <w:tcBorders>
              <w:top w:val="single" w:sz="6" w:space="0" w:color="auto"/>
              <w:left w:val="single" w:sz="6" w:space="0" w:color="auto"/>
              <w:bottom w:val="single" w:sz="6" w:space="0" w:color="auto"/>
              <w:right w:val="single" w:sz="6" w:space="0" w:color="auto"/>
            </w:tcBorders>
          </w:tcPr>
          <w:p w14:paraId="41E26E7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All</w:t>
            </w:r>
          </w:p>
        </w:tc>
        <w:tc>
          <w:tcPr>
            <w:tcW w:w="1560" w:type="dxa"/>
            <w:tcBorders>
              <w:bottom w:val="single" w:sz="6" w:space="0" w:color="auto"/>
            </w:tcBorders>
          </w:tcPr>
          <w:p w14:paraId="26B54DA9"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2,011/1,150,134</w:t>
            </w:r>
          </w:p>
        </w:tc>
        <w:tc>
          <w:tcPr>
            <w:tcW w:w="653" w:type="dxa"/>
            <w:tcBorders>
              <w:bottom w:val="single" w:sz="6" w:space="0" w:color="auto"/>
            </w:tcBorders>
          </w:tcPr>
          <w:p w14:paraId="1471123B"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0.175</w:t>
            </w:r>
          </w:p>
        </w:tc>
        <w:tc>
          <w:tcPr>
            <w:tcW w:w="1615" w:type="dxa"/>
            <w:tcBorders>
              <w:bottom w:val="single" w:sz="6" w:space="0" w:color="auto"/>
            </w:tcBorders>
          </w:tcPr>
          <w:p w14:paraId="50D51FF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7,248/3,924,819</w:t>
            </w:r>
          </w:p>
        </w:tc>
        <w:tc>
          <w:tcPr>
            <w:tcW w:w="708" w:type="dxa"/>
            <w:tcBorders>
              <w:bottom w:val="single" w:sz="6" w:space="0" w:color="auto"/>
            </w:tcBorders>
          </w:tcPr>
          <w:p w14:paraId="1B396D2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0.185</w:t>
            </w:r>
          </w:p>
        </w:tc>
        <w:tc>
          <w:tcPr>
            <w:tcW w:w="1577" w:type="dxa"/>
            <w:tcBorders>
              <w:top w:val="single" w:sz="6" w:space="0" w:color="auto"/>
              <w:left w:val="single" w:sz="6" w:space="0" w:color="auto"/>
              <w:bottom w:val="single" w:sz="6" w:space="0" w:color="auto"/>
              <w:right w:val="single" w:sz="6" w:space="0" w:color="auto"/>
            </w:tcBorders>
          </w:tcPr>
          <w:p w14:paraId="051E34A3" w14:textId="77777777" w:rsidR="009C29A2" w:rsidRPr="00001499" w:rsidRDefault="009C29A2" w:rsidP="00FC7A97">
            <w:pPr>
              <w:pStyle w:val="TableTextcentred"/>
              <w:keepNext/>
              <w:keepLines/>
              <w:widowControl w:val="0"/>
              <w:rPr>
                <w:rFonts w:ascii="Arial Narrow" w:eastAsia="Arial Narrow" w:hAnsi="Arial Narrow" w:cs="Arial Narrow"/>
                <w:b/>
                <w:bCs/>
                <w:sz w:val="16"/>
                <w:szCs w:val="16"/>
              </w:rPr>
            </w:pPr>
            <w:r w:rsidRPr="00001499">
              <w:rPr>
                <w:rFonts w:ascii="Arial Narrow" w:eastAsia="Arial Narrow" w:hAnsi="Arial Narrow" w:cs="Arial Narrow"/>
                <w:b/>
                <w:bCs/>
                <w:sz w:val="20"/>
                <w:szCs w:val="20"/>
              </w:rPr>
              <w:t>6.8% (2.1, 11.3)</w:t>
            </w:r>
            <w:r w:rsidRPr="00001499">
              <w:rPr>
                <w:rFonts w:ascii="Arial Narrow" w:eastAsia="Arial Narrow" w:hAnsi="Arial Narrow" w:cs="Arial Narrow"/>
                <w:b/>
                <w:bCs/>
                <w:sz w:val="20"/>
                <w:szCs w:val="20"/>
                <w:vertAlign w:val="superscript"/>
              </w:rPr>
              <w:t>3</w:t>
            </w:r>
          </w:p>
        </w:tc>
      </w:tr>
    </w:tbl>
    <w:p w14:paraId="1850A289" w14:textId="77777777" w:rsidR="009C29A2" w:rsidRPr="00001499" w:rsidRDefault="009C29A2" w:rsidP="009C29A2">
      <w:pPr>
        <w:pStyle w:val="TableFigureFooter"/>
        <w:keepNext/>
        <w:keepLines/>
        <w:rPr>
          <w:rFonts w:eastAsia="Arial Narrow" w:cs="Arial Narrow"/>
          <w:b/>
          <w:bCs/>
          <w:color w:val="000000" w:themeColor="text1"/>
          <w:szCs w:val="18"/>
        </w:rPr>
      </w:pPr>
      <w:r w:rsidRPr="00001499">
        <w:rPr>
          <w:rFonts w:eastAsia="Arial Narrow" w:cs="Arial Narrow"/>
          <w:b/>
          <w:bCs/>
          <w:color w:val="000000" w:themeColor="text1"/>
          <w:szCs w:val="18"/>
        </w:rPr>
        <w:t>Statistically significant results are presented in bold.</w:t>
      </w:r>
    </w:p>
    <w:p w14:paraId="68781AF0" w14:textId="77777777" w:rsidR="009C29A2" w:rsidRPr="00001499" w:rsidRDefault="009C29A2" w:rsidP="009C29A2">
      <w:pPr>
        <w:pStyle w:val="TableFigureFooter"/>
        <w:keepNext/>
        <w:keepLines/>
        <w:rPr>
          <w:rFonts w:eastAsia="Arial Narrow" w:cs="Arial Narrow"/>
          <w:color w:val="000000" w:themeColor="text1"/>
          <w:szCs w:val="18"/>
        </w:rPr>
      </w:pPr>
      <w:r w:rsidRPr="00001499">
        <w:rPr>
          <w:rFonts w:eastAsia="Arial Narrow" w:cs="Arial Narrow"/>
          <w:color w:val="000000" w:themeColor="text1"/>
          <w:szCs w:val="18"/>
        </w:rPr>
        <w:t xml:space="preserve">Source: Table 2.6.2, p111 of the submission. </w:t>
      </w:r>
    </w:p>
    <w:p w14:paraId="62AE59BA" w14:textId="77777777" w:rsidR="009C29A2" w:rsidRPr="00001499" w:rsidRDefault="009C29A2" w:rsidP="009C29A2">
      <w:pPr>
        <w:pStyle w:val="TableFigureFooter"/>
        <w:keepNext/>
        <w:keepLines/>
        <w:rPr>
          <w:rFonts w:eastAsia="Arial Narrow"/>
        </w:rPr>
      </w:pPr>
      <w:r w:rsidRPr="00001499">
        <w:rPr>
          <w:rFonts w:eastAsia="Arial Narrow"/>
        </w:rPr>
        <w:t>CI = confidence interval; n = number of participants with event; N = total participants in group; CVV = candidate vaccine virus; rVE = relative vaccine effectiveness; IRHE = Influenza related hospital encounters; IRPCE = Influenza related primary care encounters; IRME = Influenza related medical encounters (primary care or hospital); HR = high risk.</w:t>
      </w:r>
    </w:p>
    <w:p w14:paraId="55B52E07" w14:textId="77777777" w:rsidR="009C29A2" w:rsidRPr="00001499" w:rsidRDefault="009C29A2" w:rsidP="00AC330C">
      <w:pPr>
        <w:pStyle w:val="TableFigureFooter"/>
        <w:keepNext/>
        <w:keepLines/>
        <w:numPr>
          <w:ilvl w:val="0"/>
          <w:numId w:val="17"/>
        </w:numPr>
        <w:rPr>
          <w:rFonts w:eastAsia="Arial Narrow"/>
        </w:rPr>
      </w:pPr>
      <w:r w:rsidRPr="00001499">
        <w:rPr>
          <w:rFonts w:eastAsia="Arial Narrow"/>
        </w:rPr>
        <w:t>Patients considered at higher risk for influenza complications were identified based on ≥1 claim during the 6-month pre-index period with a diagnosis code, drug code or procedure code defining clinical risk groups where flu vaccination is indicated.</w:t>
      </w:r>
    </w:p>
    <w:p w14:paraId="22B3AD3E" w14:textId="77777777" w:rsidR="009C29A2" w:rsidRPr="00001499" w:rsidRDefault="009C29A2" w:rsidP="00AC330C">
      <w:pPr>
        <w:pStyle w:val="TableFigureFooter"/>
        <w:keepNext/>
        <w:keepLines/>
        <w:numPr>
          <w:ilvl w:val="0"/>
          <w:numId w:val="17"/>
        </w:numPr>
        <w:rPr>
          <w:rFonts w:eastAsia="Arial Narrow"/>
        </w:rPr>
      </w:pPr>
      <w:r w:rsidRPr="00001499">
        <w:rPr>
          <w:rFonts w:eastAsia="Arial Narrow"/>
        </w:rPr>
        <w:t>Numbers of high-risk patients in each cohort calculated from percentages stated in publication (14.3% and 11.5%, respectively).</w:t>
      </w:r>
    </w:p>
    <w:p w14:paraId="6209F02C" w14:textId="77777777" w:rsidR="009C29A2" w:rsidRPr="00001499" w:rsidRDefault="009C29A2" w:rsidP="00AC330C">
      <w:pPr>
        <w:pStyle w:val="TableFigureFooter"/>
        <w:keepNext/>
        <w:keepLines/>
        <w:numPr>
          <w:ilvl w:val="0"/>
          <w:numId w:val="17"/>
        </w:numPr>
        <w:rPr>
          <w:rFonts w:eastAsia="Arial Narrow"/>
        </w:rPr>
      </w:pPr>
      <w:r w:rsidRPr="00001499">
        <w:rPr>
          <w:rFonts w:eastAsia="Arial Narrow"/>
        </w:rPr>
        <w:t>“Doubly robust” analysis.</w:t>
      </w:r>
    </w:p>
    <w:p w14:paraId="324FC138" w14:textId="77777777" w:rsidR="009C29A2" w:rsidRPr="00001499" w:rsidRDefault="009C29A2" w:rsidP="00AC330C">
      <w:pPr>
        <w:pStyle w:val="TableFigureFooter"/>
        <w:keepNext/>
        <w:numPr>
          <w:ilvl w:val="0"/>
          <w:numId w:val="17"/>
        </w:numPr>
        <w:spacing w:line="259" w:lineRule="auto"/>
        <w:rPr>
          <w:rFonts w:eastAsia="Arial Narrow" w:cs="Arial Narrow"/>
        </w:rPr>
      </w:pPr>
      <w:r w:rsidRPr="00001499">
        <w:rPr>
          <w:rFonts w:eastAsia="Arial Narrow"/>
        </w:rPr>
        <w:t xml:space="preserve">Note that Boikos 2020 and Seqirus 2021 did not present data by high-risk group </w:t>
      </w:r>
    </w:p>
    <w:p w14:paraId="38B45723" w14:textId="77777777" w:rsidR="009C29A2" w:rsidRPr="00001499" w:rsidRDefault="009C29A2" w:rsidP="009C29A2">
      <w:pPr>
        <w:pStyle w:val="5-SubsectionSubheading"/>
      </w:pPr>
      <w:bookmarkStart w:id="49" w:name="_Ref92962031"/>
      <w:r w:rsidRPr="00001499">
        <w:t xml:space="preserve">Meta-analysis by season </w:t>
      </w:r>
    </w:p>
    <w:p w14:paraId="797FB2BA" w14:textId="2519E1E6" w:rsidR="009C29A2" w:rsidRPr="00001499" w:rsidRDefault="009C29A2" w:rsidP="00AA46C6">
      <w:pPr>
        <w:pStyle w:val="3-BodyText"/>
        <w:ind w:left="709"/>
      </w:pPr>
      <w:r w:rsidRPr="00001499">
        <w:rPr>
          <w:rFonts w:eastAsia="Calibri"/>
        </w:rPr>
        <w:t>Results from the meta-analyses were used to translate rVE estimates measured in different clinical settings to the estimates used in the economic model. The meta-analyses were not presented as part of the clinical claim of superiority.</w:t>
      </w:r>
      <w:bookmarkEnd w:id="49"/>
      <w:r w:rsidRPr="00001499">
        <w:rPr>
          <w:rFonts w:eastAsia="Calibri"/>
        </w:rPr>
        <w:t xml:space="preserve"> </w:t>
      </w:r>
      <w:r w:rsidR="001B723B" w:rsidRPr="00001499">
        <w:rPr>
          <w:rFonts w:eastAsia="Calibri"/>
        </w:rPr>
        <w:t>The ESC noted the I</w:t>
      </w:r>
      <w:r w:rsidR="001B723B" w:rsidRPr="00001499">
        <w:rPr>
          <w:rFonts w:eastAsia="Calibri"/>
          <w:vertAlign w:val="superscript"/>
        </w:rPr>
        <w:t>2</w:t>
      </w:r>
      <w:r w:rsidR="001B723B" w:rsidRPr="00001499">
        <w:rPr>
          <w:rFonts w:eastAsia="Calibri"/>
        </w:rPr>
        <w:t xml:space="preserve"> for the 2019-20 suggested significant heterogeneity (Seqirus 2021 17.2% vs Divino 2021 6.8%) and that pooling of the studies may not be appropriate.</w:t>
      </w:r>
    </w:p>
    <w:p w14:paraId="32F881AE" w14:textId="71DCA00E" w:rsidR="009C29A2" w:rsidRPr="00001499" w:rsidRDefault="009C29A2" w:rsidP="009C29A2">
      <w:pPr>
        <w:pStyle w:val="TableHeading0"/>
      </w:pPr>
      <w:bookmarkStart w:id="50" w:name="_Ref93344837"/>
      <w:r w:rsidRPr="00001499">
        <w:t xml:space="preserve">Table </w:t>
      </w:r>
      <w:fldSimple w:instr=" SEQ Table \* ARABIC " w:fldLock="1">
        <w:r w:rsidR="005C1FE9">
          <w:rPr>
            <w:noProof/>
          </w:rPr>
          <w:t>9</w:t>
        </w:r>
      </w:fldSimple>
      <w:bookmarkEnd w:id="50"/>
      <w:r w:rsidRPr="00001499">
        <w:rPr>
          <w:rStyle w:val="CommentReference"/>
          <w:b/>
        </w:rPr>
        <w:t>:</w:t>
      </w:r>
      <w:r w:rsidRPr="00001499">
        <w:t xml:space="preserve"> Random effects meta-analyses of real-world evidence studies against any influenza </w:t>
      </w:r>
    </w:p>
    <w:tbl>
      <w:tblPr>
        <w:tblStyle w:val="TableGrid"/>
        <w:tblW w:w="5000" w:type="pct"/>
        <w:tblLayout w:type="fixed"/>
        <w:tblLook w:val="0000" w:firstRow="0" w:lastRow="0" w:firstColumn="0" w:lastColumn="0" w:noHBand="0" w:noVBand="0"/>
      </w:tblPr>
      <w:tblGrid>
        <w:gridCol w:w="880"/>
        <w:gridCol w:w="1293"/>
        <w:gridCol w:w="822"/>
        <w:gridCol w:w="733"/>
        <w:gridCol w:w="703"/>
        <w:gridCol w:w="411"/>
        <w:gridCol w:w="763"/>
        <w:gridCol w:w="1762"/>
        <w:gridCol w:w="1644"/>
      </w:tblGrid>
      <w:tr w:rsidR="009C29A2" w:rsidRPr="00001499" w14:paraId="7AD75078" w14:textId="77777777" w:rsidTr="00FC7A97">
        <w:trPr>
          <w:trHeight w:val="113"/>
        </w:trPr>
        <w:tc>
          <w:tcPr>
            <w:tcW w:w="880" w:type="dxa"/>
            <w:tcBorders>
              <w:top w:val="single" w:sz="6" w:space="0" w:color="auto"/>
              <w:left w:val="single" w:sz="6" w:space="0" w:color="auto"/>
              <w:bottom w:val="single" w:sz="6" w:space="0" w:color="auto"/>
              <w:right w:val="single" w:sz="6" w:space="0" w:color="auto"/>
            </w:tcBorders>
            <w:vAlign w:val="center"/>
          </w:tcPr>
          <w:p w14:paraId="0293D0A6" w14:textId="77777777" w:rsidR="009C29A2" w:rsidRPr="00001499" w:rsidRDefault="009C29A2" w:rsidP="00FC7A97">
            <w:pPr>
              <w:pStyle w:val="In-tableHeading"/>
              <w:rPr>
                <w:lang w:val="en-AU"/>
              </w:rPr>
            </w:pPr>
            <w:r w:rsidRPr="00001499">
              <w:rPr>
                <w:lang w:val="en-AU"/>
              </w:rPr>
              <w:t>Season</w:t>
            </w:r>
          </w:p>
        </w:tc>
        <w:tc>
          <w:tcPr>
            <w:tcW w:w="1293" w:type="dxa"/>
            <w:tcBorders>
              <w:top w:val="single" w:sz="6" w:space="0" w:color="auto"/>
              <w:left w:val="single" w:sz="6" w:space="0" w:color="auto"/>
              <w:bottom w:val="single" w:sz="6" w:space="0" w:color="auto"/>
              <w:right w:val="single" w:sz="6" w:space="0" w:color="auto"/>
            </w:tcBorders>
            <w:vAlign w:val="center"/>
          </w:tcPr>
          <w:p w14:paraId="7BB81B03" w14:textId="77777777" w:rsidR="009C29A2" w:rsidRPr="00001499" w:rsidRDefault="009C29A2" w:rsidP="00FC7A97">
            <w:pPr>
              <w:pStyle w:val="In-tableHeading"/>
              <w:jc w:val="center"/>
              <w:rPr>
                <w:lang w:val="en-AU"/>
              </w:rPr>
            </w:pPr>
            <w:r w:rsidRPr="00001499">
              <w:rPr>
                <w:lang w:val="en-AU"/>
              </w:rPr>
              <w:t>Study design</w:t>
            </w:r>
          </w:p>
        </w:tc>
        <w:tc>
          <w:tcPr>
            <w:tcW w:w="822" w:type="dxa"/>
            <w:tcBorders>
              <w:top w:val="single" w:sz="6" w:space="0" w:color="auto"/>
              <w:left w:val="single" w:sz="6" w:space="0" w:color="auto"/>
              <w:bottom w:val="single" w:sz="6" w:space="0" w:color="auto"/>
              <w:right w:val="single" w:sz="6" w:space="0" w:color="auto"/>
            </w:tcBorders>
            <w:vAlign w:val="center"/>
          </w:tcPr>
          <w:p w14:paraId="60F13076" w14:textId="77777777" w:rsidR="009C29A2" w:rsidRPr="00001499" w:rsidRDefault="009C29A2" w:rsidP="00FC7A97">
            <w:pPr>
              <w:pStyle w:val="In-tableHeading"/>
              <w:jc w:val="center"/>
              <w:rPr>
                <w:lang w:val="en-AU"/>
              </w:rPr>
            </w:pPr>
            <w:r w:rsidRPr="00001499">
              <w:rPr>
                <w:lang w:val="en-AU"/>
              </w:rPr>
              <w:t>N studies</w:t>
            </w:r>
          </w:p>
        </w:tc>
        <w:tc>
          <w:tcPr>
            <w:tcW w:w="733" w:type="dxa"/>
            <w:tcBorders>
              <w:top w:val="single" w:sz="6" w:space="0" w:color="auto"/>
              <w:left w:val="single" w:sz="6" w:space="0" w:color="auto"/>
              <w:bottom w:val="single" w:sz="6" w:space="0" w:color="auto"/>
              <w:right w:val="single" w:sz="6" w:space="0" w:color="auto"/>
            </w:tcBorders>
            <w:vAlign w:val="center"/>
          </w:tcPr>
          <w:p w14:paraId="1FDCFEB4" w14:textId="77777777" w:rsidR="009C29A2" w:rsidRPr="00001499" w:rsidRDefault="009C29A2" w:rsidP="00FC7A97">
            <w:pPr>
              <w:pStyle w:val="In-tableHeading"/>
              <w:jc w:val="center"/>
              <w:rPr>
                <w:lang w:val="en-AU"/>
              </w:rPr>
            </w:pPr>
            <w:r w:rsidRPr="00001499">
              <w:rPr>
                <w:lang w:val="en-AU"/>
              </w:rPr>
              <w:t>I</w:t>
            </w:r>
            <w:r w:rsidRPr="00001499">
              <w:rPr>
                <w:vertAlign w:val="superscript"/>
                <w:lang w:val="en-AU"/>
              </w:rPr>
              <w:t>2</w:t>
            </w:r>
            <w:r w:rsidRPr="00001499">
              <w:rPr>
                <w:lang w:val="en-AU"/>
              </w:rPr>
              <w:t xml:space="preserve"> (%)</w:t>
            </w:r>
          </w:p>
        </w:tc>
        <w:tc>
          <w:tcPr>
            <w:tcW w:w="703" w:type="dxa"/>
            <w:tcBorders>
              <w:top w:val="single" w:sz="6" w:space="0" w:color="auto"/>
              <w:left w:val="single" w:sz="6" w:space="0" w:color="auto"/>
              <w:bottom w:val="single" w:sz="6" w:space="0" w:color="auto"/>
              <w:right w:val="single" w:sz="6" w:space="0" w:color="auto"/>
            </w:tcBorders>
            <w:vAlign w:val="center"/>
          </w:tcPr>
          <w:p w14:paraId="7C23FF14" w14:textId="77777777" w:rsidR="009C29A2" w:rsidRPr="00001499" w:rsidRDefault="009C29A2" w:rsidP="00FC7A97">
            <w:pPr>
              <w:pStyle w:val="In-tableHeading"/>
              <w:jc w:val="center"/>
              <w:rPr>
                <w:lang w:val="en-AU"/>
              </w:rPr>
            </w:pPr>
            <w:r w:rsidRPr="00001499">
              <w:rPr>
                <w:lang w:val="en-AU"/>
              </w:rPr>
              <w:t>Q</w:t>
            </w:r>
          </w:p>
        </w:tc>
        <w:tc>
          <w:tcPr>
            <w:tcW w:w="411" w:type="dxa"/>
            <w:tcBorders>
              <w:top w:val="single" w:sz="6" w:space="0" w:color="auto"/>
              <w:left w:val="single" w:sz="6" w:space="0" w:color="auto"/>
              <w:bottom w:val="single" w:sz="6" w:space="0" w:color="auto"/>
              <w:right w:val="single" w:sz="6" w:space="0" w:color="auto"/>
            </w:tcBorders>
            <w:vAlign w:val="center"/>
          </w:tcPr>
          <w:p w14:paraId="0BFD8B3E" w14:textId="77777777" w:rsidR="009C29A2" w:rsidRPr="00001499" w:rsidRDefault="009C29A2" w:rsidP="00FC7A97">
            <w:pPr>
              <w:pStyle w:val="In-tableHeading"/>
              <w:jc w:val="center"/>
              <w:rPr>
                <w:lang w:val="en-AU"/>
              </w:rPr>
            </w:pPr>
            <w:r w:rsidRPr="00001499">
              <w:rPr>
                <w:lang w:val="en-AU"/>
              </w:rPr>
              <w:t>df</w:t>
            </w:r>
          </w:p>
        </w:tc>
        <w:tc>
          <w:tcPr>
            <w:tcW w:w="763" w:type="dxa"/>
            <w:tcBorders>
              <w:top w:val="single" w:sz="6" w:space="0" w:color="auto"/>
              <w:left w:val="single" w:sz="6" w:space="0" w:color="auto"/>
              <w:bottom w:val="single" w:sz="6" w:space="0" w:color="auto"/>
              <w:right w:val="single" w:sz="6" w:space="0" w:color="auto"/>
            </w:tcBorders>
            <w:vAlign w:val="center"/>
          </w:tcPr>
          <w:p w14:paraId="18D38F6F" w14:textId="77777777" w:rsidR="009C29A2" w:rsidRPr="00001499" w:rsidRDefault="009C29A2" w:rsidP="00FC7A97">
            <w:pPr>
              <w:pStyle w:val="In-tableHeading"/>
              <w:jc w:val="center"/>
              <w:rPr>
                <w:lang w:val="en-AU"/>
              </w:rPr>
            </w:pPr>
            <w:r w:rsidRPr="00001499">
              <w:rPr>
                <w:lang w:val="en-AU"/>
              </w:rPr>
              <w:t>p-value</w:t>
            </w:r>
          </w:p>
        </w:tc>
        <w:tc>
          <w:tcPr>
            <w:tcW w:w="1762" w:type="dxa"/>
            <w:tcBorders>
              <w:top w:val="single" w:sz="6" w:space="0" w:color="auto"/>
              <w:left w:val="single" w:sz="6" w:space="0" w:color="auto"/>
              <w:bottom w:val="single" w:sz="6" w:space="0" w:color="auto"/>
              <w:right w:val="single" w:sz="6" w:space="0" w:color="auto"/>
            </w:tcBorders>
            <w:vAlign w:val="center"/>
          </w:tcPr>
          <w:p w14:paraId="07325ADD" w14:textId="77777777" w:rsidR="009C29A2" w:rsidRPr="00001499" w:rsidRDefault="009C29A2" w:rsidP="00FC7A97">
            <w:pPr>
              <w:pStyle w:val="In-tableHeading"/>
              <w:jc w:val="center"/>
              <w:rPr>
                <w:lang w:val="en-AU"/>
              </w:rPr>
            </w:pPr>
            <w:r w:rsidRPr="00001499">
              <w:rPr>
                <w:lang w:val="en-AU"/>
              </w:rPr>
              <w:t>Pooled OR/RR</w:t>
            </w:r>
            <w:r w:rsidRPr="00001499">
              <w:rPr>
                <w:lang w:val="en-AU"/>
              </w:rPr>
              <w:br/>
              <w:t>(95% CI)</w:t>
            </w:r>
          </w:p>
        </w:tc>
        <w:tc>
          <w:tcPr>
            <w:tcW w:w="1644" w:type="dxa"/>
            <w:tcBorders>
              <w:top w:val="single" w:sz="6" w:space="0" w:color="auto"/>
              <w:left w:val="single" w:sz="6" w:space="0" w:color="auto"/>
              <w:bottom w:val="single" w:sz="6" w:space="0" w:color="auto"/>
              <w:right w:val="single" w:sz="6" w:space="0" w:color="auto"/>
            </w:tcBorders>
            <w:vAlign w:val="center"/>
          </w:tcPr>
          <w:p w14:paraId="31D472FA" w14:textId="77777777" w:rsidR="009C29A2" w:rsidRPr="00001499" w:rsidRDefault="009C29A2" w:rsidP="00FC7A97">
            <w:pPr>
              <w:pStyle w:val="In-tableHeading"/>
              <w:jc w:val="center"/>
              <w:rPr>
                <w:lang w:val="en-AU"/>
              </w:rPr>
            </w:pPr>
            <w:r w:rsidRPr="00001499">
              <w:rPr>
                <w:lang w:val="en-AU"/>
              </w:rPr>
              <w:t>Pooled rVE (%)</w:t>
            </w:r>
          </w:p>
          <w:p w14:paraId="3E4BBE7B" w14:textId="77777777" w:rsidR="009C29A2" w:rsidRPr="00001499" w:rsidRDefault="009C29A2" w:rsidP="00FC7A97">
            <w:pPr>
              <w:pStyle w:val="In-tableHeading"/>
              <w:jc w:val="center"/>
              <w:rPr>
                <w:lang w:val="en-AU"/>
              </w:rPr>
            </w:pPr>
            <w:r w:rsidRPr="00001499">
              <w:rPr>
                <w:lang w:val="en-AU"/>
              </w:rPr>
              <w:t>(95% CI)</w:t>
            </w:r>
          </w:p>
        </w:tc>
      </w:tr>
      <w:tr w:rsidR="009C29A2" w:rsidRPr="00001499" w14:paraId="068F0C2A" w14:textId="77777777" w:rsidTr="00FC7A97">
        <w:trPr>
          <w:trHeight w:val="113"/>
        </w:trPr>
        <w:tc>
          <w:tcPr>
            <w:tcW w:w="880" w:type="dxa"/>
            <w:tcBorders>
              <w:top w:val="single" w:sz="6" w:space="0" w:color="auto"/>
              <w:left w:val="single" w:sz="6" w:space="0" w:color="auto"/>
              <w:bottom w:val="single" w:sz="6" w:space="0" w:color="auto"/>
              <w:right w:val="single" w:sz="6" w:space="0" w:color="auto"/>
            </w:tcBorders>
          </w:tcPr>
          <w:p w14:paraId="3136F8FE" w14:textId="77777777" w:rsidR="009C29A2" w:rsidRPr="00001499" w:rsidRDefault="009C29A2" w:rsidP="00FC7A97">
            <w:pPr>
              <w:pStyle w:val="TableText0"/>
              <w:keepLines/>
              <w:widowControl w:val="0"/>
            </w:pPr>
            <w:r w:rsidRPr="00001499">
              <w:t>2017-18</w:t>
            </w:r>
          </w:p>
        </w:tc>
        <w:tc>
          <w:tcPr>
            <w:tcW w:w="1293" w:type="dxa"/>
            <w:tcBorders>
              <w:top w:val="single" w:sz="6" w:space="0" w:color="auto"/>
              <w:left w:val="single" w:sz="6" w:space="0" w:color="auto"/>
              <w:bottom w:val="single" w:sz="6" w:space="0" w:color="auto"/>
              <w:right w:val="single" w:sz="6" w:space="0" w:color="auto"/>
            </w:tcBorders>
          </w:tcPr>
          <w:p w14:paraId="24FAE33E" w14:textId="77777777" w:rsidR="009C29A2" w:rsidRPr="00001499" w:rsidRDefault="009C29A2" w:rsidP="00FC7A97">
            <w:pPr>
              <w:pStyle w:val="TableText0"/>
              <w:keepLines/>
              <w:widowControl w:val="0"/>
            </w:pPr>
            <w:r w:rsidRPr="00001499">
              <w:t>Retrospective cohort</w:t>
            </w:r>
          </w:p>
        </w:tc>
        <w:tc>
          <w:tcPr>
            <w:tcW w:w="822" w:type="dxa"/>
            <w:tcBorders>
              <w:top w:val="single" w:sz="6" w:space="0" w:color="auto"/>
              <w:left w:val="single" w:sz="6" w:space="0" w:color="auto"/>
              <w:bottom w:val="single" w:sz="6" w:space="0" w:color="auto"/>
              <w:right w:val="single" w:sz="6" w:space="0" w:color="auto"/>
            </w:tcBorders>
            <w:vAlign w:val="center"/>
          </w:tcPr>
          <w:p w14:paraId="47EC997D" w14:textId="77777777" w:rsidR="009C29A2" w:rsidRPr="00001499" w:rsidRDefault="009C29A2" w:rsidP="00FC7A97">
            <w:pPr>
              <w:pStyle w:val="TableText0"/>
              <w:keepLines/>
              <w:widowControl w:val="0"/>
              <w:jc w:val="center"/>
            </w:pPr>
            <w:r w:rsidRPr="00001499">
              <w:t>2</w:t>
            </w:r>
          </w:p>
        </w:tc>
        <w:tc>
          <w:tcPr>
            <w:tcW w:w="733" w:type="dxa"/>
            <w:tcBorders>
              <w:top w:val="single" w:sz="6" w:space="0" w:color="auto"/>
              <w:left w:val="single" w:sz="6" w:space="0" w:color="auto"/>
              <w:bottom w:val="single" w:sz="6" w:space="0" w:color="auto"/>
              <w:right w:val="single" w:sz="6" w:space="0" w:color="auto"/>
            </w:tcBorders>
            <w:vAlign w:val="center"/>
          </w:tcPr>
          <w:p w14:paraId="5AC933B0" w14:textId="77777777" w:rsidR="009C29A2" w:rsidRPr="00001499" w:rsidRDefault="009C29A2" w:rsidP="00FC7A97">
            <w:pPr>
              <w:pStyle w:val="TableText0"/>
              <w:keepLines/>
              <w:widowControl w:val="0"/>
              <w:jc w:val="center"/>
            </w:pPr>
            <w:r w:rsidRPr="00001499">
              <w:t>0.00</w:t>
            </w:r>
          </w:p>
        </w:tc>
        <w:tc>
          <w:tcPr>
            <w:tcW w:w="703" w:type="dxa"/>
            <w:tcBorders>
              <w:top w:val="single" w:sz="6" w:space="0" w:color="auto"/>
              <w:left w:val="single" w:sz="6" w:space="0" w:color="auto"/>
              <w:bottom w:val="single" w:sz="6" w:space="0" w:color="auto"/>
              <w:right w:val="single" w:sz="6" w:space="0" w:color="auto"/>
            </w:tcBorders>
            <w:vAlign w:val="center"/>
          </w:tcPr>
          <w:p w14:paraId="73D0DAA0" w14:textId="77777777" w:rsidR="009C29A2" w:rsidRPr="00001499" w:rsidRDefault="009C29A2" w:rsidP="00FC7A97">
            <w:pPr>
              <w:pStyle w:val="TableText0"/>
              <w:keepLines/>
              <w:widowControl w:val="0"/>
              <w:jc w:val="center"/>
            </w:pPr>
            <w:r w:rsidRPr="00001499">
              <w:t>0.78</w:t>
            </w:r>
          </w:p>
        </w:tc>
        <w:tc>
          <w:tcPr>
            <w:tcW w:w="411" w:type="dxa"/>
            <w:tcBorders>
              <w:top w:val="single" w:sz="6" w:space="0" w:color="auto"/>
              <w:left w:val="single" w:sz="6" w:space="0" w:color="auto"/>
              <w:bottom w:val="single" w:sz="6" w:space="0" w:color="auto"/>
              <w:right w:val="single" w:sz="6" w:space="0" w:color="auto"/>
            </w:tcBorders>
            <w:vAlign w:val="center"/>
          </w:tcPr>
          <w:p w14:paraId="2E601759" w14:textId="77777777" w:rsidR="009C29A2" w:rsidRPr="00001499" w:rsidRDefault="009C29A2" w:rsidP="00FC7A97">
            <w:pPr>
              <w:pStyle w:val="TableText0"/>
              <w:keepLines/>
              <w:widowControl w:val="0"/>
              <w:jc w:val="center"/>
            </w:pPr>
            <w:r w:rsidRPr="00001499">
              <w:t>1</w:t>
            </w:r>
          </w:p>
        </w:tc>
        <w:tc>
          <w:tcPr>
            <w:tcW w:w="763" w:type="dxa"/>
            <w:tcBorders>
              <w:top w:val="single" w:sz="6" w:space="0" w:color="auto"/>
              <w:left w:val="single" w:sz="6" w:space="0" w:color="auto"/>
              <w:bottom w:val="single" w:sz="6" w:space="0" w:color="auto"/>
              <w:right w:val="single" w:sz="6" w:space="0" w:color="auto"/>
            </w:tcBorders>
            <w:vAlign w:val="center"/>
          </w:tcPr>
          <w:p w14:paraId="376C8879" w14:textId="77777777" w:rsidR="009C29A2" w:rsidRPr="00001499" w:rsidRDefault="009C29A2" w:rsidP="00FC7A97">
            <w:pPr>
              <w:pStyle w:val="TableText0"/>
              <w:keepLines/>
              <w:widowControl w:val="0"/>
              <w:jc w:val="center"/>
            </w:pPr>
            <w:r w:rsidRPr="00001499">
              <w:t>0.376</w:t>
            </w:r>
          </w:p>
        </w:tc>
        <w:tc>
          <w:tcPr>
            <w:tcW w:w="1762" w:type="dxa"/>
            <w:tcBorders>
              <w:top w:val="single" w:sz="6" w:space="0" w:color="auto"/>
              <w:left w:val="single" w:sz="6" w:space="0" w:color="auto"/>
              <w:bottom w:val="single" w:sz="6" w:space="0" w:color="auto"/>
              <w:right w:val="single" w:sz="6" w:space="0" w:color="auto"/>
            </w:tcBorders>
            <w:vAlign w:val="center"/>
          </w:tcPr>
          <w:p w14:paraId="59BC6D50" w14:textId="77777777" w:rsidR="009C29A2" w:rsidRPr="00001499" w:rsidRDefault="009C29A2" w:rsidP="00FC7A97">
            <w:pPr>
              <w:pStyle w:val="TableText0"/>
              <w:keepLines/>
              <w:widowControl w:val="0"/>
              <w:jc w:val="center"/>
              <w:rPr>
                <w:b/>
                <w:bCs w:val="0"/>
              </w:rPr>
            </w:pPr>
            <w:r w:rsidRPr="00001499">
              <w:rPr>
                <w:b/>
                <w:bCs w:val="0"/>
              </w:rPr>
              <w:t>0.844 (0.799, 0.892)</w:t>
            </w:r>
          </w:p>
        </w:tc>
        <w:tc>
          <w:tcPr>
            <w:tcW w:w="1644" w:type="dxa"/>
            <w:tcBorders>
              <w:top w:val="single" w:sz="6" w:space="0" w:color="auto"/>
              <w:left w:val="single" w:sz="6" w:space="0" w:color="auto"/>
              <w:bottom w:val="single" w:sz="6" w:space="0" w:color="auto"/>
              <w:right w:val="single" w:sz="6" w:space="0" w:color="auto"/>
            </w:tcBorders>
            <w:vAlign w:val="center"/>
          </w:tcPr>
          <w:p w14:paraId="2CBA6A5C" w14:textId="77777777" w:rsidR="009C29A2" w:rsidRPr="00001499" w:rsidRDefault="009C29A2" w:rsidP="00FC7A97">
            <w:pPr>
              <w:pStyle w:val="TableText0"/>
              <w:keepLines/>
              <w:widowControl w:val="0"/>
              <w:jc w:val="center"/>
              <w:rPr>
                <w:b/>
                <w:bCs w:val="0"/>
              </w:rPr>
            </w:pPr>
            <w:r w:rsidRPr="00001499">
              <w:rPr>
                <w:b/>
                <w:bCs w:val="0"/>
              </w:rPr>
              <w:t>15.6% (10.8, 20.1)</w:t>
            </w:r>
          </w:p>
        </w:tc>
      </w:tr>
      <w:tr w:rsidR="009C29A2" w:rsidRPr="00001499" w14:paraId="2163736B" w14:textId="77777777" w:rsidTr="00FC7A97">
        <w:trPr>
          <w:trHeight w:val="113"/>
        </w:trPr>
        <w:tc>
          <w:tcPr>
            <w:tcW w:w="880" w:type="dxa"/>
            <w:tcBorders>
              <w:top w:val="single" w:sz="6" w:space="0" w:color="auto"/>
              <w:left w:val="single" w:sz="6" w:space="0" w:color="auto"/>
              <w:bottom w:val="single" w:sz="6" w:space="0" w:color="auto"/>
              <w:right w:val="single" w:sz="6" w:space="0" w:color="auto"/>
            </w:tcBorders>
          </w:tcPr>
          <w:p w14:paraId="38D25856" w14:textId="77777777" w:rsidR="009C29A2" w:rsidRPr="00001499" w:rsidRDefault="009C29A2" w:rsidP="00FC7A97">
            <w:pPr>
              <w:pStyle w:val="TableText0"/>
              <w:keepLines/>
              <w:widowControl w:val="0"/>
            </w:pPr>
            <w:r w:rsidRPr="00001499">
              <w:t>2018-19</w:t>
            </w:r>
          </w:p>
        </w:tc>
        <w:tc>
          <w:tcPr>
            <w:tcW w:w="1293" w:type="dxa"/>
            <w:tcBorders>
              <w:top w:val="single" w:sz="6" w:space="0" w:color="auto"/>
              <w:left w:val="single" w:sz="6" w:space="0" w:color="auto"/>
              <w:bottom w:val="single" w:sz="6" w:space="0" w:color="auto"/>
              <w:right w:val="single" w:sz="6" w:space="0" w:color="auto"/>
            </w:tcBorders>
          </w:tcPr>
          <w:p w14:paraId="7893B41B" w14:textId="77777777" w:rsidR="009C29A2" w:rsidRPr="00001499" w:rsidRDefault="009C29A2" w:rsidP="00FC7A97">
            <w:pPr>
              <w:pStyle w:val="TableText0"/>
              <w:keepLines/>
              <w:widowControl w:val="0"/>
            </w:pPr>
            <w:r w:rsidRPr="00001499">
              <w:t>Retrospective cohort</w:t>
            </w:r>
          </w:p>
        </w:tc>
        <w:tc>
          <w:tcPr>
            <w:tcW w:w="822" w:type="dxa"/>
            <w:tcBorders>
              <w:top w:val="single" w:sz="6" w:space="0" w:color="auto"/>
              <w:left w:val="single" w:sz="6" w:space="0" w:color="auto"/>
              <w:bottom w:val="single" w:sz="6" w:space="0" w:color="auto"/>
              <w:right w:val="single" w:sz="6" w:space="0" w:color="auto"/>
            </w:tcBorders>
            <w:vAlign w:val="center"/>
          </w:tcPr>
          <w:p w14:paraId="557159FB" w14:textId="77777777" w:rsidR="009C29A2" w:rsidRPr="00001499" w:rsidRDefault="009C29A2" w:rsidP="00FC7A97">
            <w:pPr>
              <w:pStyle w:val="TableText0"/>
              <w:keepLines/>
              <w:widowControl w:val="0"/>
              <w:jc w:val="center"/>
            </w:pPr>
            <w:r w:rsidRPr="00001499">
              <w:t>2</w:t>
            </w:r>
          </w:p>
        </w:tc>
        <w:tc>
          <w:tcPr>
            <w:tcW w:w="733" w:type="dxa"/>
            <w:tcBorders>
              <w:top w:val="single" w:sz="6" w:space="0" w:color="auto"/>
              <w:left w:val="single" w:sz="6" w:space="0" w:color="auto"/>
              <w:bottom w:val="single" w:sz="6" w:space="0" w:color="auto"/>
              <w:right w:val="single" w:sz="6" w:space="0" w:color="auto"/>
            </w:tcBorders>
            <w:vAlign w:val="center"/>
          </w:tcPr>
          <w:p w14:paraId="7895DADB" w14:textId="77777777" w:rsidR="009C29A2" w:rsidRPr="00001499" w:rsidRDefault="009C29A2" w:rsidP="00FC7A97">
            <w:pPr>
              <w:pStyle w:val="TableText0"/>
              <w:keepLines/>
              <w:widowControl w:val="0"/>
              <w:jc w:val="center"/>
            </w:pPr>
            <w:r w:rsidRPr="00001499">
              <w:t>0.00</w:t>
            </w:r>
          </w:p>
        </w:tc>
        <w:tc>
          <w:tcPr>
            <w:tcW w:w="703" w:type="dxa"/>
            <w:tcBorders>
              <w:top w:val="single" w:sz="6" w:space="0" w:color="auto"/>
              <w:left w:val="single" w:sz="6" w:space="0" w:color="auto"/>
              <w:bottom w:val="single" w:sz="6" w:space="0" w:color="auto"/>
              <w:right w:val="single" w:sz="6" w:space="0" w:color="auto"/>
            </w:tcBorders>
            <w:vAlign w:val="center"/>
          </w:tcPr>
          <w:p w14:paraId="27F9FA3F" w14:textId="77777777" w:rsidR="009C29A2" w:rsidRPr="00001499" w:rsidRDefault="009C29A2" w:rsidP="00FC7A97">
            <w:pPr>
              <w:pStyle w:val="TableText0"/>
              <w:keepLines/>
              <w:widowControl w:val="0"/>
              <w:jc w:val="center"/>
            </w:pPr>
            <w:r w:rsidRPr="00001499">
              <w:t>0.12</w:t>
            </w:r>
          </w:p>
        </w:tc>
        <w:tc>
          <w:tcPr>
            <w:tcW w:w="411" w:type="dxa"/>
            <w:tcBorders>
              <w:top w:val="single" w:sz="6" w:space="0" w:color="auto"/>
              <w:left w:val="single" w:sz="6" w:space="0" w:color="auto"/>
              <w:bottom w:val="single" w:sz="6" w:space="0" w:color="auto"/>
              <w:right w:val="single" w:sz="6" w:space="0" w:color="auto"/>
            </w:tcBorders>
            <w:vAlign w:val="center"/>
          </w:tcPr>
          <w:p w14:paraId="3C0211F0" w14:textId="77777777" w:rsidR="009C29A2" w:rsidRPr="00001499" w:rsidRDefault="009C29A2" w:rsidP="00FC7A97">
            <w:pPr>
              <w:pStyle w:val="TableText0"/>
              <w:keepLines/>
              <w:widowControl w:val="0"/>
              <w:jc w:val="center"/>
            </w:pPr>
            <w:r w:rsidRPr="00001499">
              <w:t>1</w:t>
            </w:r>
          </w:p>
        </w:tc>
        <w:tc>
          <w:tcPr>
            <w:tcW w:w="763" w:type="dxa"/>
            <w:tcBorders>
              <w:top w:val="single" w:sz="6" w:space="0" w:color="auto"/>
              <w:left w:val="single" w:sz="6" w:space="0" w:color="auto"/>
              <w:bottom w:val="single" w:sz="6" w:space="0" w:color="auto"/>
              <w:right w:val="single" w:sz="6" w:space="0" w:color="auto"/>
            </w:tcBorders>
            <w:vAlign w:val="center"/>
          </w:tcPr>
          <w:p w14:paraId="3676EFDE" w14:textId="77777777" w:rsidR="009C29A2" w:rsidRPr="00001499" w:rsidRDefault="009C29A2" w:rsidP="00FC7A97">
            <w:pPr>
              <w:pStyle w:val="TableText0"/>
              <w:keepLines/>
              <w:widowControl w:val="0"/>
              <w:jc w:val="center"/>
            </w:pPr>
            <w:r w:rsidRPr="00001499">
              <w:t>0.730</w:t>
            </w:r>
          </w:p>
        </w:tc>
        <w:tc>
          <w:tcPr>
            <w:tcW w:w="1762" w:type="dxa"/>
            <w:tcBorders>
              <w:top w:val="single" w:sz="6" w:space="0" w:color="auto"/>
              <w:left w:val="single" w:sz="6" w:space="0" w:color="auto"/>
              <w:bottom w:val="single" w:sz="6" w:space="0" w:color="auto"/>
              <w:right w:val="single" w:sz="6" w:space="0" w:color="auto"/>
            </w:tcBorders>
            <w:vAlign w:val="center"/>
          </w:tcPr>
          <w:p w14:paraId="0BDCDCA9" w14:textId="77777777" w:rsidR="009C29A2" w:rsidRPr="00001499" w:rsidRDefault="009C29A2" w:rsidP="00FC7A97">
            <w:pPr>
              <w:pStyle w:val="TableText0"/>
              <w:keepLines/>
              <w:widowControl w:val="0"/>
              <w:jc w:val="center"/>
              <w:rPr>
                <w:b/>
                <w:bCs w:val="0"/>
              </w:rPr>
            </w:pPr>
            <w:r w:rsidRPr="00001499">
              <w:rPr>
                <w:b/>
                <w:bCs w:val="0"/>
              </w:rPr>
              <w:t>0.924 (0.914, 0.935)</w:t>
            </w:r>
          </w:p>
        </w:tc>
        <w:tc>
          <w:tcPr>
            <w:tcW w:w="1644" w:type="dxa"/>
            <w:tcBorders>
              <w:top w:val="single" w:sz="6" w:space="0" w:color="auto"/>
              <w:left w:val="single" w:sz="6" w:space="0" w:color="auto"/>
              <w:bottom w:val="single" w:sz="6" w:space="0" w:color="auto"/>
              <w:right w:val="single" w:sz="6" w:space="0" w:color="auto"/>
            </w:tcBorders>
            <w:vAlign w:val="center"/>
          </w:tcPr>
          <w:p w14:paraId="3309FE09" w14:textId="77777777" w:rsidR="009C29A2" w:rsidRPr="00001499" w:rsidRDefault="009C29A2" w:rsidP="00FC7A97">
            <w:pPr>
              <w:pStyle w:val="TableText0"/>
              <w:keepLines/>
              <w:widowControl w:val="0"/>
              <w:jc w:val="center"/>
              <w:rPr>
                <w:b/>
                <w:bCs w:val="0"/>
              </w:rPr>
            </w:pPr>
            <w:r w:rsidRPr="00001499">
              <w:rPr>
                <w:b/>
                <w:bCs w:val="0"/>
              </w:rPr>
              <w:t>7.6% (6.5, 8.6)</w:t>
            </w:r>
          </w:p>
        </w:tc>
      </w:tr>
      <w:tr w:rsidR="009C29A2" w:rsidRPr="00001499" w14:paraId="7D1D35AA" w14:textId="77777777" w:rsidTr="00FC7A97">
        <w:trPr>
          <w:trHeight w:val="113"/>
        </w:trPr>
        <w:tc>
          <w:tcPr>
            <w:tcW w:w="880" w:type="dxa"/>
            <w:tcBorders>
              <w:top w:val="single" w:sz="6" w:space="0" w:color="auto"/>
              <w:left w:val="single" w:sz="6" w:space="0" w:color="auto"/>
              <w:bottom w:val="single" w:sz="6" w:space="0" w:color="auto"/>
              <w:right w:val="single" w:sz="6" w:space="0" w:color="auto"/>
            </w:tcBorders>
          </w:tcPr>
          <w:p w14:paraId="7F4F82AB" w14:textId="77777777" w:rsidR="009C29A2" w:rsidRPr="00001499" w:rsidRDefault="009C29A2" w:rsidP="00FC7A97">
            <w:pPr>
              <w:pStyle w:val="TableText0"/>
              <w:keepLines/>
              <w:widowControl w:val="0"/>
            </w:pPr>
            <w:r w:rsidRPr="00001499">
              <w:t>2019-20</w:t>
            </w:r>
          </w:p>
        </w:tc>
        <w:tc>
          <w:tcPr>
            <w:tcW w:w="1293" w:type="dxa"/>
            <w:tcBorders>
              <w:top w:val="single" w:sz="6" w:space="0" w:color="auto"/>
              <w:left w:val="single" w:sz="6" w:space="0" w:color="auto"/>
              <w:bottom w:val="single" w:sz="6" w:space="0" w:color="auto"/>
              <w:right w:val="single" w:sz="6" w:space="0" w:color="auto"/>
            </w:tcBorders>
          </w:tcPr>
          <w:p w14:paraId="2854E02B" w14:textId="77777777" w:rsidR="009C29A2" w:rsidRPr="00001499" w:rsidRDefault="009C29A2" w:rsidP="00FC7A97">
            <w:pPr>
              <w:pStyle w:val="TableText0"/>
              <w:keepLines/>
              <w:widowControl w:val="0"/>
            </w:pPr>
            <w:r w:rsidRPr="00001499">
              <w:t>Retrospective cohort</w:t>
            </w:r>
          </w:p>
        </w:tc>
        <w:tc>
          <w:tcPr>
            <w:tcW w:w="822" w:type="dxa"/>
            <w:tcBorders>
              <w:top w:val="single" w:sz="6" w:space="0" w:color="auto"/>
              <w:left w:val="single" w:sz="6" w:space="0" w:color="auto"/>
              <w:bottom w:val="single" w:sz="6" w:space="0" w:color="auto"/>
              <w:right w:val="single" w:sz="6" w:space="0" w:color="auto"/>
            </w:tcBorders>
            <w:vAlign w:val="center"/>
          </w:tcPr>
          <w:p w14:paraId="5B28A9CF" w14:textId="77777777" w:rsidR="009C29A2" w:rsidRPr="00001499" w:rsidRDefault="009C29A2" w:rsidP="00FC7A97">
            <w:pPr>
              <w:pStyle w:val="TableText0"/>
              <w:keepLines/>
              <w:widowControl w:val="0"/>
              <w:jc w:val="center"/>
            </w:pPr>
            <w:r w:rsidRPr="00001499">
              <w:t>2</w:t>
            </w:r>
          </w:p>
        </w:tc>
        <w:tc>
          <w:tcPr>
            <w:tcW w:w="733" w:type="dxa"/>
            <w:tcBorders>
              <w:top w:val="single" w:sz="6" w:space="0" w:color="auto"/>
              <w:left w:val="single" w:sz="6" w:space="0" w:color="auto"/>
              <w:bottom w:val="single" w:sz="6" w:space="0" w:color="auto"/>
              <w:right w:val="single" w:sz="6" w:space="0" w:color="auto"/>
            </w:tcBorders>
            <w:vAlign w:val="center"/>
          </w:tcPr>
          <w:p w14:paraId="42076262" w14:textId="77777777" w:rsidR="009C29A2" w:rsidRPr="00001499" w:rsidRDefault="009C29A2" w:rsidP="00FC7A97">
            <w:pPr>
              <w:pStyle w:val="TableText0"/>
              <w:keepLines/>
              <w:widowControl w:val="0"/>
              <w:jc w:val="center"/>
            </w:pPr>
            <w:r w:rsidRPr="00001499">
              <w:t>94.94</w:t>
            </w:r>
          </w:p>
        </w:tc>
        <w:tc>
          <w:tcPr>
            <w:tcW w:w="703" w:type="dxa"/>
            <w:tcBorders>
              <w:top w:val="single" w:sz="6" w:space="0" w:color="auto"/>
              <w:left w:val="single" w:sz="6" w:space="0" w:color="auto"/>
              <w:bottom w:val="single" w:sz="6" w:space="0" w:color="auto"/>
              <w:right w:val="single" w:sz="6" w:space="0" w:color="auto"/>
            </w:tcBorders>
            <w:vAlign w:val="center"/>
          </w:tcPr>
          <w:p w14:paraId="305630EE" w14:textId="77777777" w:rsidR="009C29A2" w:rsidRPr="00001499" w:rsidRDefault="009C29A2" w:rsidP="00FC7A97">
            <w:pPr>
              <w:pStyle w:val="TableText0"/>
              <w:keepLines/>
              <w:widowControl w:val="0"/>
              <w:jc w:val="center"/>
            </w:pPr>
            <w:r w:rsidRPr="00001499">
              <w:t>19.77</w:t>
            </w:r>
          </w:p>
        </w:tc>
        <w:tc>
          <w:tcPr>
            <w:tcW w:w="411" w:type="dxa"/>
            <w:tcBorders>
              <w:top w:val="single" w:sz="6" w:space="0" w:color="auto"/>
              <w:left w:val="single" w:sz="6" w:space="0" w:color="auto"/>
              <w:bottom w:val="single" w:sz="6" w:space="0" w:color="auto"/>
              <w:right w:val="single" w:sz="6" w:space="0" w:color="auto"/>
            </w:tcBorders>
            <w:vAlign w:val="center"/>
          </w:tcPr>
          <w:p w14:paraId="759FE071" w14:textId="77777777" w:rsidR="009C29A2" w:rsidRPr="00001499" w:rsidRDefault="009C29A2" w:rsidP="00FC7A97">
            <w:pPr>
              <w:pStyle w:val="TableText0"/>
              <w:keepLines/>
              <w:widowControl w:val="0"/>
              <w:jc w:val="center"/>
            </w:pPr>
            <w:r w:rsidRPr="00001499">
              <w:t>1</w:t>
            </w:r>
          </w:p>
        </w:tc>
        <w:tc>
          <w:tcPr>
            <w:tcW w:w="763" w:type="dxa"/>
            <w:tcBorders>
              <w:top w:val="single" w:sz="6" w:space="0" w:color="auto"/>
              <w:left w:val="single" w:sz="6" w:space="0" w:color="auto"/>
              <w:bottom w:val="single" w:sz="6" w:space="0" w:color="auto"/>
              <w:right w:val="single" w:sz="6" w:space="0" w:color="auto"/>
            </w:tcBorders>
            <w:vAlign w:val="center"/>
          </w:tcPr>
          <w:p w14:paraId="117241EB" w14:textId="77777777" w:rsidR="009C29A2" w:rsidRPr="00001499" w:rsidRDefault="009C29A2" w:rsidP="00FC7A97">
            <w:pPr>
              <w:pStyle w:val="TableText0"/>
              <w:keepLines/>
              <w:widowControl w:val="0"/>
              <w:jc w:val="center"/>
            </w:pPr>
            <w:r w:rsidRPr="00001499">
              <w:t>&lt;0.001</w:t>
            </w:r>
          </w:p>
        </w:tc>
        <w:tc>
          <w:tcPr>
            <w:tcW w:w="1762" w:type="dxa"/>
            <w:tcBorders>
              <w:top w:val="single" w:sz="6" w:space="0" w:color="auto"/>
              <w:left w:val="single" w:sz="6" w:space="0" w:color="auto"/>
              <w:bottom w:val="single" w:sz="6" w:space="0" w:color="auto"/>
              <w:right w:val="single" w:sz="6" w:space="0" w:color="auto"/>
            </w:tcBorders>
            <w:vAlign w:val="center"/>
          </w:tcPr>
          <w:p w14:paraId="67579961" w14:textId="77777777" w:rsidR="009C29A2" w:rsidRPr="00001499" w:rsidRDefault="009C29A2" w:rsidP="00FC7A97">
            <w:pPr>
              <w:pStyle w:val="TableText0"/>
              <w:keepLines/>
              <w:widowControl w:val="0"/>
              <w:jc w:val="center"/>
              <w:rPr>
                <w:b/>
                <w:bCs w:val="0"/>
              </w:rPr>
            </w:pPr>
            <w:r w:rsidRPr="00001499">
              <w:rPr>
                <w:b/>
                <w:bCs w:val="0"/>
              </w:rPr>
              <w:t>0.876 (0.781, 0.984)</w:t>
            </w:r>
          </w:p>
        </w:tc>
        <w:tc>
          <w:tcPr>
            <w:tcW w:w="1644" w:type="dxa"/>
            <w:tcBorders>
              <w:top w:val="single" w:sz="6" w:space="0" w:color="auto"/>
              <w:left w:val="single" w:sz="6" w:space="0" w:color="auto"/>
              <w:bottom w:val="single" w:sz="6" w:space="0" w:color="auto"/>
              <w:right w:val="single" w:sz="6" w:space="0" w:color="auto"/>
            </w:tcBorders>
            <w:vAlign w:val="center"/>
          </w:tcPr>
          <w:p w14:paraId="26A4033E" w14:textId="77777777" w:rsidR="009C29A2" w:rsidRPr="00001499" w:rsidRDefault="009C29A2" w:rsidP="00FC7A97">
            <w:pPr>
              <w:pStyle w:val="TableText0"/>
              <w:keepLines/>
              <w:widowControl w:val="0"/>
              <w:jc w:val="center"/>
              <w:rPr>
                <w:b/>
                <w:bCs w:val="0"/>
              </w:rPr>
            </w:pPr>
            <w:r w:rsidRPr="00001499">
              <w:rPr>
                <w:b/>
                <w:bCs w:val="0"/>
              </w:rPr>
              <w:t>12.4% (1.6, 21.9)</w:t>
            </w:r>
          </w:p>
        </w:tc>
      </w:tr>
    </w:tbl>
    <w:p w14:paraId="64A0BA49" w14:textId="77777777" w:rsidR="009C29A2" w:rsidRPr="00001499" w:rsidRDefault="009C29A2" w:rsidP="009C29A2">
      <w:pPr>
        <w:pStyle w:val="TableFigureFooter"/>
        <w:keepNext/>
        <w:keepLines/>
        <w:spacing w:after="0"/>
        <w:rPr>
          <w:rFonts w:eastAsia="Arial Narrow" w:cs="Arial Narrow"/>
          <w:b/>
          <w:bCs/>
          <w:color w:val="000000" w:themeColor="text1"/>
          <w:szCs w:val="18"/>
        </w:rPr>
      </w:pPr>
      <w:r w:rsidRPr="00001499">
        <w:rPr>
          <w:rFonts w:eastAsia="Arial Narrow" w:cs="Arial Narrow"/>
          <w:b/>
          <w:bCs/>
          <w:color w:val="000000" w:themeColor="text1"/>
          <w:szCs w:val="18"/>
        </w:rPr>
        <w:t>Statistically significant results are presented in bold.</w:t>
      </w:r>
    </w:p>
    <w:p w14:paraId="0517625B" w14:textId="77777777" w:rsidR="009C29A2" w:rsidRPr="00001499" w:rsidRDefault="009C29A2" w:rsidP="009C29A2">
      <w:pPr>
        <w:pStyle w:val="TableFootnotetext"/>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Source: Table 3.3.1, p147 of the submission.</w:t>
      </w:r>
    </w:p>
    <w:p w14:paraId="6D24FCBF" w14:textId="77777777" w:rsidR="009C29A2" w:rsidRPr="00001499" w:rsidRDefault="009C29A2" w:rsidP="009C29A2">
      <w:pPr>
        <w:pStyle w:val="TableFootnotetext"/>
        <w:spacing w:after="240"/>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df = degrees of freedom, CI = confidence interval, OR = odds ratio, RR = risk ratio, N= number of studies, rVE = relative vaccine effectiveness, I</w:t>
      </w:r>
      <w:r w:rsidRPr="00001499">
        <w:rPr>
          <w:rFonts w:ascii="Arial Narrow" w:eastAsia="Arial Narrow" w:hAnsi="Arial Narrow" w:cs="Arial Narrow"/>
          <w:color w:val="000000" w:themeColor="text1"/>
          <w:sz w:val="18"/>
          <w:szCs w:val="18"/>
          <w:vertAlign w:val="superscript"/>
        </w:rPr>
        <w:t>2</w:t>
      </w:r>
      <w:r w:rsidRPr="00001499">
        <w:rPr>
          <w:rFonts w:ascii="Arial Narrow" w:eastAsia="Arial Narrow" w:hAnsi="Arial Narrow" w:cs="Arial Narrow"/>
          <w:color w:val="000000" w:themeColor="text1"/>
          <w:sz w:val="18"/>
          <w:szCs w:val="18"/>
        </w:rPr>
        <w:t xml:space="preserve">= measure of heterogeneity. </w:t>
      </w:r>
    </w:p>
    <w:p w14:paraId="3F01145D" w14:textId="021912C2" w:rsidR="009C29A2" w:rsidRPr="00001499" w:rsidRDefault="009C29A2" w:rsidP="00571A54">
      <w:pPr>
        <w:pStyle w:val="3-BodyText"/>
        <w:ind w:left="709"/>
        <w:rPr>
          <w:rFonts w:eastAsia="Calibri"/>
        </w:rPr>
      </w:pPr>
      <w:bookmarkStart w:id="51" w:name="_Ref92962253"/>
      <w:r w:rsidRPr="00001499">
        <w:rPr>
          <w:rFonts w:eastAsia="Calibri"/>
        </w:rPr>
        <w:lastRenderedPageBreak/>
        <w:t>The analyses were appropriately separated by season, but the outcomes (primary care or hospitalisation encounters) were combined. In the pre-submission advice ATAGI did not agree with the sponsor’s justification that combining outcomes “is consistent with the application of the estimated relative vaccine effectiveness as a reduction in the risk of developing influenza”. ATAGI also indicated that outcomes represent different severities of influenza, and “the reduction in influenza-related hospitalisations or primary health encounters may be due to a change in the severity of disease, as opposed to the risk of infection”. ATAGI had requested further explanation to justify the combination of outcomes, and noted it was important as “this appears to be the basis on which the sponsor intends on presenting a dynamic transmission model as part of their cost-effectiveness analyses”. Results from the meta-analyses were used to inform the economic model.</w:t>
      </w:r>
      <w:bookmarkEnd w:id="51"/>
      <w:r w:rsidR="00571A54" w:rsidRPr="00001499">
        <w:rPr>
          <w:rFonts w:eastAsia="Calibri"/>
        </w:rPr>
        <w:t xml:space="preserve"> </w:t>
      </w:r>
    </w:p>
    <w:p w14:paraId="27826FA9" w14:textId="6BE142B1" w:rsidR="00CC4720" w:rsidRPr="00001499" w:rsidRDefault="009C29A2" w:rsidP="00AA46C6">
      <w:pPr>
        <w:pStyle w:val="3-BodyText"/>
        <w:ind w:left="709"/>
      </w:pPr>
      <w:bookmarkStart w:id="52" w:name="_Ref92962255"/>
      <w:r w:rsidRPr="00001499">
        <w:rPr>
          <w:rFonts w:eastAsia="Calibri"/>
        </w:rPr>
        <w:t xml:space="preserve">The submission did not address the potential for outcomes to vary across different settings due to change in severity of the dominating circulating virus, as opposed to the risk of infection. The submission justified the combination of outcomes by saying: that only two studies were available in each season, thus pooling was required; that Boikos 2021 and Seqirus 2021 already combined hospital and primary care presentations; and that the approach was supported by consistent rVE estimates, particularly in the 2017-18 season, when the outcomes were separate (primary care only in Boikos 2020 and hospital data in Divino 2020). However, in the 2019-20 season when the outcomes were disaggregated in Seqirus 2021, the rVE for primary care was substantially higher than that for hospitalisation, indicating rVE is not always consistent across outcomes. </w:t>
      </w:r>
      <w:r w:rsidR="004F220D">
        <w:rPr>
          <w:rFonts w:eastAsia="Calibri"/>
        </w:rPr>
        <w:t>D</w:t>
      </w:r>
      <w:r w:rsidRPr="00001499">
        <w:rPr>
          <w:rFonts w:eastAsia="Calibri"/>
        </w:rPr>
        <w:t>isaggregat</w:t>
      </w:r>
      <w:r w:rsidR="004F220D">
        <w:rPr>
          <w:rFonts w:eastAsia="Calibri"/>
        </w:rPr>
        <w:t>ing the data</w:t>
      </w:r>
      <w:r w:rsidRPr="00001499">
        <w:rPr>
          <w:rFonts w:eastAsia="Calibri"/>
        </w:rPr>
        <w:t xml:space="preserve"> across all seasons would be more informative and allow outcomes to be modelled separately. Only disaggregated rVE estimates, not numbers of people with the event or total numbers (N) considered, were available in the Seqirus 2021 CSR (2019-20 season). Further, data were not disaggregated in the CSR or publication for the Seqirus-funded Boikos 2021 study</w:t>
      </w:r>
      <w:r w:rsidR="00CC4720" w:rsidRPr="00001499">
        <w:rPr>
          <w:rFonts w:eastAsia="Calibri"/>
        </w:rPr>
        <w:t xml:space="preserve"> </w:t>
      </w:r>
      <w:r w:rsidRPr="00001499">
        <w:rPr>
          <w:rFonts w:eastAsia="Calibri"/>
        </w:rPr>
        <w:t>(2018-19 season).</w:t>
      </w:r>
      <w:bookmarkEnd w:id="52"/>
      <w:r w:rsidRPr="00001499">
        <w:rPr>
          <w:rFonts w:eastAsia="Calibri"/>
        </w:rPr>
        <w:t xml:space="preserve"> </w:t>
      </w:r>
      <w:r w:rsidR="008C5B30" w:rsidRPr="00001499">
        <w:rPr>
          <w:rFonts w:eastAsia="Calibri"/>
        </w:rPr>
        <w:t>The ESC considered that combining different influenza-like-illness outcomes in the meta-analysis introduced uncertainty. The ESC acknowledged that the meta-analysis was not pivotal to the clinical claim, however noted these combined estimates were used in the economic model.</w:t>
      </w:r>
      <w:bookmarkStart w:id="53" w:name="_Toc22897642"/>
      <w:bookmarkStart w:id="54" w:name="_Toc22898854"/>
      <w:bookmarkStart w:id="55" w:name="_Toc93410955"/>
    </w:p>
    <w:p w14:paraId="1A55E733" w14:textId="39F2826D" w:rsidR="009C29A2" w:rsidRPr="00001499" w:rsidRDefault="009C29A2" w:rsidP="00CC4720">
      <w:pPr>
        <w:pStyle w:val="4-SubsectionHeading"/>
      </w:pPr>
      <w:r w:rsidRPr="00001499">
        <w:t>Comparative harms</w:t>
      </w:r>
      <w:bookmarkEnd w:id="53"/>
      <w:bookmarkEnd w:id="54"/>
      <w:bookmarkEnd w:id="55"/>
    </w:p>
    <w:p w14:paraId="6C935894" w14:textId="5635F270" w:rsidR="009C29A2" w:rsidRPr="00001499" w:rsidRDefault="009C29A2" w:rsidP="00AA46C6">
      <w:pPr>
        <w:pStyle w:val="3-BodyText"/>
        <w:ind w:left="709"/>
        <w:rPr>
          <w:rFonts w:eastAsia="Calibri"/>
        </w:rPr>
      </w:pPr>
      <w:bookmarkStart w:id="56" w:name="_Ref92283412"/>
      <w:r w:rsidRPr="00001499">
        <w:rPr>
          <w:rFonts w:eastAsia="Calibri"/>
        </w:rPr>
        <w:t xml:space="preserve">Safety data from RCT V130_10 was used to demonstrate the safety profile of QIVc compared to QIVe. Clinical trial V130_10 was a phase III, randomised, observer-blind, noninferiority study that was conducted to evaluate the safety and immunogenicity of QIVc and QIVe in healthy children six to 47 months of age. The trial was conducted in the US during the 2019-20 influenza season, at which time all four influenza strains in the QIVc formulation used in the trial were cell derived. A total of 2,414 participants were randomised 2:1 to QIVc or QIVe. A total of 334 (13.8%) enrolled subjects </w:t>
      </w:r>
      <w:r w:rsidR="007C726E">
        <w:rPr>
          <w:rFonts w:eastAsia="Calibri"/>
        </w:rPr>
        <w:t>(</w:t>
      </w:r>
      <w:r w:rsidRPr="00001499">
        <w:rPr>
          <w:rFonts w:eastAsia="Calibri"/>
        </w:rPr>
        <w:t>QIVc = 235 (14.6%), QIVe = 99 (12.2%)</w:t>
      </w:r>
      <w:r w:rsidR="007C726E">
        <w:rPr>
          <w:rFonts w:eastAsia="Calibri"/>
        </w:rPr>
        <w:t>)</w:t>
      </w:r>
      <w:r w:rsidRPr="00001499">
        <w:rPr>
          <w:rFonts w:eastAsia="Calibri"/>
        </w:rPr>
        <w:t xml:space="preserve"> did not complete the study (</w:t>
      </w:r>
      <w:r w:rsidRPr="00001499">
        <w:rPr>
          <w:rFonts w:eastAsia="Calibri"/>
        </w:rPr>
        <w:fldChar w:fldCharType="begin" w:fldLock="1"/>
      </w:r>
      <w:r w:rsidRPr="00001499">
        <w:rPr>
          <w:rFonts w:eastAsia="Calibri"/>
        </w:rPr>
        <w:instrText xml:space="preserve"> REF _Ref93345179 \h </w:instrText>
      </w:r>
      <w:r w:rsidRPr="00001499">
        <w:rPr>
          <w:rFonts w:eastAsia="Calibri"/>
        </w:rPr>
      </w:r>
      <w:r w:rsidRPr="00001499">
        <w:rPr>
          <w:rFonts w:eastAsia="Calibri"/>
        </w:rPr>
        <w:fldChar w:fldCharType="separate"/>
      </w:r>
      <w:r w:rsidR="005C1FE9" w:rsidRPr="00001499">
        <w:t xml:space="preserve">Table </w:t>
      </w:r>
      <w:r w:rsidR="005C1FE9">
        <w:rPr>
          <w:noProof/>
        </w:rPr>
        <w:t>10</w:t>
      </w:r>
      <w:r w:rsidRPr="00001499">
        <w:rPr>
          <w:rFonts w:eastAsia="Calibri"/>
        </w:rPr>
        <w:fldChar w:fldCharType="end"/>
      </w:r>
      <w:r w:rsidRPr="00001499">
        <w:rPr>
          <w:rFonts w:eastAsia="Calibri"/>
        </w:rPr>
        <w:t xml:space="preserve">). </w:t>
      </w:r>
      <w:bookmarkEnd w:id="56"/>
    </w:p>
    <w:p w14:paraId="6BBA29C9" w14:textId="6EA2A1F4" w:rsidR="009C29A2" w:rsidRPr="00001499" w:rsidRDefault="009C29A2" w:rsidP="009C29A2">
      <w:pPr>
        <w:pStyle w:val="TableHeading0"/>
        <w:rPr>
          <w:sz w:val="16"/>
          <w:szCs w:val="16"/>
        </w:rPr>
      </w:pPr>
      <w:bookmarkStart w:id="57" w:name="_Ref93345179"/>
      <w:r w:rsidRPr="00001499">
        <w:lastRenderedPageBreak/>
        <w:t xml:space="preserve">Table </w:t>
      </w:r>
      <w:fldSimple w:instr=" SEQ Table \* ARABIC " w:fldLock="1">
        <w:r w:rsidR="005C1FE9">
          <w:rPr>
            <w:noProof/>
          </w:rPr>
          <w:t>10</w:t>
        </w:r>
      </w:fldSimple>
      <w:bookmarkEnd w:id="57"/>
      <w:r w:rsidRPr="00001499">
        <w:rPr>
          <w:rStyle w:val="CommentReference"/>
          <w:b/>
        </w:rPr>
        <w:t>:</w:t>
      </w:r>
      <w:r w:rsidRPr="00001499">
        <w:t xml:space="preserve"> Number (%) of participants with at least one solicited adverse event</w:t>
      </w:r>
      <w:r w:rsidRPr="00001499">
        <w:rPr>
          <w:vertAlign w:val="superscript"/>
        </w:rPr>
        <w:t>1</w:t>
      </w:r>
      <w:r w:rsidRPr="00001499">
        <w:t xml:space="preserve"> postvaccination (Day 1 through Day 7) in study V130_10 – solicited safety set</w:t>
      </w:r>
      <w:r w:rsidRPr="00001499">
        <w:rPr>
          <w:vertAlign w:val="superscript"/>
        </w:rPr>
        <w:t>2</w:t>
      </w:r>
    </w:p>
    <w:tbl>
      <w:tblPr>
        <w:tblStyle w:val="TableGrid"/>
        <w:tblW w:w="0" w:type="auto"/>
        <w:tblLayout w:type="fixed"/>
        <w:tblLook w:val="04A0" w:firstRow="1" w:lastRow="0" w:firstColumn="1" w:lastColumn="0" w:noHBand="0" w:noVBand="1"/>
      </w:tblPr>
      <w:tblGrid>
        <w:gridCol w:w="2145"/>
        <w:gridCol w:w="1695"/>
        <w:gridCol w:w="1560"/>
        <w:gridCol w:w="1695"/>
        <w:gridCol w:w="1830"/>
      </w:tblGrid>
      <w:tr w:rsidR="009C29A2" w:rsidRPr="00001499" w14:paraId="4EA56770" w14:textId="77777777" w:rsidTr="00FC7A97">
        <w:tc>
          <w:tcPr>
            <w:tcW w:w="2145" w:type="dxa"/>
            <w:vMerge w:val="restart"/>
            <w:tcBorders>
              <w:top w:val="single" w:sz="6" w:space="0" w:color="auto"/>
              <w:left w:val="single" w:sz="6" w:space="0" w:color="auto"/>
              <w:right w:val="single" w:sz="6" w:space="0" w:color="auto"/>
            </w:tcBorders>
          </w:tcPr>
          <w:p w14:paraId="5FE20651"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Solicited adverse event n (%)</w:t>
            </w:r>
          </w:p>
        </w:tc>
        <w:tc>
          <w:tcPr>
            <w:tcW w:w="6780" w:type="dxa"/>
            <w:gridSpan w:val="4"/>
            <w:tcBorders>
              <w:left w:val="single" w:sz="6" w:space="0" w:color="auto"/>
            </w:tcBorders>
          </w:tcPr>
          <w:p w14:paraId="7D194CD4"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V130_10</w:t>
            </w:r>
          </w:p>
        </w:tc>
      </w:tr>
      <w:tr w:rsidR="009C29A2" w:rsidRPr="00001499" w14:paraId="0F34A974" w14:textId="77777777" w:rsidTr="00FC7A97">
        <w:tc>
          <w:tcPr>
            <w:tcW w:w="2145" w:type="dxa"/>
            <w:vMerge/>
            <w:vAlign w:val="center"/>
          </w:tcPr>
          <w:p w14:paraId="3A7E086F" w14:textId="77777777" w:rsidR="009C29A2" w:rsidRPr="00001499" w:rsidRDefault="009C29A2" w:rsidP="00FC7A97">
            <w:pPr>
              <w:keepNext/>
              <w:keepLines/>
              <w:widowControl w:val="0"/>
            </w:pPr>
          </w:p>
        </w:tc>
        <w:tc>
          <w:tcPr>
            <w:tcW w:w="3255" w:type="dxa"/>
            <w:gridSpan w:val="2"/>
            <w:tcBorders>
              <w:left w:val="single" w:sz="6" w:space="0" w:color="auto"/>
            </w:tcBorders>
          </w:tcPr>
          <w:p w14:paraId="10164E83"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 xml:space="preserve">30 minutes </w:t>
            </w:r>
            <w:r w:rsidRPr="00001499">
              <w:br/>
            </w:r>
            <w:r w:rsidRPr="00001499">
              <w:rPr>
                <w:rFonts w:ascii="Arial Narrow" w:eastAsia="Arial Narrow" w:hAnsi="Arial Narrow" w:cs="Arial Narrow"/>
                <w:sz w:val="20"/>
              </w:rPr>
              <w:t>after any vaccination</w:t>
            </w:r>
          </w:p>
        </w:tc>
        <w:tc>
          <w:tcPr>
            <w:tcW w:w="3525" w:type="dxa"/>
            <w:gridSpan w:val="2"/>
          </w:tcPr>
          <w:p w14:paraId="42CEB64E"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 xml:space="preserve">Day 1 through 7 days </w:t>
            </w:r>
            <w:r w:rsidRPr="00001499">
              <w:br/>
            </w:r>
            <w:r w:rsidRPr="00001499">
              <w:rPr>
                <w:rFonts w:ascii="Arial Narrow" w:eastAsia="Arial Narrow" w:hAnsi="Arial Narrow" w:cs="Arial Narrow"/>
                <w:sz w:val="20"/>
              </w:rPr>
              <w:t>after any vaccination</w:t>
            </w:r>
          </w:p>
        </w:tc>
      </w:tr>
      <w:tr w:rsidR="009C29A2" w:rsidRPr="00001499" w14:paraId="5EF667BF" w14:textId="77777777" w:rsidTr="00FC7A97">
        <w:tc>
          <w:tcPr>
            <w:tcW w:w="2145" w:type="dxa"/>
            <w:vMerge/>
            <w:vAlign w:val="center"/>
          </w:tcPr>
          <w:p w14:paraId="725575D1" w14:textId="77777777" w:rsidR="009C29A2" w:rsidRPr="00001499" w:rsidRDefault="009C29A2" w:rsidP="00FC7A97">
            <w:pPr>
              <w:keepNext/>
              <w:keepLines/>
              <w:widowControl w:val="0"/>
            </w:pPr>
          </w:p>
        </w:tc>
        <w:tc>
          <w:tcPr>
            <w:tcW w:w="1695" w:type="dxa"/>
            <w:tcBorders>
              <w:left w:val="single" w:sz="6" w:space="0" w:color="auto"/>
            </w:tcBorders>
          </w:tcPr>
          <w:p w14:paraId="5395D959"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QIVc</w:t>
            </w:r>
          </w:p>
        </w:tc>
        <w:tc>
          <w:tcPr>
            <w:tcW w:w="1560" w:type="dxa"/>
          </w:tcPr>
          <w:p w14:paraId="36C00014"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QIVe</w:t>
            </w:r>
          </w:p>
        </w:tc>
        <w:tc>
          <w:tcPr>
            <w:tcW w:w="1695" w:type="dxa"/>
          </w:tcPr>
          <w:p w14:paraId="7ECFC372"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QIVc</w:t>
            </w:r>
          </w:p>
        </w:tc>
        <w:tc>
          <w:tcPr>
            <w:tcW w:w="1830" w:type="dxa"/>
          </w:tcPr>
          <w:p w14:paraId="0389F7DC" w14:textId="77777777" w:rsidR="009C29A2" w:rsidRPr="00001499" w:rsidRDefault="009C29A2" w:rsidP="00FC7A97">
            <w:pPr>
              <w:pStyle w:val="TableTitlecentred"/>
              <w:keepNext/>
              <w:keepLines/>
              <w:widowControl w:val="0"/>
              <w:rPr>
                <w:rFonts w:ascii="Arial Narrow" w:eastAsia="Arial Narrow" w:hAnsi="Arial Narrow" w:cs="Arial Narrow"/>
                <w:sz w:val="20"/>
              </w:rPr>
            </w:pPr>
            <w:r w:rsidRPr="00001499">
              <w:rPr>
                <w:rFonts w:ascii="Arial Narrow" w:eastAsia="Arial Narrow" w:hAnsi="Arial Narrow" w:cs="Arial Narrow"/>
                <w:sz w:val="20"/>
              </w:rPr>
              <w:t>QIVe</w:t>
            </w:r>
          </w:p>
        </w:tc>
      </w:tr>
      <w:tr w:rsidR="009C29A2" w:rsidRPr="00001499" w14:paraId="24163EC5" w14:textId="77777777" w:rsidTr="00FC7A97">
        <w:tc>
          <w:tcPr>
            <w:tcW w:w="2145" w:type="dxa"/>
            <w:tcBorders>
              <w:top w:val="single" w:sz="6" w:space="0" w:color="auto"/>
              <w:left w:val="single" w:sz="6" w:space="0" w:color="auto"/>
              <w:right w:val="single" w:sz="6" w:space="0" w:color="auto"/>
            </w:tcBorders>
          </w:tcPr>
          <w:p w14:paraId="2DF6E666" w14:textId="77777777" w:rsidR="009C29A2" w:rsidRPr="00001499" w:rsidRDefault="009C29A2" w:rsidP="00FC7A97">
            <w:pPr>
              <w:keepNext/>
              <w:keepLines/>
              <w:widowControl w:val="0"/>
              <w:tabs>
                <w:tab w:val="left" w:pos="275"/>
              </w:tabs>
              <w:ind w:right="-111"/>
              <w:rPr>
                <w:rFonts w:ascii="Arial Narrow" w:eastAsia="Arial Narrow" w:hAnsi="Arial Narrow" w:cs="Arial Narrow"/>
              </w:rPr>
            </w:pPr>
            <w:r w:rsidRPr="00001499">
              <w:rPr>
                <w:rFonts w:ascii="Arial Narrow" w:eastAsia="Arial Narrow" w:hAnsi="Arial Narrow" w:cs="Arial Narrow"/>
              </w:rPr>
              <w:t>N</w:t>
            </w:r>
          </w:p>
        </w:tc>
        <w:tc>
          <w:tcPr>
            <w:tcW w:w="1695" w:type="dxa"/>
          </w:tcPr>
          <w:p w14:paraId="73F1B2FD"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1,564</w:t>
            </w:r>
          </w:p>
        </w:tc>
        <w:tc>
          <w:tcPr>
            <w:tcW w:w="1560" w:type="dxa"/>
          </w:tcPr>
          <w:p w14:paraId="1A6C8F3F"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784</w:t>
            </w:r>
          </w:p>
        </w:tc>
        <w:tc>
          <w:tcPr>
            <w:tcW w:w="1695" w:type="dxa"/>
          </w:tcPr>
          <w:p w14:paraId="51C016C3"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1,564</w:t>
            </w:r>
          </w:p>
        </w:tc>
        <w:tc>
          <w:tcPr>
            <w:tcW w:w="1830" w:type="dxa"/>
          </w:tcPr>
          <w:p w14:paraId="51361D7E" w14:textId="77777777" w:rsidR="009C29A2" w:rsidRPr="00001499" w:rsidRDefault="009C29A2" w:rsidP="00FC7A97">
            <w:pPr>
              <w:pStyle w:val="TableTextcentred"/>
              <w:keepNext/>
              <w:keepLines/>
              <w:widowControl w:val="0"/>
              <w:rPr>
                <w:rFonts w:ascii="Arial Narrow" w:eastAsia="Arial Narrow" w:hAnsi="Arial Narrow" w:cs="Arial Narrow"/>
                <w:sz w:val="20"/>
                <w:szCs w:val="20"/>
              </w:rPr>
            </w:pPr>
            <w:r w:rsidRPr="00001499">
              <w:rPr>
                <w:rFonts w:ascii="Arial Narrow" w:eastAsia="Arial Narrow" w:hAnsi="Arial Narrow" w:cs="Arial Narrow"/>
                <w:sz w:val="20"/>
                <w:szCs w:val="20"/>
              </w:rPr>
              <w:t>784</w:t>
            </w:r>
          </w:p>
        </w:tc>
      </w:tr>
      <w:tr w:rsidR="009C29A2" w:rsidRPr="00001499" w14:paraId="0AFDBF89" w14:textId="77777777" w:rsidTr="00FC7A97">
        <w:tc>
          <w:tcPr>
            <w:tcW w:w="2145" w:type="dxa"/>
            <w:tcBorders>
              <w:left w:val="single" w:sz="6" w:space="0" w:color="auto"/>
              <w:right w:val="single" w:sz="6" w:space="0" w:color="auto"/>
            </w:tcBorders>
          </w:tcPr>
          <w:p w14:paraId="0472D6CC" w14:textId="77777777" w:rsidR="009C29A2" w:rsidRPr="00001499" w:rsidRDefault="009C29A2" w:rsidP="00FC7A97">
            <w:pPr>
              <w:keepNext/>
              <w:keepLines/>
              <w:widowControl w:val="0"/>
              <w:tabs>
                <w:tab w:val="left" w:pos="275"/>
              </w:tabs>
              <w:ind w:right="-111"/>
              <w:rPr>
                <w:rFonts w:ascii="Arial Narrow" w:eastAsia="Arial Narrow" w:hAnsi="Arial Narrow" w:cs="Arial Narrow"/>
              </w:rPr>
            </w:pPr>
            <w:r w:rsidRPr="00001499">
              <w:rPr>
                <w:rFonts w:ascii="Arial Narrow" w:eastAsia="Arial Narrow" w:hAnsi="Arial Narrow" w:cs="Arial Narrow"/>
              </w:rPr>
              <w:t>Any</w:t>
            </w:r>
          </w:p>
        </w:tc>
        <w:tc>
          <w:tcPr>
            <w:tcW w:w="1695" w:type="dxa"/>
          </w:tcPr>
          <w:p w14:paraId="44A711AC"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192 (12.3)</w:t>
            </w:r>
          </w:p>
        </w:tc>
        <w:tc>
          <w:tcPr>
            <w:tcW w:w="1560" w:type="dxa"/>
          </w:tcPr>
          <w:p w14:paraId="585DCAD9"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104 (13.3)</w:t>
            </w:r>
          </w:p>
        </w:tc>
        <w:tc>
          <w:tcPr>
            <w:tcW w:w="1695" w:type="dxa"/>
          </w:tcPr>
          <w:p w14:paraId="213BDF18"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940 (60.1)</w:t>
            </w:r>
          </w:p>
        </w:tc>
        <w:tc>
          <w:tcPr>
            <w:tcW w:w="1830" w:type="dxa"/>
          </w:tcPr>
          <w:p w14:paraId="10EA63A7"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491 (62.6)</w:t>
            </w:r>
          </w:p>
        </w:tc>
      </w:tr>
      <w:tr w:rsidR="009C29A2" w:rsidRPr="00001499" w14:paraId="32536263" w14:textId="77777777" w:rsidTr="00FC7A97">
        <w:tc>
          <w:tcPr>
            <w:tcW w:w="2145" w:type="dxa"/>
            <w:tcBorders>
              <w:left w:val="single" w:sz="6" w:space="0" w:color="auto"/>
              <w:right w:val="single" w:sz="6" w:space="0" w:color="auto"/>
            </w:tcBorders>
          </w:tcPr>
          <w:p w14:paraId="43A99148" w14:textId="77777777" w:rsidR="009C29A2" w:rsidRPr="00001499" w:rsidRDefault="009C29A2" w:rsidP="00FC7A97">
            <w:pPr>
              <w:keepNext/>
              <w:keepLines/>
              <w:widowControl w:val="0"/>
              <w:tabs>
                <w:tab w:val="left" w:pos="275"/>
              </w:tabs>
              <w:ind w:right="-111"/>
              <w:rPr>
                <w:rFonts w:ascii="Arial Narrow" w:eastAsia="Arial Narrow" w:hAnsi="Arial Narrow" w:cs="Arial Narrow"/>
              </w:rPr>
            </w:pPr>
            <w:r w:rsidRPr="00001499">
              <w:rPr>
                <w:rFonts w:ascii="Arial Narrow" w:eastAsia="Arial Narrow" w:hAnsi="Arial Narrow" w:cs="Arial Narrow"/>
              </w:rPr>
              <w:t xml:space="preserve">Local </w:t>
            </w:r>
          </w:p>
        </w:tc>
        <w:tc>
          <w:tcPr>
            <w:tcW w:w="1695" w:type="dxa"/>
          </w:tcPr>
          <w:p w14:paraId="5B375EEE"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171 (10.9)</w:t>
            </w:r>
          </w:p>
        </w:tc>
        <w:tc>
          <w:tcPr>
            <w:tcW w:w="1560" w:type="dxa"/>
          </w:tcPr>
          <w:p w14:paraId="7641C040"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95 (12.1)</w:t>
            </w:r>
          </w:p>
        </w:tc>
        <w:tc>
          <w:tcPr>
            <w:tcW w:w="1695" w:type="dxa"/>
          </w:tcPr>
          <w:p w14:paraId="537957C0"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656 (41.9)</w:t>
            </w:r>
          </w:p>
        </w:tc>
        <w:tc>
          <w:tcPr>
            <w:tcW w:w="1830" w:type="dxa"/>
          </w:tcPr>
          <w:p w14:paraId="71284E5E"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350 (44.6)</w:t>
            </w:r>
          </w:p>
        </w:tc>
      </w:tr>
      <w:tr w:rsidR="009C29A2" w:rsidRPr="00001499" w14:paraId="7FC86E4D" w14:textId="77777777" w:rsidTr="00FC7A97">
        <w:tc>
          <w:tcPr>
            <w:tcW w:w="2145" w:type="dxa"/>
          </w:tcPr>
          <w:p w14:paraId="43F23BB8" w14:textId="77777777" w:rsidR="009C29A2" w:rsidRPr="00001499" w:rsidRDefault="009C29A2" w:rsidP="00FC7A97">
            <w:pPr>
              <w:keepNext/>
              <w:keepLines/>
              <w:widowControl w:val="0"/>
              <w:tabs>
                <w:tab w:val="left" w:pos="275"/>
              </w:tabs>
              <w:ind w:right="-111"/>
              <w:rPr>
                <w:rFonts w:ascii="Arial Narrow" w:eastAsia="Arial Narrow" w:hAnsi="Arial Narrow" w:cs="Arial Narrow"/>
              </w:rPr>
            </w:pPr>
            <w:r w:rsidRPr="00001499">
              <w:rPr>
                <w:rFonts w:ascii="Arial Narrow" w:eastAsia="Arial Narrow" w:hAnsi="Arial Narrow" w:cs="Arial Narrow"/>
              </w:rPr>
              <w:t>Systemic</w:t>
            </w:r>
          </w:p>
        </w:tc>
        <w:tc>
          <w:tcPr>
            <w:tcW w:w="1695" w:type="dxa"/>
          </w:tcPr>
          <w:p w14:paraId="3EE9CDD2"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30 (1.9)</w:t>
            </w:r>
          </w:p>
        </w:tc>
        <w:tc>
          <w:tcPr>
            <w:tcW w:w="1560" w:type="dxa"/>
          </w:tcPr>
          <w:p w14:paraId="2A89D22C"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18 (2.3)</w:t>
            </w:r>
          </w:p>
        </w:tc>
        <w:tc>
          <w:tcPr>
            <w:tcW w:w="1695" w:type="dxa"/>
          </w:tcPr>
          <w:p w14:paraId="0450B682"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681 (43.5)</w:t>
            </w:r>
          </w:p>
        </w:tc>
        <w:tc>
          <w:tcPr>
            <w:tcW w:w="1830" w:type="dxa"/>
          </w:tcPr>
          <w:p w14:paraId="27764882"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358 (45.7)</w:t>
            </w:r>
          </w:p>
        </w:tc>
      </w:tr>
      <w:tr w:rsidR="009C29A2" w:rsidRPr="00001499" w14:paraId="618307D8" w14:textId="77777777" w:rsidTr="00FC7A97">
        <w:tc>
          <w:tcPr>
            <w:tcW w:w="2145" w:type="dxa"/>
          </w:tcPr>
          <w:p w14:paraId="473C8053" w14:textId="77777777" w:rsidR="009C29A2" w:rsidRPr="00001499" w:rsidRDefault="009C29A2" w:rsidP="00FC7A97">
            <w:pPr>
              <w:keepNext/>
              <w:keepLines/>
              <w:widowControl w:val="0"/>
              <w:rPr>
                <w:rFonts w:ascii="Arial Narrow" w:eastAsia="Arial Narrow" w:hAnsi="Arial Narrow" w:cs="Arial Narrow"/>
                <w:sz w:val="16"/>
                <w:szCs w:val="16"/>
              </w:rPr>
            </w:pPr>
            <w:r w:rsidRPr="00001499">
              <w:rPr>
                <w:rFonts w:ascii="Arial Narrow" w:eastAsia="Arial Narrow" w:hAnsi="Arial Narrow" w:cs="Arial Narrow"/>
              </w:rPr>
              <w:t>Analgesic/Antipyretic use</w:t>
            </w:r>
            <w:r w:rsidRPr="00001499">
              <w:rPr>
                <w:rFonts w:ascii="Arial Narrow" w:eastAsia="Arial Narrow" w:hAnsi="Arial Narrow" w:cs="Arial Narrow"/>
                <w:vertAlign w:val="superscript"/>
              </w:rPr>
              <w:t>3</w:t>
            </w:r>
          </w:p>
        </w:tc>
        <w:tc>
          <w:tcPr>
            <w:tcW w:w="1695" w:type="dxa"/>
          </w:tcPr>
          <w:p w14:paraId="7713CFD5"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8 (0.5)</w:t>
            </w:r>
          </w:p>
        </w:tc>
        <w:tc>
          <w:tcPr>
            <w:tcW w:w="1560" w:type="dxa"/>
          </w:tcPr>
          <w:p w14:paraId="4E191CDB"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2 (0.3)</w:t>
            </w:r>
          </w:p>
        </w:tc>
        <w:tc>
          <w:tcPr>
            <w:tcW w:w="1695" w:type="dxa"/>
          </w:tcPr>
          <w:p w14:paraId="3474EEC7"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240 (15.3)</w:t>
            </w:r>
          </w:p>
        </w:tc>
        <w:tc>
          <w:tcPr>
            <w:tcW w:w="1830" w:type="dxa"/>
          </w:tcPr>
          <w:p w14:paraId="04F90D61" w14:textId="77777777" w:rsidR="009C29A2" w:rsidRPr="00001499" w:rsidRDefault="009C29A2" w:rsidP="00FC7A97">
            <w:pPr>
              <w:pStyle w:val="TableTextcentred"/>
              <w:keepNext/>
              <w:keepLines/>
              <w:widowControl w:val="0"/>
              <w:rPr>
                <w:rFonts w:ascii="Arial Narrow" w:eastAsia="Arial Narrow" w:hAnsi="Arial Narrow" w:cs="Arial Narrow"/>
                <w:color w:val="000000" w:themeColor="text1"/>
                <w:sz w:val="20"/>
                <w:szCs w:val="20"/>
              </w:rPr>
            </w:pPr>
            <w:r w:rsidRPr="00001499">
              <w:rPr>
                <w:rFonts w:ascii="Arial Narrow" w:eastAsia="Arial Narrow" w:hAnsi="Arial Narrow" w:cs="Arial Narrow"/>
                <w:color w:val="000000" w:themeColor="text1"/>
                <w:sz w:val="20"/>
                <w:szCs w:val="20"/>
              </w:rPr>
              <w:t>136 (17.3)</w:t>
            </w:r>
          </w:p>
        </w:tc>
      </w:tr>
    </w:tbl>
    <w:p w14:paraId="7AD0DFDA" w14:textId="77777777" w:rsidR="009C29A2" w:rsidRPr="00001499" w:rsidRDefault="009C29A2" w:rsidP="009C29A2">
      <w:pPr>
        <w:pStyle w:val="TableText0"/>
        <w:keepLines/>
        <w:rPr>
          <w:rFonts w:ascii="Calibri" w:hAnsi="Calibri"/>
          <w:sz w:val="18"/>
        </w:rPr>
      </w:pPr>
      <w:r w:rsidRPr="00001499">
        <w:rPr>
          <w:sz w:val="18"/>
        </w:rPr>
        <w:t>Source: Table 2.5.5, p106 of the submission</w:t>
      </w:r>
      <w:r w:rsidRPr="00001499">
        <w:rPr>
          <w:rFonts w:ascii="Calibri" w:hAnsi="Calibri"/>
          <w:sz w:val="18"/>
        </w:rPr>
        <w:t xml:space="preserve"> </w:t>
      </w:r>
    </w:p>
    <w:p w14:paraId="3A28AE19" w14:textId="77777777" w:rsidR="009C29A2" w:rsidRPr="00001499" w:rsidRDefault="009C29A2" w:rsidP="009C29A2">
      <w:pPr>
        <w:pStyle w:val="TableText0"/>
        <w:keepLines/>
        <w:rPr>
          <w:rFonts w:ascii="Calibri" w:hAnsi="Calibri"/>
          <w:sz w:val="18"/>
          <w:szCs w:val="18"/>
        </w:rPr>
      </w:pPr>
      <w:r w:rsidRPr="00001499">
        <w:rPr>
          <w:sz w:val="18"/>
          <w:szCs w:val="18"/>
        </w:rPr>
        <w:t xml:space="preserve">QIVc = cell-based quadrivalent subunit influenza virus vaccine, QIVe = egg-based quadrivalent subunit influenza virus vaccine, n = number of patients with an event, N = number of study participants </w:t>
      </w:r>
    </w:p>
    <w:p w14:paraId="45ABD152" w14:textId="77777777" w:rsidR="009C29A2" w:rsidRPr="00001499" w:rsidRDefault="009C29A2" w:rsidP="00AC330C">
      <w:pPr>
        <w:pStyle w:val="TableText0"/>
        <w:keepLines/>
        <w:numPr>
          <w:ilvl w:val="0"/>
          <w:numId w:val="18"/>
        </w:numPr>
        <w:rPr>
          <w:rFonts w:eastAsiaTheme="minorEastAsia" w:cstheme="minorBidi"/>
          <w:sz w:val="18"/>
          <w:szCs w:val="18"/>
        </w:rPr>
      </w:pPr>
      <w:r w:rsidRPr="00001499">
        <w:rPr>
          <w:sz w:val="18"/>
          <w:szCs w:val="18"/>
        </w:rPr>
        <w:t>Solicited AEs were reported through the first 30 minutes after vaccination (by clinical study staff) and from 30 minutes after vaccination through Day 7 using Subject Diary Cards. On Day 1, it was recommended to assess solicited AEs preferably in the evening, at approximately 6 hours postvaccination.</w:t>
      </w:r>
    </w:p>
    <w:p w14:paraId="6B8A0144" w14:textId="77777777" w:rsidR="009C29A2" w:rsidRPr="00001499" w:rsidRDefault="009C29A2" w:rsidP="00AC330C">
      <w:pPr>
        <w:pStyle w:val="TableText0"/>
        <w:keepLines/>
        <w:numPr>
          <w:ilvl w:val="0"/>
          <w:numId w:val="18"/>
        </w:numPr>
        <w:rPr>
          <w:rFonts w:eastAsiaTheme="minorEastAsia" w:cstheme="minorBidi"/>
          <w:sz w:val="18"/>
          <w:szCs w:val="18"/>
        </w:rPr>
      </w:pPr>
      <w:r w:rsidRPr="00001499">
        <w:rPr>
          <w:sz w:val="18"/>
          <w:szCs w:val="18"/>
        </w:rPr>
        <w:t>Solicited safety set: All subjects in the All Enrolled Set who were randomised and received a study vaccination who were not part of the Cell-Mediated Immunity (CMI) population and who received vaccine on Day 1 and provided serology specimens which yielded valid serology assay results from both Day 1 and Day 29 (previously vaccinated subjects) or Day 1 and Day 57 (not previously vaccinated subjects) with any solicited AE data.</w:t>
      </w:r>
    </w:p>
    <w:p w14:paraId="285F7CAC" w14:textId="77777777" w:rsidR="009C29A2" w:rsidRPr="00001499" w:rsidRDefault="009C29A2" w:rsidP="00AC330C">
      <w:pPr>
        <w:pStyle w:val="TableText0"/>
        <w:keepLines/>
        <w:numPr>
          <w:ilvl w:val="0"/>
          <w:numId w:val="18"/>
        </w:numPr>
        <w:rPr>
          <w:rFonts w:eastAsiaTheme="minorEastAsia" w:cstheme="minorBidi"/>
          <w:sz w:val="18"/>
        </w:rPr>
      </w:pPr>
      <w:r w:rsidRPr="00001499">
        <w:rPr>
          <w:sz w:val="18"/>
        </w:rPr>
        <w:t>Analgesic/antipyretic use was for prevention or treatment of pain/fever.</w:t>
      </w:r>
    </w:p>
    <w:p w14:paraId="6976FD0C" w14:textId="702C03BA" w:rsidR="009C29A2" w:rsidRPr="00001499" w:rsidRDefault="009C29A2" w:rsidP="0083660F">
      <w:pPr>
        <w:pStyle w:val="TableHeading0"/>
        <w:spacing w:before="120"/>
      </w:pPr>
      <w:r w:rsidRPr="00001499">
        <w:t xml:space="preserve">Table </w:t>
      </w:r>
      <w:fldSimple w:instr=" SEQ Table \* ARABIC " w:fldLock="1">
        <w:r w:rsidR="005C1FE9">
          <w:rPr>
            <w:noProof/>
          </w:rPr>
          <w:t>11</w:t>
        </w:r>
      </w:fldSimple>
      <w:r w:rsidRPr="00001499">
        <w:rPr>
          <w:rStyle w:val="CommentReference"/>
          <w:b/>
          <w:bCs/>
        </w:rPr>
        <w:t>:</w:t>
      </w:r>
      <w:r w:rsidRPr="00001499">
        <w:t xml:space="preserve"> Number (%) of participants with unsolicited adverse events after vaccination</w:t>
      </w:r>
      <w:r w:rsidRPr="00001499">
        <w:rPr>
          <w:vertAlign w:val="superscript"/>
        </w:rPr>
        <w:t>1</w:t>
      </w:r>
      <w:r w:rsidRPr="00001499">
        <w:t xml:space="preserve"> in study V130_10 – unsolicited safety set</w:t>
      </w:r>
      <w:r w:rsidRPr="00001499">
        <w:rPr>
          <w:vertAlign w:val="superscript"/>
        </w:rPr>
        <w:t>2</w:t>
      </w:r>
      <w:r w:rsidRPr="00001499">
        <w:t xml:space="preserve"> </w:t>
      </w:r>
    </w:p>
    <w:tbl>
      <w:tblPr>
        <w:tblStyle w:val="TableGrid"/>
        <w:tblW w:w="5000" w:type="pct"/>
        <w:tblLayout w:type="fixed"/>
        <w:tblLook w:val="04A0" w:firstRow="1" w:lastRow="0" w:firstColumn="1" w:lastColumn="0" w:noHBand="0" w:noVBand="1"/>
      </w:tblPr>
      <w:tblGrid>
        <w:gridCol w:w="3651"/>
        <w:gridCol w:w="2809"/>
        <w:gridCol w:w="2554"/>
      </w:tblGrid>
      <w:tr w:rsidR="009C29A2" w:rsidRPr="00001499" w14:paraId="40796FAC" w14:textId="77777777" w:rsidTr="00FC7A97">
        <w:tc>
          <w:tcPr>
            <w:tcW w:w="3645" w:type="dxa"/>
            <w:vMerge w:val="restart"/>
            <w:tcBorders>
              <w:top w:val="single" w:sz="6" w:space="0" w:color="auto"/>
              <w:left w:val="single" w:sz="6" w:space="0" w:color="auto"/>
              <w:right w:val="single" w:sz="6" w:space="0" w:color="auto"/>
            </w:tcBorders>
          </w:tcPr>
          <w:p w14:paraId="14D69C64" w14:textId="77777777" w:rsidR="009C29A2" w:rsidRPr="00001499" w:rsidRDefault="009C29A2" w:rsidP="00FC7A97">
            <w:pPr>
              <w:jc w:val="center"/>
              <w:rPr>
                <w:rFonts w:ascii="Arial Narrow" w:eastAsia="Arial Narrow" w:hAnsi="Arial Narrow" w:cs="Arial Narrow"/>
              </w:rPr>
            </w:pPr>
          </w:p>
        </w:tc>
        <w:tc>
          <w:tcPr>
            <w:tcW w:w="5355" w:type="dxa"/>
            <w:gridSpan w:val="2"/>
            <w:tcBorders>
              <w:left w:val="single" w:sz="6" w:space="0" w:color="auto"/>
            </w:tcBorders>
          </w:tcPr>
          <w:p w14:paraId="083A5271" w14:textId="77777777" w:rsidR="009C29A2" w:rsidRPr="00001499" w:rsidRDefault="009C29A2" w:rsidP="00FC7A97">
            <w:pPr>
              <w:jc w:val="center"/>
              <w:rPr>
                <w:rFonts w:ascii="Arial Narrow" w:eastAsia="Arial Narrow" w:hAnsi="Arial Narrow" w:cs="Arial Narrow"/>
              </w:rPr>
            </w:pPr>
            <w:r w:rsidRPr="00001499">
              <w:rPr>
                <w:rFonts w:ascii="Arial Narrow" w:eastAsia="Arial Narrow" w:hAnsi="Arial Narrow" w:cs="Arial Narrow"/>
                <w:b/>
                <w:bCs/>
              </w:rPr>
              <w:t>V130_10</w:t>
            </w:r>
          </w:p>
        </w:tc>
      </w:tr>
      <w:tr w:rsidR="009C29A2" w:rsidRPr="00001499" w14:paraId="30E38F69" w14:textId="77777777" w:rsidTr="00FC7A97">
        <w:tc>
          <w:tcPr>
            <w:tcW w:w="3645" w:type="dxa"/>
            <w:vMerge/>
            <w:vAlign w:val="center"/>
          </w:tcPr>
          <w:p w14:paraId="0DBE0349" w14:textId="77777777" w:rsidR="009C29A2" w:rsidRPr="00001499" w:rsidRDefault="009C29A2" w:rsidP="00FC7A97"/>
        </w:tc>
        <w:tc>
          <w:tcPr>
            <w:tcW w:w="2805" w:type="dxa"/>
            <w:tcBorders>
              <w:left w:val="single" w:sz="6" w:space="0" w:color="auto"/>
            </w:tcBorders>
          </w:tcPr>
          <w:p w14:paraId="4D90CD47" w14:textId="77777777" w:rsidR="009C29A2" w:rsidRPr="00001499" w:rsidRDefault="009C29A2" w:rsidP="00FC7A97">
            <w:pPr>
              <w:jc w:val="center"/>
              <w:rPr>
                <w:rFonts w:ascii="Arial Narrow" w:eastAsia="Arial Narrow" w:hAnsi="Arial Narrow" w:cs="Arial Narrow"/>
              </w:rPr>
            </w:pPr>
            <w:r w:rsidRPr="00001499">
              <w:rPr>
                <w:rFonts w:ascii="Arial Narrow" w:eastAsia="Arial Narrow" w:hAnsi="Arial Narrow" w:cs="Arial Narrow"/>
                <w:b/>
                <w:bCs/>
              </w:rPr>
              <w:t>QIVc</w:t>
            </w:r>
          </w:p>
        </w:tc>
        <w:tc>
          <w:tcPr>
            <w:tcW w:w="2550" w:type="dxa"/>
            <w:tcBorders>
              <w:left w:val="single" w:sz="6" w:space="0" w:color="auto"/>
            </w:tcBorders>
          </w:tcPr>
          <w:p w14:paraId="471FFAC1" w14:textId="77777777" w:rsidR="009C29A2" w:rsidRPr="00001499" w:rsidRDefault="009C29A2" w:rsidP="00FC7A97">
            <w:pPr>
              <w:jc w:val="center"/>
              <w:rPr>
                <w:rFonts w:ascii="Arial Narrow" w:eastAsia="Arial Narrow" w:hAnsi="Arial Narrow" w:cs="Arial Narrow"/>
              </w:rPr>
            </w:pPr>
            <w:r w:rsidRPr="00001499">
              <w:rPr>
                <w:rFonts w:ascii="Arial Narrow" w:eastAsia="Arial Narrow" w:hAnsi="Arial Narrow" w:cs="Arial Narrow"/>
                <w:b/>
                <w:bCs/>
              </w:rPr>
              <w:t>QIVe</w:t>
            </w:r>
          </w:p>
        </w:tc>
      </w:tr>
      <w:tr w:rsidR="009C29A2" w:rsidRPr="00001499" w14:paraId="0126A0D7" w14:textId="77777777" w:rsidTr="00FC7A97">
        <w:tc>
          <w:tcPr>
            <w:tcW w:w="3645" w:type="dxa"/>
            <w:tcBorders>
              <w:top w:val="single" w:sz="6" w:space="0" w:color="auto"/>
              <w:left w:val="single" w:sz="6" w:space="0" w:color="auto"/>
              <w:right w:val="single" w:sz="6" w:space="0" w:color="auto"/>
            </w:tcBorders>
          </w:tcPr>
          <w:p w14:paraId="25018C0F" w14:textId="77777777" w:rsidR="009C29A2" w:rsidRPr="00001499" w:rsidRDefault="009C29A2" w:rsidP="00FC7A97">
            <w:pPr>
              <w:tabs>
                <w:tab w:val="left" w:pos="275"/>
              </w:tabs>
              <w:ind w:right="-111"/>
              <w:rPr>
                <w:rFonts w:ascii="Arial Narrow" w:eastAsia="Arial Narrow" w:hAnsi="Arial Narrow" w:cs="Arial Narrow"/>
              </w:rPr>
            </w:pPr>
            <w:r w:rsidRPr="00001499">
              <w:rPr>
                <w:rFonts w:ascii="Arial Narrow" w:eastAsia="Arial Narrow" w:hAnsi="Arial Narrow" w:cs="Arial Narrow"/>
              </w:rPr>
              <w:t>N</w:t>
            </w:r>
          </w:p>
        </w:tc>
        <w:tc>
          <w:tcPr>
            <w:tcW w:w="2805" w:type="dxa"/>
          </w:tcPr>
          <w:p w14:paraId="4766D7EB" w14:textId="77777777" w:rsidR="009C29A2" w:rsidRPr="00001499" w:rsidRDefault="009C29A2" w:rsidP="00FC7A97">
            <w:pPr>
              <w:ind w:right="-74" w:hanging="45"/>
              <w:jc w:val="center"/>
              <w:rPr>
                <w:rFonts w:ascii="Arial Narrow" w:eastAsia="Arial Narrow" w:hAnsi="Arial Narrow" w:cs="Arial Narrow"/>
              </w:rPr>
            </w:pPr>
            <w:r w:rsidRPr="00001499">
              <w:rPr>
                <w:rFonts w:ascii="Arial Narrow" w:eastAsia="Arial Narrow" w:hAnsi="Arial Narrow" w:cs="Arial Narrow"/>
              </w:rPr>
              <w:t>1,597</w:t>
            </w:r>
          </w:p>
        </w:tc>
        <w:tc>
          <w:tcPr>
            <w:tcW w:w="2550" w:type="dxa"/>
            <w:tcBorders>
              <w:left w:val="single" w:sz="6" w:space="0" w:color="auto"/>
            </w:tcBorders>
          </w:tcPr>
          <w:p w14:paraId="4F761C40" w14:textId="77777777" w:rsidR="009C29A2" w:rsidRPr="00001499" w:rsidRDefault="009C29A2" w:rsidP="00FC7A97">
            <w:pPr>
              <w:ind w:right="-74" w:hanging="45"/>
              <w:jc w:val="center"/>
              <w:rPr>
                <w:rFonts w:ascii="Arial Narrow" w:eastAsia="Arial Narrow" w:hAnsi="Arial Narrow" w:cs="Arial Narrow"/>
              </w:rPr>
            </w:pPr>
            <w:r w:rsidRPr="00001499">
              <w:rPr>
                <w:rFonts w:ascii="Arial Narrow" w:eastAsia="Arial Narrow" w:hAnsi="Arial Narrow" w:cs="Arial Narrow"/>
              </w:rPr>
              <w:t>805</w:t>
            </w:r>
          </w:p>
        </w:tc>
      </w:tr>
      <w:tr w:rsidR="009C29A2" w:rsidRPr="00001499" w14:paraId="3D90AC37" w14:textId="77777777" w:rsidTr="00FC7A97">
        <w:tc>
          <w:tcPr>
            <w:tcW w:w="3645" w:type="dxa"/>
            <w:tcBorders>
              <w:left w:val="single" w:sz="6" w:space="0" w:color="auto"/>
              <w:bottom w:val="single" w:sz="6" w:space="0" w:color="auto"/>
              <w:right w:val="single" w:sz="6" w:space="0" w:color="auto"/>
            </w:tcBorders>
          </w:tcPr>
          <w:p w14:paraId="41F50690" w14:textId="77777777" w:rsidR="009C29A2" w:rsidRPr="00001499" w:rsidRDefault="009C29A2" w:rsidP="00FC7A97">
            <w:pPr>
              <w:tabs>
                <w:tab w:val="left" w:pos="275"/>
              </w:tabs>
              <w:ind w:right="-111" w:hanging="42"/>
              <w:rPr>
                <w:rFonts w:ascii="Arial Narrow" w:eastAsia="Arial Narrow" w:hAnsi="Arial Narrow" w:cs="Arial Narrow"/>
              </w:rPr>
            </w:pPr>
            <w:r w:rsidRPr="00001499">
              <w:rPr>
                <w:rFonts w:ascii="Arial Narrow" w:eastAsia="Arial Narrow" w:hAnsi="Arial Narrow" w:cs="Arial Narrow"/>
              </w:rPr>
              <w:t>Any AE, n (%)</w:t>
            </w:r>
          </w:p>
        </w:tc>
        <w:tc>
          <w:tcPr>
            <w:tcW w:w="2805" w:type="dxa"/>
            <w:tcBorders>
              <w:bottom w:val="single" w:sz="6" w:space="0" w:color="auto"/>
            </w:tcBorders>
          </w:tcPr>
          <w:p w14:paraId="70098D77"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418 (26.2)</w:t>
            </w:r>
          </w:p>
        </w:tc>
        <w:tc>
          <w:tcPr>
            <w:tcW w:w="2550" w:type="dxa"/>
            <w:tcBorders>
              <w:left w:val="single" w:sz="6" w:space="0" w:color="auto"/>
              <w:bottom w:val="single" w:sz="6" w:space="0" w:color="auto"/>
            </w:tcBorders>
            <w:vAlign w:val="bottom"/>
          </w:tcPr>
          <w:p w14:paraId="3984FAA7"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207 (25.7)</w:t>
            </w:r>
          </w:p>
        </w:tc>
      </w:tr>
      <w:tr w:rsidR="009C29A2" w:rsidRPr="00001499" w14:paraId="2FC48DB5" w14:textId="77777777" w:rsidTr="00FC7A97">
        <w:tc>
          <w:tcPr>
            <w:tcW w:w="3645" w:type="dxa"/>
            <w:tcBorders>
              <w:top w:val="single" w:sz="6" w:space="0" w:color="auto"/>
              <w:left w:val="single" w:sz="6" w:space="0" w:color="auto"/>
              <w:bottom w:val="single" w:sz="6" w:space="0" w:color="auto"/>
              <w:right w:val="single" w:sz="6" w:space="0" w:color="auto"/>
            </w:tcBorders>
          </w:tcPr>
          <w:p w14:paraId="722B81C2" w14:textId="77777777" w:rsidR="009C29A2" w:rsidRPr="00001499" w:rsidRDefault="009C29A2" w:rsidP="00FC7A97">
            <w:pPr>
              <w:ind w:right="-74" w:hanging="45"/>
              <w:rPr>
                <w:rFonts w:ascii="Arial Narrow" w:eastAsia="Arial Narrow" w:hAnsi="Arial Narrow" w:cs="Arial Narrow"/>
              </w:rPr>
            </w:pPr>
            <w:r w:rsidRPr="00001499">
              <w:rPr>
                <w:rFonts w:ascii="Arial Narrow" w:eastAsia="Arial Narrow" w:hAnsi="Arial Narrow" w:cs="Arial Narrow"/>
              </w:rPr>
              <w:t>Any AE by severity</w:t>
            </w:r>
          </w:p>
        </w:tc>
        <w:tc>
          <w:tcPr>
            <w:tcW w:w="2805" w:type="dxa"/>
            <w:tcBorders>
              <w:top w:val="single" w:sz="6" w:space="0" w:color="auto"/>
              <w:left w:val="single" w:sz="6" w:space="0" w:color="auto"/>
              <w:bottom w:val="single" w:sz="6" w:space="0" w:color="auto"/>
              <w:right w:val="single" w:sz="6" w:space="0" w:color="auto"/>
            </w:tcBorders>
          </w:tcPr>
          <w:p w14:paraId="0A1DF022" w14:textId="77777777" w:rsidR="009C29A2" w:rsidRPr="00001499" w:rsidRDefault="009C29A2" w:rsidP="00FC7A97">
            <w:pPr>
              <w:ind w:right="-74" w:hanging="45"/>
              <w:rPr>
                <w:rFonts w:ascii="Arial Narrow" w:eastAsia="Arial Narrow" w:hAnsi="Arial Narrow" w:cs="Arial Narrow"/>
              </w:rPr>
            </w:pPr>
          </w:p>
        </w:tc>
        <w:tc>
          <w:tcPr>
            <w:tcW w:w="2550" w:type="dxa"/>
            <w:tcBorders>
              <w:top w:val="single" w:sz="6" w:space="0" w:color="auto"/>
              <w:left w:val="single" w:sz="6" w:space="0" w:color="auto"/>
              <w:bottom w:val="single" w:sz="6" w:space="0" w:color="auto"/>
              <w:right w:val="single" w:sz="6" w:space="0" w:color="auto"/>
            </w:tcBorders>
          </w:tcPr>
          <w:p w14:paraId="3991F72F" w14:textId="77777777" w:rsidR="009C29A2" w:rsidRPr="00001499" w:rsidRDefault="009C29A2" w:rsidP="00FC7A97">
            <w:pPr>
              <w:ind w:right="-74" w:hanging="45"/>
              <w:rPr>
                <w:rFonts w:ascii="Arial Narrow" w:eastAsia="Arial Narrow" w:hAnsi="Arial Narrow" w:cs="Arial Narrow"/>
              </w:rPr>
            </w:pPr>
          </w:p>
        </w:tc>
      </w:tr>
      <w:tr w:rsidR="009C29A2" w:rsidRPr="00001499" w14:paraId="53C59412" w14:textId="77777777" w:rsidTr="00FC7A97">
        <w:tc>
          <w:tcPr>
            <w:tcW w:w="3645" w:type="dxa"/>
            <w:tcBorders>
              <w:top w:val="single" w:sz="6" w:space="0" w:color="auto"/>
            </w:tcBorders>
          </w:tcPr>
          <w:p w14:paraId="227D251C" w14:textId="77777777" w:rsidR="009C29A2" w:rsidRPr="00001499" w:rsidRDefault="009C29A2" w:rsidP="00FC7A97">
            <w:pPr>
              <w:ind w:left="169" w:right="-111"/>
              <w:rPr>
                <w:rFonts w:ascii="Arial Narrow" w:eastAsia="Arial Narrow" w:hAnsi="Arial Narrow" w:cs="Arial Narrow"/>
              </w:rPr>
            </w:pPr>
            <w:r w:rsidRPr="00001499">
              <w:rPr>
                <w:rFonts w:ascii="Arial Narrow" w:eastAsia="Arial Narrow" w:hAnsi="Arial Narrow" w:cs="Arial Narrow"/>
              </w:rPr>
              <w:t>Mild, n (%)</w:t>
            </w:r>
          </w:p>
        </w:tc>
        <w:tc>
          <w:tcPr>
            <w:tcW w:w="2805" w:type="dxa"/>
            <w:tcBorders>
              <w:top w:val="single" w:sz="6" w:space="0" w:color="auto"/>
            </w:tcBorders>
          </w:tcPr>
          <w:p w14:paraId="36055A2C"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308 (19.3)</w:t>
            </w:r>
          </w:p>
        </w:tc>
        <w:tc>
          <w:tcPr>
            <w:tcW w:w="2550" w:type="dxa"/>
            <w:tcBorders>
              <w:top w:val="single" w:sz="6" w:space="0" w:color="auto"/>
              <w:left w:val="single" w:sz="6" w:space="0" w:color="auto"/>
            </w:tcBorders>
          </w:tcPr>
          <w:p w14:paraId="066109E7"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164 (20.4)</w:t>
            </w:r>
          </w:p>
        </w:tc>
      </w:tr>
      <w:tr w:rsidR="009C29A2" w:rsidRPr="00001499" w14:paraId="2DCCA5B8" w14:textId="77777777" w:rsidTr="00FC7A97">
        <w:tc>
          <w:tcPr>
            <w:tcW w:w="3645" w:type="dxa"/>
          </w:tcPr>
          <w:p w14:paraId="5DCE565F" w14:textId="77777777" w:rsidR="009C29A2" w:rsidRPr="00001499" w:rsidRDefault="009C29A2" w:rsidP="00FC7A97">
            <w:pPr>
              <w:ind w:left="169" w:right="-111"/>
              <w:rPr>
                <w:rFonts w:ascii="Arial Narrow" w:eastAsia="Arial Narrow" w:hAnsi="Arial Narrow" w:cs="Arial Narrow"/>
              </w:rPr>
            </w:pPr>
            <w:r w:rsidRPr="00001499">
              <w:rPr>
                <w:rFonts w:ascii="Arial Narrow" w:eastAsia="Arial Narrow" w:hAnsi="Arial Narrow" w:cs="Arial Narrow"/>
              </w:rPr>
              <w:t>Moderate, n (%)</w:t>
            </w:r>
          </w:p>
        </w:tc>
        <w:tc>
          <w:tcPr>
            <w:tcW w:w="2805" w:type="dxa"/>
          </w:tcPr>
          <w:p w14:paraId="4FD46090"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98 (6.1)</w:t>
            </w:r>
          </w:p>
        </w:tc>
        <w:tc>
          <w:tcPr>
            <w:tcW w:w="2550" w:type="dxa"/>
            <w:tcBorders>
              <w:left w:val="single" w:sz="6" w:space="0" w:color="auto"/>
            </w:tcBorders>
          </w:tcPr>
          <w:p w14:paraId="21895D4A"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41 (5.1)</w:t>
            </w:r>
          </w:p>
        </w:tc>
      </w:tr>
      <w:tr w:rsidR="009C29A2" w:rsidRPr="00001499" w14:paraId="6510BE36" w14:textId="77777777" w:rsidTr="00FC7A97">
        <w:tc>
          <w:tcPr>
            <w:tcW w:w="3645" w:type="dxa"/>
          </w:tcPr>
          <w:p w14:paraId="1EFE4269" w14:textId="77777777" w:rsidR="009C29A2" w:rsidRPr="00001499" w:rsidRDefault="009C29A2" w:rsidP="00FC7A97">
            <w:pPr>
              <w:ind w:left="169" w:right="-111"/>
              <w:rPr>
                <w:rFonts w:ascii="Arial Narrow" w:eastAsia="Arial Narrow" w:hAnsi="Arial Narrow" w:cs="Arial Narrow"/>
              </w:rPr>
            </w:pPr>
            <w:r w:rsidRPr="00001499">
              <w:rPr>
                <w:rFonts w:ascii="Arial Narrow" w:eastAsia="Arial Narrow" w:hAnsi="Arial Narrow" w:cs="Arial Narrow"/>
              </w:rPr>
              <w:t>Severe, n (%)</w:t>
            </w:r>
          </w:p>
        </w:tc>
        <w:tc>
          <w:tcPr>
            <w:tcW w:w="2805" w:type="dxa"/>
          </w:tcPr>
          <w:p w14:paraId="1B468353"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12 (0.8)</w:t>
            </w:r>
          </w:p>
        </w:tc>
        <w:tc>
          <w:tcPr>
            <w:tcW w:w="2550" w:type="dxa"/>
            <w:tcBorders>
              <w:left w:val="single" w:sz="6" w:space="0" w:color="auto"/>
            </w:tcBorders>
          </w:tcPr>
          <w:p w14:paraId="7B28BE12"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2 (0.2)</w:t>
            </w:r>
          </w:p>
        </w:tc>
      </w:tr>
      <w:tr w:rsidR="009C29A2" w:rsidRPr="00001499" w14:paraId="07ECFDC1" w14:textId="77777777" w:rsidTr="00FC7A97">
        <w:tc>
          <w:tcPr>
            <w:tcW w:w="3645" w:type="dxa"/>
          </w:tcPr>
          <w:p w14:paraId="4E5DF941" w14:textId="3425FBA2" w:rsidR="009C29A2" w:rsidRPr="00001499" w:rsidRDefault="009C29A2" w:rsidP="00FC7A97">
            <w:pPr>
              <w:tabs>
                <w:tab w:val="left" w:pos="275"/>
              </w:tabs>
              <w:ind w:right="-111"/>
              <w:rPr>
                <w:rFonts w:ascii="Arial Narrow" w:eastAsia="Arial Narrow" w:hAnsi="Arial Narrow" w:cs="Arial Narrow"/>
              </w:rPr>
            </w:pPr>
            <w:r w:rsidRPr="00001499">
              <w:rPr>
                <w:rFonts w:ascii="Arial Narrow" w:eastAsia="Arial Narrow" w:hAnsi="Arial Narrow" w:cs="Arial Narrow"/>
              </w:rPr>
              <w:t>AE - possibly related, n (%)</w:t>
            </w:r>
          </w:p>
        </w:tc>
        <w:tc>
          <w:tcPr>
            <w:tcW w:w="2805" w:type="dxa"/>
          </w:tcPr>
          <w:p w14:paraId="06301213"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70 (4.4)</w:t>
            </w:r>
          </w:p>
        </w:tc>
        <w:tc>
          <w:tcPr>
            <w:tcW w:w="2550" w:type="dxa"/>
            <w:tcBorders>
              <w:left w:val="single" w:sz="6" w:space="0" w:color="auto"/>
            </w:tcBorders>
          </w:tcPr>
          <w:p w14:paraId="7D32261C"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36 (4.5)</w:t>
            </w:r>
          </w:p>
        </w:tc>
      </w:tr>
      <w:tr w:rsidR="009C29A2" w:rsidRPr="00001499" w14:paraId="47FACB28" w14:textId="77777777" w:rsidTr="00FC7A97">
        <w:tc>
          <w:tcPr>
            <w:tcW w:w="3645" w:type="dxa"/>
          </w:tcPr>
          <w:p w14:paraId="29CF9913" w14:textId="77777777" w:rsidR="009C29A2" w:rsidRPr="00001499" w:rsidRDefault="009C29A2" w:rsidP="00FC7A97">
            <w:pPr>
              <w:tabs>
                <w:tab w:val="left" w:pos="275"/>
              </w:tabs>
              <w:ind w:right="-111"/>
              <w:rPr>
                <w:rFonts w:ascii="Arial Narrow" w:eastAsia="Arial Narrow" w:hAnsi="Arial Narrow" w:cs="Arial Narrow"/>
              </w:rPr>
            </w:pPr>
            <w:r w:rsidRPr="00001499">
              <w:rPr>
                <w:rFonts w:ascii="Arial Narrow" w:eastAsia="Arial Narrow" w:hAnsi="Arial Narrow" w:cs="Arial Narrow"/>
              </w:rPr>
              <w:t>SAE, n (%)</w:t>
            </w:r>
          </w:p>
        </w:tc>
        <w:tc>
          <w:tcPr>
            <w:tcW w:w="2805" w:type="dxa"/>
          </w:tcPr>
          <w:p w14:paraId="1C303E14"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15 (0.9)</w:t>
            </w:r>
          </w:p>
        </w:tc>
        <w:tc>
          <w:tcPr>
            <w:tcW w:w="2550" w:type="dxa"/>
            <w:tcBorders>
              <w:left w:val="single" w:sz="6" w:space="0" w:color="auto"/>
            </w:tcBorders>
          </w:tcPr>
          <w:p w14:paraId="01CA4662"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7 (0.9)</w:t>
            </w:r>
          </w:p>
        </w:tc>
      </w:tr>
      <w:tr w:rsidR="009C29A2" w:rsidRPr="00001499" w14:paraId="0D89722F" w14:textId="77777777" w:rsidTr="00FC7A97">
        <w:tc>
          <w:tcPr>
            <w:tcW w:w="3645" w:type="dxa"/>
          </w:tcPr>
          <w:p w14:paraId="7B50A827" w14:textId="0CA45689" w:rsidR="009C29A2" w:rsidRPr="00001499" w:rsidRDefault="009C29A2" w:rsidP="00FC7A97">
            <w:pPr>
              <w:tabs>
                <w:tab w:val="left" w:pos="275"/>
              </w:tabs>
              <w:ind w:right="-111"/>
              <w:rPr>
                <w:rFonts w:ascii="Arial Narrow" w:eastAsia="Arial Narrow" w:hAnsi="Arial Narrow" w:cs="Arial Narrow"/>
              </w:rPr>
            </w:pPr>
            <w:r w:rsidRPr="00001499">
              <w:rPr>
                <w:rFonts w:ascii="Arial Narrow" w:eastAsia="Arial Narrow" w:hAnsi="Arial Narrow" w:cs="Arial Narrow"/>
              </w:rPr>
              <w:t>SAE - possibly related, n (%)</w:t>
            </w:r>
          </w:p>
        </w:tc>
        <w:tc>
          <w:tcPr>
            <w:tcW w:w="2805" w:type="dxa"/>
          </w:tcPr>
          <w:p w14:paraId="604FE337" w14:textId="77777777" w:rsidR="009C29A2" w:rsidRPr="00001499" w:rsidRDefault="009C29A2" w:rsidP="00FC7A97">
            <w:pPr>
              <w:ind w:right="-74" w:hanging="45"/>
              <w:jc w:val="center"/>
              <w:rPr>
                <w:rFonts w:ascii="Arial Narrow" w:eastAsia="Arial Narrow" w:hAnsi="Arial Narrow" w:cs="Arial Narrow"/>
              </w:rPr>
            </w:pPr>
            <w:r w:rsidRPr="00001499">
              <w:rPr>
                <w:rFonts w:ascii="Arial Narrow" w:eastAsia="Arial Narrow" w:hAnsi="Arial Narrow" w:cs="Arial Narrow"/>
              </w:rPr>
              <w:t>0</w:t>
            </w:r>
          </w:p>
        </w:tc>
        <w:tc>
          <w:tcPr>
            <w:tcW w:w="2550" w:type="dxa"/>
            <w:tcBorders>
              <w:left w:val="single" w:sz="6" w:space="0" w:color="auto"/>
            </w:tcBorders>
          </w:tcPr>
          <w:p w14:paraId="73CCA957" w14:textId="77777777" w:rsidR="009C29A2" w:rsidRPr="00001499" w:rsidRDefault="009C29A2" w:rsidP="00FC7A97">
            <w:pPr>
              <w:ind w:right="-74" w:hanging="45"/>
              <w:jc w:val="center"/>
              <w:rPr>
                <w:rFonts w:ascii="Arial Narrow" w:eastAsia="Arial Narrow" w:hAnsi="Arial Narrow" w:cs="Arial Narrow"/>
              </w:rPr>
            </w:pPr>
            <w:r w:rsidRPr="00001499">
              <w:rPr>
                <w:rFonts w:ascii="Arial Narrow" w:eastAsia="Arial Narrow" w:hAnsi="Arial Narrow" w:cs="Arial Narrow"/>
              </w:rPr>
              <w:t>0</w:t>
            </w:r>
          </w:p>
        </w:tc>
      </w:tr>
      <w:tr w:rsidR="009C29A2" w:rsidRPr="00001499" w14:paraId="4CC8AA0A" w14:textId="77777777" w:rsidTr="00FC7A97">
        <w:tc>
          <w:tcPr>
            <w:tcW w:w="3645" w:type="dxa"/>
          </w:tcPr>
          <w:p w14:paraId="6CEE270D" w14:textId="77777777" w:rsidR="009C29A2" w:rsidRPr="00001499" w:rsidRDefault="009C29A2" w:rsidP="00FC7A97">
            <w:pPr>
              <w:tabs>
                <w:tab w:val="left" w:pos="275"/>
              </w:tabs>
              <w:ind w:right="-111"/>
              <w:rPr>
                <w:rFonts w:ascii="Arial Narrow" w:eastAsia="Arial Narrow" w:hAnsi="Arial Narrow" w:cs="Arial Narrow"/>
              </w:rPr>
            </w:pPr>
            <w:r w:rsidRPr="00001499">
              <w:rPr>
                <w:rFonts w:ascii="Arial Narrow" w:eastAsia="Arial Narrow" w:hAnsi="Arial Narrow" w:cs="Arial Narrow"/>
              </w:rPr>
              <w:t>AE leading to premature withdrawal, n (%)</w:t>
            </w:r>
          </w:p>
        </w:tc>
        <w:tc>
          <w:tcPr>
            <w:tcW w:w="2805" w:type="dxa"/>
          </w:tcPr>
          <w:p w14:paraId="075CFD7C"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3 (0.2)</w:t>
            </w:r>
          </w:p>
        </w:tc>
        <w:tc>
          <w:tcPr>
            <w:tcW w:w="2550" w:type="dxa"/>
            <w:tcBorders>
              <w:left w:val="single" w:sz="6" w:space="0" w:color="auto"/>
            </w:tcBorders>
          </w:tcPr>
          <w:p w14:paraId="157536EC"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0</w:t>
            </w:r>
          </w:p>
        </w:tc>
      </w:tr>
      <w:tr w:rsidR="009C29A2" w:rsidRPr="00001499" w14:paraId="57100752" w14:textId="77777777" w:rsidTr="00FC7A97">
        <w:tc>
          <w:tcPr>
            <w:tcW w:w="3645" w:type="dxa"/>
          </w:tcPr>
          <w:p w14:paraId="49302536" w14:textId="77777777" w:rsidR="009C29A2" w:rsidRPr="00001499" w:rsidRDefault="009C29A2" w:rsidP="00FC7A97">
            <w:pPr>
              <w:tabs>
                <w:tab w:val="left" w:pos="275"/>
              </w:tabs>
              <w:ind w:right="-111"/>
              <w:rPr>
                <w:rFonts w:ascii="Arial Narrow" w:eastAsia="Arial Narrow" w:hAnsi="Arial Narrow" w:cs="Arial Narrow"/>
              </w:rPr>
            </w:pPr>
            <w:r w:rsidRPr="00001499">
              <w:rPr>
                <w:rFonts w:ascii="Arial Narrow" w:eastAsia="Arial Narrow" w:hAnsi="Arial Narrow" w:cs="Arial Narrow"/>
              </w:rPr>
              <w:t>Medically attended AE, n (%)</w:t>
            </w:r>
          </w:p>
        </w:tc>
        <w:tc>
          <w:tcPr>
            <w:tcW w:w="2805" w:type="dxa"/>
          </w:tcPr>
          <w:p w14:paraId="571071D1"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222 (13.9)</w:t>
            </w:r>
          </w:p>
        </w:tc>
        <w:tc>
          <w:tcPr>
            <w:tcW w:w="2550" w:type="dxa"/>
            <w:tcBorders>
              <w:left w:val="single" w:sz="6" w:space="0" w:color="auto"/>
            </w:tcBorders>
          </w:tcPr>
          <w:p w14:paraId="2CEB39AA"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97 (12.0)</w:t>
            </w:r>
          </w:p>
        </w:tc>
      </w:tr>
      <w:tr w:rsidR="009C29A2" w:rsidRPr="00001499" w14:paraId="6ED29555" w14:textId="77777777" w:rsidTr="00FC7A97">
        <w:tc>
          <w:tcPr>
            <w:tcW w:w="3645" w:type="dxa"/>
          </w:tcPr>
          <w:p w14:paraId="1CF5C974" w14:textId="77777777" w:rsidR="009C29A2" w:rsidRPr="00001499" w:rsidRDefault="009C29A2" w:rsidP="00FC7A97">
            <w:pPr>
              <w:tabs>
                <w:tab w:val="left" w:pos="275"/>
              </w:tabs>
              <w:ind w:right="-111"/>
              <w:rPr>
                <w:rFonts w:ascii="Arial Narrow" w:eastAsia="Arial Narrow" w:hAnsi="Arial Narrow" w:cs="Arial Narrow"/>
              </w:rPr>
            </w:pPr>
            <w:r w:rsidRPr="00001499">
              <w:rPr>
                <w:rFonts w:ascii="Arial Narrow" w:eastAsia="Arial Narrow" w:hAnsi="Arial Narrow" w:cs="Arial Narrow"/>
              </w:rPr>
              <w:t xml:space="preserve">New onset chronic disease, n (%) </w:t>
            </w:r>
          </w:p>
        </w:tc>
        <w:tc>
          <w:tcPr>
            <w:tcW w:w="2805" w:type="dxa"/>
          </w:tcPr>
          <w:p w14:paraId="1C3E39DD"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22 (1.4)</w:t>
            </w:r>
          </w:p>
        </w:tc>
        <w:tc>
          <w:tcPr>
            <w:tcW w:w="2550" w:type="dxa"/>
            <w:tcBorders>
              <w:left w:val="single" w:sz="6" w:space="0" w:color="auto"/>
            </w:tcBorders>
          </w:tcPr>
          <w:p w14:paraId="1A3E9B25" w14:textId="77777777" w:rsidR="009C29A2" w:rsidRPr="00001499" w:rsidRDefault="009C29A2" w:rsidP="00FC7A97">
            <w:pPr>
              <w:ind w:right="-74" w:hanging="45"/>
              <w:jc w:val="center"/>
              <w:rPr>
                <w:rFonts w:ascii="Arial Narrow" w:eastAsia="Arial Narrow" w:hAnsi="Arial Narrow" w:cs="Arial Narrow"/>
                <w:color w:val="000000" w:themeColor="text1"/>
              </w:rPr>
            </w:pPr>
            <w:r w:rsidRPr="00001499">
              <w:rPr>
                <w:rFonts w:ascii="Arial Narrow" w:eastAsia="Arial Narrow" w:hAnsi="Arial Narrow" w:cs="Arial Narrow"/>
                <w:color w:val="000000" w:themeColor="text1"/>
              </w:rPr>
              <w:t>13 (1.6)</w:t>
            </w:r>
          </w:p>
        </w:tc>
      </w:tr>
      <w:tr w:rsidR="009C29A2" w:rsidRPr="00001499" w14:paraId="0AAD6BFA" w14:textId="77777777" w:rsidTr="00FC7A97">
        <w:tc>
          <w:tcPr>
            <w:tcW w:w="3645" w:type="dxa"/>
          </w:tcPr>
          <w:p w14:paraId="1FB7D53E" w14:textId="77777777" w:rsidR="009C29A2" w:rsidRPr="00001499" w:rsidRDefault="009C29A2" w:rsidP="00FC7A97">
            <w:pPr>
              <w:tabs>
                <w:tab w:val="left" w:pos="275"/>
              </w:tabs>
              <w:ind w:right="-111"/>
              <w:rPr>
                <w:rFonts w:ascii="Arial Narrow" w:eastAsia="Arial Narrow" w:hAnsi="Arial Narrow" w:cs="Arial Narrow"/>
              </w:rPr>
            </w:pPr>
            <w:r w:rsidRPr="00001499">
              <w:rPr>
                <w:rFonts w:ascii="Arial Narrow" w:eastAsia="Arial Narrow" w:hAnsi="Arial Narrow" w:cs="Arial Narrow"/>
              </w:rPr>
              <w:t>Death, n (%)</w:t>
            </w:r>
          </w:p>
        </w:tc>
        <w:tc>
          <w:tcPr>
            <w:tcW w:w="2805" w:type="dxa"/>
          </w:tcPr>
          <w:p w14:paraId="6A7C6CA2" w14:textId="77777777" w:rsidR="009C29A2" w:rsidRPr="00001499" w:rsidRDefault="009C29A2" w:rsidP="00FC7A97">
            <w:pPr>
              <w:ind w:right="-74" w:hanging="45"/>
              <w:jc w:val="center"/>
              <w:rPr>
                <w:rFonts w:ascii="Arial Narrow" w:eastAsia="Arial Narrow" w:hAnsi="Arial Narrow" w:cs="Arial Narrow"/>
              </w:rPr>
            </w:pPr>
            <w:r w:rsidRPr="00001499">
              <w:rPr>
                <w:rFonts w:ascii="Arial Narrow" w:eastAsia="Arial Narrow" w:hAnsi="Arial Narrow" w:cs="Arial Narrow"/>
              </w:rPr>
              <w:t>2 (0.1)</w:t>
            </w:r>
          </w:p>
        </w:tc>
        <w:tc>
          <w:tcPr>
            <w:tcW w:w="2550" w:type="dxa"/>
            <w:tcBorders>
              <w:left w:val="single" w:sz="6" w:space="0" w:color="auto"/>
            </w:tcBorders>
          </w:tcPr>
          <w:p w14:paraId="42607D22" w14:textId="77777777" w:rsidR="009C29A2" w:rsidRPr="00001499" w:rsidRDefault="009C29A2" w:rsidP="00FC7A97">
            <w:pPr>
              <w:ind w:right="-74" w:hanging="45"/>
              <w:jc w:val="center"/>
              <w:rPr>
                <w:rFonts w:ascii="Arial Narrow" w:eastAsia="Arial Narrow" w:hAnsi="Arial Narrow" w:cs="Arial Narrow"/>
              </w:rPr>
            </w:pPr>
            <w:r w:rsidRPr="00001499">
              <w:rPr>
                <w:rFonts w:ascii="Arial Narrow" w:eastAsia="Arial Narrow" w:hAnsi="Arial Narrow" w:cs="Arial Narrow"/>
              </w:rPr>
              <w:t>0</w:t>
            </w:r>
          </w:p>
        </w:tc>
      </w:tr>
      <w:tr w:rsidR="009C29A2" w:rsidRPr="00001499" w14:paraId="7AE8EB5A" w14:textId="77777777" w:rsidTr="00FC7A97">
        <w:tc>
          <w:tcPr>
            <w:tcW w:w="3645" w:type="dxa"/>
          </w:tcPr>
          <w:p w14:paraId="3A141B81" w14:textId="1EB238EC" w:rsidR="009C29A2" w:rsidRPr="00001499" w:rsidRDefault="009C29A2" w:rsidP="00FC7A97">
            <w:pPr>
              <w:tabs>
                <w:tab w:val="left" w:pos="275"/>
              </w:tabs>
              <w:ind w:right="-111"/>
              <w:rPr>
                <w:rFonts w:ascii="Arial Narrow" w:eastAsia="Arial Narrow" w:hAnsi="Arial Narrow" w:cs="Arial Narrow"/>
              </w:rPr>
            </w:pPr>
            <w:r w:rsidRPr="00001499">
              <w:rPr>
                <w:rFonts w:ascii="Arial Narrow" w:eastAsia="Arial Narrow" w:hAnsi="Arial Narrow" w:cs="Arial Narrow"/>
              </w:rPr>
              <w:t>Death - related, n (%)</w:t>
            </w:r>
          </w:p>
        </w:tc>
        <w:tc>
          <w:tcPr>
            <w:tcW w:w="2805" w:type="dxa"/>
          </w:tcPr>
          <w:p w14:paraId="306FFADB" w14:textId="77777777" w:rsidR="009C29A2" w:rsidRPr="00001499" w:rsidRDefault="009C29A2" w:rsidP="00FC7A97">
            <w:pPr>
              <w:ind w:right="-74" w:hanging="45"/>
              <w:jc w:val="center"/>
              <w:rPr>
                <w:rFonts w:ascii="Arial Narrow" w:eastAsia="Arial Narrow" w:hAnsi="Arial Narrow" w:cs="Arial Narrow"/>
              </w:rPr>
            </w:pPr>
            <w:r w:rsidRPr="00001499">
              <w:rPr>
                <w:rFonts w:ascii="Arial Narrow" w:eastAsia="Arial Narrow" w:hAnsi="Arial Narrow" w:cs="Arial Narrow"/>
              </w:rPr>
              <w:t>0</w:t>
            </w:r>
          </w:p>
        </w:tc>
        <w:tc>
          <w:tcPr>
            <w:tcW w:w="2550" w:type="dxa"/>
            <w:tcBorders>
              <w:left w:val="single" w:sz="6" w:space="0" w:color="auto"/>
            </w:tcBorders>
          </w:tcPr>
          <w:p w14:paraId="52F778FA" w14:textId="77777777" w:rsidR="009C29A2" w:rsidRPr="00001499" w:rsidRDefault="009C29A2" w:rsidP="00FC7A97">
            <w:pPr>
              <w:ind w:right="-74" w:hanging="45"/>
              <w:jc w:val="center"/>
              <w:rPr>
                <w:rFonts w:ascii="Arial Narrow" w:eastAsia="Arial Narrow" w:hAnsi="Arial Narrow" w:cs="Arial Narrow"/>
              </w:rPr>
            </w:pPr>
            <w:r w:rsidRPr="00001499">
              <w:rPr>
                <w:rFonts w:ascii="Arial Narrow" w:eastAsia="Arial Narrow" w:hAnsi="Arial Narrow" w:cs="Arial Narrow"/>
              </w:rPr>
              <w:t>0</w:t>
            </w:r>
          </w:p>
        </w:tc>
      </w:tr>
    </w:tbl>
    <w:p w14:paraId="5499E869" w14:textId="77777777" w:rsidR="009C29A2" w:rsidRPr="00001499" w:rsidRDefault="009C29A2" w:rsidP="003F11E1">
      <w:pPr>
        <w:spacing w:after="0"/>
        <w:rPr>
          <w:rFonts w:ascii="Arial Narrow" w:eastAsia="Arial Narrow" w:hAnsi="Arial Narrow" w:cs="Arial Narrow"/>
          <w:color w:val="000000" w:themeColor="text1"/>
          <w:sz w:val="18"/>
          <w:szCs w:val="18"/>
        </w:rPr>
      </w:pPr>
      <w:r w:rsidRPr="00001499">
        <w:rPr>
          <w:rFonts w:ascii="Arial Narrow" w:eastAsia="Arial Narrow" w:hAnsi="Arial Narrow" w:cs="Arial Narrow"/>
          <w:color w:val="000000" w:themeColor="text1"/>
          <w:sz w:val="18"/>
          <w:szCs w:val="18"/>
        </w:rPr>
        <w:t xml:space="preserve">Source: Table 2.5.7, p 107 of the submission </w:t>
      </w:r>
    </w:p>
    <w:p w14:paraId="2F75E2C8" w14:textId="77777777" w:rsidR="009C29A2" w:rsidRPr="00001499" w:rsidRDefault="009C29A2" w:rsidP="009C29A2">
      <w:pPr>
        <w:pStyle w:val="TableFigureFooter"/>
        <w:rPr>
          <w:rFonts w:eastAsia="Arial Narrow"/>
        </w:rPr>
      </w:pPr>
      <w:r w:rsidRPr="00001499">
        <w:rPr>
          <w:rFonts w:eastAsia="Arial Narrow"/>
        </w:rPr>
        <w:t xml:space="preserve">AE = Adverse event; SAE = Serious adverse event; n = number of participants with event, N = Number of participants; </w:t>
      </w:r>
      <w:r w:rsidRPr="00001499">
        <w:t>QIVc = cell-based quadrivalent subunit influenza virus vaccine, QIVe = egg-based quadrivalent subunit influenza virus vaccine</w:t>
      </w:r>
    </w:p>
    <w:p w14:paraId="5889D5F1" w14:textId="16F15AE5" w:rsidR="009C29A2" w:rsidRPr="00001499" w:rsidRDefault="009C29A2" w:rsidP="00AC330C">
      <w:pPr>
        <w:pStyle w:val="TableFigureFooter"/>
        <w:numPr>
          <w:ilvl w:val="0"/>
          <w:numId w:val="19"/>
        </w:numPr>
        <w:rPr>
          <w:rFonts w:eastAsiaTheme="minorEastAsia" w:cstheme="minorBidi"/>
        </w:rPr>
      </w:pPr>
      <w:r w:rsidRPr="00001499">
        <w:rPr>
          <w:rFonts w:eastAsia="Arial Narrow"/>
        </w:rPr>
        <w:t>V130_10: All unsolicited AEs were collected during the treatment period (Day 1 to 29/57); SAEs, medically attended AEs, AEs leading to withdrawal from the study and New Onset Chronic Diseases were collected from Day 1 through Day 181/209.</w:t>
      </w:r>
    </w:p>
    <w:p w14:paraId="3AE15CBC" w14:textId="77777777" w:rsidR="009C29A2" w:rsidRPr="00001499" w:rsidRDefault="009C29A2" w:rsidP="00AC330C">
      <w:pPr>
        <w:pStyle w:val="TableFigureFooter"/>
        <w:numPr>
          <w:ilvl w:val="0"/>
          <w:numId w:val="19"/>
        </w:numPr>
        <w:rPr>
          <w:rFonts w:eastAsiaTheme="minorEastAsia" w:cstheme="minorBidi"/>
        </w:rPr>
      </w:pPr>
      <w:r w:rsidRPr="00001499">
        <w:rPr>
          <w:rFonts w:eastAsia="Arial Narrow"/>
        </w:rPr>
        <w:t>Unsolicited Safety Set (V130_10): All subjects in the All Enrolled Set who were randomised and received a study vaccination who were not part of the Cell-Mediated Immunity [CMI] population and who received vaccine on Day 1 and provided serology specimens which yielded valid serology assay results from both Day 1 and Day 29 [previously vaccinated subjects] or Day 1 and Day 57 [not previously vaccinated subjects] with any unsolicited AE data.</w:t>
      </w:r>
    </w:p>
    <w:p w14:paraId="72AF7E7F" w14:textId="6397DA99" w:rsidR="009C29A2" w:rsidRPr="00001499" w:rsidRDefault="009C29A2" w:rsidP="00AA46C6">
      <w:pPr>
        <w:pStyle w:val="3-BodyText"/>
        <w:ind w:left="709"/>
        <w:rPr>
          <w:rFonts w:eastAsia="Calibri"/>
        </w:rPr>
      </w:pPr>
      <w:r w:rsidRPr="00001499">
        <w:rPr>
          <w:rFonts w:eastAsia="Calibri"/>
          <w:iCs/>
        </w:rPr>
        <w:t xml:space="preserve">The ESC noted </w:t>
      </w:r>
      <w:r w:rsidRPr="00001499">
        <w:rPr>
          <w:rFonts w:eastAsia="Calibri"/>
        </w:rPr>
        <w:t>that no notable differences in fever, incidences of anaphylactic reactions and/or hypersensitivity/drug hypersensitivity were reported. Children aged 24 to 47 months receiving QIVc were slightly more likely to have a fever ≥40</w:t>
      </w:r>
      <w:r w:rsidRPr="00001499">
        <w:rPr>
          <w:rFonts w:eastAsia="Calibri"/>
          <w:vertAlign w:val="superscript"/>
        </w:rPr>
        <w:t>o</w:t>
      </w:r>
      <w:r w:rsidRPr="00001499">
        <w:rPr>
          <w:rFonts w:eastAsia="Calibri"/>
        </w:rPr>
        <w:t xml:space="preserve">C, </w:t>
      </w:r>
      <w:r w:rsidRPr="00001499">
        <w:rPr>
          <w:rFonts w:eastAsia="Calibri"/>
        </w:rPr>
        <w:lastRenderedPageBreak/>
        <w:t xml:space="preserve">however these </w:t>
      </w:r>
      <w:r w:rsidR="000D7F58">
        <w:rPr>
          <w:rFonts w:eastAsia="Calibri"/>
        </w:rPr>
        <w:t>were</w:t>
      </w:r>
      <w:r w:rsidR="000D7F58" w:rsidRPr="00001499">
        <w:rPr>
          <w:rFonts w:eastAsia="Calibri"/>
        </w:rPr>
        <w:t xml:space="preserve"> </w:t>
      </w:r>
      <w:r w:rsidRPr="00001499">
        <w:rPr>
          <w:rFonts w:eastAsia="Calibri"/>
        </w:rPr>
        <w:t>based on small numbers: 10 children (0.6% of children who received QIVc) versus 1 child (0.2% of children receiving QIVe).</w:t>
      </w:r>
    </w:p>
    <w:p w14:paraId="5194C50C" w14:textId="4438C26F" w:rsidR="009C29A2" w:rsidRPr="00001499" w:rsidRDefault="009C29A2" w:rsidP="00AA46C6">
      <w:pPr>
        <w:pStyle w:val="3-BodyText"/>
        <w:ind w:left="709"/>
        <w:rPr>
          <w:rFonts w:eastAsia="Calibri"/>
        </w:rPr>
      </w:pPr>
      <w:r w:rsidRPr="00001499">
        <w:rPr>
          <w:rFonts w:eastAsia="Calibri"/>
        </w:rPr>
        <w:t>ATAGI noted that, “Safety data are limited but there are no apparent concerns that the QIVc is less safe than the QIVe vaccine. Safety data are available for the trivalent cell-based vaccine, which is considered likely to be equivalent in terms of safety and reactogenicity to the egg-based comparator”.</w:t>
      </w:r>
    </w:p>
    <w:p w14:paraId="53584163" w14:textId="64AE8D79" w:rsidR="009C29A2" w:rsidRPr="00001499" w:rsidRDefault="009C29A2" w:rsidP="00AA46C6">
      <w:pPr>
        <w:pStyle w:val="3-BodyText"/>
        <w:ind w:left="709"/>
      </w:pPr>
      <w:r w:rsidRPr="00001499">
        <w:rPr>
          <w:rFonts w:eastAsia="Calibri"/>
        </w:rPr>
        <w:t xml:space="preserve">The submission provided data on potential safety concerns beyond those identified in the clinical trial, including the Periodic Safety Update Report, the Risk Management Plan, the Seqirus pregnancy registry, and two publications on adverse event surveillance, one in healthcare workers in Italy and one in pregnant women in the US. The submission concluded that the extended safety assessment did not identify any additional AEs or suggest any increased concerns. </w:t>
      </w:r>
      <w:r w:rsidRPr="00001499">
        <w:rPr>
          <w:rFonts w:eastAsia="Calibri"/>
          <w:iCs/>
        </w:rPr>
        <w:t>The ESC considered this</w:t>
      </w:r>
      <w:r w:rsidRPr="00001499">
        <w:rPr>
          <w:rFonts w:eastAsia="Calibri"/>
        </w:rPr>
        <w:t xml:space="preserve"> was reasonable, although there are no specific data for high risk populations.</w:t>
      </w:r>
    </w:p>
    <w:p w14:paraId="7BD15F9C" w14:textId="77777777" w:rsidR="009C29A2" w:rsidRPr="00001499" w:rsidRDefault="009C29A2" w:rsidP="009C29A2">
      <w:pPr>
        <w:pStyle w:val="4-SubsectionHeading"/>
        <w:rPr>
          <w:rFonts w:eastAsia="Times New Roman" w:cs="Arial"/>
          <w:b w:val="0"/>
          <w:i w:val="0"/>
          <w:color w:val="000000" w:themeColor="text1"/>
          <w:sz w:val="24"/>
          <w:szCs w:val="24"/>
        </w:rPr>
      </w:pPr>
      <w:bookmarkStart w:id="58" w:name="_Toc22897643"/>
      <w:bookmarkStart w:id="59" w:name="_Toc22898855"/>
      <w:bookmarkStart w:id="60" w:name="_Toc93410956"/>
      <w:r w:rsidRPr="00001499">
        <w:t>Benefits/harms</w:t>
      </w:r>
      <w:bookmarkEnd w:id="58"/>
      <w:bookmarkEnd w:id="59"/>
      <w:bookmarkEnd w:id="60"/>
    </w:p>
    <w:p w14:paraId="35A4CC9B" w14:textId="5C515065" w:rsidR="000F1292" w:rsidRPr="00001499" w:rsidRDefault="00BF19CA" w:rsidP="00AA46C6">
      <w:pPr>
        <w:pStyle w:val="3-BodyText"/>
        <w:ind w:left="709"/>
      </w:pPr>
      <w:r w:rsidRPr="00001499">
        <w:t xml:space="preserve">The ESC considered it was not possible to reliably quantify the rVE for QIVc versus QIVe noting the extent of benefit would depend on egg-adaptation which can vary from year to year. </w:t>
      </w:r>
      <w:r w:rsidR="00436D98" w:rsidRPr="00001499">
        <w:t xml:space="preserve">The ESC </w:t>
      </w:r>
      <w:r w:rsidRPr="00001499">
        <w:t xml:space="preserve">noted the precise size of the benefit in any particular year would </w:t>
      </w:r>
      <w:r w:rsidR="00436D98" w:rsidRPr="00001499">
        <w:t xml:space="preserve">also </w:t>
      </w:r>
      <w:r w:rsidRPr="00001499">
        <w:t>be subject to some uncertainty because of the possibility of residual confounding, given the superiority claim is based on nonrandomised studies.</w:t>
      </w:r>
      <w:r w:rsidR="00436D98" w:rsidRPr="00001499">
        <w:t xml:space="preserve"> </w:t>
      </w:r>
    </w:p>
    <w:p w14:paraId="2A4DCC0C" w14:textId="7C572148" w:rsidR="009C29A2" w:rsidRPr="00001499" w:rsidRDefault="00436D98" w:rsidP="00AA46C6">
      <w:pPr>
        <w:pStyle w:val="3-BodyText"/>
        <w:ind w:left="709"/>
      </w:pPr>
      <w:r w:rsidRPr="00001499">
        <w:t>The results from the meta-analyses of rVE were used in the economic model in Section 3. Comparative harms have not been presented as the submission did not claim a safety difference.</w:t>
      </w:r>
    </w:p>
    <w:p w14:paraId="022E3C08" w14:textId="77777777" w:rsidR="009C29A2" w:rsidRPr="00001499" w:rsidRDefault="009C29A2" w:rsidP="009C29A2">
      <w:pPr>
        <w:pStyle w:val="4-SubsectionHeading"/>
      </w:pPr>
      <w:bookmarkStart w:id="61" w:name="_Toc22897644"/>
      <w:bookmarkStart w:id="62" w:name="_Toc22898856"/>
      <w:bookmarkStart w:id="63" w:name="_Toc93410957"/>
      <w:r w:rsidRPr="00001499">
        <w:t>Clinical claim</w:t>
      </w:r>
      <w:bookmarkEnd w:id="61"/>
      <w:bookmarkEnd w:id="62"/>
      <w:bookmarkEnd w:id="63"/>
    </w:p>
    <w:p w14:paraId="42C1BB86" w14:textId="53AA0C4D" w:rsidR="009C29A2" w:rsidRPr="00001499" w:rsidRDefault="009C29A2" w:rsidP="00AA46C6">
      <w:pPr>
        <w:pStyle w:val="3-BodyText"/>
        <w:ind w:left="709"/>
        <w:rPr>
          <w:rFonts w:eastAsia="Calibri"/>
        </w:rPr>
      </w:pPr>
      <w:r w:rsidRPr="00001499">
        <w:rPr>
          <w:rFonts w:eastAsia="Calibri"/>
        </w:rPr>
        <w:t xml:space="preserve">The submission claimed QIVc was superior to QIVe in effectiveness against clinically relevant influenza-related outcomes, and “comparable” in terms of safety compared to QIVe. </w:t>
      </w:r>
      <w:r w:rsidR="00A456CF" w:rsidRPr="00001499">
        <w:rPr>
          <w:rFonts w:eastAsia="Calibri"/>
        </w:rPr>
        <w:t xml:space="preserve">The ESC noted that </w:t>
      </w:r>
      <w:r w:rsidR="000D7F58">
        <w:rPr>
          <w:rFonts w:eastAsia="Calibri"/>
        </w:rPr>
        <w:t>the effectiveness</w:t>
      </w:r>
      <w:r w:rsidR="000D7F58" w:rsidRPr="00001499">
        <w:rPr>
          <w:rFonts w:eastAsia="Calibri"/>
        </w:rPr>
        <w:t xml:space="preserve"> </w:t>
      </w:r>
      <w:r w:rsidR="00A456CF" w:rsidRPr="00001499">
        <w:rPr>
          <w:rFonts w:eastAsia="Calibri"/>
        </w:rPr>
        <w:t>claim was based on non-randomised studies that used administrative data.</w:t>
      </w:r>
    </w:p>
    <w:p w14:paraId="2B929417" w14:textId="5087F27E" w:rsidR="000F1292" w:rsidRPr="00001499" w:rsidRDefault="009C29A2" w:rsidP="000F1292">
      <w:pPr>
        <w:pStyle w:val="3-BodyText"/>
        <w:ind w:left="709"/>
        <w:rPr>
          <w:rFonts w:eastAsia="Calibri"/>
        </w:rPr>
      </w:pPr>
      <w:bookmarkStart w:id="64" w:name="_Hlk93473615"/>
      <w:r w:rsidRPr="00001499">
        <w:rPr>
          <w:rFonts w:eastAsia="Calibri"/>
          <w:iCs/>
        </w:rPr>
        <w:t xml:space="preserve">The ESC considered that while superior effectiveness of QIVc compared to QIVe was biologically plausible, this would </w:t>
      </w:r>
      <w:r w:rsidR="00A456CF" w:rsidRPr="00001499">
        <w:rPr>
          <w:rFonts w:eastAsia="Calibri"/>
          <w:iCs/>
        </w:rPr>
        <w:t xml:space="preserve">depend </w:t>
      </w:r>
      <w:r w:rsidRPr="00001499">
        <w:rPr>
          <w:rFonts w:eastAsia="Calibri"/>
          <w:iCs/>
        </w:rPr>
        <w:t xml:space="preserve">on egg-adaptation which </w:t>
      </w:r>
      <w:r w:rsidR="00696465" w:rsidRPr="00001499">
        <w:rPr>
          <w:rFonts w:eastAsia="Calibri"/>
          <w:iCs/>
        </w:rPr>
        <w:t>can vary</w:t>
      </w:r>
      <w:r w:rsidRPr="00001499">
        <w:rPr>
          <w:rFonts w:eastAsia="Calibri"/>
          <w:iCs/>
        </w:rPr>
        <w:t xml:space="preserve"> from year to year.</w:t>
      </w:r>
      <w:r w:rsidR="00BD3429">
        <w:rPr>
          <w:rFonts w:eastAsia="Calibri"/>
        </w:rPr>
        <w:t xml:space="preserve"> </w:t>
      </w:r>
      <w:r w:rsidR="003A6BCF">
        <w:rPr>
          <w:rFonts w:eastAsia="Calibri"/>
        </w:rPr>
        <w:t xml:space="preserve">The pre-PBAC </w:t>
      </w:r>
      <w:r w:rsidR="000F35E3">
        <w:rPr>
          <w:rFonts w:eastAsia="Calibri"/>
        </w:rPr>
        <w:t>R</w:t>
      </w:r>
      <w:r w:rsidR="003A6BCF">
        <w:rPr>
          <w:rFonts w:eastAsia="Calibri"/>
        </w:rPr>
        <w:t>esponse maintained</w:t>
      </w:r>
      <w:r w:rsidR="001F02CD">
        <w:rPr>
          <w:rFonts w:eastAsia="Calibri"/>
        </w:rPr>
        <w:t xml:space="preserve"> that</w:t>
      </w:r>
      <w:r w:rsidR="003A6BCF">
        <w:rPr>
          <w:rFonts w:eastAsia="Calibri"/>
        </w:rPr>
        <w:t xml:space="preserve"> the superior effectiveness of QIVc compared </w:t>
      </w:r>
      <w:r w:rsidR="00A1705A">
        <w:rPr>
          <w:rFonts w:eastAsia="Calibri"/>
        </w:rPr>
        <w:t>to</w:t>
      </w:r>
      <w:r w:rsidR="003A6BCF">
        <w:rPr>
          <w:rFonts w:eastAsia="Calibri"/>
        </w:rPr>
        <w:t xml:space="preserve"> QIVc </w:t>
      </w:r>
      <w:r w:rsidR="00A1705A">
        <w:rPr>
          <w:rFonts w:eastAsia="Calibri"/>
        </w:rPr>
        <w:t>wa</w:t>
      </w:r>
      <w:r w:rsidR="00C7347F">
        <w:rPr>
          <w:rFonts w:eastAsia="Calibri"/>
        </w:rPr>
        <w:t>s well</w:t>
      </w:r>
      <w:r w:rsidR="003A6BCF">
        <w:rPr>
          <w:rFonts w:eastAsia="Calibri"/>
        </w:rPr>
        <w:t xml:space="preserve"> supported by the studies presented in the submission</w:t>
      </w:r>
      <w:r w:rsidR="00C7347F">
        <w:rPr>
          <w:rFonts w:eastAsia="Calibri"/>
        </w:rPr>
        <w:t xml:space="preserve"> and </w:t>
      </w:r>
      <w:r w:rsidR="001F02CD">
        <w:rPr>
          <w:rFonts w:eastAsia="Calibri"/>
        </w:rPr>
        <w:t>emphasised that the variability in rVE</w:t>
      </w:r>
      <w:r w:rsidR="00A1705A">
        <w:rPr>
          <w:rFonts w:eastAsia="Calibri"/>
        </w:rPr>
        <w:t>,</w:t>
      </w:r>
      <w:r w:rsidR="001F02CD">
        <w:rPr>
          <w:rFonts w:eastAsia="Calibri"/>
        </w:rPr>
        <w:t xml:space="preserve"> based on season-specific characteristics of the circulating virus and its</w:t>
      </w:r>
      <w:r w:rsidR="0040534F">
        <w:rPr>
          <w:rFonts w:eastAsia="Calibri"/>
        </w:rPr>
        <w:t xml:space="preserve"> match to vaccine</w:t>
      </w:r>
      <w:r w:rsidR="001F02CD">
        <w:rPr>
          <w:rFonts w:eastAsia="Calibri"/>
        </w:rPr>
        <w:t xml:space="preserve"> strains, including the degree of egg adapt</w:t>
      </w:r>
      <w:r w:rsidR="008B74D2">
        <w:rPr>
          <w:rFonts w:eastAsia="Calibri"/>
        </w:rPr>
        <w:t>at</w:t>
      </w:r>
      <w:r w:rsidR="001F02CD">
        <w:rPr>
          <w:rFonts w:eastAsia="Calibri"/>
        </w:rPr>
        <w:t>ions, was incorporated into the economic model.</w:t>
      </w:r>
    </w:p>
    <w:p w14:paraId="38B8B0E2" w14:textId="4427FC55" w:rsidR="00F217DE" w:rsidRDefault="00F217DE" w:rsidP="00F217DE">
      <w:pPr>
        <w:pStyle w:val="3-BodyText"/>
        <w:ind w:left="709"/>
      </w:pPr>
      <w:bookmarkStart w:id="65" w:name="_Hlk76376200"/>
      <w:bookmarkEnd w:id="64"/>
      <w:r w:rsidRPr="00001499">
        <w:rPr>
          <w:iCs/>
        </w:rPr>
        <w:t>The</w:t>
      </w:r>
      <w:r w:rsidRPr="00001499">
        <w:rPr>
          <w:szCs w:val="20"/>
        </w:rPr>
        <w:t xml:space="preserve"> PBAC considered that the claim of superior comparative </w:t>
      </w:r>
      <w:r w:rsidRPr="00001499">
        <w:t xml:space="preserve">effectiveness was </w:t>
      </w:r>
      <w:r w:rsidR="005E175C">
        <w:t>plausible</w:t>
      </w:r>
      <w:r w:rsidR="003F47DE">
        <w:t xml:space="preserve"> though any benefit was difficult to quantify from the available data.</w:t>
      </w:r>
      <w:r w:rsidR="00BD3429">
        <w:t xml:space="preserve"> </w:t>
      </w:r>
      <w:r w:rsidR="003F47DE">
        <w:t>The PBAC</w:t>
      </w:r>
      <w:r w:rsidR="00BD3429">
        <w:t xml:space="preserve"> </w:t>
      </w:r>
      <w:r w:rsidR="00AC785A">
        <w:t>considered</w:t>
      </w:r>
      <w:r w:rsidR="00BD3429">
        <w:t xml:space="preserve"> that </w:t>
      </w:r>
      <w:r w:rsidR="003F47DE">
        <w:t xml:space="preserve">the extent of benefit if any, </w:t>
      </w:r>
      <w:r w:rsidR="00BD3429">
        <w:t xml:space="preserve">would </w:t>
      </w:r>
      <w:r w:rsidR="00AC785A">
        <w:t xml:space="preserve">be </w:t>
      </w:r>
      <w:r w:rsidR="00AC785A">
        <w:rPr>
          <w:rFonts w:eastAsiaTheme="minorHAnsi"/>
          <w:lang w:eastAsia="en-US"/>
        </w:rPr>
        <w:t xml:space="preserve">dependent on the degree to which antigenic drift and egg adaptation affected the differential match of vaccine </w:t>
      </w:r>
      <w:r w:rsidR="00AC785A">
        <w:rPr>
          <w:rFonts w:eastAsiaTheme="minorHAnsi"/>
          <w:lang w:eastAsia="en-US"/>
        </w:rPr>
        <w:lastRenderedPageBreak/>
        <w:t xml:space="preserve">viruses to circulating strains and the severity of the flu season, </w:t>
      </w:r>
      <w:r w:rsidR="00AC785A" w:rsidRPr="00986534">
        <w:rPr>
          <w:rFonts w:eastAsiaTheme="minorHAnsi"/>
          <w:lang w:eastAsia="en-US"/>
        </w:rPr>
        <w:t>which varies from year</w:t>
      </w:r>
      <w:r w:rsidR="00AC785A">
        <w:rPr>
          <w:rFonts w:eastAsiaTheme="minorHAnsi"/>
          <w:lang w:eastAsia="en-US"/>
        </w:rPr>
        <w:t>-</w:t>
      </w:r>
      <w:r w:rsidR="00AC785A" w:rsidRPr="00986534">
        <w:rPr>
          <w:rFonts w:eastAsiaTheme="minorHAnsi"/>
          <w:lang w:eastAsia="en-US"/>
        </w:rPr>
        <w:t>to</w:t>
      </w:r>
      <w:r w:rsidR="00AC785A">
        <w:rPr>
          <w:rFonts w:eastAsiaTheme="minorHAnsi"/>
          <w:lang w:eastAsia="en-US"/>
        </w:rPr>
        <w:t>-</w:t>
      </w:r>
      <w:r w:rsidR="00AC785A" w:rsidRPr="00986534">
        <w:rPr>
          <w:rFonts w:eastAsiaTheme="minorHAnsi"/>
          <w:lang w:eastAsia="en-US"/>
        </w:rPr>
        <w:t>year</w:t>
      </w:r>
      <w:r w:rsidR="00AC785A">
        <w:rPr>
          <w:rFonts w:eastAsiaTheme="minorHAnsi"/>
          <w:lang w:eastAsia="en-US"/>
        </w:rPr>
        <w:t>.</w:t>
      </w:r>
      <w:r w:rsidR="005E175C">
        <w:rPr>
          <w:rFonts w:eastAsiaTheme="minorHAnsi"/>
          <w:lang w:eastAsia="en-US"/>
        </w:rPr>
        <w:t xml:space="preserve"> </w:t>
      </w:r>
    </w:p>
    <w:p w14:paraId="2066A864" w14:textId="3D6B67EE" w:rsidR="00F217DE" w:rsidRPr="00001499" w:rsidRDefault="00F217DE" w:rsidP="00F217DE">
      <w:pPr>
        <w:widowControl w:val="0"/>
        <w:numPr>
          <w:ilvl w:val="1"/>
          <w:numId w:val="1"/>
        </w:numPr>
        <w:spacing w:after="120" w:line="240" w:lineRule="auto"/>
        <w:ind w:left="720"/>
        <w:jc w:val="both"/>
        <w:rPr>
          <w:rFonts w:cs="Arial"/>
          <w:snapToGrid w:val="0"/>
          <w:sz w:val="24"/>
          <w:szCs w:val="24"/>
        </w:rPr>
      </w:pPr>
      <w:r w:rsidRPr="00001499">
        <w:rPr>
          <w:rFonts w:cs="Arial"/>
          <w:snapToGrid w:val="0"/>
          <w:sz w:val="24"/>
          <w:szCs w:val="24"/>
        </w:rPr>
        <w:t>The PBAC considered that the claim of non-inferior comparative safety was reasonable</w:t>
      </w:r>
      <w:r w:rsidR="00D806E2">
        <w:rPr>
          <w:rFonts w:cs="Arial"/>
          <w:snapToGrid w:val="0"/>
          <w:sz w:val="24"/>
          <w:szCs w:val="24"/>
        </w:rPr>
        <w:t>.</w:t>
      </w:r>
    </w:p>
    <w:p w14:paraId="6D578428" w14:textId="05BB1CF6" w:rsidR="009C29A2" w:rsidRPr="00001499" w:rsidRDefault="009C29A2" w:rsidP="009C29A2">
      <w:pPr>
        <w:pStyle w:val="4-SubsectionHeading"/>
      </w:pPr>
      <w:bookmarkStart w:id="66" w:name="_Toc22897645"/>
      <w:bookmarkStart w:id="67" w:name="_Toc22898857"/>
      <w:bookmarkStart w:id="68" w:name="_Toc93410958"/>
      <w:bookmarkEnd w:id="65"/>
      <w:r w:rsidRPr="00001499">
        <w:t>Economic analysis</w:t>
      </w:r>
      <w:bookmarkEnd w:id="66"/>
      <w:bookmarkEnd w:id="67"/>
      <w:bookmarkEnd w:id="68"/>
      <w:r w:rsidRPr="00001499">
        <w:t xml:space="preserve"> </w:t>
      </w:r>
    </w:p>
    <w:p w14:paraId="5175F6DB" w14:textId="1D9B1DE6" w:rsidR="009C29A2" w:rsidRPr="00001499" w:rsidRDefault="009C29A2" w:rsidP="005F5007">
      <w:pPr>
        <w:pStyle w:val="3-BodyText"/>
        <w:ind w:left="709"/>
      </w:pPr>
      <w:r w:rsidRPr="00001499">
        <w:t>The submission presented a stepped economic evaluation implementing a modelled economic evaluation based on retrospective (observational) cohort studies. The stepped economic evaluation included cost-effectiveness analyses (cost per influenza case avoided and cost per life year gained</w:t>
      </w:r>
      <w:r w:rsidR="005F5007" w:rsidRPr="00001499">
        <w:t>; CEA</w:t>
      </w:r>
      <w:r w:rsidRPr="00001499">
        <w:t>) and cost-utility analysis (cost per quality adjusted life year (QALY) gained</w:t>
      </w:r>
      <w:r w:rsidR="005F5007" w:rsidRPr="00001499">
        <w:t>; CUA</w:t>
      </w:r>
      <w:r w:rsidRPr="00001499">
        <w:t>) comparing a QIVc vaccination program versus the current QIVe vaccination program for each of the four populations</w:t>
      </w:r>
      <w:r w:rsidR="00FF3A92">
        <w:t xml:space="preserve"> proposed in the submission</w:t>
      </w:r>
      <w:r w:rsidRPr="00001499">
        <w:t xml:space="preserve">. </w:t>
      </w:r>
      <w:r w:rsidR="00FF3A92">
        <w:rPr>
          <w:iCs/>
        </w:rPr>
        <w:t>A</w:t>
      </w:r>
      <w:r w:rsidR="00AC785A">
        <w:rPr>
          <w:iCs/>
        </w:rPr>
        <w:t xml:space="preserve">n updated </w:t>
      </w:r>
      <w:r w:rsidR="00FF3A92">
        <w:rPr>
          <w:iCs/>
        </w:rPr>
        <w:t xml:space="preserve">economic evaluation was provided with the pre-PBAC </w:t>
      </w:r>
      <w:r w:rsidR="005E175C">
        <w:rPr>
          <w:iCs/>
        </w:rPr>
        <w:t>R</w:t>
      </w:r>
      <w:r w:rsidR="00FF3A92">
        <w:rPr>
          <w:iCs/>
        </w:rPr>
        <w:t>esponse</w:t>
      </w:r>
      <w:r w:rsidR="005E175C">
        <w:rPr>
          <w:iCs/>
        </w:rPr>
        <w:t xml:space="preserve"> which</w:t>
      </w:r>
      <w:r w:rsidR="00FF3A92">
        <w:rPr>
          <w:iCs/>
        </w:rPr>
        <w:t xml:space="preserve"> excluded children aged 2 to 4 years. </w:t>
      </w:r>
    </w:p>
    <w:p w14:paraId="358C0102" w14:textId="77777777" w:rsidR="009C29A2" w:rsidRPr="00001499" w:rsidRDefault="009C29A2" w:rsidP="00DF14B8">
      <w:pPr>
        <w:pStyle w:val="3-BodyText"/>
        <w:ind w:left="709"/>
      </w:pPr>
      <w:r w:rsidRPr="00001499">
        <w:t>Two economic models were presented. They were:</w:t>
      </w:r>
    </w:p>
    <w:p w14:paraId="570F6E36" w14:textId="77777777" w:rsidR="009C29A2" w:rsidRPr="00001499" w:rsidRDefault="009C29A2" w:rsidP="00525C67">
      <w:pPr>
        <w:pStyle w:val="ListBullet"/>
        <w:numPr>
          <w:ilvl w:val="0"/>
          <w:numId w:val="7"/>
        </w:numPr>
        <w:tabs>
          <w:tab w:val="num" w:pos="1080"/>
        </w:tabs>
        <w:ind w:left="1134"/>
        <w:jc w:val="both"/>
      </w:pPr>
      <w:r w:rsidRPr="00001499">
        <w:t>A dynamic transmission model that estimated the direct and indirect (herd immunity) impact of the alternative influenza vaccination programs.</w:t>
      </w:r>
    </w:p>
    <w:p w14:paraId="0603E836" w14:textId="77777777" w:rsidR="009C29A2" w:rsidRPr="00001499" w:rsidRDefault="009C29A2" w:rsidP="00525C67">
      <w:pPr>
        <w:pStyle w:val="ListBullet"/>
        <w:numPr>
          <w:ilvl w:val="0"/>
          <w:numId w:val="7"/>
        </w:numPr>
        <w:tabs>
          <w:tab w:val="num" w:pos="1080"/>
        </w:tabs>
        <w:spacing w:after="240"/>
        <w:ind w:left="1134"/>
        <w:jc w:val="both"/>
      </w:pPr>
      <w:r w:rsidRPr="00001499">
        <w:t>A static cohort model that estimated the direct effect of the alternative vaccination programs.</w:t>
      </w:r>
    </w:p>
    <w:p w14:paraId="5EF003E2" w14:textId="62D6D11A" w:rsidR="009C29A2" w:rsidRPr="00001499" w:rsidRDefault="009C29A2" w:rsidP="00AA46C6">
      <w:pPr>
        <w:pStyle w:val="3-BodyText"/>
        <w:ind w:left="709"/>
      </w:pPr>
      <w:r w:rsidRPr="00001499">
        <w:rPr>
          <w:iCs/>
        </w:rPr>
        <w:t xml:space="preserve">The evaluation </w:t>
      </w:r>
      <w:r w:rsidR="009F4976" w:rsidRPr="00001499">
        <w:rPr>
          <w:iCs/>
        </w:rPr>
        <w:t>considered that</w:t>
      </w:r>
      <w:r w:rsidR="009F4976" w:rsidRPr="00001499">
        <w:t xml:space="preserve"> </w:t>
      </w:r>
      <w:r w:rsidRPr="00001499">
        <w:t>given the difficulty in parameterising a dynamic model due to lack of data and uncertain impacts of herd immunity and force of infection, the use of a dynamic model may not be adequately supported. Previous base case models considered by the PBAC for influenza vaccinations were either expected cohort analysis or static (Markov) models where herd immunity was not considered (Quadrivalent influenza vaccine Vaxigrip Tetra, PSD, July 2019 meeting; Influenza Quadrivalent Adjuvanted Vaccine Fluad® Quad, Influenza Trivalent Adjuvanted Vaccine Fluad®, PSD, July 2019 PBAC meeting; High Dose Inactivated Trivalent Influenza Vaccine (Split virion) Fluzone® High-Dose, PSD, July 2018 meeting). For the quadrivalent influenza vaccine Vaxigrip Tetra, the impact of herd immunity was presented as a scenario analysis. The PBAC did not consider these results because ATAGI had suggested that the proposed vaccination program would have little, if any, measurable population-level herd protection (Table 9, Quadrivalent influenza vaccine Vaxigrip Tetra, PSD, July 2019 PBAC meeting).</w:t>
      </w:r>
      <w:r w:rsidRPr="00001499" w:rsidDel="003C2EF2">
        <w:t xml:space="preserve"> </w:t>
      </w:r>
    </w:p>
    <w:p w14:paraId="38D1CBA5" w14:textId="5C28807C" w:rsidR="009C29A2" w:rsidRPr="00001499" w:rsidRDefault="009C29A2" w:rsidP="00AA46C6">
      <w:pPr>
        <w:pStyle w:val="3-BodyText"/>
        <w:ind w:left="709"/>
        <w:rPr>
          <w:b/>
          <w:bCs/>
          <w:color w:val="0066FF"/>
        </w:rPr>
      </w:pPr>
      <w:r w:rsidRPr="00001499">
        <w:t xml:space="preserve">ATAGI indicated that </w:t>
      </w:r>
      <w:r w:rsidRPr="00001499">
        <w:rPr>
          <w:iCs/>
        </w:rPr>
        <w:t>the</w:t>
      </w:r>
      <w:r w:rsidRPr="00001499">
        <w:t xml:space="preserve"> improvement in vaccine effectiveness </w:t>
      </w:r>
      <w:r w:rsidRPr="00001499">
        <w:rPr>
          <w:iCs/>
        </w:rPr>
        <w:t xml:space="preserve">was not likely to </w:t>
      </w:r>
      <w:r w:rsidRPr="00001499">
        <w:t xml:space="preserve">result in measurable population herd protection and </w:t>
      </w:r>
      <w:r w:rsidRPr="00001499">
        <w:rPr>
          <w:iCs/>
        </w:rPr>
        <w:t>therefore the presentation of a transmission model was inadequately justified</w:t>
      </w:r>
      <w:r w:rsidRPr="00001499">
        <w:t>.</w:t>
      </w:r>
      <w:r w:rsidRPr="00001499">
        <w:rPr>
          <w:iCs/>
        </w:rPr>
        <w:t xml:space="preserve"> The submission </w:t>
      </w:r>
      <w:r w:rsidR="00FF3A92">
        <w:rPr>
          <w:iCs/>
        </w:rPr>
        <w:t>n</w:t>
      </w:r>
      <w:r w:rsidRPr="00001499">
        <w:rPr>
          <w:iCs/>
        </w:rPr>
        <w:t>or</w:t>
      </w:r>
      <w:r w:rsidR="00FF3A92">
        <w:rPr>
          <w:iCs/>
        </w:rPr>
        <w:t xml:space="preserve"> the</w:t>
      </w:r>
      <w:r w:rsidRPr="00001499">
        <w:rPr>
          <w:iCs/>
        </w:rPr>
        <w:t xml:space="preserve"> </w:t>
      </w:r>
      <w:r w:rsidR="00FF3A92">
        <w:rPr>
          <w:iCs/>
        </w:rPr>
        <w:t>post-submission documents</w:t>
      </w:r>
      <w:r w:rsidR="00FF3A92" w:rsidRPr="00001499">
        <w:rPr>
          <w:iCs/>
        </w:rPr>
        <w:t xml:space="preserve"> </w:t>
      </w:r>
      <w:r w:rsidRPr="00001499">
        <w:rPr>
          <w:iCs/>
        </w:rPr>
        <w:t>provide</w:t>
      </w:r>
      <w:r w:rsidR="00FF3A92">
        <w:rPr>
          <w:iCs/>
        </w:rPr>
        <w:t>d</w:t>
      </w:r>
      <w:r w:rsidRPr="00001499">
        <w:rPr>
          <w:iCs/>
        </w:rPr>
        <w:t xml:space="preserve"> additional clinical evidence to support the claim of herd immunity based on the vaccine effectiveness observed. The ESC agreed with the evaluation and ATAGI advice that a QIVc vaccination program was not likely to produce significant changes in the force of infection and the presentation of a dynamic model was not justified.</w:t>
      </w:r>
    </w:p>
    <w:p w14:paraId="637E4AE9" w14:textId="77777777" w:rsidR="009C29A2" w:rsidRPr="00001499" w:rsidRDefault="009C29A2" w:rsidP="00AA46C6">
      <w:pPr>
        <w:pStyle w:val="3-BodyText"/>
        <w:ind w:left="709"/>
      </w:pPr>
      <w:r w:rsidRPr="00001499">
        <w:lastRenderedPageBreak/>
        <w:t xml:space="preserve">The dynamic transmission model presented in the submission incorporated an epidemiological module and an economic module. The epidemiological module consisted of the classic ‘Susceptible-Exposed-Infectious-Recovered’ (SEIR) model to provide estimates of the epidemiological impact of the switch from QIVe to QIVc. The SEIR model captures the natural history of influenza and is commonly applied in infectious disease modelling. The economic module was described to have the same overall structure, morbidity and mortality inputs as the static cohort model, with the number of influenza cases per age-group estimated by the epidemiological model included as inputs. </w:t>
      </w:r>
    </w:p>
    <w:p w14:paraId="7F0CC1E7" w14:textId="77777777" w:rsidR="009C29A2" w:rsidRPr="00001499" w:rsidRDefault="009C29A2" w:rsidP="00AA46C6">
      <w:pPr>
        <w:pStyle w:val="3-BodyText"/>
        <w:ind w:left="709"/>
      </w:pPr>
      <w:r w:rsidRPr="00001499">
        <w:t>There were a number of issues identified with the dynamic transmission model, particularly with the assumptions in the epidemiological module which were likely to have overstated the indirect benefits of the vaccination program thus over-estimating the benefits conferred by QIVc. Some issues included:</w:t>
      </w:r>
    </w:p>
    <w:p w14:paraId="41B55ADF" w14:textId="62FAE378" w:rsidR="00100807" w:rsidRPr="00001499" w:rsidRDefault="00100807" w:rsidP="00431CC7">
      <w:pPr>
        <w:pStyle w:val="3-BodyText"/>
        <w:numPr>
          <w:ilvl w:val="0"/>
          <w:numId w:val="4"/>
        </w:numPr>
        <w:ind w:left="1134" w:hanging="357"/>
      </w:pPr>
      <w:r w:rsidRPr="00001499">
        <w:rPr>
          <w:iCs/>
        </w:rPr>
        <w:t>The choice of susceptibility profile in the epidemiological module is a key determinant of the estimated effective reproduction number. By imposing a low value of prior immunity (27%) the model calibration yielded very low estimates of the effective reproduction number (Reff), which indicated that (a) the existing immunisation program was estimated to provide significant indirect protection, appearing to almost prevent the 2018 epidemic from occurring</w:t>
      </w:r>
      <w:r w:rsidR="008C6423" w:rsidRPr="00001499">
        <w:rPr>
          <w:iCs/>
        </w:rPr>
        <w:t xml:space="preserve"> (5.67 million cases in the No Vaccine </w:t>
      </w:r>
      <w:r w:rsidR="00A77DC7" w:rsidRPr="00001499">
        <w:rPr>
          <w:iCs/>
        </w:rPr>
        <w:t>scenario</w:t>
      </w:r>
      <w:r w:rsidR="008C6423" w:rsidRPr="00001499">
        <w:rPr>
          <w:iCs/>
        </w:rPr>
        <w:t xml:space="preserve"> and only 115,386 symptomatic cases in the vaccinated scenarios)</w:t>
      </w:r>
      <w:r w:rsidRPr="00001499">
        <w:rPr>
          <w:iCs/>
        </w:rPr>
        <w:t xml:space="preserve">; and (b) a small increase in vaccine effectiveness, such as routinely occurs from one season to the next, will necessarily provide a substantial increase in indirect protection in the epidemiological module. These outcomes are a direct result of the chosen susceptibility profile, and both the outcomes and the assumed susceptibility profile were highly improbable. The PSCR </w:t>
      </w:r>
      <w:r w:rsidR="008C6423" w:rsidRPr="00001499">
        <w:rPr>
          <w:iCs/>
        </w:rPr>
        <w:t>maintained that at 50% prior immunity, the QIVc program remained highly cost-effective.</w:t>
      </w:r>
    </w:p>
    <w:p w14:paraId="38DC3437" w14:textId="77777777" w:rsidR="009C29A2" w:rsidRPr="00001499" w:rsidRDefault="009C29A2" w:rsidP="00431CC7">
      <w:pPr>
        <w:pStyle w:val="3-BodyText"/>
        <w:numPr>
          <w:ilvl w:val="0"/>
          <w:numId w:val="4"/>
        </w:numPr>
        <w:ind w:left="1134" w:hanging="357"/>
      </w:pPr>
      <w:r w:rsidRPr="00001499">
        <w:t xml:space="preserve">The model calibration process could not be sufficiently verified during the evaluation. </w:t>
      </w:r>
    </w:p>
    <w:p w14:paraId="72CC063B" w14:textId="5B0E3B9E" w:rsidR="009C29A2" w:rsidRPr="00001499" w:rsidRDefault="009C29A2" w:rsidP="003F47DE">
      <w:pPr>
        <w:pStyle w:val="ListParagraph"/>
        <w:numPr>
          <w:ilvl w:val="0"/>
          <w:numId w:val="4"/>
        </w:numPr>
        <w:ind w:left="1134" w:hanging="357"/>
      </w:pPr>
      <w:r w:rsidRPr="00001499">
        <w:t xml:space="preserve">Reliability of the rVE applied in the model. The sensitivity analyses presented in the submission indicated that rVE was the key driver of the ICER for the dynamic model. The ICER increased to </w:t>
      </w:r>
      <w:r w:rsidR="00BE027F" w:rsidRPr="00BE027F">
        <w:t>$0 to &lt; $5,000</w:t>
      </w:r>
      <w:r w:rsidR="00BE027F">
        <w:t xml:space="preserve"> </w:t>
      </w:r>
      <w:r w:rsidRPr="00001499">
        <w:t xml:space="preserve">per QALY gained from </w:t>
      </w:r>
      <w:r w:rsidR="00BE027F" w:rsidRPr="00BE027F">
        <w:t>$0 to &lt; $5,000</w:t>
      </w:r>
      <w:r w:rsidR="00BE027F">
        <w:t xml:space="preserve"> </w:t>
      </w:r>
      <w:r w:rsidRPr="00001499">
        <w:t xml:space="preserve">per QALY gained (base case for all seasons combined) when rVE estimates were varied from 12.2% to 8.2%. </w:t>
      </w:r>
    </w:p>
    <w:p w14:paraId="181806FD" w14:textId="77777777" w:rsidR="009C29A2" w:rsidRPr="00001499" w:rsidRDefault="009C29A2" w:rsidP="003F47DE">
      <w:pPr>
        <w:pStyle w:val="3-BodyText"/>
        <w:numPr>
          <w:ilvl w:val="0"/>
          <w:numId w:val="4"/>
        </w:numPr>
        <w:ind w:left="1134" w:hanging="357"/>
      </w:pPr>
      <w:r w:rsidRPr="00001499">
        <w:t>The dynamic model presented in the submission did not reasonably account for major sources of uncertainty. Apart from pre-existing immunity as described above, other sources of uncertainty include vaccine coverage and the linear assumptions around this parameter. These assumptions were not tested by the submission.</w:t>
      </w:r>
      <w:r w:rsidRPr="00001499" w:rsidDel="00917E4D">
        <w:t xml:space="preserve"> </w:t>
      </w:r>
    </w:p>
    <w:p w14:paraId="6CD0CDA2" w14:textId="2BD210EC" w:rsidR="009C29A2" w:rsidRPr="00001499" w:rsidRDefault="009C29A2" w:rsidP="003F47DE">
      <w:pPr>
        <w:pStyle w:val="3-BodyText"/>
        <w:numPr>
          <w:ilvl w:val="0"/>
          <w:numId w:val="4"/>
        </w:numPr>
        <w:ind w:left="1134" w:hanging="357"/>
      </w:pPr>
      <w:r w:rsidRPr="00001499">
        <w:t xml:space="preserve">The model included the </w:t>
      </w:r>
      <w:r w:rsidRPr="00001499">
        <w:rPr>
          <w:iCs/>
        </w:rPr>
        <w:t>general</w:t>
      </w:r>
      <w:r w:rsidRPr="00001499">
        <w:t xml:space="preserve"> population in the vaccination program (beyond the 4 population subgroups proposed for NIP funding, i.e. including NIP-funded </w:t>
      </w:r>
      <w:r w:rsidRPr="00001499">
        <w:lastRenderedPageBreak/>
        <w:t>and non-NIP private market coverage) to estimate the indirect effect (herd immunity). Therefore, it was unclear what proportion of the overall change in number of cases was attributed to the populations requested for NIP listing.</w:t>
      </w:r>
    </w:p>
    <w:p w14:paraId="216DA2C2" w14:textId="081AD333" w:rsidR="009C29A2" w:rsidRPr="00001499" w:rsidRDefault="009C29A2" w:rsidP="003F47DE">
      <w:pPr>
        <w:pStyle w:val="ListParagraph"/>
        <w:numPr>
          <w:ilvl w:val="0"/>
          <w:numId w:val="4"/>
        </w:numPr>
        <w:ind w:left="1134" w:hanging="357"/>
      </w:pPr>
      <w:r w:rsidRPr="00001499">
        <w:t xml:space="preserve">The specification of the impact of non-fatal disease on QALYs was likely incorrectly implemented in the Shiny model (the model was developed in R and C++, with a Shiny package interface). The model appeared to be solely driven by the “qaly_loss_per_case” variable and the two remaining variables (“qaly_loss_per_outpatient_case” and “qaly_loss_per_hosp”) did not have any impact (over the base case) in the number of QALYs reported. The application of the model deviates from the model design described in the submission, both in terms of the magnitude of the QALY decrement applied to non-fatal cases and the fact that the same decrement is applied to both outpatient and hospitalised cases. </w:t>
      </w:r>
    </w:p>
    <w:p w14:paraId="0609BD54" w14:textId="6003E941" w:rsidR="009C29A2" w:rsidRPr="00001499" w:rsidRDefault="009C29A2" w:rsidP="003F47DE">
      <w:pPr>
        <w:pStyle w:val="ListParagraph"/>
        <w:numPr>
          <w:ilvl w:val="0"/>
          <w:numId w:val="4"/>
        </w:numPr>
        <w:ind w:left="1134" w:hanging="357"/>
        <w:rPr>
          <w:rFonts w:eastAsiaTheme="minorEastAsia"/>
        </w:rPr>
      </w:pPr>
      <w:r w:rsidRPr="00001499">
        <w:rPr>
          <w:rFonts w:eastAsiaTheme="minorEastAsia"/>
        </w:rPr>
        <w:t xml:space="preserve">There were a number of assumptions made in the dynamic model which were unsupported and inconsistent with those stated in the submission. These include: the assumption that 100% </w:t>
      </w:r>
      <w:r w:rsidRPr="00001499">
        <w:t xml:space="preserve">of outpatients are prescribed antivirals, which is implausible; the proportion of hospitalised cases transported by ambulance; and the cost of ambulances services, which was likely overestimated. These issues, however, were considered to have a lower impact on the results compared to the issues described above. </w:t>
      </w:r>
    </w:p>
    <w:p w14:paraId="35E67EE5" w14:textId="69FF2F9B" w:rsidR="00C5357E" w:rsidRPr="00001499" w:rsidRDefault="009C29A2" w:rsidP="00AA46C6">
      <w:pPr>
        <w:pStyle w:val="3-BodyText"/>
        <w:ind w:left="709"/>
      </w:pPr>
      <w:r w:rsidRPr="00001499">
        <w:t xml:space="preserve">There was substantial difference in the cost-effectiveness results presented between the two economic models. Given the concerns regarding the underlying assumptions, structural issues and the lack of availability of evidence to populate the dynamic model, the evaluation considered the static cohort model more reliable than the dynamic model and it was the focus of the evaluation. </w:t>
      </w:r>
    </w:p>
    <w:p w14:paraId="25586C98" w14:textId="6CDD9359" w:rsidR="009C29A2" w:rsidRPr="00001499" w:rsidRDefault="009C29A2" w:rsidP="00AA46C6">
      <w:pPr>
        <w:pStyle w:val="3-BodyText"/>
        <w:ind w:left="709"/>
      </w:pPr>
      <w:r w:rsidRPr="00001499">
        <w:t>The static cohort model simulates population and age-specific cohorts</w:t>
      </w:r>
      <w:r w:rsidR="005F27D9" w:rsidRPr="00001499">
        <w:t xml:space="preserve"> over</w:t>
      </w:r>
      <w:r w:rsidRPr="00001499">
        <w:t xml:space="preserve"> one cycle, representing one year or one influenza season. This structure was appropriate. </w:t>
      </w:r>
    </w:p>
    <w:p w14:paraId="4C4ACADA" w14:textId="212D16C4" w:rsidR="009C29A2" w:rsidRPr="00001499" w:rsidRDefault="009C29A2" w:rsidP="00AA46C6">
      <w:pPr>
        <w:pStyle w:val="3-BodyText"/>
        <w:ind w:left="709"/>
      </w:pPr>
      <w:r w:rsidRPr="00001499">
        <w:t xml:space="preserve">Inputs </w:t>
      </w:r>
      <w:r w:rsidRPr="00001499">
        <w:rPr>
          <w:iCs/>
        </w:rPr>
        <w:t>for the static cohort</w:t>
      </w:r>
      <w:r w:rsidRPr="00001499">
        <w:t xml:space="preserve"> model were season specific using the 2015 to 2019 Australian seasons. The model also included an additional scenario reflecting the average over 2015-2019 seasons. </w:t>
      </w:r>
      <w:r w:rsidR="009A4C7B" w:rsidRPr="00001499">
        <w:t>The</w:t>
      </w:r>
      <w:r w:rsidRPr="00001499">
        <w:t xml:space="preserve"> results averaged over seasons understate the </w:t>
      </w:r>
      <w:r w:rsidRPr="00001499">
        <w:rPr>
          <w:iCs/>
        </w:rPr>
        <w:t>variability from season to season</w:t>
      </w:r>
      <w:r w:rsidRPr="00001499">
        <w:t xml:space="preserve"> as it does not capture the distribution around the mean value. For example, in the 2018 season (rVE=0%), the cost-effectiveness result was dominated (i.e. QIVc more expensive with less/same effectiveness) whereas in the 2019 season (rVE=15.6%) the ICER was</w:t>
      </w:r>
      <w:r w:rsidR="00BE027F">
        <w:t xml:space="preserve"> </w:t>
      </w:r>
      <w:r w:rsidR="00BE027F" w:rsidRPr="00BE027F">
        <w:t xml:space="preserve">$5,000 to &lt; $15,000 </w:t>
      </w:r>
      <w:r w:rsidRPr="00001499">
        <w:t>per QALY gained.</w:t>
      </w:r>
    </w:p>
    <w:p w14:paraId="6C54D98B" w14:textId="534C611E" w:rsidR="009C29A2" w:rsidRPr="00001499" w:rsidRDefault="009C29A2" w:rsidP="00AA46C6">
      <w:pPr>
        <w:pStyle w:val="3-BodyText"/>
        <w:ind w:left="709"/>
      </w:pPr>
      <w:r w:rsidRPr="00001499">
        <w:fldChar w:fldCharType="begin" w:fldLock="1"/>
      </w:r>
      <w:r w:rsidRPr="00001499">
        <w:instrText xml:space="preserve"> REF _Ref93354569 \h </w:instrText>
      </w:r>
      <w:r w:rsidRPr="00001499">
        <w:fldChar w:fldCharType="separate"/>
      </w:r>
      <w:r w:rsidR="005C1FE9" w:rsidRPr="00001499">
        <w:t xml:space="preserve">Table </w:t>
      </w:r>
      <w:r w:rsidR="005C1FE9">
        <w:rPr>
          <w:noProof/>
        </w:rPr>
        <w:t>12</w:t>
      </w:r>
      <w:r w:rsidRPr="00001499">
        <w:fldChar w:fldCharType="end"/>
      </w:r>
      <w:r w:rsidRPr="00001499">
        <w:t xml:space="preserve"> presents the key components of the economic (static cohort) model.</w:t>
      </w:r>
    </w:p>
    <w:p w14:paraId="0E2AAD39" w14:textId="2DA25F41" w:rsidR="009C29A2" w:rsidRPr="00001499" w:rsidRDefault="009C29A2" w:rsidP="009C29A2">
      <w:pPr>
        <w:pStyle w:val="TableHeading0"/>
        <w:rPr>
          <w:rStyle w:val="CommentReference"/>
          <w:b/>
          <w:bCs/>
        </w:rPr>
      </w:pPr>
      <w:bookmarkStart w:id="69" w:name="_Ref93354569"/>
      <w:r w:rsidRPr="00001499">
        <w:lastRenderedPageBreak/>
        <w:t xml:space="preserve">Table </w:t>
      </w:r>
      <w:fldSimple w:instr=" SEQ Table \* ARABIC " w:fldLock="1">
        <w:r w:rsidR="005C1FE9">
          <w:rPr>
            <w:noProof/>
          </w:rPr>
          <w:t>12</w:t>
        </w:r>
      </w:fldSimple>
      <w:bookmarkEnd w:id="69"/>
      <w:r w:rsidRPr="00001499">
        <w:rPr>
          <w:rStyle w:val="CommentReference"/>
          <w:b/>
          <w:bCs/>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2: Summary of model structure, key inputs and rationale"/>
      </w:tblPr>
      <w:tblGrid>
        <w:gridCol w:w="1414"/>
        <w:gridCol w:w="7603"/>
      </w:tblGrid>
      <w:tr w:rsidR="009C29A2" w:rsidRPr="00001499" w14:paraId="2BAEF169" w14:textId="77777777" w:rsidTr="00FC7A97">
        <w:trPr>
          <w:cantSplit/>
          <w:tblHeader/>
        </w:trPr>
        <w:tc>
          <w:tcPr>
            <w:tcW w:w="784" w:type="pct"/>
            <w:shd w:val="clear" w:color="auto" w:fill="auto"/>
            <w:vAlign w:val="center"/>
          </w:tcPr>
          <w:p w14:paraId="164423C6" w14:textId="77777777" w:rsidR="009C29A2" w:rsidRPr="00001499" w:rsidRDefault="009C29A2" w:rsidP="00FC7A97">
            <w:pPr>
              <w:pStyle w:val="TableFigureHeading"/>
              <w:widowControl w:val="0"/>
            </w:pPr>
            <w:r w:rsidRPr="00001499">
              <w:t>Component</w:t>
            </w:r>
          </w:p>
        </w:tc>
        <w:tc>
          <w:tcPr>
            <w:tcW w:w="4216" w:type="pct"/>
            <w:shd w:val="clear" w:color="auto" w:fill="auto"/>
            <w:vAlign w:val="center"/>
          </w:tcPr>
          <w:p w14:paraId="4F1D2205" w14:textId="77777777" w:rsidR="009C29A2" w:rsidRPr="00001499" w:rsidRDefault="009C29A2" w:rsidP="00FC7A97">
            <w:pPr>
              <w:pStyle w:val="TableFigureHeading"/>
              <w:widowControl w:val="0"/>
            </w:pPr>
            <w:r w:rsidRPr="00001499">
              <w:t>Summary</w:t>
            </w:r>
          </w:p>
        </w:tc>
      </w:tr>
      <w:tr w:rsidR="009C29A2" w:rsidRPr="00001499" w14:paraId="2F79D7E0" w14:textId="77777777" w:rsidTr="00FC7A97">
        <w:trPr>
          <w:cantSplit/>
        </w:trPr>
        <w:tc>
          <w:tcPr>
            <w:tcW w:w="784" w:type="pct"/>
            <w:shd w:val="clear" w:color="auto" w:fill="auto"/>
            <w:vAlign w:val="center"/>
          </w:tcPr>
          <w:p w14:paraId="71700995" w14:textId="77777777" w:rsidR="009C29A2" w:rsidRPr="00001499" w:rsidRDefault="009C29A2" w:rsidP="00FC7A97">
            <w:pPr>
              <w:pStyle w:val="TableText0"/>
              <w:widowControl w:val="0"/>
            </w:pPr>
            <w:r w:rsidRPr="00001499">
              <w:t>Treatments</w:t>
            </w:r>
          </w:p>
        </w:tc>
        <w:tc>
          <w:tcPr>
            <w:tcW w:w="4216" w:type="pct"/>
            <w:shd w:val="clear" w:color="auto" w:fill="auto"/>
            <w:vAlign w:val="center"/>
          </w:tcPr>
          <w:p w14:paraId="722C7B0F" w14:textId="77777777" w:rsidR="009C29A2" w:rsidRPr="00001499" w:rsidRDefault="009C29A2" w:rsidP="00FC7A97">
            <w:pPr>
              <w:pStyle w:val="TableText0"/>
              <w:widowControl w:val="0"/>
            </w:pPr>
            <w:r w:rsidRPr="00001499">
              <w:t>QIVc vs QIVe</w:t>
            </w:r>
          </w:p>
        </w:tc>
      </w:tr>
      <w:tr w:rsidR="009C29A2" w:rsidRPr="00001499" w14:paraId="114D8944" w14:textId="77777777" w:rsidTr="00FC7A97">
        <w:trPr>
          <w:cantSplit/>
        </w:trPr>
        <w:tc>
          <w:tcPr>
            <w:tcW w:w="784" w:type="pct"/>
            <w:shd w:val="clear" w:color="auto" w:fill="auto"/>
            <w:vAlign w:val="center"/>
          </w:tcPr>
          <w:p w14:paraId="705B75BA" w14:textId="77777777" w:rsidR="009C29A2" w:rsidRPr="00001499" w:rsidRDefault="009C29A2" w:rsidP="00FC7A97">
            <w:pPr>
              <w:pStyle w:val="TableText0"/>
              <w:widowControl w:val="0"/>
            </w:pPr>
            <w:r w:rsidRPr="00001499">
              <w:t>Time horizon</w:t>
            </w:r>
          </w:p>
        </w:tc>
        <w:tc>
          <w:tcPr>
            <w:tcW w:w="4216" w:type="pct"/>
            <w:shd w:val="clear" w:color="auto" w:fill="auto"/>
            <w:vAlign w:val="center"/>
          </w:tcPr>
          <w:p w14:paraId="7FC05A1A" w14:textId="77777777" w:rsidR="009C29A2" w:rsidRPr="00001499" w:rsidRDefault="009C29A2" w:rsidP="00FC7A97">
            <w:pPr>
              <w:pStyle w:val="TableText0"/>
              <w:widowControl w:val="0"/>
            </w:pPr>
            <w:r w:rsidRPr="00001499">
              <w:t xml:space="preserve">1 year, with full life expectancy applied for deaths avoided. </w:t>
            </w:r>
          </w:p>
        </w:tc>
      </w:tr>
      <w:tr w:rsidR="009C29A2" w:rsidRPr="00001499" w14:paraId="060724CE" w14:textId="77777777" w:rsidTr="00FC7A97">
        <w:trPr>
          <w:cantSplit/>
        </w:trPr>
        <w:tc>
          <w:tcPr>
            <w:tcW w:w="784" w:type="pct"/>
            <w:shd w:val="clear" w:color="auto" w:fill="auto"/>
            <w:vAlign w:val="center"/>
          </w:tcPr>
          <w:p w14:paraId="6697A5E1" w14:textId="77777777" w:rsidR="009C29A2" w:rsidRPr="00001499" w:rsidRDefault="009C29A2" w:rsidP="00FC7A97">
            <w:pPr>
              <w:pStyle w:val="TableText0"/>
              <w:widowControl w:val="0"/>
            </w:pPr>
            <w:r w:rsidRPr="00001499">
              <w:t>Outcomes</w:t>
            </w:r>
          </w:p>
        </w:tc>
        <w:tc>
          <w:tcPr>
            <w:tcW w:w="4216" w:type="pct"/>
            <w:shd w:val="clear" w:color="auto" w:fill="auto"/>
            <w:vAlign w:val="center"/>
          </w:tcPr>
          <w:p w14:paraId="62C3A112" w14:textId="77777777" w:rsidR="009C29A2" w:rsidRPr="00001499" w:rsidRDefault="009C29A2" w:rsidP="00FC7A97">
            <w:pPr>
              <w:pStyle w:val="PBACTableText"/>
              <w:keepNext/>
              <w:widowControl w:val="0"/>
              <w:rPr>
                <w:sz w:val="20"/>
                <w:szCs w:val="20"/>
              </w:rPr>
            </w:pPr>
            <w:r w:rsidRPr="00001499">
              <w:rPr>
                <w:sz w:val="20"/>
                <w:szCs w:val="20"/>
              </w:rPr>
              <w:t>Outpatient influenza cases, Hospitalised influenza cases, Influenza deaths, Life years (LYs), Quality adjusted life years (QALYs)</w:t>
            </w:r>
          </w:p>
        </w:tc>
      </w:tr>
      <w:tr w:rsidR="009C29A2" w:rsidRPr="00001499" w14:paraId="71B1DCB4" w14:textId="77777777" w:rsidTr="00FC7A97">
        <w:trPr>
          <w:cantSplit/>
        </w:trPr>
        <w:tc>
          <w:tcPr>
            <w:tcW w:w="784" w:type="pct"/>
            <w:shd w:val="clear" w:color="auto" w:fill="auto"/>
            <w:vAlign w:val="center"/>
          </w:tcPr>
          <w:p w14:paraId="5B1BB093" w14:textId="77777777" w:rsidR="009C29A2" w:rsidRPr="00001499" w:rsidRDefault="009C29A2" w:rsidP="00FC7A97">
            <w:pPr>
              <w:pStyle w:val="TableText0"/>
              <w:widowControl w:val="0"/>
            </w:pPr>
            <w:r w:rsidRPr="00001499">
              <w:t>Methods used to generate results</w:t>
            </w:r>
          </w:p>
        </w:tc>
        <w:tc>
          <w:tcPr>
            <w:tcW w:w="4216" w:type="pct"/>
            <w:shd w:val="clear" w:color="auto" w:fill="auto"/>
            <w:vAlign w:val="center"/>
          </w:tcPr>
          <w:p w14:paraId="5051EB04" w14:textId="77777777" w:rsidR="009C29A2" w:rsidRPr="00001499" w:rsidRDefault="009C29A2" w:rsidP="00FC7A97">
            <w:pPr>
              <w:pStyle w:val="TableText0"/>
              <w:widowControl w:val="0"/>
            </w:pPr>
            <w:r w:rsidRPr="00001499">
              <w:t>A static cohort model capturing the direct effect of the alternative vaccination programs</w:t>
            </w:r>
          </w:p>
        </w:tc>
      </w:tr>
      <w:tr w:rsidR="009C29A2" w:rsidRPr="00001499" w14:paraId="7C98851B" w14:textId="77777777" w:rsidTr="00FC7A97">
        <w:trPr>
          <w:cantSplit/>
        </w:trPr>
        <w:tc>
          <w:tcPr>
            <w:tcW w:w="784" w:type="pct"/>
            <w:shd w:val="clear" w:color="auto" w:fill="auto"/>
            <w:vAlign w:val="center"/>
          </w:tcPr>
          <w:p w14:paraId="4F6CE6F1" w14:textId="77777777" w:rsidR="009C29A2" w:rsidRPr="00001499" w:rsidRDefault="009C29A2" w:rsidP="00FC7A97">
            <w:pPr>
              <w:pStyle w:val="TableText0"/>
              <w:widowControl w:val="0"/>
            </w:pPr>
            <w:r w:rsidRPr="00001499">
              <w:t>Health states</w:t>
            </w:r>
          </w:p>
        </w:tc>
        <w:tc>
          <w:tcPr>
            <w:tcW w:w="4216" w:type="pct"/>
            <w:shd w:val="clear" w:color="auto" w:fill="auto"/>
            <w:vAlign w:val="center"/>
          </w:tcPr>
          <w:p w14:paraId="1FE487A4" w14:textId="77777777" w:rsidR="009C29A2" w:rsidRPr="00001499" w:rsidRDefault="009C29A2" w:rsidP="00FC7A97">
            <w:pPr>
              <w:pStyle w:val="TableText0"/>
              <w:widowControl w:val="0"/>
            </w:pPr>
            <w:r w:rsidRPr="00001499">
              <w:t>Well (No Influenza), Influenza, Outpatient Influenza, Hospitalised Influenza, Treated/ Recovered from Influenza, Influenza death</w:t>
            </w:r>
          </w:p>
          <w:p w14:paraId="1D345B1F" w14:textId="41C890AA" w:rsidR="009C29A2" w:rsidRPr="00001499" w:rsidRDefault="009C29A2" w:rsidP="00FC7A97">
            <w:pPr>
              <w:pStyle w:val="TableText0"/>
              <w:widowControl w:val="0"/>
            </w:pPr>
            <w:r w:rsidRPr="00001499">
              <w:t xml:space="preserve">The “Influenza” health state was structured to represent medically attended influenza. This </w:t>
            </w:r>
            <w:r w:rsidR="00635CA5" w:rsidRPr="00001499">
              <w:rPr>
                <w:iCs/>
              </w:rPr>
              <w:t>evaluation considered this was</w:t>
            </w:r>
            <w:r w:rsidR="00635CA5" w:rsidRPr="00001499">
              <w:t xml:space="preserve"> </w:t>
            </w:r>
            <w:r w:rsidRPr="00001499">
              <w:t>reasonable as inputs were based on age-specific notification rates of laboratory confirmed influenza in Australia as a proxy.</w:t>
            </w:r>
          </w:p>
        </w:tc>
      </w:tr>
      <w:tr w:rsidR="009C29A2" w:rsidRPr="00001499" w14:paraId="3FDA7985" w14:textId="77777777" w:rsidTr="00FC7A97">
        <w:trPr>
          <w:cantSplit/>
        </w:trPr>
        <w:tc>
          <w:tcPr>
            <w:tcW w:w="784" w:type="pct"/>
            <w:shd w:val="clear" w:color="auto" w:fill="auto"/>
            <w:vAlign w:val="center"/>
          </w:tcPr>
          <w:p w14:paraId="02375CA4" w14:textId="77777777" w:rsidR="009C29A2" w:rsidRPr="00001499" w:rsidRDefault="009C29A2" w:rsidP="00FC7A97">
            <w:pPr>
              <w:pStyle w:val="TableText0"/>
              <w:widowControl w:val="0"/>
            </w:pPr>
            <w:r w:rsidRPr="00001499">
              <w:t>Cycle length</w:t>
            </w:r>
          </w:p>
        </w:tc>
        <w:tc>
          <w:tcPr>
            <w:tcW w:w="4216" w:type="pct"/>
            <w:shd w:val="clear" w:color="auto" w:fill="auto"/>
            <w:vAlign w:val="center"/>
          </w:tcPr>
          <w:p w14:paraId="20E9AE8F" w14:textId="77777777" w:rsidR="009C29A2" w:rsidRPr="00001499" w:rsidRDefault="009C29A2" w:rsidP="00FC7A97">
            <w:pPr>
              <w:pStyle w:val="TableText0"/>
              <w:widowControl w:val="0"/>
            </w:pPr>
            <w:r w:rsidRPr="00001499">
              <w:t>1 year</w:t>
            </w:r>
          </w:p>
        </w:tc>
      </w:tr>
      <w:tr w:rsidR="009C29A2" w:rsidRPr="00001499" w14:paraId="46ED09E5" w14:textId="77777777" w:rsidTr="00FC7A97">
        <w:trPr>
          <w:cantSplit/>
        </w:trPr>
        <w:tc>
          <w:tcPr>
            <w:tcW w:w="784" w:type="pct"/>
            <w:shd w:val="clear" w:color="auto" w:fill="auto"/>
            <w:vAlign w:val="center"/>
          </w:tcPr>
          <w:p w14:paraId="3B74BE6E" w14:textId="77777777" w:rsidR="009C29A2" w:rsidRPr="00001499" w:rsidRDefault="009C29A2" w:rsidP="00FC7A97">
            <w:pPr>
              <w:pStyle w:val="TableText0"/>
              <w:widowControl w:val="0"/>
            </w:pPr>
            <w:r w:rsidRPr="00001499">
              <w:t xml:space="preserve">Transition probabilities </w:t>
            </w:r>
          </w:p>
          <w:p w14:paraId="08BA5702" w14:textId="77777777" w:rsidR="009C29A2" w:rsidRPr="00001499" w:rsidRDefault="009C29A2" w:rsidP="00FC7A97">
            <w:pPr>
              <w:pStyle w:val="TableText0"/>
              <w:widowControl w:val="0"/>
            </w:pPr>
          </w:p>
        </w:tc>
        <w:tc>
          <w:tcPr>
            <w:tcW w:w="4216" w:type="pct"/>
            <w:shd w:val="clear" w:color="auto" w:fill="auto"/>
            <w:vAlign w:val="center"/>
          </w:tcPr>
          <w:p w14:paraId="6FA8A16B" w14:textId="77777777" w:rsidR="009C29A2" w:rsidRPr="00001499" w:rsidRDefault="009C29A2" w:rsidP="00FC7A97">
            <w:pPr>
              <w:pStyle w:val="TableText0"/>
              <w:widowControl w:val="0"/>
            </w:pPr>
            <w:r w:rsidRPr="00001499">
              <w:rPr>
                <w:u w:val="single"/>
              </w:rPr>
              <w:t>Background incidence of influenza (age and season specific):</w:t>
            </w:r>
            <w:r w:rsidRPr="00001499">
              <w:t xml:space="preserve"> season- and age-specific laboratory confirmed influenza notifications reported for 2015-2019 through the NNDSS.</w:t>
            </w:r>
          </w:p>
          <w:p w14:paraId="334580D4" w14:textId="77777777" w:rsidR="009C29A2" w:rsidRPr="00001499" w:rsidRDefault="009C29A2" w:rsidP="00FC7A97">
            <w:pPr>
              <w:pStyle w:val="TableText0"/>
              <w:widowControl w:val="0"/>
            </w:pPr>
          </w:p>
          <w:p w14:paraId="0C6C21B5" w14:textId="77777777" w:rsidR="009C29A2" w:rsidRPr="00001499" w:rsidRDefault="009C29A2" w:rsidP="00FC7A97">
            <w:pPr>
              <w:pStyle w:val="TableText0"/>
              <w:widowControl w:val="0"/>
            </w:pPr>
            <w:r w:rsidRPr="00001499">
              <w:rPr>
                <w:u w:val="single"/>
              </w:rPr>
              <w:t>Influenza hospitalisations:</w:t>
            </w:r>
            <w:r w:rsidRPr="00001499">
              <w:t xml:space="preserve"> calculated based on age and season-specific ratio between the influenza hospitalisation rate (sourced from National Hospital Morbidity Database) and the influenza notification rate. Adjusted to proposed populations using rate ratios and proportions sourced from literature. </w:t>
            </w:r>
          </w:p>
          <w:p w14:paraId="2B55C451" w14:textId="77777777" w:rsidR="009C29A2" w:rsidRPr="00001499" w:rsidRDefault="009C29A2" w:rsidP="00FC7A97">
            <w:pPr>
              <w:pStyle w:val="TableText0"/>
              <w:widowControl w:val="0"/>
            </w:pPr>
          </w:p>
          <w:p w14:paraId="14592DAC" w14:textId="77777777" w:rsidR="009C29A2" w:rsidRPr="00001499" w:rsidRDefault="009C29A2" w:rsidP="00FC7A97">
            <w:pPr>
              <w:pStyle w:val="TableText0"/>
              <w:widowControl w:val="0"/>
            </w:pPr>
            <w:r w:rsidRPr="00001499">
              <w:rPr>
                <w:u w:val="single"/>
              </w:rPr>
              <w:t>Influenza-related deaths (case-fatality ratio):</w:t>
            </w:r>
            <w:r w:rsidRPr="00001499">
              <w:t xml:space="preserve"> calculated from modelled influenza associated respiratory and cardiovascular hospitalisations and deaths from Leung et al (2021). Adjusted to proposed populations using rate ratios and proportions sourced from literature. </w:t>
            </w:r>
          </w:p>
          <w:p w14:paraId="3C39D595" w14:textId="77777777" w:rsidR="009C29A2" w:rsidRPr="00001499" w:rsidRDefault="009C29A2" w:rsidP="00FC7A97">
            <w:pPr>
              <w:pStyle w:val="TableText0"/>
              <w:widowControl w:val="0"/>
            </w:pPr>
          </w:p>
          <w:p w14:paraId="11C39484" w14:textId="2E4098C3" w:rsidR="009C29A2" w:rsidRPr="00001499" w:rsidRDefault="009C29A2" w:rsidP="00FC7A97">
            <w:pPr>
              <w:pStyle w:val="TableText0"/>
              <w:widowControl w:val="0"/>
            </w:pPr>
            <w:r w:rsidRPr="00001499">
              <w:rPr>
                <w:u w:val="single"/>
              </w:rPr>
              <w:t xml:space="preserve">Other inputs used to calculate population-specific incidence, hospitalisation and CFR: </w:t>
            </w:r>
          </w:p>
          <w:p w14:paraId="17254833" w14:textId="77777777" w:rsidR="009C29A2" w:rsidRPr="00001499" w:rsidRDefault="009C29A2" w:rsidP="00AC330C">
            <w:pPr>
              <w:pStyle w:val="TableText0"/>
              <w:widowControl w:val="0"/>
              <w:numPr>
                <w:ilvl w:val="0"/>
                <w:numId w:val="10"/>
              </w:numPr>
              <w:ind w:left="251" w:hanging="141"/>
            </w:pPr>
            <w:r w:rsidRPr="00001499">
              <w:t>Ioannides et al, 2019 – source of rate ratio of notification rates in Aboriginal and Torres Strait Islander populations versus non-Indigenous populations.</w:t>
            </w:r>
          </w:p>
          <w:p w14:paraId="0C4F8181" w14:textId="6868AB5E" w:rsidR="009C29A2" w:rsidRPr="00001499" w:rsidRDefault="009C29A2" w:rsidP="00AC330C">
            <w:pPr>
              <w:pStyle w:val="TableText0"/>
              <w:widowControl w:val="0"/>
              <w:numPr>
                <w:ilvl w:val="0"/>
                <w:numId w:val="10"/>
              </w:numPr>
              <w:ind w:left="251" w:hanging="141"/>
            </w:pPr>
            <w:r w:rsidRPr="00001499">
              <w:t>Cromer et al, 2014 – source of rate ratio of hospitalisation rates</w:t>
            </w:r>
            <w:r w:rsidR="00CC56B2" w:rsidRPr="00001499">
              <w:t xml:space="preserve"> </w:t>
            </w:r>
            <w:r w:rsidR="00CC56B2" w:rsidRPr="00001499">
              <w:rPr>
                <w:iCs/>
              </w:rPr>
              <w:t>and CFRs</w:t>
            </w:r>
            <w:r w:rsidRPr="00001499">
              <w:t xml:space="preserve"> in the high risk versus non-high risk populations.</w:t>
            </w:r>
          </w:p>
          <w:p w14:paraId="6127F572" w14:textId="6B3D0730" w:rsidR="009C29A2" w:rsidRPr="00001499" w:rsidRDefault="00A77DC7" w:rsidP="00AC330C">
            <w:pPr>
              <w:pStyle w:val="TableText0"/>
              <w:widowControl w:val="0"/>
              <w:numPr>
                <w:ilvl w:val="0"/>
                <w:numId w:val="10"/>
              </w:numPr>
              <w:ind w:left="251" w:hanging="141"/>
            </w:pPr>
            <w:r w:rsidRPr="00001499">
              <w:t>MedicineInsight</w:t>
            </w:r>
            <w:r w:rsidR="009C29A2" w:rsidRPr="00001499">
              <w:t xml:space="preserve"> 2014 – source for proportion of population with medical conditions that increase the risk of influenza complications.</w:t>
            </w:r>
          </w:p>
          <w:p w14:paraId="55001079" w14:textId="77777777" w:rsidR="009C29A2" w:rsidRPr="00001499" w:rsidRDefault="009C29A2" w:rsidP="00AC330C">
            <w:pPr>
              <w:pStyle w:val="TableText0"/>
              <w:widowControl w:val="0"/>
              <w:numPr>
                <w:ilvl w:val="0"/>
                <w:numId w:val="10"/>
              </w:numPr>
              <w:ind w:left="251" w:hanging="141"/>
            </w:pPr>
            <w:r w:rsidRPr="00001499">
              <w:rPr>
                <w:rFonts w:cs="Times New Roman"/>
              </w:rPr>
              <w:t>Australian Institute of Health and Welfare</w:t>
            </w:r>
            <w:r w:rsidRPr="00001499">
              <w:t xml:space="preserve"> 2018 – source for the distribution of mothers.</w:t>
            </w:r>
          </w:p>
          <w:p w14:paraId="7E84C7AC" w14:textId="77777777" w:rsidR="009C29A2" w:rsidRPr="00001499" w:rsidRDefault="009C29A2" w:rsidP="00AC330C">
            <w:pPr>
              <w:pStyle w:val="TableText0"/>
              <w:widowControl w:val="0"/>
              <w:numPr>
                <w:ilvl w:val="0"/>
                <w:numId w:val="10"/>
              </w:numPr>
              <w:ind w:left="251" w:hanging="141"/>
            </w:pPr>
            <w:r w:rsidRPr="00001499">
              <w:t>Prasad et al, 2019 – source of rate ratio of hospitalisation rates in the pregnant population.</w:t>
            </w:r>
          </w:p>
        </w:tc>
      </w:tr>
      <w:tr w:rsidR="009C29A2" w:rsidRPr="00001499" w14:paraId="59F5E8D7" w14:textId="77777777" w:rsidTr="00FC7A97">
        <w:trPr>
          <w:cantSplit/>
        </w:trPr>
        <w:tc>
          <w:tcPr>
            <w:tcW w:w="784" w:type="pct"/>
            <w:shd w:val="clear" w:color="auto" w:fill="auto"/>
            <w:vAlign w:val="center"/>
          </w:tcPr>
          <w:p w14:paraId="0EA16C23" w14:textId="77777777" w:rsidR="009C29A2" w:rsidRPr="00001499" w:rsidRDefault="009C29A2" w:rsidP="00FC7A97">
            <w:pPr>
              <w:pStyle w:val="TableText0"/>
              <w:widowControl w:val="0"/>
            </w:pPr>
            <w:r w:rsidRPr="00001499">
              <w:t>Relative vaccine effectiveness</w:t>
            </w:r>
          </w:p>
        </w:tc>
        <w:tc>
          <w:tcPr>
            <w:tcW w:w="4216" w:type="pct"/>
            <w:shd w:val="clear" w:color="auto" w:fill="auto"/>
            <w:vAlign w:val="center"/>
          </w:tcPr>
          <w:p w14:paraId="61BE3B4D" w14:textId="77777777" w:rsidR="009C29A2" w:rsidRPr="00001499" w:rsidRDefault="009C29A2" w:rsidP="00FC7A97">
            <w:pPr>
              <w:pStyle w:val="TableText0"/>
              <w:widowControl w:val="0"/>
            </w:pPr>
            <w:r w:rsidRPr="00001499">
              <w:t>Estimated from meta-analyses of retrospective cohort (observational) studies presented as evidence to demonstrate clinical effectiveness.</w:t>
            </w:r>
          </w:p>
        </w:tc>
      </w:tr>
      <w:tr w:rsidR="009C29A2" w:rsidRPr="00001499" w14:paraId="6FC0F546" w14:textId="77777777" w:rsidTr="00FC7A97">
        <w:trPr>
          <w:cantSplit/>
        </w:trPr>
        <w:tc>
          <w:tcPr>
            <w:tcW w:w="784" w:type="pct"/>
            <w:shd w:val="clear" w:color="auto" w:fill="auto"/>
            <w:vAlign w:val="center"/>
          </w:tcPr>
          <w:p w14:paraId="49F26136" w14:textId="77777777" w:rsidR="009C29A2" w:rsidRPr="00001499" w:rsidRDefault="009C29A2" w:rsidP="00FC7A97">
            <w:pPr>
              <w:pStyle w:val="TableText0"/>
              <w:widowControl w:val="0"/>
            </w:pPr>
            <w:r w:rsidRPr="00001499">
              <w:t>Vaccine coverage</w:t>
            </w:r>
          </w:p>
        </w:tc>
        <w:tc>
          <w:tcPr>
            <w:tcW w:w="4216" w:type="pct"/>
            <w:shd w:val="clear" w:color="auto" w:fill="auto"/>
            <w:vAlign w:val="center"/>
          </w:tcPr>
          <w:p w14:paraId="72883E0A" w14:textId="77777777" w:rsidR="009C29A2" w:rsidRPr="00001499" w:rsidRDefault="009C29A2" w:rsidP="00FC7A97">
            <w:pPr>
              <w:pStyle w:val="TableText0"/>
              <w:widowControl w:val="0"/>
              <w:rPr>
                <w:i/>
                <w:iCs/>
              </w:rPr>
            </w:pPr>
            <w:r w:rsidRPr="00001499">
              <w:t>Age and population specific rates from Beard et al. 2021, FluCAN annual reports 2015-2018, Kaufman et al. 2021 and ATAGI pre-submission advice. These estimates were used to re-weight results from the static cohort model for the Aboriginal and Torres Strait Islander and high-risk populations.</w:t>
            </w:r>
          </w:p>
        </w:tc>
      </w:tr>
      <w:tr w:rsidR="009C29A2" w:rsidRPr="00001499" w14:paraId="2C91FF9F" w14:textId="77777777" w:rsidTr="00FC7A97">
        <w:trPr>
          <w:cantSplit/>
        </w:trPr>
        <w:tc>
          <w:tcPr>
            <w:tcW w:w="784" w:type="pct"/>
            <w:shd w:val="clear" w:color="auto" w:fill="auto"/>
            <w:vAlign w:val="center"/>
          </w:tcPr>
          <w:p w14:paraId="588E7125" w14:textId="77777777" w:rsidR="009C29A2" w:rsidRPr="00001499" w:rsidRDefault="009C29A2" w:rsidP="00FC7A97">
            <w:pPr>
              <w:pStyle w:val="TableText0"/>
              <w:widowControl w:val="0"/>
            </w:pPr>
            <w:r w:rsidRPr="00001499">
              <w:t>Extrapolation method</w:t>
            </w:r>
          </w:p>
        </w:tc>
        <w:tc>
          <w:tcPr>
            <w:tcW w:w="4216" w:type="pct"/>
            <w:shd w:val="clear" w:color="auto" w:fill="auto"/>
            <w:vAlign w:val="center"/>
          </w:tcPr>
          <w:p w14:paraId="6B9775E0" w14:textId="77777777" w:rsidR="009C29A2" w:rsidRPr="00001499" w:rsidRDefault="009C29A2" w:rsidP="00FC7A97">
            <w:pPr>
              <w:pStyle w:val="TableText0"/>
              <w:widowControl w:val="0"/>
              <w:rPr>
                <w:i/>
                <w:iCs/>
              </w:rPr>
            </w:pPr>
            <w:r w:rsidRPr="00001499">
              <w:t>Full life expectancy was applied to the surviving population to estimate the differential impact of QIVc compared to QIVe on influenza-related deaths. QALYs were also modelled to full life expectancy.</w:t>
            </w:r>
          </w:p>
        </w:tc>
      </w:tr>
      <w:tr w:rsidR="009C29A2" w:rsidRPr="00001499" w14:paraId="2DA8C920" w14:textId="77777777" w:rsidTr="00FC7A97">
        <w:trPr>
          <w:cantSplit/>
        </w:trPr>
        <w:tc>
          <w:tcPr>
            <w:tcW w:w="784" w:type="pct"/>
            <w:shd w:val="clear" w:color="auto" w:fill="auto"/>
            <w:vAlign w:val="center"/>
          </w:tcPr>
          <w:p w14:paraId="78084A4E" w14:textId="77777777" w:rsidR="009C29A2" w:rsidRPr="00001499" w:rsidRDefault="009C29A2" w:rsidP="00FC7A97">
            <w:pPr>
              <w:pStyle w:val="TableText0"/>
              <w:keepNext w:val="0"/>
              <w:widowControl w:val="0"/>
            </w:pPr>
            <w:r w:rsidRPr="00001499">
              <w:t>Health related quality of life</w:t>
            </w:r>
          </w:p>
        </w:tc>
        <w:tc>
          <w:tcPr>
            <w:tcW w:w="4216" w:type="pct"/>
            <w:shd w:val="clear" w:color="auto" w:fill="auto"/>
            <w:vAlign w:val="center"/>
          </w:tcPr>
          <w:p w14:paraId="7117807A" w14:textId="77777777" w:rsidR="009C29A2" w:rsidRPr="00001499" w:rsidRDefault="009C29A2" w:rsidP="00FC7A97">
            <w:pPr>
              <w:pStyle w:val="TableText0"/>
              <w:keepNext w:val="0"/>
              <w:widowControl w:val="0"/>
            </w:pPr>
            <w:r w:rsidRPr="00001499">
              <w:t xml:space="preserve">Published studies including McCaffrey et al. 2016, </w:t>
            </w:r>
            <w:r w:rsidRPr="00001499">
              <w:rPr>
                <w:rFonts w:cs="Calibri"/>
                <w:color w:val="000000"/>
              </w:rPr>
              <w:t xml:space="preserve">Hollmann et al. 2013, Bilcke et al. 2014. </w:t>
            </w:r>
            <w:r w:rsidRPr="00001499">
              <w:t>Australian norms used to reflect utility of normal health. Disutilities for hospitalised and outpatient influenza were sourced from studies of the Spanish and Belgian populations. Utilities were based on the adult population.</w:t>
            </w:r>
          </w:p>
        </w:tc>
      </w:tr>
      <w:tr w:rsidR="009C29A2" w:rsidRPr="00001499" w14:paraId="2E3CC1BB" w14:textId="77777777" w:rsidTr="00FC7A97">
        <w:trPr>
          <w:cantSplit/>
        </w:trPr>
        <w:tc>
          <w:tcPr>
            <w:tcW w:w="784" w:type="pct"/>
            <w:shd w:val="clear" w:color="auto" w:fill="auto"/>
            <w:vAlign w:val="center"/>
          </w:tcPr>
          <w:p w14:paraId="3F388D64" w14:textId="77777777" w:rsidR="009C29A2" w:rsidRPr="00001499" w:rsidRDefault="009C29A2" w:rsidP="00FC7A97">
            <w:pPr>
              <w:pStyle w:val="TableText0"/>
              <w:keepNext w:val="0"/>
              <w:widowControl w:val="0"/>
            </w:pPr>
            <w:r w:rsidRPr="00001499">
              <w:t>Costs</w:t>
            </w:r>
          </w:p>
        </w:tc>
        <w:tc>
          <w:tcPr>
            <w:tcW w:w="4216" w:type="pct"/>
            <w:shd w:val="clear" w:color="auto" w:fill="auto"/>
            <w:vAlign w:val="center"/>
          </w:tcPr>
          <w:p w14:paraId="77951B14" w14:textId="77777777" w:rsidR="009C29A2" w:rsidRPr="00001499" w:rsidRDefault="009C29A2" w:rsidP="00FC7A97">
            <w:pPr>
              <w:pStyle w:val="TableText0"/>
              <w:keepNext w:val="0"/>
              <w:widowControl w:val="0"/>
            </w:pPr>
            <w:r w:rsidRPr="00001499">
              <w:t xml:space="preserve">Direct medical costs, including vaccine administration costs, GP consultation for influenza, averaged AR-DRG costs for influenza hospitalisation episode, influenza test, anti-viral therapy and ambulance for hospitalisations. </w:t>
            </w:r>
          </w:p>
        </w:tc>
      </w:tr>
    </w:tbl>
    <w:p w14:paraId="6BE0F953" w14:textId="77777777" w:rsidR="009C29A2" w:rsidRPr="00001499" w:rsidRDefault="009C29A2" w:rsidP="009C29A2">
      <w:pPr>
        <w:pStyle w:val="TableFigureFooter"/>
      </w:pPr>
      <w:r w:rsidRPr="00001499">
        <w:t>Source: Compiled during the evaluation based on Tables 3.1.1, 3.2.3, 3.4.2-3.4.22, 3.5.4, 3.6.3, p126, 140, 156-171, 178, 179 of the submission.</w:t>
      </w:r>
    </w:p>
    <w:p w14:paraId="30C9CF8D" w14:textId="77777777" w:rsidR="009C29A2" w:rsidRPr="00001499" w:rsidRDefault="009C29A2" w:rsidP="009C29A2">
      <w:pPr>
        <w:pStyle w:val="TableFigureFooter"/>
      </w:pPr>
      <w:r w:rsidRPr="00001499">
        <w:t>QIVc = cell-based quadrivalent subunit influenza virus vaccine, QIVe = egg-based quadrivalent subunit influenza virus vaccine, CFR = case fatality rate, ATAGI = Australian Technical Advisory Group on Immunisation, GP = general practitioner, AR-DRG = Australian Refined Diagnosis Related Groups, NNDSS = National Notifiable Disease Surveillance System.</w:t>
      </w:r>
    </w:p>
    <w:p w14:paraId="492C2B5D" w14:textId="3D7998C9" w:rsidR="009C29A2" w:rsidRPr="00001499" w:rsidRDefault="009C29A2" w:rsidP="00AA46C6">
      <w:pPr>
        <w:pStyle w:val="3-BodyText"/>
        <w:ind w:left="709"/>
      </w:pPr>
      <w:bookmarkStart w:id="70" w:name="_Ref96505538"/>
      <w:r w:rsidRPr="00001499">
        <w:lastRenderedPageBreak/>
        <w:t xml:space="preserve">The submission applied estimated rVE based on general population effectiveness to each of the specific populations requested for NIP funding. The application of estimated rVEs to the proposed NIP populations </w:t>
      </w:r>
      <w:r w:rsidR="004057A0">
        <w:t>was</w:t>
      </w:r>
      <w:r w:rsidR="004057A0" w:rsidRPr="00001499">
        <w:t xml:space="preserve"> </w:t>
      </w:r>
      <w:r w:rsidRPr="00001499">
        <w:t>uncertain</w:t>
      </w:r>
      <w:bookmarkEnd w:id="70"/>
      <w:r w:rsidR="00A1705A">
        <w:t>.</w:t>
      </w:r>
    </w:p>
    <w:p w14:paraId="3E887224" w14:textId="59CF14E0" w:rsidR="009C29A2" w:rsidRPr="00001499" w:rsidRDefault="009C29A2" w:rsidP="00AA46C6">
      <w:pPr>
        <w:pStyle w:val="3-BodyText"/>
        <w:ind w:left="709"/>
      </w:pPr>
      <w:r w:rsidRPr="00001499">
        <w:t xml:space="preserve">Outcomes from different clinical settings (primary care and hospitalisation) from the observational studies were combined for the meta-analyses used to inform the rVE applied in the economic model. This may not be appropriate (see paragraphs </w:t>
      </w:r>
      <w:r w:rsidRPr="00001499">
        <w:rPr>
          <w:color w:val="2B579A"/>
        </w:rPr>
        <w:fldChar w:fldCharType="begin" w:fldLock="1"/>
      </w:r>
      <w:r w:rsidRPr="00001499">
        <w:instrText xml:space="preserve"> REF _Ref92962253 \r \h </w:instrText>
      </w:r>
      <w:r w:rsidRPr="00001499">
        <w:rPr>
          <w:color w:val="2B579A"/>
        </w:rPr>
        <w:instrText xml:space="preserve"> \* MERGEFORMAT </w:instrText>
      </w:r>
      <w:r w:rsidRPr="00001499">
        <w:rPr>
          <w:color w:val="2B579A"/>
        </w:rPr>
      </w:r>
      <w:r w:rsidRPr="00001499">
        <w:rPr>
          <w:color w:val="2B579A"/>
          <w:shd w:val="clear" w:color="auto" w:fill="E6E6E6"/>
        </w:rPr>
        <w:fldChar w:fldCharType="separate"/>
      </w:r>
      <w:r w:rsidR="005C1FE9">
        <w:t>6.20</w:t>
      </w:r>
      <w:r w:rsidRPr="00001499">
        <w:rPr>
          <w:color w:val="2B579A"/>
        </w:rPr>
        <w:fldChar w:fldCharType="end"/>
      </w:r>
      <w:r w:rsidRPr="00001499">
        <w:t xml:space="preserve"> and </w:t>
      </w:r>
      <w:r w:rsidRPr="00001499">
        <w:rPr>
          <w:color w:val="2B579A"/>
        </w:rPr>
        <w:fldChar w:fldCharType="begin" w:fldLock="1"/>
      </w:r>
      <w:r w:rsidRPr="00001499">
        <w:instrText xml:space="preserve"> REF _Ref92962255 \r \h </w:instrText>
      </w:r>
      <w:r w:rsidRPr="00001499">
        <w:rPr>
          <w:color w:val="2B579A"/>
        </w:rPr>
        <w:instrText xml:space="preserve"> \* MERGEFORMAT </w:instrText>
      </w:r>
      <w:r w:rsidRPr="00001499">
        <w:rPr>
          <w:color w:val="2B579A"/>
        </w:rPr>
      </w:r>
      <w:r w:rsidRPr="00001499">
        <w:rPr>
          <w:color w:val="2B579A"/>
          <w:shd w:val="clear" w:color="auto" w:fill="E6E6E6"/>
        </w:rPr>
        <w:fldChar w:fldCharType="separate"/>
      </w:r>
      <w:r w:rsidR="005C1FE9">
        <w:t>6.21</w:t>
      </w:r>
      <w:r w:rsidRPr="00001499">
        <w:rPr>
          <w:color w:val="2B579A"/>
        </w:rPr>
        <w:fldChar w:fldCharType="end"/>
      </w:r>
      <w:r w:rsidRPr="00001499">
        <w:t>)</w:t>
      </w:r>
      <w:r w:rsidRPr="00001499">
        <w:rPr>
          <w:rFonts w:eastAsia="Calibri"/>
        </w:rPr>
        <w:t xml:space="preserve">. </w:t>
      </w:r>
      <w:r w:rsidRPr="00001499">
        <w:rPr>
          <w:rFonts w:eastAsia="Calibri"/>
          <w:iCs/>
        </w:rPr>
        <w:t>The PSCR argued that all outcomes measured in the clinical trials, whether in the primary care or the hospitalisation setting, represented instances of medically attended influenza and therefore it was appropriate to combine them in meta-analysis. The ESC agreed with the evaluation and the ATAGI advice that primary care and hospitalisation represent different severities of influenza, and</w:t>
      </w:r>
      <w:r w:rsidR="006765DD" w:rsidRPr="00001499">
        <w:rPr>
          <w:rFonts w:eastAsia="Calibri"/>
          <w:iCs/>
        </w:rPr>
        <w:t xml:space="preserve"> </w:t>
      </w:r>
      <w:r w:rsidRPr="00001499">
        <w:rPr>
          <w:rFonts w:eastAsia="Calibri"/>
          <w:iCs/>
        </w:rPr>
        <w:t xml:space="preserve">the reduction in influenza-related hospitalisations or primary health encounters may be due to a change in the virulence of the circulating virus and therefore </w:t>
      </w:r>
      <w:r w:rsidR="006C476A" w:rsidRPr="00001499">
        <w:rPr>
          <w:rFonts w:eastAsia="Calibri"/>
          <w:iCs/>
        </w:rPr>
        <w:t xml:space="preserve">seasonal </w:t>
      </w:r>
      <w:r w:rsidRPr="00001499">
        <w:rPr>
          <w:rFonts w:eastAsia="Calibri"/>
          <w:iCs/>
        </w:rPr>
        <w:t xml:space="preserve">severity, as opposed to the risk of infection.  </w:t>
      </w:r>
    </w:p>
    <w:p w14:paraId="138FA360" w14:textId="1C041475" w:rsidR="009C29A2" w:rsidRPr="00001499" w:rsidRDefault="006C476A" w:rsidP="00AA46C6">
      <w:pPr>
        <w:pStyle w:val="3-BodyText"/>
        <w:ind w:left="709"/>
      </w:pPr>
      <w:r w:rsidRPr="00001499">
        <w:rPr>
          <w:rFonts w:eastAsia="Calibri"/>
        </w:rPr>
        <w:t>T</w:t>
      </w:r>
      <w:r w:rsidR="009C29A2" w:rsidRPr="00001499">
        <w:rPr>
          <w:rFonts w:eastAsia="Calibri"/>
        </w:rPr>
        <w:t xml:space="preserve">he submission applied the closest match </w:t>
      </w:r>
      <w:r w:rsidR="009C29A2" w:rsidRPr="00001499">
        <w:rPr>
          <w:rFonts w:eastAsia="Calibri"/>
          <w:iCs/>
        </w:rPr>
        <w:t>estimated rVE derived from the observational studies to the Australian Influenza seasons from 2015 to 2019. The rVE from the observational studies was matched to the Australian influenza seasons</w:t>
      </w:r>
      <w:r w:rsidR="009C29A2" w:rsidRPr="00001499">
        <w:rPr>
          <w:rFonts w:eastAsia="Calibri"/>
        </w:rPr>
        <w:t xml:space="preserve"> based on circulating virus strain and evidence of egg-adaptation. The approach applied was not justified or referenced. </w:t>
      </w:r>
    </w:p>
    <w:p w14:paraId="087B5A9E" w14:textId="7860ADA3" w:rsidR="009C29A2" w:rsidRPr="00001499" w:rsidRDefault="009C29A2" w:rsidP="00AA46C6">
      <w:pPr>
        <w:pStyle w:val="3-BodyText"/>
        <w:ind w:left="709"/>
      </w:pPr>
      <w:r w:rsidRPr="00001499">
        <w:t xml:space="preserve">The issue regarding the </w:t>
      </w:r>
      <w:r w:rsidRPr="00001499">
        <w:rPr>
          <w:iCs/>
        </w:rPr>
        <w:t>uncertain</w:t>
      </w:r>
      <w:r w:rsidRPr="00001499">
        <w:t xml:space="preserve"> applicability of rVE to incidence of influenza raised by ATAGI remains and </w:t>
      </w:r>
      <w:r w:rsidRPr="00001499">
        <w:rPr>
          <w:iCs/>
        </w:rPr>
        <w:t>it</w:t>
      </w:r>
      <w:r w:rsidRPr="00001499">
        <w:t xml:space="preserve"> may not be a reasonable approach. </w:t>
      </w:r>
    </w:p>
    <w:p w14:paraId="7F501079" w14:textId="3E5DC216" w:rsidR="009C29A2" w:rsidRPr="00001499" w:rsidRDefault="009C29A2" w:rsidP="00AA46C6">
      <w:pPr>
        <w:pStyle w:val="3-BodyText"/>
        <w:ind w:left="709"/>
        <w:rPr>
          <w:iCs/>
        </w:rPr>
      </w:pPr>
      <w:r w:rsidRPr="00001499">
        <w:t>The submission presented combined results weighted by the numbers of vaccinated persons in each population. The method applied was reasonable</w:t>
      </w:r>
      <w:r w:rsidR="00A77DC7" w:rsidRPr="00001499">
        <w:t>;</w:t>
      </w:r>
      <w:r w:rsidRPr="00001499">
        <w:t xml:space="preserve"> however,</w:t>
      </w:r>
      <w:r w:rsidR="008538C8" w:rsidRPr="00001499">
        <w:t xml:space="preserve"> </w:t>
      </w:r>
      <w:r w:rsidR="008538C8" w:rsidRPr="00001499">
        <w:rPr>
          <w:iCs/>
        </w:rPr>
        <w:t xml:space="preserve">the structure and presentation of results were difficult to </w:t>
      </w:r>
      <w:r w:rsidR="00857CDD" w:rsidRPr="00001499">
        <w:rPr>
          <w:iCs/>
        </w:rPr>
        <w:t>interpret</w:t>
      </w:r>
      <w:r w:rsidR="008538C8" w:rsidRPr="00001499">
        <w:rPr>
          <w:iCs/>
        </w:rPr>
        <w:t xml:space="preserve"> and meant that the evaluation had limited ability to conduct sensitivity analyses.</w:t>
      </w:r>
      <w:r w:rsidRPr="00001499">
        <w:t xml:space="preserve"> </w:t>
      </w:r>
      <w:r w:rsidRPr="00001499">
        <w:rPr>
          <w:iCs/>
        </w:rPr>
        <w:t xml:space="preserve">The PSCR provided additional </w:t>
      </w:r>
      <w:r w:rsidR="00857CDD" w:rsidRPr="00001499">
        <w:rPr>
          <w:iCs/>
        </w:rPr>
        <w:t>explanation to allow for further sensitivity testing</w:t>
      </w:r>
      <w:r w:rsidRPr="00001499">
        <w:rPr>
          <w:iCs/>
        </w:rPr>
        <w:t xml:space="preserve">.  </w:t>
      </w:r>
    </w:p>
    <w:p w14:paraId="3D94F130" w14:textId="11E7793A" w:rsidR="009C29A2" w:rsidRPr="00001499" w:rsidRDefault="009C29A2" w:rsidP="00AA46C6">
      <w:pPr>
        <w:pStyle w:val="3-BodyText"/>
        <w:ind w:left="709"/>
      </w:pPr>
      <w:r w:rsidRPr="00001499">
        <w:t xml:space="preserve">The time horizon for the model </w:t>
      </w:r>
      <w:r w:rsidR="004057A0">
        <w:t>wa</w:t>
      </w:r>
      <w:r w:rsidRPr="00001499">
        <w:t xml:space="preserve">s one year. The vaccine effectiveness and costs were applied for one year. Those surviving were modelled to full life expectancy with QALY impacts applied. The QALY impact of the ‘Outpatient influenza’ and ‘Hospitalised influenza’ health states were short term and the QALYs of the ‘Well (no influenza)’ state was modelled to full life expectancy. </w:t>
      </w:r>
      <w:r w:rsidR="00857CDD" w:rsidRPr="00001499">
        <w:rPr>
          <w:iCs/>
        </w:rPr>
        <w:t xml:space="preserve">The ESC considered that it was reasonable to extrapolate surviving populations to full life expectancy, with QALY impacts applied. </w:t>
      </w:r>
      <w:r w:rsidRPr="00001499">
        <w:t xml:space="preserve">While the life expectancy appeared to be appropriately estimated, the attribution of QALYs did not appear to have been age adjusted. For instance, individuals who were young at time of death gained a larger amount of QALYs throughout their life than would be expected given secular trends in QALY decline with increasing age. </w:t>
      </w:r>
    </w:p>
    <w:p w14:paraId="15F58266" w14:textId="2FF2455F" w:rsidR="009C29A2" w:rsidRPr="00001499" w:rsidRDefault="009C29A2" w:rsidP="00AA46C6">
      <w:pPr>
        <w:pStyle w:val="3-BodyText"/>
        <w:ind w:left="709"/>
      </w:pPr>
      <w:r w:rsidRPr="00001499">
        <w:t xml:space="preserve">Australian ABS life tables </w:t>
      </w:r>
      <w:r w:rsidRPr="00001499">
        <w:rPr>
          <w:iCs/>
        </w:rPr>
        <w:t>were</w:t>
      </w:r>
      <w:r w:rsidRPr="00001499">
        <w:t xml:space="preserve"> used to estimate life expectancy and to calculate expected QALYs for both Aboriginal and Torres Strait Islander and non-Indigenous populations. </w:t>
      </w:r>
      <w:r w:rsidR="0065146B" w:rsidRPr="00001499">
        <w:rPr>
          <w:iCs/>
        </w:rPr>
        <w:t xml:space="preserve">The PSCR acknowledged that this survival was </w:t>
      </w:r>
      <w:r w:rsidRPr="00001499">
        <w:t>likely overestimated for the Aboriginal and Torres Strait Islander population</w:t>
      </w:r>
      <w:r w:rsidR="00C7347F">
        <w:t>.</w:t>
      </w:r>
      <w:r w:rsidR="00C7347F">
        <w:rPr>
          <w:iCs/>
        </w:rPr>
        <w:t xml:space="preserve"> An</w:t>
      </w:r>
      <w:r w:rsidR="008A3049">
        <w:rPr>
          <w:iCs/>
        </w:rPr>
        <w:t xml:space="preserve"> </w:t>
      </w:r>
      <w:r w:rsidR="00C7347F">
        <w:rPr>
          <w:iCs/>
        </w:rPr>
        <w:t>updated</w:t>
      </w:r>
      <w:r w:rsidR="008A3049">
        <w:rPr>
          <w:iCs/>
        </w:rPr>
        <w:t xml:space="preserve"> economic model was provided in the pre-PBAC response. </w:t>
      </w:r>
      <w:r w:rsidR="00FB4C67">
        <w:rPr>
          <w:iCs/>
        </w:rPr>
        <w:t>The</w:t>
      </w:r>
      <w:r w:rsidR="008A3049">
        <w:rPr>
          <w:iCs/>
        </w:rPr>
        <w:t xml:space="preserve"> pre-PBAC response </w:t>
      </w:r>
      <w:r w:rsidR="00FB4C67">
        <w:rPr>
          <w:iCs/>
        </w:rPr>
        <w:t xml:space="preserve">stated </w:t>
      </w:r>
      <w:r w:rsidR="008A3049">
        <w:rPr>
          <w:iCs/>
        </w:rPr>
        <w:t xml:space="preserve">that </w:t>
      </w:r>
      <w:r w:rsidR="008A3049" w:rsidRPr="00001499">
        <w:t xml:space="preserve">Aboriginal and </w:t>
      </w:r>
      <w:r w:rsidR="008A3049" w:rsidRPr="00001499">
        <w:lastRenderedPageBreak/>
        <w:t>Torres Strait Islander</w:t>
      </w:r>
      <w:r w:rsidR="008A3049">
        <w:t xml:space="preserve"> specific life expectancy estimates were applied to </w:t>
      </w:r>
      <w:r w:rsidR="008A3049">
        <w:rPr>
          <w:iCs/>
        </w:rPr>
        <w:t>the updated model.</w:t>
      </w:r>
    </w:p>
    <w:p w14:paraId="0698533B" w14:textId="7C5C0A6D" w:rsidR="009C29A2" w:rsidRPr="00001499" w:rsidRDefault="009C29A2" w:rsidP="00E5298D">
      <w:pPr>
        <w:pStyle w:val="3-BodyText"/>
        <w:ind w:left="709"/>
      </w:pPr>
      <w:r w:rsidRPr="00001499">
        <w:t xml:space="preserve">Each of the four populations were modelled separately, applying population specific rates to determine incidence, hospitalisation rates and influenza-related mortality. Within the model, data sources were used to estimate the </w:t>
      </w:r>
      <w:r w:rsidRPr="00001499">
        <w:rPr>
          <w:iCs/>
        </w:rPr>
        <w:t>size</w:t>
      </w:r>
      <w:r w:rsidRPr="00001499">
        <w:t xml:space="preserve"> of three populations: the Aboriginal and Torres Strait Islander population, individuals with high-risk conditions, and women who are pregnant in the modelled year. However, the sizes of these populations appear to be independently assessed. This may result in individuals being ‘double counted’ due to having two or more of these characteristics. </w:t>
      </w:r>
      <w:r w:rsidRPr="00001499">
        <w:rPr>
          <w:iCs/>
        </w:rPr>
        <w:t>The PSCR acknowledged NIP-populations were double-counted in the static cohort model due to the lack of available data to inform the adjustmen</w:t>
      </w:r>
      <w:r w:rsidR="00A77DC7" w:rsidRPr="00001499">
        <w:rPr>
          <w:iCs/>
        </w:rPr>
        <w:t>t</w:t>
      </w:r>
      <w:r w:rsidR="00783D84" w:rsidRPr="00001499">
        <w:rPr>
          <w:iCs/>
        </w:rPr>
        <w:t xml:space="preserve"> but claimed the impact on cost-effectiveness would be negligible</w:t>
      </w:r>
      <w:r w:rsidRPr="00001499">
        <w:rPr>
          <w:iCs/>
        </w:rPr>
        <w:t xml:space="preserve">. </w:t>
      </w:r>
    </w:p>
    <w:p w14:paraId="1CBDBF8C" w14:textId="7208EB49" w:rsidR="009C29A2" w:rsidRPr="00001499" w:rsidRDefault="009C29A2" w:rsidP="00AA46C6">
      <w:pPr>
        <w:pStyle w:val="3-BodyText"/>
        <w:ind w:left="709"/>
      </w:pPr>
      <w:r w:rsidRPr="00001499">
        <w:t xml:space="preserve">The submission appeared to have applied a reasonable approach to inflate risk for the higher risk populations (Aboriginal and Torres Strait Islander, high-risk with comorbidities, pregnant women), however the corresponding recalibration of the remaining low-risk (i.e. general population minus high-risk population) population risk data was not undertaken. The combination of inflation of the high-risk population without corresponding adjustment for the </w:t>
      </w:r>
      <w:r w:rsidR="00A77DC7" w:rsidRPr="00001499">
        <w:t>low risk</w:t>
      </w:r>
      <w:r w:rsidRPr="00001499">
        <w:t xml:space="preserve"> had the overall effect of increasing the risk of the total modelled population. This had a flow-on effect to subsequent calculations for hospitalisations and case fatality ratios (CFRs).</w:t>
      </w:r>
      <w:r w:rsidR="004047CC" w:rsidRPr="004047CC">
        <w:rPr>
          <w:iCs/>
        </w:rPr>
        <w:t xml:space="preserve"> </w:t>
      </w:r>
      <w:r w:rsidR="004047CC">
        <w:rPr>
          <w:iCs/>
        </w:rPr>
        <w:t xml:space="preserve">The pre-PBAC response stated that </w:t>
      </w:r>
      <w:r w:rsidR="00C029A9">
        <w:rPr>
          <w:iCs/>
        </w:rPr>
        <w:t>the</w:t>
      </w:r>
      <w:r w:rsidR="004047CC">
        <w:rPr>
          <w:iCs/>
        </w:rPr>
        <w:t xml:space="preserve"> hospitalisation rates for the high-risk population in the updated economic model</w:t>
      </w:r>
      <w:r w:rsidR="00C029A9">
        <w:rPr>
          <w:iCs/>
        </w:rPr>
        <w:t xml:space="preserve"> was adjusted</w:t>
      </w:r>
      <w:r w:rsidR="004047CC">
        <w:rPr>
          <w:iCs/>
        </w:rPr>
        <w:t xml:space="preserve">, </w:t>
      </w:r>
      <w:r w:rsidR="0061573C">
        <w:rPr>
          <w:iCs/>
        </w:rPr>
        <w:t xml:space="preserve">to </w:t>
      </w:r>
      <w:r w:rsidR="004047CC">
        <w:rPr>
          <w:iCs/>
        </w:rPr>
        <w:t>remov</w:t>
      </w:r>
      <w:r w:rsidR="00C029A9">
        <w:rPr>
          <w:iCs/>
        </w:rPr>
        <w:t xml:space="preserve">e </w:t>
      </w:r>
      <w:r w:rsidR="004047CC">
        <w:rPr>
          <w:iCs/>
        </w:rPr>
        <w:t xml:space="preserve">the risk associated with the </w:t>
      </w:r>
      <w:r w:rsidR="004047CC" w:rsidRPr="00001499">
        <w:t>Aboriginal and Torres Strait Islander population</w:t>
      </w:r>
      <w:r w:rsidR="004047CC">
        <w:t>.</w:t>
      </w:r>
    </w:p>
    <w:p w14:paraId="68C3C8C5" w14:textId="4D081395" w:rsidR="002646CA" w:rsidRPr="002646CA" w:rsidRDefault="009C29A2" w:rsidP="00AA46C6">
      <w:pPr>
        <w:pStyle w:val="3-BodyText"/>
        <w:ind w:left="709"/>
      </w:pPr>
      <w:r w:rsidRPr="00001499">
        <w:t xml:space="preserve">Contrary to ATAGI’s advice, </w:t>
      </w:r>
      <w:r w:rsidRPr="00001499">
        <w:rPr>
          <w:iCs/>
        </w:rPr>
        <w:t xml:space="preserve">CFRs in the base case of the economic model were based on </w:t>
      </w:r>
      <w:r w:rsidRPr="00001499">
        <w:t xml:space="preserve">modelled age-dependent </w:t>
      </w:r>
      <w:bookmarkStart w:id="71" w:name="_Hlk114517663"/>
      <w:r w:rsidRPr="00001499">
        <w:t xml:space="preserve">rates of pooled influenza-associated respiratory and cardiovascular hospitalisations </w:t>
      </w:r>
      <w:bookmarkEnd w:id="71"/>
      <w:r w:rsidRPr="00001499">
        <w:t xml:space="preserve">and deaths from </w:t>
      </w:r>
      <w:bookmarkStart w:id="72" w:name="_Hlk114517677"/>
      <w:r w:rsidRPr="00001499">
        <w:t>Leung et al. (2021)</w:t>
      </w:r>
      <w:bookmarkEnd w:id="72"/>
      <w:r w:rsidRPr="00001499">
        <w:t xml:space="preserve">. </w:t>
      </w:r>
      <w:r w:rsidRPr="00001499">
        <w:rPr>
          <w:iCs/>
        </w:rPr>
        <w:t>This led to higher CFRs compared to those recommended in the ATAGI’s advice that were based on observed data from AIHW for ICD-10 coded deaths from influenza.</w:t>
      </w:r>
      <w:r w:rsidRPr="00001499">
        <w:t xml:space="preserve"> </w:t>
      </w:r>
      <w:r w:rsidRPr="00001499">
        <w:rPr>
          <w:iCs/>
        </w:rPr>
        <w:t>CFRs based on AIHW data were examined in sensitivity analysis.</w:t>
      </w:r>
      <w:r w:rsidRPr="00001499">
        <w:t xml:space="preserve"> AIHW observed data for 2015 to 2019 remains the best available evidence to inform influenza hospitalisations and deaths as these outcomes correspond to those presented in the observational studies demonstrat</w:t>
      </w:r>
      <w:r w:rsidR="002C527D">
        <w:t>ing</w:t>
      </w:r>
      <w:r w:rsidRPr="00001499">
        <w:t xml:space="preserve"> clinical effectiveness and were more recent compared to the 2007 to 2015 data presented in Leung et al. (2021), which do not align with the seasons examined in the </w:t>
      </w:r>
      <w:r w:rsidR="002C527D">
        <w:t xml:space="preserve">economic </w:t>
      </w:r>
      <w:r w:rsidRPr="00001499">
        <w:t xml:space="preserve">model. The ICER is highly sensitive to CFRs used, increasing to </w:t>
      </w:r>
      <w:r w:rsidR="00BE027F" w:rsidRPr="00BE027F">
        <w:t xml:space="preserve">$55,000 to &lt; $75,000 </w:t>
      </w:r>
      <w:r w:rsidRPr="00001499">
        <w:t xml:space="preserve">per QALY gained from </w:t>
      </w:r>
      <w:r w:rsidR="00BE027F" w:rsidRPr="00BE027F">
        <w:t>$25,000 to &lt; $35,000</w:t>
      </w:r>
      <w:r w:rsidR="00BE027F">
        <w:t xml:space="preserve"> </w:t>
      </w:r>
      <w:r w:rsidRPr="00001499">
        <w:t xml:space="preserve">per QALY gained in the high risk population when AIHW observed data was applied instead of modelled respiratory and cardiovascular data. </w:t>
      </w:r>
      <w:r w:rsidR="00665C14">
        <w:rPr>
          <w:iCs/>
        </w:rPr>
        <w:t>T</w:t>
      </w:r>
      <w:r w:rsidR="00665C14" w:rsidRPr="00001499">
        <w:rPr>
          <w:iCs/>
        </w:rPr>
        <w:t>he ESC agreed with the evaluation and considered that that the AIHW observed data remains the most reliable evidence to inform influenza CFRs.</w:t>
      </w:r>
      <w:r w:rsidR="00665C14">
        <w:rPr>
          <w:iCs/>
        </w:rPr>
        <w:t xml:space="preserve"> </w:t>
      </w:r>
      <w:r w:rsidRPr="00001499">
        <w:rPr>
          <w:iCs/>
        </w:rPr>
        <w:t xml:space="preserve">The PSCR </w:t>
      </w:r>
      <w:r w:rsidR="00FA331D">
        <w:rPr>
          <w:iCs/>
        </w:rPr>
        <w:t xml:space="preserve">disagreed with the evaluation </w:t>
      </w:r>
      <w:r w:rsidR="002C527D">
        <w:rPr>
          <w:iCs/>
        </w:rPr>
        <w:t xml:space="preserve">and </w:t>
      </w:r>
      <w:r w:rsidR="00FA331D">
        <w:rPr>
          <w:iCs/>
        </w:rPr>
        <w:t xml:space="preserve">maintained </w:t>
      </w:r>
      <w:r w:rsidRPr="00001499">
        <w:rPr>
          <w:iCs/>
        </w:rPr>
        <w:t xml:space="preserve">that the modelled excess respiratory and cardiovascular deaths provided the most credible option to estimate CFRs as the </w:t>
      </w:r>
      <w:r w:rsidR="002F0962" w:rsidRPr="00001499">
        <w:rPr>
          <w:iCs/>
        </w:rPr>
        <w:t>observed data may be</w:t>
      </w:r>
      <w:r w:rsidRPr="00001499">
        <w:rPr>
          <w:iCs/>
        </w:rPr>
        <w:t xml:space="preserve"> misclassified and the true</w:t>
      </w:r>
      <w:r w:rsidR="002F0962" w:rsidRPr="00001499">
        <w:rPr>
          <w:iCs/>
        </w:rPr>
        <w:t xml:space="preserve"> </w:t>
      </w:r>
      <w:r w:rsidRPr="00001499">
        <w:rPr>
          <w:iCs/>
        </w:rPr>
        <w:t xml:space="preserve">burden likely under-represented. </w:t>
      </w:r>
      <w:r w:rsidR="004E1176">
        <w:rPr>
          <w:iCs/>
        </w:rPr>
        <w:t xml:space="preserve">The pre-PBAC Response maintained it was appropriate to </w:t>
      </w:r>
      <w:r w:rsidR="004E1176">
        <w:rPr>
          <w:iCs/>
        </w:rPr>
        <w:lastRenderedPageBreak/>
        <w:t xml:space="preserve">base CFRs on </w:t>
      </w:r>
      <w:r w:rsidR="004E1176" w:rsidRPr="004E1176">
        <w:rPr>
          <w:iCs/>
        </w:rPr>
        <w:t>rates of pooled influenza-associated respiratory and cardiovascular hospitalisations</w:t>
      </w:r>
      <w:r w:rsidR="004E1176">
        <w:rPr>
          <w:iCs/>
        </w:rPr>
        <w:t xml:space="preserve"> from</w:t>
      </w:r>
      <w:r w:rsidR="004E1176" w:rsidRPr="004E1176">
        <w:rPr>
          <w:iCs/>
        </w:rPr>
        <w:t xml:space="preserve"> Leung et al. (2021)</w:t>
      </w:r>
      <w:r w:rsidR="002646CA">
        <w:rPr>
          <w:iCs/>
        </w:rPr>
        <w:t xml:space="preserve"> noting the following:</w:t>
      </w:r>
    </w:p>
    <w:p w14:paraId="2C9980F8" w14:textId="4A16D2B7" w:rsidR="002646CA" w:rsidRPr="002646CA" w:rsidRDefault="002646CA" w:rsidP="002646CA">
      <w:pPr>
        <w:pStyle w:val="3-BodyText"/>
        <w:numPr>
          <w:ilvl w:val="0"/>
          <w:numId w:val="56"/>
        </w:numPr>
      </w:pPr>
      <w:r>
        <w:t>M</w:t>
      </w:r>
      <w:r w:rsidRPr="002646CA">
        <w:t>ortality due to influenza is under ascertained and misclassified in official mortality statistics, with influenza deaths often attributed to other comorbid conditions or secondary infections</w:t>
      </w:r>
      <w:r>
        <w:t>.</w:t>
      </w:r>
    </w:p>
    <w:p w14:paraId="1E9CAB9B" w14:textId="53C51B01" w:rsidR="002646CA" w:rsidRPr="002646CA" w:rsidRDefault="002646CA" w:rsidP="002646CA">
      <w:pPr>
        <w:pStyle w:val="3-BodyText"/>
        <w:numPr>
          <w:ilvl w:val="0"/>
          <w:numId w:val="56"/>
        </w:numPr>
      </w:pPr>
      <w:r w:rsidRPr="002646CA">
        <w:rPr>
          <w:iCs/>
        </w:rPr>
        <w:t>In recognition of the under ascertainment, statistical methods have been developed to estimate excess mortality and hospitalisations attributable to influenza. The base case CFRs in the</w:t>
      </w:r>
      <w:r w:rsidR="00C029A9">
        <w:rPr>
          <w:iCs/>
        </w:rPr>
        <w:t xml:space="preserve"> submission</w:t>
      </w:r>
      <w:r w:rsidRPr="002646CA">
        <w:rPr>
          <w:iCs/>
        </w:rPr>
        <w:t xml:space="preserve"> are informed by the most comprehensive report to date in Australia, using multiple streams of data to estimate the influenza burden in terms of mortality and hospitalisation.</w:t>
      </w:r>
    </w:p>
    <w:p w14:paraId="5A1E95B8" w14:textId="60075969" w:rsidR="002646CA" w:rsidRPr="002646CA" w:rsidRDefault="002646CA" w:rsidP="002646CA">
      <w:pPr>
        <w:pStyle w:val="ListParagraph"/>
        <w:numPr>
          <w:ilvl w:val="0"/>
          <w:numId w:val="56"/>
        </w:numPr>
        <w:rPr>
          <w:iCs/>
        </w:rPr>
      </w:pPr>
      <w:r>
        <w:rPr>
          <w:iCs/>
        </w:rPr>
        <w:t>Estimates of</w:t>
      </w:r>
      <w:r w:rsidRPr="002646CA">
        <w:rPr>
          <w:iCs/>
        </w:rPr>
        <w:t xml:space="preserve"> excess hospitalisations and deaths attributable to influenza are routinely applied in influenza models and have been previously accepted by the PBAC (Adjuvanted TIV and QIV PSD, July and August 2019; and High Dose TIV PSD, November 2019). </w:t>
      </w:r>
    </w:p>
    <w:p w14:paraId="366A31C8" w14:textId="6206D30E" w:rsidR="009C29A2" w:rsidRPr="00001499" w:rsidRDefault="002646CA" w:rsidP="002646CA">
      <w:pPr>
        <w:pStyle w:val="3-BodyText"/>
        <w:numPr>
          <w:ilvl w:val="0"/>
          <w:numId w:val="56"/>
        </w:numPr>
      </w:pPr>
      <w:r>
        <w:rPr>
          <w:iCs/>
        </w:rPr>
        <w:t xml:space="preserve">Use </w:t>
      </w:r>
      <w:r w:rsidRPr="002646CA">
        <w:rPr>
          <w:iCs/>
        </w:rPr>
        <w:t>of excess respiratory and cardiovascular deaths in the base case is supported by findings that non-respiratory deaths account for substantial proportions (&gt;50% in some instances) of all influenza-associated deaths (Iuliano</w:t>
      </w:r>
      <w:r>
        <w:rPr>
          <w:iCs/>
        </w:rPr>
        <w:t xml:space="preserve"> et al.</w:t>
      </w:r>
      <w:r w:rsidRPr="002646CA">
        <w:rPr>
          <w:iCs/>
        </w:rPr>
        <w:t xml:space="preserve"> 2018).  </w:t>
      </w:r>
    </w:p>
    <w:p w14:paraId="002BC20F" w14:textId="44BFDE70" w:rsidR="009C29A2" w:rsidRPr="00001499" w:rsidRDefault="009C29A2" w:rsidP="00AA46C6">
      <w:pPr>
        <w:pStyle w:val="3-BodyText"/>
        <w:ind w:left="709"/>
        <w:rPr>
          <w:b/>
          <w:bCs/>
          <w:iCs/>
          <w:color w:val="0066FF"/>
        </w:rPr>
      </w:pPr>
      <w:r w:rsidRPr="00001499">
        <w:t xml:space="preserve">The values applied to the economic model for the ‘Outpatient influenza’ and ‘Hospitalised influenza’ health states were QALYs (-0.009 and -0.0139 QALYs, respectively) and not utility values. </w:t>
      </w:r>
      <w:r w:rsidR="00974DA2" w:rsidRPr="00001499">
        <w:t>Thus</w:t>
      </w:r>
      <w:r w:rsidR="00474E6F" w:rsidRPr="00001499">
        <w:t>,</w:t>
      </w:r>
      <w:r w:rsidRPr="00001499">
        <w:t xml:space="preserve"> the submission assumed a fixed duration of the impact of influenza </w:t>
      </w:r>
      <w:r w:rsidR="00974DA2" w:rsidRPr="00001499">
        <w:t xml:space="preserve">in each of these health states, and </w:t>
      </w:r>
      <w:r w:rsidRPr="00001499">
        <w:t xml:space="preserve">the assumption of the duration of impact and utility values could not be varied and tested separately during the evaluation. Based on the sensitivity </w:t>
      </w:r>
      <w:r w:rsidRPr="00001499">
        <w:rPr>
          <w:iCs/>
        </w:rPr>
        <w:t>analyses</w:t>
      </w:r>
      <w:r w:rsidRPr="00001499">
        <w:t xml:space="preserve"> presented in the submission </w:t>
      </w:r>
      <w:r w:rsidRPr="00001499">
        <w:rPr>
          <w:iCs/>
        </w:rPr>
        <w:t>for the static cohort model</w:t>
      </w:r>
      <w:r w:rsidRPr="00001499">
        <w:t>, the utilities were not identified to be an important driver in the model and had a small impact on the base case ICER. It was not possible to verify this assumption, however the choice of current utilities (relatively high for well state and relatively low for outpatient and hospitalised states) may favour the intervention</w:t>
      </w:r>
      <w:r w:rsidRPr="00001499">
        <w:rPr>
          <w:iCs/>
        </w:rPr>
        <w:t>. The ESC agreed with the evaluation that the methodology adopted to calculate the utility associated with transition to the hospitalised and outpatient influenza health states was not appropriate. Utility values specific to these states and time spent in these states would have been more appropriate.</w:t>
      </w:r>
    </w:p>
    <w:p w14:paraId="29C06A14" w14:textId="4E10C4E7" w:rsidR="009C29A2" w:rsidRPr="00001499" w:rsidRDefault="009C29A2" w:rsidP="00AA46C6">
      <w:pPr>
        <w:pStyle w:val="3-BodyText"/>
        <w:ind w:left="709"/>
      </w:pPr>
      <w:r w:rsidRPr="00001499">
        <w:fldChar w:fldCharType="begin" w:fldLock="1"/>
      </w:r>
      <w:r w:rsidRPr="00001499">
        <w:instrText xml:space="preserve"> REF _Ref93354813 \h </w:instrText>
      </w:r>
      <w:r w:rsidRPr="00001499">
        <w:fldChar w:fldCharType="separate"/>
      </w:r>
      <w:r w:rsidR="005C1FE9" w:rsidRPr="00001499">
        <w:t xml:space="preserve">Table </w:t>
      </w:r>
      <w:r w:rsidR="005C1FE9">
        <w:rPr>
          <w:noProof/>
        </w:rPr>
        <w:t>13</w:t>
      </w:r>
      <w:r w:rsidRPr="00001499">
        <w:fldChar w:fldCharType="end"/>
      </w:r>
      <w:r w:rsidRPr="00001499">
        <w:t xml:space="preserve"> presents a summary of the key drivers of the static </w:t>
      </w:r>
      <w:r w:rsidRPr="00001499">
        <w:rPr>
          <w:iCs/>
        </w:rPr>
        <w:t>cohort</w:t>
      </w:r>
      <w:r w:rsidRPr="00001499">
        <w:t xml:space="preserve"> model. </w:t>
      </w:r>
    </w:p>
    <w:p w14:paraId="55B256AF" w14:textId="6D2137F8" w:rsidR="009C29A2" w:rsidRPr="00001499" w:rsidRDefault="009C29A2" w:rsidP="009C29A2">
      <w:pPr>
        <w:pStyle w:val="TableHeading0"/>
        <w:rPr>
          <w:rStyle w:val="CommentReference"/>
          <w:rFonts w:cs="Arial"/>
          <w:b/>
          <w:bCs/>
          <w:snapToGrid w:val="0"/>
          <w:szCs w:val="24"/>
        </w:rPr>
      </w:pPr>
      <w:bookmarkStart w:id="73" w:name="_Ref93354813"/>
      <w:r w:rsidRPr="00001499">
        <w:lastRenderedPageBreak/>
        <w:t xml:space="preserve">Table </w:t>
      </w:r>
      <w:fldSimple w:instr=" SEQ Table \* ARABIC " w:fldLock="1">
        <w:r w:rsidR="005C1FE9">
          <w:rPr>
            <w:noProof/>
          </w:rPr>
          <w:t>13</w:t>
        </w:r>
      </w:fldSimple>
      <w:bookmarkEnd w:id="73"/>
      <w:r w:rsidRPr="00001499">
        <w:rPr>
          <w:rStyle w:val="CommentReference"/>
          <w:b/>
          <w:szCs w:val="24"/>
        </w:rPr>
        <w:t>: Key drivers of the static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Key drivers of the static model"/>
      </w:tblPr>
      <w:tblGrid>
        <w:gridCol w:w="1429"/>
        <w:gridCol w:w="3435"/>
        <w:gridCol w:w="4153"/>
      </w:tblGrid>
      <w:tr w:rsidR="009C29A2" w:rsidRPr="00001499" w14:paraId="44A310E7" w14:textId="77777777" w:rsidTr="00FC7A97">
        <w:trPr>
          <w:cantSplit/>
          <w:tblHeader/>
        </w:trPr>
        <w:tc>
          <w:tcPr>
            <w:tcW w:w="792" w:type="pct"/>
            <w:shd w:val="clear" w:color="auto" w:fill="auto"/>
            <w:vAlign w:val="center"/>
          </w:tcPr>
          <w:p w14:paraId="35B4627F" w14:textId="77777777" w:rsidR="009C29A2" w:rsidRPr="00001499" w:rsidRDefault="009C29A2" w:rsidP="00FC7A97">
            <w:pPr>
              <w:pStyle w:val="In-tableHeading"/>
              <w:keepLines/>
              <w:jc w:val="center"/>
              <w:rPr>
                <w:lang w:val="en-AU"/>
              </w:rPr>
            </w:pPr>
            <w:r w:rsidRPr="00001499">
              <w:rPr>
                <w:lang w:val="en-AU"/>
              </w:rPr>
              <w:t>Description</w:t>
            </w:r>
          </w:p>
        </w:tc>
        <w:tc>
          <w:tcPr>
            <w:tcW w:w="1905" w:type="pct"/>
            <w:shd w:val="clear" w:color="auto" w:fill="auto"/>
            <w:vAlign w:val="center"/>
          </w:tcPr>
          <w:p w14:paraId="643383B1" w14:textId="77777777" w:rsidR="009C29A2" w:rsidRPr="00001499" w:rsidRDefault="009C29A2" w:rsidP="00FC7A97">
            <w:pPr>
              <w:pStyle w:val="In-tableHeading"/>
              <w:keepLines/>
              <w:jc w:val="center"/>
              <w:rPr>
                <w:lang w:val="en-AU"/>
              </w:rPr>
            </w:pPr>
            <w:r w:rsidRPr="00001499">
              <w:rPr>
                <w:lang w:val="en-AU"/>
              </w:rPr>
              <w:t>Method/Value</w:t>
            </w:r>
          </w:p>
        </w:tc>
        <w:tc>
          <w:tcPr>
            <w:tcW w:w="2303" w:type="pct"/>
            <w:shd w:val="clear" w:color="auto" w:fill="auto"/>
            <w:vAlign w:val="center"/>
          </w:tcPr>
          <w:p w14:paraId="27500A2C" w14:textId="77777777" w:rsidR="009C29A2" w:rsidRPr="00001499" w:rsidRDefault="009C29A2" w:rsidP="00FC7A97">
            <w:pPr>
              <w:pStyle w:val="In-tableHeading"/>
              <w:keepLines/>
              <w:jc w:val="center"/>
              <w:rPr>
                <w:lang w:val="en-AU"/>
              </w:rPr>
            </w:pPr>
            <w:r w:rsidRPr="00001499">
              <w:rPr>
                <w:lang w:val="en-AU"/>
              </w:rPr>
              <w:t>Impact</w:t>
            </w:r>
          </w:p>
        </w:tc>
      </w:tr>
      <w:tr w:rsidR="009C29A2" w:rsidRPr="00001499" w14:paraId="105121E8" w14:textId="77777777" w:rsidTr="00FC7A97">
        <w:trPr>
          <w:cantSplit/>
        </w:trPr>
        <w:tc>
          <w:tcPr>
            <w:tcW w:w="792" w:type="pct"/>
            <w:shd w:val="clear" w:color="auto" w:fill="auto"/>
            <w:vAlign w:val="center"/>
          </w:tcPr>
          <w:p w14:paraId="3ECC3C5E" w14:textId="77777777" w:rsidR="009C29A2" w:rsidRPr="00001499" w:rsidRDefault="009C29A2" w:rsidP="00FC7A97">
            <w:pPr>
              <w:pStyle w:val="TableText0"/>
              <w:keepLines/>
              <w:jc w:val="center"/>
            </w:pPr>
            <w:r w:rsidRPr="00001499">
              <w:t>Seasonal variation in influenza incidence and circulating strain</w:t>
            </w:r>
          </w:p>
        </w:tc>
        <w:tc>
          <w:tcPr>
            <w:tcW w:w="1905" w:type="pct"/>
            <w:shd w:val="clear" w:color="auto" w:fill="auto"/>
          </w:tcPr>
          <w:p w14:paraId="3C34C2CE" w14:textId="77777777" w:rsidR="009C29A2" w:rsidRPr="00001499" w:rsidRDefault="009C29A2" w:rsidP="00FC7A97">
            <w:pPr>
              <w:pStyle w:val="TableText0"/>
              <w:keepLines/>
            </w:pPr>
            <w:r w:rsidRPr="00001499">
              <w:t xml:space="preserve">Based on laboratory confirmed notification rates for influenza from the National Notifiable Disease Surveillance System (NNDSS) for years 2015 to 2019. This is correlated with rVE. </w:t>
            </w:r>
          </w:p>
        </w:tc>
        <w:tc>
          <w:tcPr>
            <w:tcW w:w="2303" w:type="pct"/>
            <w:shd w:val="clear" w:color="auto" w:fill="auto"/>
            <w:vAlign w:val="center"/>
          </w:tcPr>
          <w:p w14:paraId="4F223ED0" w14:textId="77777777" w:rsidR="009C29A2" w:rsidRPr="00001499" w:rsidRDefault="009C29A2" w:rsidP="00FC7A97">
            <w:pPr>
              <w:pStyle w:val="TableText0"/>
              <w:keepLines/>
            </w:pPr>
            <w:r w:rsidRPr="00001499">
              <w:t>High, favours QIVc.</w:t>
            </w:r>
          </w:p>
          <w:p w14:paraId="6FD09391" w14:textId="77777777" w:rsidR="009C29A2" w:rsidRPr="00001499" w:rsidRDefault="009C29A2" w:rsidP="00FC7A97">
            <w:pPr>
              <w:pStyle w:val="TableText0"/>
              <w:keepLines/>
            </w:pPr>
          </w:p>
          <w:p w14:paraId="2FBA11FF" w14:textId="4BA9DB1E" w:rsidR="009C29A2" w:rsidRPr="00001499" w:rsidRDefault="009C29A2" w:rsidP="00FC7A97">
            <w:pPr>
              <w:pStyle w:val="TableText0"/>
              <w:keepLines/>
            </w:pPr>
            <w:r w:rsidRPr="00001499">
              <w:t xml:space="preserve">In the 2018 season (low burden, rVE=0%), the cost-effectiveness result was dominated (i.e. QIVc more expensive with less/same effectiveness) whereas in the 2019 season (high burden, rVE=15.6%) the ICER was </w:t>
            </w:r>
            <w:r w:rsidR="00BE027F" w:rsidRPr="00BE027F">
              <w:t xml:space="preserve">$5,000 to &lt; $15,000 </w:t>
            </w:r>
            <w:r w:rsidRPr="00001499">
              <w:t>per QALY gained in the high risk population.</w:t>
            </w:r>
          </w:p>
        </w:tc>
      </w:tr>
      <w:tr w:rsidR="009C29A2" w:rsidRPr="00001499" w14:paraId="07C4692B" w14:textId="77777777" w:rsidTr="00FC7A97">
        <w:trPr>
          <w:cantSplit/>
        </w:trPr>
        <w:tc>
          <w:tcPr>
            <w:tcW w:w="792" w:type="pct"/>
            <w:shd w:val="clear" w:color="auto" w:fill="auto"/>
            <w:vAlign w:val="center"/>
          </w:tcPr>
          <w:p w14:paraId="138E7296" w14:textId="77777777" w:rsidR="009C29A2" w:rsidRPr="00001499" w:rsidRDefault="009C29A2" w:rsidP="00FC7A97">
            <w:pPr>
              <w:pStyle w:val="TableText0"/>
              <w:keepLines/>
              <w:jc w:val="center"/>
            </w:pPr>
            <w:r w:rsidRPr="00001499">
              <w:t>rVE</w:t>
            </w:r>
          </w:p>
        </w:tc>
        <w:tc>
          <w:tcPr>
            <w:tcW w:w="1905" w:type="pct"/>
            <w:shd w:val="clear" w:color="auto" w:fill="auto"/>
            <w:vAlign w:val="center"/>
          </w:tcPr>
          <w:p w14:paraId="5ACEABE6" w14:textId="77777777" w:rsidR="009C29A2" w:rsidRPr="00001499" w:rsidRDefault="009C29A2" w:rsidP="00FC7A97">
            <w:pPr>
              <w:pStyle w:val="TableText0"/>
              <w:keepLines/>
            </w:pPr>
            <w:r w:rsidRPr="00001499">
              <w:t>Season-specific based on closest match on circulating virus strain and evidence of egg-adaptation to Australian seasons. Estimated from pooled rVE from meta-analyses.</w:t>
            </w:r>
          </w:p>
          <w:p w14:paraId="45A5745D" w14:textId="77777777" w:rsidR="009C29A2" w:rsidRPr="00001499" w:rsidRDefault="009C29A2" w:rsidP="00FC7A97">
            <w:pPr>
              <w:pStyle w:val="TableText0"/>
              <w:keepLines/>
            </w:pPr>
          </w:p>
          <w:p w14:paraId="776DFD82" w14:textId="77777777" w:rsidR="009C29A2" w:rsidRPr="00001499" w:rsidRDefault="009C29A2" w:rsidP="00FC7A97">
            <w:pPr>
              <w:pStyle w:val="TableText0"/>
              <w:keepLines/>
            </w:pPr>
            <w:r w:rsidRPr="00001499">
              <w:t>2015: 14.0% (low 8.8, high 18.65)</w:t>
            </w:r>
          </w:p>
          <w:p w14:paraId="51A34961" w14:textId="77777777" w:rsidR="009C29A2" w:rsidRPr="00001499" w:rsidRDefault="009C29A2" w:rsidP="00FC7A97">
            <w:pPr>
              <w:pStyle w:val="TableText0"/>
              <w:keepLines/>
            </w:pPr>
            <w:r w:rsidRPr="00001499">
              <w:t>2016: 15.6% (10.8, 20.1)</w:t>
            </w:r>
          </w:p>
          <w:p w14:paraId="0042F079" w14:textId="77777777" w:rsidR="009C29A2" w:rsidRPr="00001499" w:rsidRDefault="009C29A2" w:rsidP="00FC7A97">
            <w:pPr>
              <w:pStyle w:val="TableText0"/>
              <w:keepLines/>
            </w:pPr>
            <w:r w:rsidRPr="00001499">
              <w:t>2017: 15.6% (10.8, 20.1)</w:t>
            </w:r>
          </w:p>
          <w:p w14:paraId="23100A74" w14:textId="77777777" w:rsidR="009C29A2" w:rsidRPr="00001499" w:rsidRDefault="009C29A2" w:rsidP="00FC7A97">
            <w:pPr>
              <w:pStyle w:val="TableText0"/>
              <w:keepLines/>
            </w:pPr>
            <w:r w:rsidRPr="00001499">
              <w:t>2018: 0% (0, 0)</w:t>
            </w:r>
          </w:p>
          <w:p w14:paraId="396DDC55" w14:textId="77777777" w:rsidR="009C29A2" w:rsidRPr="00001499" w:rsidRDefault="009C29A2" w:rsidP="00FC7A97">
            <w:pPr>
              <w:pStyle w:val="TableText0"/>
              <w:keepLines/>
            </w:pPr>
            <w:r w:rsidRPr="00001499">
              <w:t>2019: 15.6% (10.8, 20.1)</w:t>
            </w:r>
          </w:p>
          <w:p w14:paraId="46AA8916" w14:textId="77777777" w:rsidR="009C29A2" w:rsidRPr="00001499" w:rsidRDefault="009C29A2" w:rsidP="00FC7A97">
            <w:pPr>
              <w:pStyle w:val="TableText0"/>
              <w:keepLines/>
            </w:pPr>
            <w:r w:rsidRPr="00001499">
              <w:t>2015-2019: 12.2% (8.2, 18.3)</w:t>
            </w:r>
          </w:p>
        </w:tc>
        <w:tc>
          <w:tcPr>
            <w:tcW w:w="2303" w:type="pct"/>
            <w:shd w:val="clear" w:color="auto" w:fill="auto"/>
          </w:tcPr>
          <w:p w14:paraId="1759F387" w14:textId="77777777" w:rsidR="009C29A2" w:rsidRPr="00001499" w:rsidRDefault="009C29A2" w:rsidP="00FC7A97">
            <w:pPr>
              <w:pStyle w:val="TableText0"/>
              <w:keepLines/>
            </w:pPr>
            <w:r w:rsidRPr="00001499">
              <w:t>High, favours QIVc.</w:t>
            </w:r>
          </w:p>
          <w:p w14:paraId="70E0300C" w14:textId="77777777" w:rsidR="009C29A2" w:rsidRPr="00001499" w:rsidRDefault="009C29A2" w:rsidP="00FC7A97">
            <w:pPr>
              <w:pStyle w:val="TableText0"/>
              <w:keepLines/>
            </w:pPr>
          </w:p>
          <w:p w14:paraId="63A02A6D" w14:textId="35A96551" w:rsidR="009C29A2" w:rsidRPr="00001499" w:rsidRDefault="009C29A2" w:rsidP="00FC7A97">
            <w:pPr>
              <w:pStyle w:val="TableText0"/>
              <w:keepLines/>
            </w:pPr>
            <w:r w:rsidRPr="00001499">
              <w:t xml:space="preserve">Sensitivity analysis performed on the high-risk population (averaged 2015-2019) showed that the ICER increased from </w:t>
            </w:r>
            <w:r w:rsidR="00BE027F" w:rsidRPr="00BE027F">
              <w:t>$25,000 to &lt; $35,000</w:t>
            </w:r>
            <w:r w:rsidR="00BE027F">
              <w:t xml:space="preserve"> </w:t>
            </w:r>
            <w:r w:rsidRPr="00001499">
              <w:t xml:space="preserve">per QALY gained (base case) to </w:t>
            </w:r>
            <w:r w:rsidR="00BE027F" w:rsidRPr="00BE027F">
              <w:t>$45,000 to &lt; $55,000</w:t>
            </w:r>
            <w:r w:rsidR="00BE027F">
              <w:t xml:space="preserve"> </w:t>
            </w:r>
            <w:r w:rsidRPr="00001499">
              <w:t>per QALY gained when the overall rVE estimate reduced from 12.2% to 8.2%.</w:t>
            </w:r>
          </w:p>
          <w:p w14:paraId="1288915C" w14:textId="77777777" w:rsidR="009C29A2" w:rsidRPr="00001499" w:rsidRDefault="009C29A2" w:rsidP="00FC7A97">
            <w:pPr>
              <w:pStyle w:val="TableText0"/>
              <w:keepLines/>
            </w:pPr>
          </w:p>
          <w:p w14:paraId="1C3D3045" w14:textId="77777777" w:rsidR="009C29A2" w:rsidRPr="00001499" w:rsidRDefault="009C29A2" w:rsidP="00FC7A97">
            <w:pPr>
              <w:pStyle w:val="TableText0"/>
              <w:keepLines/>
            </w:pPr>
          </w:p>
          <w:p w14:paraId="7271833B" w14:textId="77777777" w:rsidR="009C29A2" w:rsidRPr="00001499" w:rsidRDefault="009C29A2" w:rsidP="00FC7A97">
            <w:pPr>
              <w:pStyle w:val="TableText0"/>
              <w:keepLines/>
            </w:pPr>
          </w:p>
        </w:tc>
      </w:tr>
      <w:tr w:rsidR="009C29A2" w:rsidRPr="00001499" w14:paraId="1662BEB4" w14:textId="77777777" w:rsidTr="00FC7A97">
        <w:trPr>
          <w:cantSplit/>
        </w:trPr>
        <w:tc>
          <w:tcPr>
            <w:tcW w:w="792" w:type="pct"/>
            <w:shd w:val="clear" w:color="auto" w:fill="auto"/>
            <w:vAlign w:val="center"/>
          </w:tcPr>
          <w:p w14:paraId="15035E7B" w14:textId="77777777" w:rsidR="009C29A2" w:rsidRPr="00001499" w:rsidRDefault="009C29A2" w:rsidP="00FC7A97">
            <w:pPr>
              <w:pStyle w:val="TableText0"/>
              <w:keepLines/>
              <w:jc w:val="center"/>
            </w:pPr>
            <w:r w:rsidRPr="00001499">
              <w:t>Case fatality ratio</w:t>
            </w:r>
          </w:p>
        </w:tc>
        <w:tc>
          <w:tcPr>
            <w:tcW w:w="1905" w:type="pct"/>
            <w:shd w:val="clear" w:color="auto" w:fill="auto"/>
            <w:vAlign w:val="center"/>
          </w:tcPr>
          <w:p w14:paraId="3D4C4F94" w14:textId="77777777" w:rsidR="009C29A2" w:rsidRPr="00001499" w:rsidRDefault="009C29A2" w:rsidP="00FC7A97">
            <w:pPr>
              <w:pStyle w:val="TableText0"/>
              <w:keepLines/>
            </w:pPr>
            <w:r w:rsidRPr="00001499">
              <w:t xml:space="preserve">Calculated from modelled influenza associated respiratory and cardiovascular hospitalisations and deaths from Leung et al (2021). </w:t>
            </w:r>
          </w:p>
          <w:p w14:paraId="3395B1C4" w14:textId="77777777" w:rsidR="009C29A2" w:rsidRPr="00001499" w:rsidRDefault="009C29A2" w:rsidP="00FC7A97">
            <w:pPr>
              <w:pStyle w:val="TableText0"/>
              <w:keepLines/>
            </w:pPr>
            <w:r w:rsidRPr="00001499">
              <w:t>Pooled data for respiratory and cardiovascular hospitalisations and deaths were applied instead of AIHW observed influenza-related mortality rates.</w:t>
            </w:r>
          </w:p>
        </w:tc>
        <w:tc>
          <w:tcPr>
            <w:tcW w:w="2303" w:type="pct"/>
            <w:shd w:val="clear" w:color="auto" w:fill="auto"/>
          </w:tcPr>
          <w:p w14:paraId="10D16D3E" w14:textId="77777777" w:rsidR="009C29A2" w:rsidRPr="00001499" w:rsidRDefault="009C29A2" w:rsidP="00FC7A97">
            <w:pPr>
              <w:pStyle w:val="TableText0"/>
              <w:keepLines/>
            </w:pPr>
            <w:r w:rsidRPr="00001499">
              <w:t xml:space="preserve">High, favours QIVc. </w:t>
            </w:r>
          </w:p>
          <w:p w14:paraId="4D58B079" w14:textId="77777777" w:rsidR="009C29A2" w:rsidRPr="00001499" w:rsidRDefault="009C29A2" w:rsidP="00FC7A97">
            <w:pPr>
              <w:pStyle w:val="TableText0"/>
              <w:keepLines/>
            </w:pPr>
          </w:p>
          <w:p w14:paraId="5E7700B3" w14:textId="36BA27D2" w:rsidR="009C29A2" w:rsidRPr="00001499" w:rsidRDefault="009C29A2" w:rsidP="00FC7A97">
            <w:pPr>
              <w:pStyle w:val="TableText0"/>
              <w:keepLines/>
            </w:pPr>
            <w:r w:rsidRPr="00001499">
              <w:t xml:space="preserve">Base case ICER for high risk population (2015-2019) increased to </w:t>
            </w:r>
            <w:r w:rsidR="00BE027F" w:rsidRPr="00BE027F">
              <w:t xml:space="preserve">$55,000 to &lt; $75,000 </w:t>
            </w:r>
            <w:r w:rsidRPr="00001499">
              <w:t xml:space="preserve">per QALY gained from </w:t>
            </w:r>
            <w:r w:rsidR="00BE027F" w:rsidRPr="00BE027F">
              <w:t>$25,000 to &lt; $35,000</w:t>
            </w:r>
            <w:r w:rsidR="00BE027F">
              <w:t xml:space="preserve"> </w:t>
            </w:r>
            <w:r w:rsidRPr="00001499">
              <w:t>per QALY gained when AIHW observed data was applied instead of modelled respiratory and cardiovascular data.</w:t>
            </w:r>
          </w:p>
        </w:tc>
      </w:tr>
    </w:tbl>
    <w:p w14:paraId="653AB38A" w14:textId="77777777" w:rsidR="009C29A2" w:rsidRPr="00001499" w:rsidRDefault="009C29A2" w:rsidP="009C29A2">
      <w:pPr>
        <w:pStyle w:val="TableFigureFooter"/>
        <w:keepNext/>
        <w:keepLines/>
      </w:pPr>
      <w:r w:rsidRPr="00001499">
        <w:t>Source: Tables 3.8.17-3.8.21, p205-207 of the submission</w:t>
      </w:r>
    </w:p>
    <w:p w14:paraId="18069F29" w14:textId="77777777" w:rsidR="009C29A2" w:rsidRPr="00001499" w:rsidRDefault="009C29A2" w:rsidP="009C29A2">
      <w:pPr>
        <w:pStyle w:val="TableFigureFooter"/>
        <w:keepNext/>
        <w:keepLines/>
      </w:pPr>
      <w:r w:rsidRPr="00001499">
        <w:rPr>
          <w:iCs/>
        </w:rPr>
        <w:t>AIHW = Australian Institute of Health and Welfare;</w:t>
      </w:r>
      <w:r w:rsidRPr="00001499">
        <w:t xml:space="preserve"> QIVc = cell-based quadrivalent subunit influenza virus vaccine, QIVe = egg-based quadrivalent subunit influenza virus vaccine, ICER= incremental cost effectiveness ratio, QALY = quality adjusted life year, rVE = relative vaccine effectiveness.</w:t>
      </w:r>
    </w:p>
    <w:p w14:paraId="51149C32" w14:textId="282095B1" w:rsidR="009C29A2" w:rsidRPr="00001499" w:rsidRDefault="009C29A2" w:rsidP="00AA46C6">
      <w:pPr>
        <w:pStyle w:val="3-BodyText"/>
        <w:ind w:left="709"/>
        <w:rPr>
          <w:iCs/>
        </w:rPr>
      </w:pPr>
      <w:r w:rsidRPr="00001499">
        <w:rPr>
          <w:iCs/>
        </w:rPr>
        <w:t xml:space="preserve">The weighted average rates and estimated numbers of influenza outcomes prevented in the overall vaccinated NIP population are shown in </w:t>
      </w:r>
      <w:r w:rsidRPr="00001499">
        <w:rPr>
          <w:iCs/>
        </w:rPr>
        <w:fldChar w:fldCharType="begin" w:fldLock="1"/>
      </w:r>
      <w:r w:rsidRPr="00001499">
        <w:rPr>
          <w:iCs/>
        </w:rPr>
        <w:instrText xml:space="preserve"> REF _Ref95730333 \h  \* MERGEFORMAT </w:instrText>
      </w:r>
      <w:r w:rsidRPr="00001499">
        <w:rPr>
          <w:iCs/>
        </w:rPr>
      </w:r>
      <w:r w:rsidRPr="00001499">
        <w:rPr>
          <w:iCs/>
        </w:rPr>
        <w:fldChar w:fldCharType="separate"/>
      </w:r>
      <w:r w:rsidR="005C1FE9" w:rsidRPr="003F47DE">
        <w:rPr>
          <w:iCs/>
        </w:rPr>
        <w:t>Table 14</w:t>
      </w:r>
      <w:r w:rsidRPr="00001499">
        <w:rPr>
          <w:iCs/>
        </w:rPr>
        <w:fldChar w:fldCharType="end"/>
      </w:r>
      <w:r w:rsidRPr="00001499">
        <w:rPr>
          <w:iCs/>
        </w:rPr>
        <w:t>.</w:t>
      </w:r>
    </w:p>
    <w:p w14:paraId="1EB8FBC3" w14:textId="084215C4" w:rsidR="009C29A2" w:rsidRPr="00001499" w:rsidRDefault="009C29A2" w:rsidP="00EE208F">
      <w:pPr>
        <w:pStyle w:val="TableHeading0"/>
        <w:rPr>
          <w:rStyle w:val="CommentReference"/>
          <w:b/>
          <w:szCs w:val="24"/>
        </w:rPr>
      </w:pPr>
      <w:bookmarkStart w:id="74" w:name="_Ref95730333"/>
      <w:r w:rsidRPr="00001499">
        <w:rPr>
          <w:rStyle w:val="CommentReference"/>
          <w:b/>
          <w:szCs w:val="24"/>
        </w:rPr>
        <w:lastRenderedPageBreak/>
        <w:t xml:space="preserve">Table </w:t>
      </w:r>
      <w:r w:rsidRPr="00001499">
        <w:rPr>
          <w:rStyle w:val="CommentReference"/>
          <w:b/>
          <w:szCs w:val="24"/>
        </w:rPr>
        <w:fldChar w:fldCharType="begin" w:fldLock="1"/>
      </w:r>
      <w:r w:rsidRPr="00001499">
        <w:rPr>
          <w:rStyle w:val="CommentReference"/>
          <w:b/>
          <w:szCs w:val="24"/>
        </w:rPr>
        <w:instrText xml:space="preserve"> SEQ Table \* ARABIC </w:instrText>
      </w:r>
      <w:r w:rsidRPr="00001499">
        <w:rPr>
          <w:rStyle w:val="CommentReference"/>
          <w:b/>
          <w:szCs w:val="24"/>
        </w:rPr>
        <w:fldChar w:fldCharType="separate"/>
      </w:r>
      <w:r w:rsidR="005C1FE9">
        <w:rPr>
          <w:rStyle w:val="CommentReference"/>
          <w:b/>
          <w:noProof/>
          <w:szCs w:val="24"/>
        </w:rPr>
        <w:t>14</w:t>
      </w:r>
      <w:r w:rsidRPr="00001499">
        <w:rPr>
          <w:rStyle w:val="CommentReference"/>
          <w:b/>
          <w:szCs w:val="24"/>
        </w:rPr>
        <w:fldChar w:fldCharType="end"/>
      </w:r>
      <w:bookmarkEnd w:id="74"/>
      <w:r w:rsidRPr="00001499">
        <w:rPr>
          <w:rStyle w:val="CommentReference"/>
          <w:b/>
          <w:szCs w:val="24"/>
        </w:rPr>
        <w:t>: Weighted average rates and estimated numbers of influenza outcomes prevented in the overall vaccinated NIP population</w:t>
      </w:r>
      <w:r w:rsidRPr="00001499">
        <w:rPr>
          <w:rStyle w:val="CommentReference"/>
          <w:b/>
          <w:szCs w:val="24"/>
          <w:vertAlign w:val="superscript"/>
        </w:rPr>
        <w:t>1</w:t>
      </w:r>
    </w:p>
    <w:tbl>
      <w:tblPr>
        <w:tblStyle w:val="newstyle16"/>
        <w:tblW w:w="5000" w:type="pct"/>
        <w:tblLook w:val="04A0" w:firstRow="1" w:lastRow="0" w:firstColumn="1" w:lastColumn="0" w:noHBand="0" w:noVBand="1"/>
      </w:tblPr>
      <w:tblGrid>
        <w:gridCol w:w="801"/>
        <w:gridCol w:w="2058"/>
        <w:gridCol w:w="2056"/>
        <w:gridCol w:w="2050"/>
        <w:gridCol w:w="2052"/>
      </w:tblGrid>
      <w:tr w:rsidR="009C29A2" w:rsidRPr="00001499" w14:paraId="7CBFAB59" w14:textId="77777777" w:rsidTr="00EE208F">
        <w:trPr>
          <w:trHeight w:val="20"/>
        </w:trPr>
        <w:tc>
          <w:tcPr>
            <w:tcW w:w="444" w:type="pct"/>
            <w:hideMark/>
          </w:tcPr>
          <w:p w14:paraId="399F3A43" w14:textId="77777777" w:rsidR="009C29A2" w:rsidRPr="00001499" w:rsidRDefault="009C29A2" w:rsidP="00FC7A97">
            <w:pPr>
              <w:pStyle w:val="In-tableHeading"/>
              <w:rPr>
                <w:iCs/>
                <w:lang w:val="en-AU"/>
              </w:rPr>
            </w:pPr>
            <w:r w:rsidRPr="00001499">
              <w:rPr>
                <w:iCs/>
                <w:lang w:val="en-AU"/>
              </w:rPr>
              <w:t>Season</w:t>
            </w:r>
          </w:p>
        </w:tc>
        <w:tc>
          <w:tcPr>
            <w:tcW w:w="1141" w:type="pct"/>
            <w:hideMark/>
          </w:tcPr>
          <w:p w14:paraId="2C8AEEB0" w14:textId="77777777" w:rsidR="009C29A2" w:rsidRPr="00001499" w:rsidRDefault="009C29A2" w:rsidP="00FC7A97">
            <w:pPr>
              <w:pStyle w:val="In-tableHeading"/>
              <w:rPr>
                <w:iCs/>
                <w:lang w:val="en-AU"/>
              </w:rPr>
            </w:pPr>
            <w:r w:rsidRPr="00001499">
              <w:rPr>
                <w:iCs/>
                <w:lang w:val="en-AU"/>
              </w:rPr>
              <w:t>Influenza-related outcome</w:t>
            </w:r>
          </w:p>
        </w:tc>
        <w:tc>
          <w:tcPr>
            <w:tcW w:w="1140" w:type="pct"/>
            <w:hideMark/>
          </w:tcPr>
          <w:p w14:paraId="68F3A150" w14:textId="77777777" w:rsidR="009C29A2" w:rsidRPr="00001499" w:rsidRDefault="009C29A2" w:rsidP="00FC7A97">
            <w:pPr>
              <w:pStyle w:val="In-tableHeading"/>
              <w:rPr>
                <w:iCs/>
                <w:lang w:val="en-AU"/>
              </w:rPr>
            </w:pPr>
            <w:r w:rsidRPr="00001499">
              <w:rPr>
                <w:iCs/>
                <w:lang w:val="en-AU"/>
              </w:rPr>
              <w:t xml:space="preserve">Health state </w:t>
            </w:r>
          </w:p>
        </w:tc>
        <w:tc>
          <w:tcPr>
            <w:tcW w:w="1137" w:type="pct"/>
            <w:hideMark/>
          </w:tcPr>
          <w:p w14:paraId="65806FEC" w14:textId="77777777" w:rsidR="009C29A2" w:rsidRPr="00001499" w:rsidRDefault="009C29A2" w:rsidP="00FC7A97">
            <w:pPr>
              <w:pStyle w:val="In-tableHeading"/>
              <w:rPr>
                <w:bCs/>
                <w:iCs/>
                <w:color w:val="000000"/>
                <w:lang w:val="en-AU"/>
              </w:rPr>
            </w:pPr>
            <w:r w:rsidRPr="00001499">
              <w:rPr>
                <w:bCs/>
                <w:iCs/>
                <w:color w:val="000000"/>
                <w:lang w:val="en-AU"/>
              </w:rPr>
              <w:t>Prevented per 100,000</w:t>
            </w:r>
          </w:p>
        </w:tc>
        <w:tc>
          <w:tcPr>
            <w:tcW w:w="1138" w:type="pct"/>
            <w:hideMark/>
          </w:tcPr>
          <w:p w14:paraId="0B52A63A" w14:textId="77777777" w:rsidR="009C29A2" w:rsidRPr="00001499" w:rsidRDefault="009C29A2" w:rsidP="00FC7A97">
            <w:pPr>
              <w:pStyle w:val="In-tableHeading"/>
              <w:rPr>
                <w:bCs/>
                <w:iCs/>
                <w:color w:val="000000"/>
                <w:lang w:val="en-AU"/>
              </w:rPr>
            </w:pPr>
            <w:r w:rsidRPr="00001499">
              <w:rPr>
                <w:bCs/>
                <w:iCs/>
                <w:color w:val="000000"/>
                <w:lang w:val="en-AU"/>
              </w:rPr>
              <w:t>Prevented per year</w:t>
            </w:r>
          </w:p>
        </w:tc>
      </w:tr>
      <w:tr w:rsidR="009C29A2" w:rsidRPr="00001499" w14:paraId="53D2D7D4" w14:textId="77777777" w:rsidTr="00EE208F">
        <w:trPr>
          <w:trHeight w:val="20"/>
        </w:trPr>
        <w:tc>
          <w:tcPr>
            <w:tcW w:w="444" w:type="pct"/>
            <w:vMerge w:val="restart"/>
            <w:hideMark/>
          </w:tcPr>
          <w:p w14:paraId="601D82F2" w14:textId="77777777" w:rsidR="009C29A2" w:rsidRPr="00001499" w:rsidRDefault="009C29A2" w:rsidP="00FC7A97">
            <w:pPr>
              <w:pStyle w:val="TableText0"/>
              <w:rPr>
                <w:iCs/>
              </w:rPr>
            </w:pPr>
            <w:r w:rsidRPr="00001499">
              <w:rPr>
                <w:iCs/>
              </w:rPr>
              <w:t>2015</w:t>
            </w:r>
          </w:p>
        </w:tc>
        <w:tc>
          <w:tcPr>
            <w:tcW w:w="1141" w:type="pct"/>
            <w:hideMark/>
          </w:tcPr>
          <w:p w14:paraId="67356371" w14:textId="77777777" w:rsidR="009C29A2" w:rsidRPr="00001499" w:rsidRDefault="009C29A2" w:rsidP="00FC7A97">
            <w:pPr>
              <w:pStyle w:val="TableText0"/>
              <w:rPr>
                <w:iCs/>
              </w:rPr>
            </w:pPr>
            <w:r w:rsidRPr="00001499">
              <w:rPr>
                <w:iCs/>
              </w:rPr>
              <w:t>Cases</w:t>
            </w:r>
          </w:p>
        </w:tc>
        <w:tc>
          <w:tcPr>
            <w:tcW w:w="1140" w:type="pct"/>
            <w:hideMark/>
          </w:tcPr>
          <w:p w14:paraId="0634C49D" w14:textId="77777777" w:rsidR="009C29A2" w:rsidRPr="00001499" w:rsidRDefault="009C29A2" w:rsidP="00FC7A97">
            <w:pPr>
              <w:pStyle w:val="TableText0"/>
              <w:rPr>
                <w:iCs/>
              </w:rPr>
            </w:pPr>
            <w:r w:rsidRPr="00001499">
              <w:rPr>
                <w:iCs/>
              </w:rPr>
              <w:t>Influenza</w:t>
            </w:r>
          </w:p>
        </w:tc>
        <w:tc>
          <w:tcPr>
            <w:tcW w:w="1137" w:type="pct"/>
          </w:tcPr>
          <w:p w14:paraId="3167775B" w14:textId="77777777" w:rsidR="009C29A2" w:rsidRPr="00001499" w:rsidRDefault="009C29A2" w:rsidP="00FC7A97">
            <w:pPr>
              <w:pStyle w:val="TableText0"/>
              <w:rPr>
                <w:iCs/>
              </w:rPr>
            </w:pPr>
            <w:r w:rsidRPr="00001499">
              <w:rPr>
                <w:iCs/>
              </w:rPr>
              <w:t>58.97</w:t>
            </w:r>
          </w:p>
        </w:tc>
        <w:tc>
          <w:tcPr>
            <w:tcW w:w="1138" w:type="pct"/>
          </w:tcPr>
          <w:p w14:paraId="695A9A00" w14:textId="77777777" w:rsidR="009C29A2" w:rsidRPr="00001499" w:rsidRDefault="009C29A2" w:rsidP="00FC7A97">
            <w:pPr>
              <w:pStyle w:val="TableText0"/>
              <w:rPr>
                <w:iCs/>
              </w:rPr>
            </w:pPr>
            <w:r w:rsidRPr="00001499">
              <w:rPr>
                <w:iCs/>
              </w:rPr>
              <w:t>2,005</w:t>
            </w:r>
          </w:p>
        </w:tc>
      </w:tr>
      <w:tr w:rsidR="009C29A2" w:rsidRPr="00001499" w14:paraId="48B2B8F4" w14:textId="77777777" w:rsidTr="00EE208F">
        <w:trPr>
          <w:trHeight w:val="20"/>
        </w:trPr>
        <w:tc>
          <w:tcPr>
            <w:tcW w:w="444" w:type="pct"/>
            <w:vMerge/>
          </w:tcPr>
          <w:p w14:paraId="5AAEB415" w14:textId="77777777" w:rsidR="009C29A2" w:rsidRPr="00001499" w:rsidRDefault="009C29A2" w:rsidP="00FC7A97">
            <w:pPr>
              <w:pStyle w:val="TableText0"/>
              <w:rPr>
                <w:iCs/>
              </w:rPr>
            </w:pPr>
          </w:p>
        </w:tc>
        <w:tc>
          <w:tcPr>
            <w:tcW w:w="1141" w:type="pct"/>
            <w:hideMark/>
          </w:tcPr>
          <w:p w14:paraId="7B3F822F" w14:textId="77777777" w:rsidR="009C29A2" w:rsidRPr="00001499" w:rsidRDefault="009C29A2" w:rsidP="00FC7A97">
            <w:pPr>
              <w:pStyle w:val="TableText0"/>
              <w:rPr>
                <w:iCs/>
              </w:rPr>
            </w:pPr>
            <w:r w:rsidRPr="00001499">
              <w:rPr>
                <w:iCs/>
              </w:rPr>
              <w:t>GP visits</w:t>
            </w:r>
          </w:p>
        </w:tc>
        <w:tc>
          <w:tcPr>
            <w:tcW w:w="1140" w:type="pct"/>
            <w:hideMark/>
          </w:tcPr>
          <w:p w14:paraId="4E724F3E" w14:textId="77777777" w:rsidR="009C29A2" w:rsidRPr="00001499" w:rsidRDefault="009C29A2" w:rsidP="00FC7A97">
            <w:pPr>
              <w:pStyle w:val="TableText0"/>
              <w:rPr>
                <w:iCs/>
              </w:rPr>
            </w:pPr>
            <w:r w:rsidRPr="00001499">
              <w:rPr>
                <w:iCs/>
              </w:rPr>
              <w:t>Outpatient Influenza</w:t>
            </w:r>
          </w:p>
        </w:tc>
        <w:tc>
          <w:tcPr>
            <w:tcW w:w="1137" w:type="pct"/>
          </w:tcPr>
          <w:p w14:paraId="1256D545" w14:textId="77777777" w:rsidR="009C29A2" w:rsidRPr="00001499" w:rsidRDefault="009C29A2" w:rsidP="00FC7A97">
            <w:pPr>
              <w:pStyle w:val="TableText0"/>
              <w:rPr>
                <w:iCs/>
              </w:rPr>
            </w:pPr>
            <w:r w:rsidRPr="00001499">
              <w:rPr>
                <w:iCs/>
              </w:rPr>
              <w:t>42.85</w:t>
            </w:r>
          </w:p>
        </w:tc>
        <w:tc>
          <w:tcPr>
            <w:tcW w:w="1138" w:type="pct"/>
          </w:tcPr>
          <w:p w14:paraId="28406014" w14:textId="77777777" w:rsidR="009C29A2" w:rsidRPr="00001499" w:rsidRDefault="009C29A2" w:rsidP="00FC7A97">
            <w:pPr>
              <w:pStyle w:val="TableText0"/>
              <w:rPr>
                <w:iCs/>
              </w:rPr>
            </w:pPr>
            <w:r w:rsidRPr="00001499">
              <w:rPr>
                <w:iCs/>
              </w:rPr>
              <w:t>1,457</w:t>
            </w:r>
          </w:p>
        </w:tc>
      </w:tr>
      <w:tr w:rsidR="009C29A2" w:rsidRPr="00001499" w14:paraId="348A8B93" w14:textId="77777777" w:rsidTr="00EE208F">
        <w:trPr>
          <w:trHeight w:val="20"/>
        </w:trPr>
        <w:tc>
          <w:tcPr>
            <w:tcW w:w="444" w:type="pct"/>
            <w:vMerge/>
          </w:tcPr>
          <w:p w14:paraId="0B6E52BE" w14:textId="77777777" w:rsidR="009C29A2" w:rsidRPr="00001499" w:rsidRDefault="009C29A2" w:rsidP="00FC7A97">
            <w:pPr>
              <w:pStyle w:val="TableText0"/>
              <w:rPr>
                <w:iCs/>
              </w:rPr>
            </w:pPr>
          </w:p>
        </w:tc>
        <w:tc>
          <w:tcPr>
            <w:tcW w:w="1141" w:type="pct"/>
            <w:hideMark/>
          </w:tcPr>
          <w:p w14:paraId="2268FE4B" w14:textId="77777777" w:rsidR="009C29A2" w:rsidRPr="00001499" w:rsidRDefault="009C29A2" w:rsidP="00FC7A97">
            <w:pPr>
              <w:pStyle w:val="TableText0"/>
              <w:rPr>
                <w:iCs/>
              </w:rPr>
            </w:pPr>
            <w:r w:rsidRPr="00001499">
              <w:rPr>
                <w:iCs/>
              </w:rPr>
              <w:t>Hospitalisations</w:t>
            </w:r>
          </w:p>
        </w:tc>
        <w:tc>
          <w:tcPr>
            <w:tcW w:w="1140" w:type="pct"/>
            <w:hideMark/>
          </w:tcPr>
          <w:p w14:paraId="30F050B9" w14:textId="77777777" w:rsidR="009C29A2" w:rsidRPr="00001499" w:rsidRDefault="009C29A2" w:rsidP="00FC7A97">
            <w:pPr>
              <w:pStyle w:val="TableText0"/>
              <w:rPr>
                <w:iCs/>
              </w:rPr>
            </w:pPr>
            <w:r w:rsidRPr="00001499">
              <w:rPr>
                <w:iCs/>
              </w:rPr>
              <w:t>Hospitalised Influenza</w:t>
            </w:r>
          </w:p>
        </w:tc>
        <w:tc>
          <w:tcPr>
            <w:tcW w:w="1137" w:type="pct"/>
          </w:tcPr>
          <w:p w14:paraId="0E559C02" w14:textId="77777777" w:rsidR="009C29A2" w:rsidRPr="00001499" w:rsidRDefault="009C29A2" w:rsidP="00FC7A97">
            <w:pPr>
              <w:pStyle w:val="TableText0"/>
              <w:rPr>
                <w:iCs/>
              </w:rPr>
            </w:pPr>
            <w:r w:rsidRPr="00001499">
              <w:rPr>
                <w:iCs/>
              </w:rPr>
              <w:t>16.12</w:t>
            </w:r>
          </w:p>
        </w:tc>
        <w:tc>
          <w:tcPr>
            <w:tcW w:w="1138" w:type="pct"/>
          </w:tcPr>
          <w:p w14:paraId="054EA131" w14:textId="77777777" w:rsidR="009C29A2" w:rsidRPr="00001499" w:rsidRDefault="009C29A2" w:rsidP="00FC7A97">
            <w:pPr>
              <w:pStyle w:val="TableText0"/>
              <w:rPr>
                <w:iCs/>
              </w:rPr>
            </w:pPr>
            <w:r w:rsidRPr="00001499">
              <w:rPr>
                <w:iCs/>
              </w:rPr>
              <w:t>548</w:t>
            </w:r>
          </w:p>
        </w:tc>
      </w:tr>
      <w:tr w:rsidR="009C29A2" w:rsidRPr="00001499" w14:paraId="64880DF9" w14:textId="77777777" w:rsidTr="00EE208F">
        <w:trPr>
          <w:trHeight w:val="20"/>
        </w:trPr>
        <w:tc>
          <w:tcPr>
            <w:tcW w:w="444" w:type="pct"/>
            <w:vMerge/>
          </w:tcPr>
          <w:p w14:paraId="421957C6" w14:textId="77777777" w:rsidR="009C29A2" w:rsidRPr="00001499" w:rsidRDefault="009C29A2" w:rsidP="00FC7A97">
            <w:pPr>
              <w:pStyle w:val="TableText0"/>
              <w:rPr>
                <w:iCs/>
              </w:rPr>
            </w:pPr>
          </w:p>
        </w:tc>
        <w:tc>
          <w:tcPr>
            <w:tcW w:w="1141" w:type="pct"/>
            <w:hideMark/>
          </w:tcPr>
          <w:p w14:paraId="61492ACF" w14:textId="77777777" w:rsidR="009C29A2" w:rsidRPr="00001499" w:rsidRDefault="009C29A2" w:rsidP="00FC7A97">
            <w:pPr>
              <w:pStyle w:val="TableText0"/>
              <w:rPr>
                <w:iCs/>
              </w:rPr>
            </w:pPr>
            <w:r w:rsidRPr="00001499">
              <w:rPr>
                <w:iCs/>
              </w:rPr>
              <w:t>Deaths</w:t>
            </w:r>
          </w:p>
        </w:tc>
        <w:tc>
          <w:tcPr>
            <w:tcW w:w="1140" w:type="pct"/>
            <w:hideMark/>
          </w:tcPr>
          <w:p w14:paraId="4EFC25E8" w14:textId="77777777" w:rsidR="009C29A2" w:rsidRPr="00001499" w:rsidRDefault="009C29A2" w:rsidP="00FC7A97">
            <w:pPr>
              <w:pStyle w:val="TableText0"/>
              <w:rPr>
                <w:iCs/>
              </w:rPr>
            </w:pPr>
            <w:r w:rsidRPr="00001499">
              <w:rPr>
                <w:iCs/>
              </w:rPr>
              <w:t>Influenza Death</w:t>
            </w:r>
          </w:p>
        </w:tc>
        <w:tc>
          <w:tcPr>
            <w:tcW w:w="1137" w:type="pct"/>
          </w:tcPr>
          <w:p w14:paraId="3A4725E6" w14:textId="77777777" w:rsidR="009C29A2" w:rsidRPr="00001499" w:rsidRDefault="009C29A2" w:rsidP="00FC7A97">
            <w:pPr>
              <w:pStyle w:val="TableText0"/>
              <w:rPr>
                <w:iCs/>
              </w:rPr>
            </w:pPr>
            <w:r w:rsidRPr="00001499">
              <w:rPr>
                <w:iCs/>
              </w:rPr>
              <w:t>0.54</w:t>
            </w:r>
          </w:p>
        </w:tc>
        <w:tc>
          <w:tcPr>
            <w:tcW w:w="1138" w:type="pct"/>
          </w:tcPr>
          <w:p w14:paraId="5685C29E" w14:textId="77777777" w:rsidR="009C29A2" w:rsidRPr="00001499" w:rsidRDefault="009C29A2" w:rsidP="00FC7A97">
            <w:pPr>
              <w:pStyle w:val="TableText0"/>
              <w:rPr>
                <w:iCs/>
              </w:rPr>
            </w:pPr>
            <w:r w:rsidRPr="00001499">
              <w:rPr>
                <w:iCs/>
              </w:rPr>
              <w:t>18</w:t>
            </w:r>
          </w:p>
        </w:tc>
      </w:tr>
      <w:tr w:rsidR="009C29A2" w:rsidRPr="00001499" w14:paraId="7A955175" w14:textId="77777777" w:rsidTr="00EE208F">
        <w:trPr>
          <w:trHeight w:val="20"/>
        </w:trPr>
        <w:tc>
          <w:tcPr>
            <w:tcW w:w="444" w:type="pct"/>
            <w:vMerge w:val="restart"/>
            <w:hideMark/>
          </w:tcPr>
          <w:p w14:paraId="528CFCD9" w14:textId="77777777" w:rsidR="009C29A2" w:rsidRPr="00001499" w:rsidRDefault="009C29A2" w:rsidP="00FC7A97">
            <w:pPr>
              <w:pStyle w:val="TableText0"/>
              <w:rPr>
                <w:iCs/>
              </w:rPr>
            </w:pPr>
            <w:r w:rsidRPr="00001499">
              <w:rPr>
                <w:iCs/>
              </w:rPr>
              <w:t>2016</w:t>
            </w:r>
          </w:p>
        </w:tc>
        <w:tc>
          <w:tcPr>
            <w:tcW w:w="1141" w:type="pct"/>
            <w:hideMark/>
          </w:tcPr>
          <w:p w14:paraId="05CCE02F" w14:textId="77777777" w:rsidR="009C29A2" w:rsidRPr="00001499" w:rsidRDefault="009C29A2" w:rsidP="00FC7A97">
            <w:pPr>
              <w:pStyle w:val="TableText0"/>
              <w:rPr>
                <w:iCs/>
              </w:rPr>
            </w:pPr>
            <w:r w:rsidRPr="00001499">
              <w:rPr>
                <w:iCs/>
              </w:rPr>
              <w:t>Cases</w:t>
            </w:r>
          </w:p>
        </w:tc>
        <w:tc>
          <w:tcPr>
            <w:tcW w:w="1140" w:type="pct"/>
            <w:hideMark/>
          </w:tcPr>
          <w:p w14:paraId="1FC12C44" w14:textId="77777777" w:rsidR="009C29A2" w:rsidRPr="00001499" w:rsidRDefault="009C29A2" w:rsidP="00FC7A97">
            <w:pPr>
              <w:pStyle w:val="TableText0"/>
              <w:rPr>
                <w:iCs/>
              </w:rPr>
            </w:pPr>
            <w:r w:rsidRPr="00001499">
              <w:rPr>
                <w:iCs/>
              </w:rPr>
              <w:t>Influenza</w:t>
            </w:r>
          </w:p>
        </w:tc>
        <w:tc>
          <w:tcPr>
            <w:tcW w:w="1137" w:type="pct"/>
          </w:tcPr>
          <w:p w14:paraId="50CBE13A" w14:textId="77777777" w:rsidR="009C29A2" w:rsidRPr="00001499" w:rsidRDefault="009C29A2" w:rsidP="00FC7A97">
            <w:pPr>
              <w:pStyle w:val="TableText0"/>
              <w:rPr>
                <w:iCs/>
              </w:rPr>
            </w:pPr>
            <w:r w:rsidRPr="00001499">
              <w:rPr>
                <w:iCs/>
              </w:rPr>
              <w:t>58.17</w:t>
            </w:r>
          </w:p>
        </w:tc>
        <w:tc>
          <w:tcPr>
            <w:tcW w:w="1138" w:type="pct"/>
          </w:tcPr>
          <w:p w14:paraId="388C5493" w14:textId="77777777" w:rsidR="009C29A2" w:rsidRPr="00001499" w:rsidRDefault="009C29A2" w:rsidP="00FC7A97">
            <w:pPr>
              <w:pStyle w:val="TableText0"/>
              <w:rPr>
                <w:iCs/>
              </w:rPr>
            </w:pPr>
            <w:r w:rsidRPr="00001499">
              <w:rPr>
                <w:iCs/>
              </w:rPr>
              <w:t>1,978</w:t>
            </w:r>
          </w:p>
        </w:tc>
      </w:tr>
      <w:tr w:rsidR="009C29A2" w:rsidRPr="00001499" w14:paraId="27BDD143" w14:textId="77777777" w:rsidTr="00EE208F">
        <w:trPr>
          <w:trHeight w:val="20"/>
        </w:trPr>
        <w:tc>
          <w:tcPr>
            <w:tcW w:w="444" w:type="pct"/>
            <w:vMerge/>
          </w:tcPr>
          <w:p w14:paraId="4D62EF56" w14:textId="77777777" w:rsidR="009C29A2" w:rsidRPr="00001499" w:rsidRDefault="009C29A2" w:rsidP="00FC7A97">
            <w:pPr>
              <w:pStyle w:val="TableText0"/>
              <w:rPr>
                <w:iCs/>
              </w:rPr>
            </w:pPr>
          </w:p>
        </w:tc>
        <w:tc>
          <w:tcPr>
            <w:tcW w:w="1141" w:type="pct"/>
            <w:hideMark/>
          </w:tcPr>
          <w:p w14:paraId="67849D91" w14:textId="77777777" w:rsidR="009C29A2" w:rsidRPr="00001499" w:rsidRDefault="009C29A2" w:rsidP="00FC7A97">
            <w:pPr>
              <w:pStyle w:val="TableText0"/>
              <w:rPr>
                <w:iCs/>
              </w:rPr>
            </w:pPr>
            <w:r w:rsidRPr="00001499">
              <w:rPr>
                <w:iCs/>
              </w:rPr>
              <w:t>GP visits</w:t>
            </w:r>
          </w:p>
        </w:tc>
        <w:tc>
          <w:tcPr>
            <w:tcW w:w="1140" w:type="pct"/>
            <w:hideMark/>
          </w:tcPr>
          <w:p w14:paraId="659DB005" w14:textId="77777777" w:rsidR="009C29A2" w:rsidRPr="00001499" w:rsidRDefault="009C29A2" w:rsidP="00FC7A97">
            <w:pPr>
              <w:pStyle w:val="TableText0"/>
              <w:rPr>
                <w:iCs/>
              </w:rPr>
            </w:pPr>
            <w:r w:rsidRPr="00001499">
              <w:rPr>
                <w:iCs/>
              </w:rPr>
              <w:t>Outpatient Influenza</w:t>
            </w:r>
          </w:p>
        </w:tc>
        <w:tc>
          <w:tcPr>
            <w:tcW w:w="1137" w:type="pct"/>
          </w:tcPr>
          <w:p w14:paraId="6D76A2AE" w14:textId="77777777" w:rsidR="009C29A2" w:rsidRPr="00001499" w:rsidRDefault="009C29A2" w:rsidP="00FC7A97">
            <w:pPr>
              <w:pStyle w:val="TableText0"/>
              <w:rPr>
                <w:iCs/>
              </w:rPr>
            </w:pPr>
            <w:r w:rsidRPr="00001499">
              <w:rPr>
                <w:iCs/>
              </w:rPr>
              <w:t>39.73</w:t>
            </w:r>
          </w:p>
        </w:tc>
        <w:tc>
          <w:tcPr>
            <w:tcW w:w="1138" w:type="pct"/>
          </w:tcPr>
          <w:p w14:paraId="7B4BD881" w14:textId="77777777" w:rsidR="009C29A2" w:rsidRPr="00001499" w:rsidRDefault="009C29A2" w:rsidP="00FC7A97">
            <w:pPr>
              <w:pStyle w:val="TableText0"/>
              <w:rPr>
                <w:iCs/>
              </w:rPr>
            </w:pPr>
            <w:r w:rsidRPr="00001499">
              <w:rPr>
                <w:iCs/>
              </w:rPr>
              <w:t>1,351</w:t>
            </w:r>
          </w:p>
        </w:tc>
      </w:tr>
      <w:tr w:rsidR="009C29A2" w:rsidRPr="00001499" w14:paraId="0EBF2A77" w14:textId="77777777" w:rsidTr="00EE208F">
        <w:trPr>
          <w:trHeight w:val="20"/>
        </w:trPr>
        <w:tc>
          <w:tcPr>
            <w:tcW w:w="444" w:type="pct"/>
            <w:vMerge/>
          </w:tcPr>
          <w:p w14:paraId="3811CFAE" w14:textId="77777777" w:rsidR="009C29A2" w:rsidRPr="00001499" w:rsidRDefault="009C29A2" w:rsidP="00FC7A97">
            <w:pPr>
              <w:pStyle w:val="TableText0"/>
              <w:rPr>
                <w:iCs/>
              </w:rPr>
            </w:pPr>
          </w:p>
        </w:tc>
        <w:tc>
          <w:tcPr>
            <w:tcW w:w="1141" w:type="pct"/>
            <w:hideMark/>
          </w:tcPr>
          <w:p w14:paraId="1E5925F9" w14:textId="77777777" w:rsidR="009C29A2" w:rsidRPr="00001499" w:rsidRDefault="009C29A2" w:rsidP="00FC7A97">
            <w:pPr>
              <w:pStyle w:val="TableText0"/>
              <w:rPr>
                <w:iCs/>
              </w:rPr>
            </w:pPr>
            <w:r w:rsidRPr="00001499">
              <w:rPr>
                <w:iCs/>
              </w:rPr>
              <w:t>Hospitalisations</w:t>
            </w:r>
          </w:p>
        </w:tc>
        <w:tc>
          <w:tcPr>
            <w:tcW w:w="1140" w:type="pct"/>
            <w:hideMark/>
          </w:tcPr>
          <w:p w14:paraId="5D127A2D" w14:textId="77777777" w:rsidR="009C29A2" w:rsidRPr="00001499" w:rsidRDefault="009C29A2" w:rsidP="00FC7A97">
            <w:pPr>
              <w:pStyle w:val="TableText0"/>
              <w:rPr>
                <w:iCs/>
              </w:rPr>
            </w:pPr>
            <w:r w:rsidRPr="00001499">
              <w:rPr>
                <w:iCs/>
              </w:rPr>
              <w:t>Hospitalised Influenza</w:t>
            </w:r>
          </w:p>
        </w:tc>
        <w:tc>
          <w:tcPr>
            <w:tcW w:w="1137" w:type="pct"/>
          </w:tcPr>
          <w:p w14:paraId="28E5FD72" w14:textId="77777777" w:rsidR="009C29A2" w:rsidRPr="00001499" w:rsidRDefault="009C29A2" w:rsidP="00FC7A97">
            <w:pPr>
              <w:pStyle w:val="TableText0"/>
              <w:rPr>
                <w:iCs/>
              </w:rPr>
            </w:pPr>
            <w:r w:rsidRPr="00001499">
              <w:rPr>
                <w:iCs/>
              </w:rPr>
              <w:t>18.44</w:t>
            </w:r>
          </w:p>
        </w:tc>
        <w:tc>
          <w:tcPr>
            <w:tcW w:w="1138" w:type="pct"/>
          </w:tcPr>
          <w:p w14:paraId="1A38C3E0" w14:textId="77777777" w:rsidR="009C29A2" w:rsidRPr="00001499" w:rsidRDefault="009C29A2" w:rsidP="00FC7A97">
            <w:pPr>
              <w:pStyle w:val="TableText0"/>
              <w:rPr>
                <w:iCs/>
              </w:rPr>
            </w:pPr>
            <w:r w:rsidRPr="00001499">
              <w:rPr>
                <w:iCs/>
              </w:rPr>
              <w:t>627</w:t>
            </w:r>
          </w:p>
        </w:tc>
      </w:tr>
      <w:tr w:rsidR="009C29A2" w:rsidRPr="00001499" w14:paraId="542E3EBA" w14:textId="77777777" w:rsidTr="00EE208F">
        <w:trPr>
          <w:trHeight w:val="20"/>
        </w:trPr>
        <w:tc>
          <w:tcPr>
            <w:tcW w:w="444" w:type="pct"/>
            <w:vMerge/>
          </w:tcPr>
          <w:p w14:paraId="56CCD2A6" w14:textId="77777777" w:rsidR="009C29A2" w:rsidRPr="00001499" w:rsidRDefault="009C29A2" w:rsidP="00FC7A97">
            <w:pPr>
              <w:pStyle w:val="TableText0"/>
              <w:rPr>
                <w:iCs/>
              </w:rPr>
            </w:pPr>
          </w:p>
        </w:tc>
        <w:tc>
          <w:tcPr>
            <w:tcW w:w="1141" w:type="pct"/>
            <w:hideMark/>
          </w:tcPr>
          <w:p w14:paraId="0ABA05B9" w14:textId="77777777" w:rsidR="009C29A2" w:rsidRPr="00001499" w:rsidRDefault="009C29A2" w:rsidP="00FC7A97">
            <w:pPr>
              <w:pStyle w:val="TableText0"/>
              <w:rPr>
                <w:iCs/>
              </w:rPr>
            </w:pPr>
            <w:r w:rsidRPr="00001499">
              <w:rPr>
                <w:iCs/>
              </w:rPr>
              <w:t>Deaths</w:t>
            </w:r>
          </w:p>
        </w:tc>
        <w:tc>
          <w:tcPr>
            <w:tcW w:w="1140" w:type="pct"/>
            <w:hideMark/>
          </w:tcPr>
          <w:p w14:paraId="1D7A2E66" w14:textId="77777777" w:rsidR="009C29A2" w:rsidRPr="00001499" w:rsidRDefault="009C29A2" w:rsidP="00FC7A97">
            <w:pPr>
              <w:pStyle w:val="TableText0"/>
              <w:rPr>
                <w:iCs/>
              </w:rPr>
            </w:pPr>
            <w:r w:rsidRPr="00001499">
              <w:rPr>
                <w:iCs/>
              </w:rPr>
              <w:t>Influenza Death</w:t>
            </w:r>
          </w:p>
        </w:tc>
        <w:tc>
          <w:tcPr>
            <w:tcW w:w="1137" w:type="pct"/>
          </w:tcPr>
          <w:p w14:paraId="7352CEA0" w14:textId="77777777" w:rsidR="009C29A2" w:rsidRPr="00001499" w:rsidRDefault="009C29A2" w:rsidP="00FC7A97">
            <w:pPr>
              <w:pStyle w:val="TableText0"/>
              <w:rPr>
                <w:iCs/>
              </w:rPr>
            </w:pPr>
            <w:r w:rsidRPr="00001499">
              <w:rPr>
                <w:iCs/>
              </w:rPr>
              <w:t>0.65</w:t>
            </w:r>
          </w:p>
        </w:tc>
        <w:tc>
          <w:tcPr>
            <w:tcW w:w="1138" w:type="pct"/>
          </w:tcPr>
          <w:p w14:paraId="4ACDCC95" w14:textId="77777777" w:rsidR="009C29A2" w:rsidRPr="00001499" w:rsidRDefault="009C29A2" w:rsidP="00FC7A97">
            <w:pPr>
              <w:pStyle w:val="TableText0"/>
              <w:rPr>
                <w:iCs/>
              </w:rPr>
            </w:pPr>
            <w:r w:rsidRPr="00001499">
              <w:rPr>
                <w:iCs/>
              </w:rPr>
              <w:t>22</w:t>
            </w:r>
          </w:p>
        </w:tc>
      </w:tr>
      <w:tr w:rsidR="009C29A2" w:rsidRPr="00001499" w14:paraId="70212A4B" w14:textId="77777777" w:rsidTr="00EE208F">
        <w:trPr>
          <w:trHeight w:val="20"/>
        </w:trPr>
        <w:tc>
          <w:tcPr>
            <w:tcW w:w="444" w:type="pct"/>
            <w:vMerge w:val="restart"/>
            <w:hideMark/>
          </w:tcPr>
          <w:p w14:paraId="0D29542B" w14:textId="77777777" w:rsidR="009C29A2" w:rsidRPr="00001499" w:rsidRDefault="009C29A2" w:rsidP="00FC7A97">
            <w:pPr>
              <w:pStyle w:val="TableText0"/>
              <w:rPr>
                <w:iCs/>
              </w:rPr>
            </w:pPr>
            <w:r w:rsidRPr="00001499">
              <w:rPr>
                <w:iCs/>
              </w:rPr>
              <w:t>2017</w:t>
            </w:r>
          </w:p>
        </w:tc>
        <w:tc>
          <w:tcPr>
            <w:tcW w:w="1141" w:type="pct"/>
            <w:hideMark/>
          </w:tcPr>
          <w:p w14:paraId="058EACFF" w14:textId="77777777" w:rsidR="009C29A2" w:rsidRPr="00001499" w:rsidRDefault="009C29A2" w:rsidP="00FC7A97">
            <w:pPr>
              <w:pStyle w:val="TableText0"/>
              <w:rPr>
                <w:iCs/>
              </w:rPr>
            </w:pPr>
            <w:r w:rsidRPr="00001499">
              <w:rPr>
                <w:iCs/>
              </w:rPr>
              <w:t>Cases</w:t>
            </w:r>
          </w:p>
        </w:tc>
        <w:tc>
          <w:tcPr>
            <w:tcW w:w="1140" w:type="pct"/>
            <w:hideMark/>
          </w:tcPr>
          <w:p w14:paraId="4D8F6F07" w14:textId="77777777" w:rsidR="009C29A2" w:rsidRPr="00001499" w:rsidRDefault="009C29A2" w:rsidP="00FC7A97">
            <w:pPr>
              <w:pStyle w:val="TableText0"/>
              <w:rPr>
                <w:iCs/>
              </w:rPr>
            </w:pPr>
            <w:r w:rsidRPr="00001499">
              <w:rPr>
                <w:iCs/>
              </w:rPr>
              <w:t>Influenza</w:t>
            </w:r>
          </w:p>
        </w:tc>
        <w:tc>
          <w:tcPr>
            <w:tcW w:w="1137" w:type="pct"/>
          </w:tcPr>
          <w:p w14:paraId="12A348D2" w14:textId="77777777" w:rsidR="009C29A2" w:rsidRPr="00001499" w:rsidRDefault="009C29A2" w:rsidP="00FC7A97">
            <w:pPr>
              <w:pStyle w:val="TableText0"/>
              <w:rPr>
                <w:iCs/>
              </w:rPr>
            </w:pPr>
            <w:r w:rsidRPr="00001499">
              <w:rPr>
                <w:iCs/>
              </w:rPr>
              <w:t>157.89</w:t>
            </w:r>
          </w:p>
        </w:tc>
        <w:tc>
          <w:tcPr>
            <w:tcW w:w="1138" w:type="pct"/>
          </w:tcPr>
          <w:p w14:paraId="1D2D5BA2" w14:textId="77777777" w:rsidR="009C29A2" w:rsidRPr="00001499" w:rsidRDefault="009C29A2" w:rsidP="00FC7A97">
            <w:pPr>
              <w:pStyle w:val="TableText0"/>
              <w:rPr>
                <w:iCs/>
              </w:rPr>
            </w:pPr>
            <w:r w:rsidRPr="00001499">
              <w:rPr>
                <w:iCs/>
              </w:rPr>
              <w:t>5,370</w:t>
            </w:r>
          </w:p>
        </w:tc>
      </w:tr>
      <w:tr w:rsidR="009C29A2" w:rsidRPr="00001499" w14:paraId="58312426" w14:textId="77777777" w:rsidTr="00EE208F">
        <w:trPr>
          <w:trHeight w:val="20"/>
        </w:trPr>
        <w:tc>
          <w:tcPr>
            <w:tcW w:w="444" w:type="pct"/>
            <w:vMerge/>
          </w:tcPr>
          <w:p w14:paraId="43607449" w14:textId="77777777" w:rsidR="009C29A2" w:rsidRPr="00001499" w:rsidRDefault="009C29A2" w:rsidP="00FC7A97">
            <w:pPr>
              <w:pStyle w:val="TableText0"/>
              <w:rPr>
                <w:iCs/>
              </w:rPr>
            </w:pPr>
          </w:p>
        </w:tc>
        <w:tc>
          <w:tcPr>
            <w:tcW w:w="1141" w:type="pct"/>
            <w:hideMark/>
          </w:tcPr>
          <w:p w14:paraId="6659E3DE" w14:textId="77777777" w:rsidR="009C29A2" w:rsidRPr="00001499" w:rsidRDefault="009C29A2" w:rsidP="00FC7A97">
            <w:pPr>
              <w:pStyle w:val="TableText0"/>
              <w:rPr>
                <w:iCs/>
              </w:rPr>
            </w:pPr>
            <w:r w:rsidRPr="00001499">
              <w:rPr>
                <w:iCs/>
              </w:rPr>
              <w:t>GP visits</w:t>
            </w:r>
          </w:p>
        </w:tc>
        <w:tc>
          <w:tcPr>
            <w:tcW w:w="1140" w:type="pct"/>
            <w:hideMark/>
          </w:tcPr>
          <w:p w14:paraId="2187A334" w14:textId="77777777" w:rsidR="009C29A2" w:rsidRPr="00001499" w:rsidRDefault="009C29A2" w:rsidP="00FC7A97">
            <w:pPr>
              <w:pStyle w:val="TableText0"/>
              <w:rPr>
                <w:iCs/>
              </w:rPr>
            </w:pPr>
            <w:r w:rsidRPr="00001499">
              <w:rPr>
                <w:iCs/>
              </w:rPr>
              <w:t>Outpatient Influenza</w:t>
            </w:r>
          </w:p>
        </w:tc>
        <w:tc>
          <w:tcPr>
            <w:tcW w:w="1137" w:type="pct"/>
          </w:tcPr>
          <w:p w14:paraId="6B8CB66A" w14:textId="77777777" w:rsidR="009C29A2" w:rsidRPr="00001499" w:rsidRDefault="009C29A2" w:rsidP="00FC7A97">
            <w:pPr>
              <w:pStyle w:val="TableText0"/>
              <w:rPr>
                <w:iCs/>
              </w:rPr>
            </w:pPr>
            <w:r w:rsidRPr="00001499">
              <w:rPr>
                <w:iCs/>
              </w:rPr>
              <w:t>118.49</w:t>
            </w:r>
          </w:p>
        </w:tc>
        <w:tc>
          <w:tcPr>
            <w:tcW w:w="1138" w:type="pct"/>
          </w:tcPr>
          <w:p w14:paraId="103EE703" w14:textId="77777777" w:rsidR="009C29A2" w:rsidRPr="00001499" w:rsidRDefault="009C29A2" w:rsidP="00FC7A97">
            <w:pPr>
              <w:pStyle w:val="TableText0"/>
              <w:rPr>
                <w:iCs/>
              </w:rPr>
            </w:pPr>
            <w:r w:rsidRPr="00001499">
              <w:rPr>
                <w:iCs/>
              </w:rPr>
              <w:t>4,030</w:t>
            </w:r>
          </w:p>
        </w:tc>
      </w:tr>
      <w:tr w:rsidR="009C29A2" w:rsidRPr="00001499" w14:paraId="129F05EB" w14:textId="77777777" w:rsidTr="00EE208F">
        <w:trPr>
          <w:trHeight w:val="20"/>
        </w:trPr>
        <w:tc>
          <w:tcPr>
            <w:tcW w:w="444" w:type="pct"/>
            <w:vMerge/>
          </w:tcPr>
          <w:p w14:paraId="70449946" w14:textId="77777777" w:rsidR="009C29A2" w:rsidRPr="00001499" w:rsidRDefault="009C29A2" w:rsidP="00FC7A97">
            <w:pPr>
              <w:pStyle w:val="TableText0"/>
              <w:rPr>
                <w:iCs/>
              </w:rPr>
            </w:pPr>
          </w:p>
        </w:tc>
        <w:tc>
          <w:tcPr>
            <w:tcW w:w="1141" w:type="pct"/>
            <w:hideMark/>
          </w:tcPr>
          <w:p w14:paraId="12B8F99C" w14:textId="77777777" w:rsidR="009C29A2" w:rsidRPr="00001499" w:rsidRDefault="009C29A2" w:rsidP="00FC7A97">
            <w:pPr>
              <w:pStyle w:val="TableText0"/>
              <w:rPr>
                <w:iCs/>
              </w:rPr>
            </w:pPr>
            <w:r w:rsidRPr="00001499">
              <w:rPr>
                <w:iCs/>
              </w:rPr>
              <w:t>Hospitalisations</w:t>
            </w:r>
          </w:p>
        </w:tc>
        <w:tc>
          <w:tcPr>
            <w:tcW w:w="1140" w:type="pct"/>
            <w:hideMark/>
          </w:tcPr>
          <w:p w14:paraId="5D4C8DCB" w14:textId="77777777" w:rsidR="009C29A2" w:rsidRPr="00001499" w:rsidRDefault="009C29A2" w:rsidP="00FC7A97">
            <w:pPr>
              <w:pStyle w:val="TableText0"/>
              <w:rPr>
                <w:iCs/>
              </w:rPr>
            </w:pPr>
            <w:r w:rsidRPr="00001499">
              <w:rPr>
                <w:iCs/>
              </w:rPr>
              <w:t>Hospitalised Influenza</w:t>
            </w:r>
          </w:p>
        </w:tc>
        <w:tc>
          <w:tcPr>
            <w:tcW w:w="1137" w:type="pct"/>
          </w:tcPr>
          <w:p w14:paraId="5CE88075" w14:textId="77777777" w:rsidR="009C29A2" w:rsidRPr="00001499" w:rsidRDefault="009C29A2" w:rsidP="00FC7A97">
            <w:pPr>
              <w:pStyle w:val="TableText0"/>
              <w:rPr>
                <w:iCs/>
              </w:rPr>
            </w:pPr>
            <w:r w:rsidRPr="00001499">
              <w:rPr>
                <w:iCs/>
              </w:rPr>
              <w:t>39.40</w:t>
            </w:r>
          </w:p>
        </w:tc>
        <w:tc>
          <w:tcPr>
            <w:tcW w:w="1138" w:type="pct"/>
          </w:tcPr>
          <w:p w14:paraId="5E94EEEE" w14:textId="77777777" w:rsidR="009C29A2" w:rsidRPr="00001499" w:rsidRDefault="009C29A2" w:rsidP="00FC7A97">
            <w:pPr>
              <w:pStyle w:val="TableText0"/>
              <w:rPr>
                <w:iCs/>
              </w:rPr>
            </w:pPr>
            <w:r w:rsidRPr="00001499">
              <w:rPr>
                <w:iCs/>
              </w:rPr>
              <w:t>1,340</w:t>
            </w:r>
          </w:p>
        </w:tc>
      </w:tr>
      <w:tr w:rsidR="009C29A2" w:rsidRPr="00001499" w14:paraId="144961C9" w14:textId="77777777" w:rsidTr="00EE208F">
        <w:trPr>
          <w:trHeight w:val="20"/>
        </w:trPr>
        <w:tc>
          <w:tcPr>
            <w:tcW w:w="444" w:type="pct"/>
            <w:vMerge/>
          </w:tcPr>
          <w:p w14:paraId="79B2B999" w14:textId="77777777" w:rsidR="009C29A2" w:rsidRPr="00001499" w:rsidRDefault="009C29A2" w:rsidP="00FC7A97">
            <w:pPr>
              <w:pStyle w:val="TableText0"/>
              <w:rPr>
                <w:iCs/>
              </w:rPr>
            </w:pPr>
          </w:p>
        </w:tc>
        <w:tc>
          <w:tcPr>
            <w:tcW w:w="1141" w:type="pct"/>
            <w:hideMark/>
          </w:tcPr>
          <w:p w14:paraId="58870962" w14:textId="77777777" w:rsidR="009C29A2" w:rsidRPr="00001499" w:rsidRDefault="009C29A2" w:rsidP="00FC7A97">
            <w:pPr>
              <w:pStyle w:val="TableText0"/>
              <w:rPr>
                <w:iCs/>
              </w:rPr>
            </w:pPr>
            <w:r w:rsidRPr="00001499">
              <w:rPr>
                <w:iCs/>
              </w:rPr>
              <w:t>Deaths</w:t>
            </w:r>
          </w:p>
        </w:tc>
        <w:tc>
          <w:tcPr>
            <w:tcW w:w="1140" w:type="pct"/>
            <w:hideMark/>
          </w:tcPr>
          <w:p w14:paraId="4F7FD688" w14:textId="77777777" w:rsidR="009C29A2" w:rsidRPr="00001499" w:rsidRDefault="009C29A2" w:rsidP="00FC7A97">
            <w:pPr>
              <w:pStyle w:val="TableText0"/>
              <w:rPr>
                <w:iCs/>
              </w:rPr>
            </w:pPr>
            <w:r w:rsidRPr="00001499">
              <w:rPr>
                <w:iCs/>
              </w:rPr>
              <w:t>Influenza Death</w:t>
            </w:r>
          </w:p>
        </w:tc>
        <w:tc>
          <w:tcPr>
            <w:tcW w:w="1137" w:type="pct"/>
          </w:tcPr>
          <w:p w14:paraId="765608C1" w14:textId="77777777" w:rsidR="009C29A2" w:rsidRPr="00001499" w:rsidRDefault="009C29A2" w:rsidP="00FC7A97">
            <w:pPr>
              <w:pStyle w:val="TableText0"/>
              <w:rPr>
                <w:iCs/>
              </w:rPr>
            </w:pPr>
            <w:r w:rsidRPr="00001499">
              <w:rPr>
                <w:iCs/>
              </w:rPr>
              <w:t>1.45</w:t>
            </w:r>
          </w:p>
        </w:tc>
        <w:tc>
          <w:tcPr>
            <w:tcW w:w="1138" w:type="pct"/>
          </w:tcPr>
          <w:p w14:paraId="5D9ABCC9" w14:textId="77777777" w:rsidR="009C29A2" w:rsidRPr="00001499" w:rsidRDefault="009C29A2" w:rsidP="00FC7A97">
            <w:pPr>
              <w:pStyle w:val="TableText0"/>
              <w:rPr>
                <w:iCs/>
              </w:rPr>
            </w:pPr>
            <w:r w:rsidRPr="00001499">
              <w:rPr>
                <w:iCs/>
              </w:rPr>
              <w:t>49</w:t>
            </w:r>
          </w:p>
        </w:tc>
      </w:tr>
      <w:tr w:rsidR="009C29A2" w:rsidRPr="00001499" w14:paraId="5A833D59" w14:textId="77777777" w:rsidTr="00EE208F">
        <w:trPr>
          <w:trHeight w:val="20"/>
        </w:trPr>
        <w:tc>
          <w:tcPr>
            <w:tcW w:w="444" w:type="pct"/>
            <w:vMerge w:val="restart"/>
            <w:hideMark/>
          </w:tcPr>
          <w:p w14:paraId="5E390BAC" w14:textId="77777777" w:rsidR="009C29A2" w:rsidRPr="00001499" w:rsidRDefault="009C29A2" w:rsidP="00FC7A97">
            <w:pPr>
              <w:pStyle w:val="TableText0"/>
              <w:rPr>
                <w:iCs/>
              </w:rPr>
            </w:pPr>
            <w:r w:rsidRPr="00001499">
              <w:rPr>
                <w:iCs/>
              </w:rPr>
              <w:t>2018</w:t>
            </w:r>
          </w:p>
        </w:tc>
        <w:tc>
          <w:tcPr>
            <w:tcW w:w="1141" w:type="pct"/>
            <w:hideMark/>
          </w:tcPr>
          <w:p w14:paraId="4D81B367" w14:textId="77777777" w:rsidR="009C29A2" w:rsidRPr="00001499" w:rsidRDefault="009C29A2" w:rsidP="00FC7A97">
            <w:pPr>
              <w:pStyle w:val="TableText0"/>
              <w:rPr>
                <w:iCs/>
              </w:rPr>
            </w:pPr>
            <w:r w:rsidRPr="00001499">
              <w:rPr>
                <w:iCs/>
              </w:rPr>
              <w:t>Cases</w:t>
            </w:r>
          </w:p>
        </w:tc>
        <w:tc>
          <w:tcPr>
            <w:tcW w:w="1140" w:type="pct"/>
            <w:hideMark/>
          </w:tcPr>
          <w:p w14:paraId="03CC622B" w14:textId="77777777" w:rsidR="009C29A2" w:rsidRPr="00001499" w:rsidRDefault="009C29A2" w:rsidP="00FC7A97">
            <w:pPr>
              <w:pStyle w:val="TableText0"/>
              <w:rPr>
                <w:iCs/>
              </w:rPr>
            </w:pPr>
            <w:r w:rsidRPr="00001499">
              <w:rPr>
                <w:iCs/>
              </w:rPr>
              <w:t>Influenza</w:t>
            </w:r>
          </w:p>
        </w:tc>
        <w:tc>
          <w:tcPr>
            <w:tcW w:w="1137" w:type="pct"/>
          </w:tcPr>
          <w:p w14:paraId="52DEC6BD" w14:textId="77777777" w:rsidR="009C29A2" w:rsidRPr="00001499" w:rsidRDefault="009C29A2" w:rsidP="00FC7A97">
            <w:pPr>
              <w:pStyle w:val="TableText0"/>
              <w:rPr>
                <w:iCs/>
              </w:rPr>
            </w:pPr>
            <w:r w:rsidRPr="00001499">
              <w:rPr>
                <w:iCs/>
              </w:rPr>
              <w:t>0.00</w:t>
            </w:r>
          </w:p>
        </w:tc>
        <w:tc>
          <w:tcPr>
            <w:tcW w:w="1138" w:type="pct"/>
          </w:tcPr>
          <w:p w14:paraId="477B2690" w14:textId="77777777" w:rsidR="009C29A2" w:rsidRPr="00001499" w:rsidRDefault="009C29A2" w:rsidP="00FC7A97">
            <w:pPr>
              <w:pStyle w:val="TableText0"/>
              <w:rPr>
                <w:iCs/>
              </w:rPr>
            </w:pPr>
            <w:r w:rsidRPr="00001499">
              <w:rPr>
                <w:iCs/>
              </w:rPr>
              <w:t>0</w:t>
            </w:r>
          </w:p>
        </w:tc>
      </w:tr>
      <w:tr w:rsidR="009C29A2" w:rsidRPr="00001499" w14:paraId="2C5EEACE" w14:textId="77777777" w:rsidTr="00EE208F">
        <w:trPr>
          <w:trHeight w:val="20"/>
        </w:trPr>
        <w:tc>
          <w:tcPr>
            <w:tcW w:w="444" w:type="pct"/>
            <w:vMerge/>
          </w:tcPr>
          <w:p w14:paraId="77D573C4" w14:textId="77777777" w:rsidR="009C29A2" w:rsidRPr="00001499" w:rsidRDefault="009C29A2" w:rsidP="00FC7A97">
            <w:pPr>
              <w:pStyle w:val="TableText0"/>
              <w:rPr>
                <w:iCs/>
              </w:rPr>
            </w:pPr>
          </w:p>
        </w:tc>
        <w:tc>
          <w:tcPr>
            <w:tcW w:w="1141" w:type="pct"/>
            <w:hideMark/>
          </w:tcPr>
          <w:p w14:paraId="52C730BF" w14:textId="77777777" w:rsidR="009C29A2" w:rsidRPr="00001499" w:rsidRDefault="009C29A2" w:rsidP="00FC7A97">
            <w:pPr>
              <w:pStyle w:val="TableText0"/>
              <w:rPr>
                <w:iCs/>
              </w:rPr>
            </w:pPr>
            <w:r w:rsidRPr="00001499">
              <w:rPr>
                <w:iCs/>
              </w:rPr>
              <w:t>GP visits</w:t>
            </w:r>
          </w:p>
        </w:tc>
        <w:tc>
          <w:tcPr>
            <w:tcW w:w="1140" w:type="pct"/>
            <w:hideMark/>
          </w:tcPr>
          <w:p w14:paraId="3EA5E3AE" w14:textId="77777777" w:rsidR="009C29A2" w:rsidRPr="00001499" w:rsidRDefault="009C29A2" w:rsidP="00FC7A97">
            <w:pPr>
              <w:pStyle w:val="TableText0"/>
              <w:rPr>
                <w:iCs/>
              </w:rPr>
            </w:pPr>
            <w:r w:rsidRPr="00001499">
              <w:rPr>
                <w:iCs/>
              </w:rPr>
              <w:t>Outpatient Influenza</w:t>
            </w:r>
          </w:p>
        </w:tc>
        <w:tc>
          <w:tcPr>
            <w:tcW w:w="1137" w:type="pct"/>
          </w:tcPr>
          <w:p w14:paraId="7D1C714F" w14:textId="77777777" w:rsidR="009C29A2" w:rsidRPr="00001499" w:rsidRDefault="009C29A2" w:rsidP="00FC7A97">
            <w:pPr>
              <w:pStyle w:val="TableText0"/>
              <w:rPr>
                <w:iCs/>
              </w:rPr>
            </w:pPr>
            <w:r w:rsidRPr="00001499">
              <w:rPr>
                <w:iCs/>
              </w:rPr>
              <w:t>0.00</w:t>
            </w:r>
          </w:p>
        </w:tc>
        <w:tc>
          <w:tcPr>
            <w:tcW w:w="1138" w:type="pct"/>
          </w:tcPr>
          <w:p w14:paraId="4733E181" w14:textId="77777777" w:rsidR="009C29A2" w:rsidRPr="00001499" w:rsidRDefault="009C29A2" w:rsidP="00FC7A97">
            <w:pPr>
              <w:pStyle w:val="TableText0"/>
              <w:rPr>
                <w:iCs/>
              </w:rPr>
            </w:pPr>
            <w:r w:rsidRPr="00001499">
              <w:rPr>
                <w:iCs/>
              </w:rPr>
              <w:t>0</w:t>
            </w:r>
          </w:p>
        </w:tc>
      </w:tr>
      <w:tr w:rsidR="009C29A2" w:rsidRPr="00001499" w14:paraId="40254B1F" w14:textId="77777777" w:rsidTr="00EE208F">
        <w:trPr>
          <w:trHeight w:val="20"/>
        </w:trPr>
        <w:tc>
          <w:tcPr>
            <w:tcW w:w="444" w:type="pct"/>
            <w:vMerge/>
          </w:tcPr>
          <w:p w14:paraId="5062AB9D" w14:textId="77777777" w:rsidR="009C29A2" w:rsidRPr="00001499" w:rsidRDefault="009C29A2" w:rsidP="00FC7A97">
            <w:pPr>
              <w:pStyle w:val="TableText0"/>
              <w:rPr>
                <w:iCs/>
              </w:rPr>
            </w:pPr>
          </w:p>
        </w:tc>
        <w:tc>
          <w:tcPr>
            <w:tcW w:w="1141" w:type="pct"/>
            <w:hideMark/>
          </w:tcPr>
          <w:p w14:paraId="745E8A83" w14:textId="77777777" w:rsidR="009C29A2" w:rsidRPr="00001499" w:rsidRDefault="009C29A2" w:rsidP="00FC7A97">
            <w:pPr>
              <w:pStyle w:val="TableText0"/>
              <w:rPr>
                <w:iCs/>
              </w:rPr>
            </w:pPr>
            <w:r w:rsidRPr="00001499">
              <w:rPr>
                <w:iCs/>
              </w:rPr>
              <w:t>Hospitalisations</w:t>
            </w:r>
          </w:p>
        </w:tc>
        <w:tc>
          <w:tcPr>
            <w:tcW w:w="1140" w:type="pct"/>
            <w:hideMark/>
          </w:tcPr>
          <w:p w14:paraId="69F4B3AE" w14:textId="77777777" w:rsidR="009C29A2" w:rsidRPr="00001499" w:rsidRDefault="009C29A2" w:rsidP="00FC7A97">
            <w:pPr>
              <w:pStyle w:val="TableText0"/>
              <w:rPr>
                <w:iCs/>
              </w:rPr>
            </w:pPr>
            <w:r w:rsidRPr="00001499">
              <w:rPr>
                <w:iCs/>
              </w:rPr>
              <w:t>Hospitalised Influenza</w:t>
            </w:r>
          </w:p>
        </w:tc>
        <w:tc>
          <w:tcPr>
            <w:tcW w:w="1137" w:type="pct"/>
          </w:tcPr>
          <w:p w14:paraId="6B9E1038" w14:textId="77777777" w:rsidR="009C29A2" w:rsidRPr="00001499" w:rsidRDefault="009C29A2" w:rsidP="00FC7A97">
            <w:pPr>
              <w:pStyle w:val="TableText0"/>
              <w:rPr>
                <w:iCs/>
              </w:rPr>
            </w:pPr>
            <w:r w:rsidRPr="00001499">
              <w:rPr>
                <w:iCs/>
              </w:rPr>
              <w:t>0.00</w:t>
            </w:r>
          </w:p>
        </w:tc>
        <w:tc>
          <w:tcPr>
            <w:tcW w:w="1138" w:type="pct"/>
          </w:tcPr>
          <w:p w14:paraId="29E137C5" w14:textId="77777777" w:rsidR="009C29A2" w:rsidRPr="00001499" w:rsidRDefault="009C29A2" w:rsidP="00FC7A97">
            <w:pPr>
              <w:pStyle w:val="TableText0"/>
              <w:rPr>
                <w:iCs/>
              </w:rPr>
            </w:pPr>
            <w:r w:rsidRPr="00001499">
              <w:rPr>
                <w:iCs/>
              </w:rPr>
              <w:t>0</w:t>
            </w:r>
          </w:p>
        </w:tc>
      </w:tr>
      <w:tr w:rsidR="009C29A2" w:rsidRPr="00001499" w14:paraId="0FB88D2C" w14:textId="77777777" w:rsidTr="00EE208F">
        <w:trPr>
          <w:trHeight w:val="20"/>
        </w:trPr>
        <w:tc>
          <w:tcPr>
            <w:tcW w:w="444" w:type="pct"/>
            <w:vMerge/>
          </w:tcPr>
          <w:p w14:paraId="71BFB3D5" w14:textId="77777777" w:rsidR="009C29A2" w:rsidRPr="00001499" w:rsidRDefault="009C29A2" w:rsidP="00FC7A97">
            <w:pPr>
              <w:pStyle w:val="TableText0"/>
              <w:rPr>
                <w:iCs/>
              </w:rPr>
            </w:pPr>
          </w:p>
        </w:tc>
        <w:tc>
          <w:tcPr>
            <w:tcW w:w="1141" w:type="pct"/>
            <w:hideMark/>
          </w:tcPr>
          <w:p w14:paraId="6262EED5" w14:textId="77777777" w:rsidR="009C29A2" w:rsidRPr="00001499" w:rsidRDefault="009C29A2" w:rsidP="00FC7A97">
            <w:pPr>
              <w:pStyle w:val="TableText0"/>
              <w:rPr>
                <w:iCs/>
              </w:rPr>
            </w:pPr>
            <w:r w:rsidRPr="00001499">
              <w:rPr>
                <w:iCs/>
              </w:rPr>
              <w:t>Deaths</w:t>
            </w:r>
          </w:p>
        </w:tc>
        <w:tc>
          <w:tcPr>
            <w:tcW w:w="1140" w:type="pct"/>
            <w:hideMark/>
          </w:tcPr>
          <w:p w14:paraId="08715658" w14:textId="77777777" w:rsidR="009C29A2" w:rsidRPr="00001499" w:rsidRDefault="009C29A2" w:rsidP="00FC7A97">
            <w:pPr>
              <w:pStyle w:val="TableText0"/>
              <w:rPr>
                <w:iCs/>
              </w:rPr>
            </w:pPr>
            <w:r w:rsidRPr="00001499">
              <w:rPr>
                <w:iCs/>
              </w:rPr>
              <w:t>Influenza Death</w:t>
            </w:r>
          </w:p>
        </w:tc>
        <w:tc>
          <w:tcPr>
            <w:tcW w:w="1137" w:type="pct"/>
          </w:tcPr>
          <w:p w14:paraId="7F0A3632" w14:textId="77777777" w:rsidR="009C29A2" w:rsidRPr="00001499" w:rsidRDefault="009C29A2" w:rsidP="00FC7A97">
            <w:pPr>
              <w:pStyle w:val="TableText0"/>
              <w:rPr>
                <w:iCs/>
              </w:rPr>
            </w:pPr>
            <w:r w:rsidRPr="00001499">
              <w:rPr>
                <w:iCs/>
              </w:rPr>
              <w:t>0.00</w:t>
            </w:r>
          </w:p>
        </w:tc>
        <w:tc>
          <w:tcPr>
            <w:tcW w:w="1138" w:type="pct"/>
          </w:tcPr>
          <w:p w14:paraId="45CE2043" w14:textId="77777777" w:rsidR="009C29A2" w:rsidRPr="00001499" w:rsidRDefault="009C29A2" w:rsidP="00FC7A97">
            <w:pPr>
              <w:pStyle w:val="TableText0"/>
              <w:rPr>
                <w:iCs/>
              </w:rPr>
            </w:pPr>
            <w:r w:rsidRPr="00001499">
              <w:rPr>
                <w:iCs/>
              </w:rPr>
              <w:t>0</w:t>
            </w:r>
          </w:p>
        </w:tc>
      </w:tr>
      <w:tr w:rsidR="009C29A2" w:rsidRPr="00001499" w14:paraId="25E04325" w14:textId="77777777" w:rsidTr="00EE208F">
        <w:trPr>
          <w:trHeight w:val="20"/>
        </w:trPr>
        <w:tc>
          <w:tcPr>
            <w:tcW w:w="444" w:type="pct"/>
            <w:vMerge w:val="restart"/>
            <w:hideMark/>
          </w:tcPr>
          <w:p w14:paraId="360C9ADD" w14:textId="77777777" w:rsidR="009C29A2" w:rsidRPr="00001499" w:rsidRDefault="009C29A2" w:rsidP="00FC7A97">
            <w:pPr>
              <w:pStyle w:val="TableText0"/>
              <w:rPr>
                <w:iCs/>
              </w:rPr>
            </w:pPr>
            <w:r w:rsidRPr="00001499">
              <w:rPr>
                <w:iCs/>
              </w:rPr>
              <w:t>2019</w:t>
            </w:r>
          </w:p>
        </w:tc>
        <w:tc>
          <w:tcPr>
            <w:tcW w:w="1141" w:type="pct"/>
            <w:hideMark/>
          </w:tcPr>
          <w:p w14:paraId="1C9DEDE0" w14:textId="77777777" w:rsidR="009C29A2" w:rsidRPr="00001499" w:rsidRDefault="009C29A2" w:rsidP="00FC7A97">
            <w:pPr>
              <w:pStyle w:val="TableText0"/>
              <w:rPr>
                <w:iCs/>
              </w:rPr>
            </w:pPr>
            <w:r w:rsidRPr="00001499">
              <w:rPr>
                <w:iCs/>
              </w:rPr>
              <w:t>Cases</w:t>
            </w:r>
          </w:p>
        </w:tc>
        <w:tc>
          <w:tcPr>
            <w:tcW w:w="1140" w:type="pct"/>
            <w:hideMark/>
          </w:tcPr>
          <w:p w14:paraId="71BB58D4" w14:textId="77777777" w:rsidR="009C29A2" w:rsidRPr="00001499" w:rsidRDefault="009C29A2" w:rsidP="00FC7A97">
            <w:pPr>
              <w:pStyle w:val="TableText0"/>
              <w:rPr>
                <w:iCs/>
              </w:rPr>
            </w:pPr>
            <w:r w:rsidRPr="00001499">
              <w:rPr>
                <w:iCs/>
              </w:rPr>
              <w:t>Influenza</w:t>
            </w:r>
          </w:p>
        </w:tc>
        <w:tc>
          <w:tcPr>
            <w:tcW w:w="1137" w:type="pct"/>
          </w:tcPr>
          <w:p w14:paraId="3B4BAE88" w14:textId="77777777" w:rsidR="009C29A2" w:rsidRPr="00001499" w:rsidRDefault="009C29A2" w:rsidP="00FC7A97">
            <w:pPr>
              <w:pStyle w:val="TableText0"/>
              <w:rPr>
                <w:iCs/>
              </w:rPr>
            </w:pPr>
            <w:r w:rsidRPr="00001499">
              <w:rPr>
                <w:iCs/>
              </w:rPr>
              <w:t>199.37</w:t>
            </w:r>
          </w:p>
        </w:tc>
        <w:tc>
          <w:tcPr>
            <w:tcW w:w="1138" w:type="pct"/>
          </w:tcPr>
          <w:p w14:paraId="61737870" w14:textId="77777777" w:rsidR="009C29A2" w:rsidRPr="00001499" w:rsidRDefault="009C29A2" w:rsidP="00FC7A97">
            <w:pPr>
              <w:pStyle w:val="TableText0"/>
              <w:rPr>
                <w:iCs/>
              </w:rPr>
            </w:pPr>
            <w:r w:rsidRPr="00001499">
              <w:rPr>
                <w:iCs/>
              </w:rPr>
              <w:t>6,780</w:t>
            </w:r>
          </w:p>
        </w:tc>
      </w:tr>
      <w:tr w:rsidR="009C29A2" w:rsidRPr="00001499" w14:paraId="43022B3B" w14:textId="77777777" w:rsidTr="00EE208F">
        <w:trPr>
          <w:trHeight w:val="20"/>
        </w:trPr>
        <w:tc>
          <w:tcPr>
            <w:tcW w:w="444" w:type="pct"/>
            <w:vMerge/>
          </w:tcPr>
          <w:p w14:paraId="277CAFD8" w14:textId="77777777" w:rsidR="009C29A2" w:rsidRPr="00001499" w:rsidRDefault="009C29A2" w:rsidP="00FC7A97">
            <w:pPr>
              <w:pStyle w:val="TableText0"/>
              <w:rPr>
                <w:iCs/>
              </w:rPr>
            </w:pPr>
          </w:p>
        </w:tc>
        <w:tc>
          <w:tcPr>
            <w:tcW w:w="1141" w:type="pct"/>
            <w:hideMark/>
          </w:tcPr>
          <w:p w14:paraId="7572BD4B" w14:textId="77777777" w:rsidR="009C29A2" w:rsidRPr="00001499" w:rsidRDefault="009C29A2" w:rsidP="00FC7A97">
            <w:pPr>
              <w:pStyle w:val="TableText0"/>
              <w:rPr>
                <w:iCs/>
              </w:rPr>
            </w:pPr>
            <w:r w:rsidRPr="00001499">
              <w:rPr>
                <w:iCs/>
              </w:rPr>
              <w:t>GP visits</w:t>
            </w:r>
          </w:p>
        </w:tc>
        <w:tc>
          <w:tcPr>
            <w:tcW w:w="1140" w:type="pct"/>
            <w:hideMark/>
          </w:tcPr>
          <w:p w14:paraId="4DD4DF8E" w14:textId="77777777" w:rsidR="009C29A2" w:rsidRPr="00001499" w:rsidRDefault="009C29A2" w:rsidP="00FC7A97">
            <w:pPr>
              <w:pStyle w:val="TableText0"/>
              <w:rPr>
                <w:iCs/>
              </w:rPr>
            </w:pPr>
            <w:r w:rsidRPr="00001499">
              <w:rPr>
                <w:iCs/>
              </w:rPr>
              <w:t>Outpatient Influenza</w:t>
            </w:r>
          </w:p>
        </w:tc>
        <w:tc>
          <w:tcPr>
            <w:tcW w:w="1137" w:type="pct"/>
          </w:tcPr>
          <w:p w14:paraId="7A91276B" w14:textId="77777777" w:rsidR="009C29A2" w:rsidRPr="00001499" w:rsidRDefault="009C29A2" w:rsidP="00FC7A97">
            <w:pPr>
              <w:pStyle w:val="TableText0"/>
              <w:rPr>
                <w:iCs/>
              </w:rPr>
            </w:pPr>
            <w:r w:rsidRPr="00001499">
              <w:rPr>
                <w:iCs/>
              </w:rPr>
              <w:t>152.50</w:t>
            </w:r>
          </w:p>
        </w:tc>
        <w:tc>
          <w:tcPr>
            <w:tcW w:w="1138" w:type="pct"/>
          </w:tcPr>
          <w:p w14:paraId="2DA23619" w14:textId="77777777" w:rsidR="009C29A2" w:rsidRPr="00001499" w:rsidRDefault="009C29A2" w:rsidP="00FC7A97">
            <w:pPr>
              <w:pStyle w:val="TableText0"/>
              <w:rPr>
                <w:iCs/>
              </w:rPr>
            </w:pPr>
            <w:r w:rsidRPr="00001499">
              <w:rPr>
                <w:iCs/>
              </w:rPr>
              <w:t>5,186</w:t>
            </w:r>
          </w:p>
        </w:tc>
      </w:tr>
      <w:tr w:rsidR="009C29A2" w:rsidRPr="00001499" w14:paraId="1BA10D33" w14:textId="77777777" w:rsidTr="00EE208F">
        <w:trPr>
          <w:trHeight w:val="20"/>
        </w:trPr>
        <w:tc>
          <w:tcPr>
            <w:tcW w:w="444" w:type="pct"/>
            <w:vMerge/>
          </w:tcPr>
          <w:p w14:paraId="45416195" w14:textId="77777777" w:rsidR="009C29A2" w:rsidRPr="00001499" w:rsidRDefault="009C29A2" w:rsidP="00FC7A97">
            <w:pPr>
              <w:pStyle w:val="TableText0"/>
              <w:rPr>
                <w:iCs/>
              </w:rPr>
            </w:pPr>
          </w:p>
        </w:tc>
        <w:tc>
          <w:tcPr>
            <w:tcW w:w="1141" w:type="pct"/>
            <w:hideMark/>
          </w:tcPr>
          <w:p w14:paraId="78496139" w14:textId="77777777" w:rsidR="009C29A2" w:rsidRPr="00001499" w:rsidRDefault="009C29A2" w:rsidP="00FC7A97">
            <w:pPr>
              <w:pStyle w:val="TableText0"/>
              <w:rPr>
                <w:iCs/>
              </w:rPr>
            </w:pPr>
            <w:r w:rsidRPr="00001499">
              <w:rPr>
                <w:iCs/>
              </w:rPr>
              <w:t>Hospitalisations</w:t>
            </w:r>
          </w:p>
        </w:tc>
        <w:tc>
          <w:tcPr>
            <w:tcW w:w="1140" w:type="pct"/>
            <w:hideMark/>
          </w:tcPr>
          <w:p w14:paraId="3223CE94" w14:textId="77777777" w:rsidR="009C29A2" w:rsidRPr="00001499" w:rsidRDefault="009C29A2" w:rsidP="00FC7A97">
            <w:pPr>
              <w:pStyle w:val="TableText0"/>
              <w:rPr>
                <w:iCs/>
              </w:rPr>
            </w:pPr>
            <w:r w:rsidRPr="00001499">
              <w:rPr>
                <w:iCs/>
              </w:rPr>
              <w:t>Hospitalised Influenza</w:t>
            </w:r>
          </w:p>
        </w:tc>
        <w:tc>
          <w:tcPr>
            <w:tcW w:w="1137" w:type="pct"/>
          </w:tcPr>
          <w:p w14:paraId="22B8DBCF" w14:textId="77777777" w:rsidR="009C29A2" w:rsidRPr="00001499" w:rsidRDefault="009C29A2" w:rsidP="00FC7A97">
            <w:pPr>
              <w:pStyle w:val="TableText0"/>
              <w:rPr>
                <w:iCs/>
              </w:rPr>
            </w:pPr>
            <w:r w:rsidRPr="00001499">
              <w:rPr>
                <w:iCs/>
              </w:rPr>
              <w:t>46.87</w:t>
            </w:r>
          </w:p>
        </w:tc>
        <w:tc>
          <w:tcPr>
            <w:tcW w:w="1138" w:type="pct"/>
          </w:tcPr>
          <w:p w14:paraId="28D55816" w14:textId="77777777" w:rsidR="009C29A2" w:rsidRPr="00001499" w:rsidRDefault="009C29A2" w:rsidP="00FC7A97">
            <w:pPr>
              <w:pStyle w:val="TableText0"/>
              <w:rPr>
                <w:iCs/>
              </w:rPr>
            </w:pPr>
            <w:r w:rsidRPr="00001499">
              <w:rPr>
                <w:iCs/>
              </w:rPr>
              <w:t>1,594</w:t>
            </w:r>
          </w:p>
        </w:tc>
      </w:tr>
      <w:tr w:rsidR="009C29A2" w:rsidRPr="00001499" w14:paraId="46793FA1" w14:textId="77777777" w:rsidTr="00EE208F">
        <w:trPr>
          <w:trHeight w:val="20"/>
        </w:trPr>
        <w:tc>
          <w:tcPr>
            <w:tcW w:w="444" w:type="pct"/>
            <w:vMerge/>
          </w:tcPr>
          <w:p w14:paraId="0C8422C4" w14:textId="77777777" w:rsidR="009C29A2" w:rsidRPr="00001499" w:rsidRDefault="009C29A2" w:rsidP="00FC7A97">
            <w:pPr>
              <w:pStyle w:val="TableText0"/>
              <w:rPr>
                <w:iCs/>
              </w:rPr>
            </w:pPr>
          </w:p>
        </w:tc>
        <w:tc>
          <w:tcPr>
            <w:tcW w:w="1141" w:type="pct"/>
            <w:hideMark/>
          </w:tcPr>
          <w:p w14:paraId="44366663" w14:textId="77777777" w:rsidR="009C29A2" w:rsidRPr="00001499" w:rsidRDefault="009C29A2" w:rsidP="00FC7A97">
            <w:pPr>
              <w:pStyle w:val="TableText0"/>
              <w:rPr>
                <w:iCs/>
              </w:rPr>
            </w:pPr>
            <w:r w:rsidRPr="00001499">
              <w:rPr>
                <w:iCs/>
              </w:rPr>
              <w:t>Deaths</w:t>
            </w:r>
          </w:p>
        </w:tc>
        <w:tc>
          <w:tcPr>
            <w:tcW w:w="1140" w:type="pct"/>
            <w:hideMark/>
          </w:tcPr>
          <w:p w14:paraId="7602ABBE" w14:textId="77777777" w:rsidR="009C29A2" w:rsidRPr="00001499" w:rsidRDefault="009C29A2" w:rsidP="00FC7A97">
            <w:pPr>
              <w:pStyle w:val="TableText0"/>
              <w:rPr>
                <w:iCs/>
              </w:rPr>
            </w:pPr>
            <w:r w:rsidRPr="00001499">
              <w:rPr>
                <w:iCs/>
              </w:rPr>
              <w:t>Influenza Death</w:t>
            </w:r>
          </w:p>
        </w:tc>
        <w:tc>
          <w:tcPr>
            <w:tcW w:w="1137" w:type="pct"/>
          </w:tcPr>
          <w:p w14:paraId="5F8398AC" w14:textId="77777777" w:rsidR="009C29A2" w:rsidRPr="00001499" w:rsidRDefault="009C29A2" w:rsidP="00FC7A97">
            <w:pPr>
              <w:pStyle w:val="TableText0"/>
              <w:rPr>
                <w:iCs/>
              </w:rPr>
            </w:pPr>
            <w:r w:rsidRPr="00001499">
              <w:rPr>
                <w:iCs/>
              </w:rPr>
              <w:t>1.64</w:t>
            </w:r>
          </w:p>
        </w:tc>
        <w:tc>
          <w:tcPr>
            <w:tcW w:w="1138" w:type="pct"/>
          </w:tcPr>
          <w:p w14:paraId="5684FA0A" w14:textId="77777777" w:rsidR="009C29A2" w:rsidRPr="00001499" w:rsidRDefault="009C29A2" w:rsidP="00FC7A97">
            <w:pPr>
              <w:pStyle w:val="TableText0"/>
              <w:rPr>
                <w:iCs/>
              </w:rPr>
            </w:pPr>
            <w:r w:rsidRPr="00001499">
              <w:rPr>
                <w:iCs/>
              </w:rPr>
              <w:t>56</w:t>
            </w:r>
          </w:p>
        </w:tc>
      </w:tr>
      <w:tr w:rsidR="001D0E46" w:rsidRPr="00001499" w14:paraId="29398DCD" w14:textId="77777777" w:rsidTr="001D0E46">
        <w:trPr>
          <w:trHeight w:val="20"/>
        </w:trPr>
        <w:tc>
          <w:tcPr>
            <w:tcW w:w="444" w:type="pct"/>
            <w:vMerge w:val="restart"/>
            <w:hideMark/>
          </w:tcPr>
          <w:p w14:paraId="4A615C7F" w14:textId="77777777" w:rsidR="001D0E46" w:rsidRPr="00001499" w:rsidRDefault="001D0E46" w:rsidP="00A16BBC">
            <w:pPr>
              <w:pStyle w:val="TableText0"/>
              <w:rPr>
                <w:iCs/>
              </w:rPr>
            </w:pPr>
            <w:r w:rsidRPr="00001499">
              <w:rPr>
                <w:iCs/>
              </w:rPr>
              <w:t>2015-2019</w:t>
            </w:r>
          </w:p>
        </w:tc>
        <w:tc>
          <w:tcPr>
            <w:tcW w:w="1141" w:type="pct"/>
            <w:hideMark/>
          </w:tcPr>
          <w:p w14:paraId="14264DFB" w14:textId="77777777" w:rsidR="001D0E46" w:rsidRPr="00001499" w:rsidRDefault="001D0E46" w:rsidP="00A16BBC">
            <w:pPr>
              <w:pStyle w:val="TableText0"/>
              <w:rPr>
                <w:iCs/>
              </w:rPr>
            </w:pPr>
            <w:r w:rsidRPr="00001499">
              <w:rPr>
                <w:iCs/>
              </w:rPr>
              <w:t>Cases</w:t>
            </w:r>
          </w:p>
        </w:tc>
        <w:tc>
          <w:tcPr>
            <w:tcW w:w="1140" w:type="pct"/>
            <w:hideMark/>
          </w:tcPr>
          <w:p w14:paraId="1C8A417F" w14:textId="77777777" w:rsidR="001D0E46" w:rsidRPr="00001499" w:rsidRDefault="001D0E46" w:rsidP="00A16BBC">
            <w:pPr>
              <w:pStyle w:val="TableText0"/>
              <w:rPr>
                <w:iCs/>
              </w:rPr>
            </w:pPr>
            <w:r w:rsidRPr="00001499">
              <w:rPr>
                <w:iCs/>
              </w:rPr>
              <w:t>Influenza</w:t>
            </w:r>
          </w:p>
        </w:tc>
        <w:tc>
          <w:tcPr>
            <w:tcW w:w="1137" w:type="pct"/>
          </w:tcPr>
          <w:p w14:paraId="7EFF5829" w14:textId="77777777" w:rsidR="001D0E46" w:rsidRPr="00001499" w:rsidRDefault="001D0E46" w:rsidP="00A16BBC">
            <w:pPr>
              <w:pStyle w:val="TableText0"/>
              <w:rPr>
                <w:iCs/>
              </w:rPr>
            </w:pPr>
            <w:r w:rsidRPr="00001499">
              <w:rPr>
                <w:iCs/>
              </w:rPr>
              <w:t>81.63</w:t>
            </w:r>
          </w:p>
        </w:tc>
        <w:tc>
          <w:tcPr>
            <w:tcW w:w="1138" w:type="pct"/>
          </w:tcPr>
          <w:p w14:paraId="24E6117C" w14:textId="77777777" w:rsidR="001D0E46" w:rsidRPr="00001499" w:rsidRDefault="001D0E46" w:rsidP="00A16BBC">
            <w:pPr>
              <w:pStyle w:val="TableText0"/>
              <w:rPr>
                <w:iCs/>
              </w:rPr>
            </w:pPr>
            <w:r w:rsidRPr="00001499">
              <w:rPr>
                <w:iCs/>
              </w:rPr>
              <w:t>2,776</w:t>
            </w:r>
          </w:p>
        </w:tc>
      </w:tr>
      <w:tr w:rsidR="001D0E46" w:rsidRPr="00001499" w14:paraId="7ECD945F" w14:textId="77777777" w:rsidTr="001D0E46">
        <w:trPr>
          <w:trHeight w:val="20"/>
        </w:trPr>
        <w:tc>
          <w:tcPr>
            <w:tcW w:w="444" w:type="pct"/>
            <w:vMerge/>
          </w:tcPr>
          <w:p w14:paraId="2001BD74" w14:textId="77777777" w:rsidR="001D0E46" w:rsidRPr="00001499" w:rsidRDefault="001D0E46" w:rsidP="00A16BBC">
            <w:pPr>
              <w:pStyle w:val="TableText0"/>
              <w:rPr>
                <w:iCs/>
              </w:rPr>
            </w:pPr>
          </w:p>
        </w:tc>
        <w:tc>
          <w:tcPr>
            <w:tcW w:w="1141" w:type="pct"/>
            <w:hideMark/>
          </w:tcPr>
          <w:p w14:paraId="7DCDC5A8" w14:textId="77777777" w:rsidR="001D0E46" w:rsidRPr="00001499" w:rsidRDefault="001D0E46" w:rsidP="00A16BBC">
            <w:pPr>
              <w:pStyle w:val="TableText0"/>
              <w:rPr>
                <w:iCs/>
              </w:rPr>
            </w:pPr>
            <w:r w:rsidRPr="00001499">
              <w:rPr>
                <w:iCs/>
              </w:rPr>
              <w:t>GP visits</w:t>
            </w:r>
          </w:p>
        </w:tc>
        <w:tc>
          <w:tcPr>
            <w:tcW w:w="1140" w:type="pct"/>
            <w:hideMark/>
          </w:tcPr>
          <w:p w14:paraId="5A24B8EA" w14:textId="77777777" w:rsidR="001D0E46" w:rsidRPr="00001499" w:rsidRDefault="001D0E46" w:rsidP="00A16BBC">
            <w:pPr>
              <w:pStyle w:val="TableText0"/>
              <w:rPr>
                <w:iCs/>
              </w:rPr>
            </w:pPr>
            <w:r w:rsidRPr="00001499">
              <w:rPr>
                <w:iCs/>
              </w:rPr>
              <w:t>Outpatient Influenza</w:t>
            </w:r>
          </w:p>
        </w:tc>
        <w:tc>
          <w:tcPr>
            <w:tcW w:w="1137" w:type="pct"/>
          </w:tcPr>
          <w:p w14:paraId="4DD6BEA6" w14:textId="77777777" w:rsidR="001D0E46" w:rsidRPr="00001499" w:rsidRDefault="001D0E46" w:rsidP="00A16BBC">
            <w:pPr>
              <w:pStyle w:val="TableText0"/>
              <w:rPr>
                <w:iCs/>
              </w:rPr>
            </w:pPr>
            <w:r w:rsidRPr="00001499">
              <w:rPr>
                <w:iCs/>
              </w:rPr>
              <w:t>59.78</w:t>
            </w:r>
          </w:p>
        </w:tc>
        <w:tc>
          <w:tcPr>
            <w:tcW w:w="1138" w:type="pct"/>
          </w:tcPr>
          <w:p w14:paraId="425CD7BF" w14:textId="77777777" w:rsidR="001D0E46" w:rsidRPr="00001499" w:rsidRDefault="001D0E46" w:rsidP="00A16BBC">
            <w:pPr>
              <w:pStyle w:val="TableText0"/>
              <w:rPr>
                <w:iCs/>
              </w:rPr>
            </w:pPr>
            <w:r w:rsidRPr="00001499">
              <w:rPr>
                <w:iCs/>
              </w:rPr>
              <w:t>2,033</w:t>
            </w:r>
          </w:p>
        </w:tc>
      </w:tr>
      <w:tr w:rsidR="001D0E46" w:rsidRPr="00001499" w14:paraId="46A12238" w14:textId="77777777" w:rsidTr="001D0E46">
        <w:trPr>
          <w:trHeight w:val="20"/>
        </w:trPr>
        <w:tc>
          <w:tcPr>
            <w:tcW w:w="444" w:type="pct"/>
            <w:vMerge/>
          </w:tcPr>
          <w:p w14:paraId="2FC2067C" w14:textId="77777777" w:rsidR="001D0E46" w:rsidRPr="00001499" w:rsidRDefault="001D0E46" w:rsidP="00A16BBC">
            <w:pPr>
              <w:pStyle w:val="TableText0"/>
              <w:rPr>
                <w:iCs/>
              </w:rPr>
            </w:pPr>
          </w:p>
        </w:tc>
        <w:tc>
          <w:tcPr>
            <w:tcW w:w="1141" w:type="pct"/>
            <w:hideMark/>
          </w:tcPr>
          <w:p w14:paraId="417F9432" w14:textId="77777777" w:rsidR="001D0E46" w:rsidRPr="00001499" w:rsidRDefault="001D0E46" w:rsidP="00A16BBC">
            <w:pPr>
              <w:pStyle w:val="TableText0"/>
              <w:rPr>
                <w:iCs/>
              </w:rPr>
            </w:pPr>
            <w:r w:rsidRPr="00001499">
              <w:rPr>
                <w:iCs/>
              </w:rPr>
              <w:t>Hospitalisations</w:t>
            </w:r>
          </w:p>
        </w:tc>
        <w:tc>
          <w:tcPr>
            <w:tcW w:w="1140" w:type="pct"/>
            <w:hideMark/>
          </w:tcPr>
          <w:p w14:paraId="56651123" w14:textId="77777777" w:rsidR="001D0E46" w:rsidRPr="00001499" w:rsidRDefault="001D0E46" w:rsidP="00A16BBC">
            <w:pPr>
              <w:pStyle w:val="TableText0"/>
              <w:rPr>
                <w:iCs/>
              </w:rPr>
            </w:pPr>
            <w:r w:rsidRPr="00001499">
              <w:rPr>
                <w:iCs/>
              </w:rPr>
              <w:t>Hospitalised Influenza</w:t>
            </w:r>
          </w:p>
        </w:tc>
        <w:tc>
          <w:tcPr>
            <w:tcW w:w="1137" w:type="pct"/>
          </w:tcPr>
          <w:p w14:paraId="7E4F56C9" w14:textId="77777777" w:rsidR="001D0E46" w:rsidRPr="00001499" w:rsidRDefault="001D0E46" w:rsidP="00A16BBC">
            <w:pPr>
              <w:pStyle w:val="TableText0"/>
              <w:rPr>
                <w:iCs/>
              </w:rPr>
            </w:pPr>
            <w:r w:rsidRPr="00001499">
              <w:rPr>
                <w:iCs/>
              </w:rPr>
              <w:t>21.86</w:t>
            </w:r>
          </w:p>
        </w:tc>
        <w:tc>
          <w:tcPr>
            <w:tcW w:w="1138" w:type="pct"/>
          </w:tcPr>
          <w:p w14:paraId="44C14C83" w14:textId="77777777" w:rsidR="001D0E46" w:rsidRPr="00001499" w:rsidRDefault="001D0E46" w:rsidP="00A16BBC">
            <w:pPr>
              <w:pStyle w:val="TableText0"/>
              <w:rPr>
                <w:iCs/>
              </w:rPr>
            </w:pPr>
            <w:r w:rsidRPr="00001499">
              <w:rPr>
                <w:iCs/>
              </w:rPr>
              <w:t>743</w:t>
            </w:r>
          </w:p>
        </w:tc>
      </w:tr>
      <w:tr w:rsidR="001D0E46" w:rsidRPr="00001499" w14:paraId="0469C83C" w14:textId="77777777" w:rsidTr="001D0E46">
        <w:trPr>
          <w:trHeight w:val="20"/>
        </w:trPr>
        <w:tc>
          <w:tcPr>
            <w:tcW w:w="444" w:type="pct"/>
            <w:vMerge/>
          </w:tcPr>
          <w:p w14:paraId="2EAA9603" w14:textId="77777777" w:rsidR="001D0E46" w:rsidRPr="00001499" w:rsidRDefault="001D0E46" w:rsidP="00A16BBC">
            <w:pPr>
              <w:pStyle w:val="TableText0"/>
              <w:rPr>
                <w:iCs/>
              </w:rPr>
            </w:pPr>
          </w:p>
        </w:tc>
        <w:tc>
          <w:tcPr>
            <w:tcW w:w="1141" w:type="pct"/>
            <w:hideMark/>
          </w:tcPr>
          <w:p w14:paraId="6149B87F" w14:textId="77777777" w:rsidR="001D0E46" w:rsidRPr="00001499" w:rsidRDefault="001D0E46" w:rsidP="00A16BBC">
            <w:pPr>
              <w:pStyle w:val="TableText0"/>
              <w:rPr>
                <w:iCs/>
              </w:rPr>
            </w:pPr>
            <w:r w:rsidRPr="00001499">
              <w:rPr>
                <w:iCs/>
              </w:rPr>
              <w:t>Deaths</w:t>
            </w:r>
          </w:p>
        </w:tc>
        <w:tc>
          <w:tcPr>
            <w:tcW w:w="1140" w:type="pct"/>
            <w:hideMark/>
          </w:tcPr>
          <w:p w14:paraId="6437BDF2" w14:textId="77777777" w:rsidR="001D0E46" w:rsidRPr="00001499" w:rsidRDefault="001D0E46" w:rsidP="00A16BBC">
            <w:pPr>
              <w:pStyle w:val="TableText0"/>
              <w:rPr>
                <w:iCs/>
              </w:rPr>
            </w:pPr>
            <w:r w:rsidRPr="00001499">
              <w:rPr>
                <w:iCs/>
              </w:rPr>
              <w:t>Influenza Death</w:t>
            </w:r>
          </w:p>
        </w:tc>
        <w:tc>
          <w:tcPr>
            <w:tcW w:w="1137" w:type="pct"/>
          </w:tcPr>
          <w:p w14:paraId="497ED6A3" w14:textId="77777777" w:rsidR="001D0E46" w:rsidRPr="00001499" w:rsidRDefault="001D0E46" w:rsidP="00A16BBC">
            <w:pPr>
              <w:pStyle w:val="TableText0"/>
              <w:rPr>
                <w:iCs/>
              </w:rPr>
            </w:pPr>
            <w:r w:rsidRPr="00001499">
              <w:rPr>
                <w:iCs/>
              </w:rPr>
              <w:t>0.77</w:t>
            </w:r>
          </w:p>
        </w:tc>
        <w:tc>
          <w:tcPr>
            <w:tcW w:w="1138" w:type="pct"/>
          </w:tcPr>
          <w:p w14:paraId="21FD105F" w14:textId="77777777" w:rsidR="001D0E46" w:rsidRPr="00001499" w:rsidRDefault="001D0E46" w:rsidP="00A16BBC">
            <w:pPr>
              <w:pStyle w:val="TableText0"/>
              <w:rPr>
                <w:iCs/>
              </w:rPr>
            </w:pPr>
            <w:r w:rsidRPr="00001499">
              <w:rPr>
                <w:iCs/>
              </w:rPr>
              <w:t>26</w:t>
            </w:r>
          </w:p>
        </w:tc>
      </w:tr>
    </w:tbl>
    <w:p w14:paraId="2CF36DCF" w14:textId="77777777" w:rsidR="009C29A2" w:rsidRPr="00001499" w:rsidRDefault="009C29A2" w:rsidP="009C29A2">
      <w:pPr>
        <w:pStyle w:val="TableText0"/>
        <w:keepLines/>
        <w:rPr>
          <w:iCs/>
          <w:sz w:val="18"/>
          <w:szCs w:val="18"/>
        </w:rPr>
      </w:pPr>
      <w:r w:rsidRPr="00001499">
        <w:rPr>
          <w:iCs/>
          <w:sz w:val="18"/>
          <w:szCs w:val="18"/>
        </w:rPr>
        <w:t>Source: Table 3.8.16, p204 of the submission</w:t>
      </w:r>
    </w:p>
    <w:p w14:paraId="11C862D6" w14:textId="77777777" w:rsidR="009C29A2" w:rsidRPr="00001499" w:rsidRDefault="009C29A2" w:rsidP="003F47DE">
      <w:pPr>
        <w:pStyle w:val="TableText0"/>
        <w:keepLines/>
        <w:numPr>
          <w:ilvl w:val="0"/>
          <w:numId w:val="26"/>
        </w:numPr>
        <w:ind w:left="284" w:hanging="294"/>
        <w:rPr>
          <w:iCs/>
          <w:sz w:val="18"/>
          <w:szCs w:val="18"/>
        </w:rPr>
      </w:pPr>
      <w:r w:rsidRPr="00001499">
        <w:rPr>
          <w:iCs/>
          <w:sz w:val="18"/>
          <w:szCs w:val="18"/>
        </w:rPr>
        <w:t xml:space="preserve">Estimated as a yearly average of 3,400,907 persons for the 2023-2028 period. </w:t>
      </w:r>
    </w:p>
    <w:p w14:paraId="4F846DE7" w14:textId="77777777" w:rsidR="009C29A2" w:rsidRPr="00001499" w:rsidRDefault="009C29A2" w:rsidP="009C29A2">
      <w:pPr>
        <w:pStyle w:val="TableHeading0"/>
        <w:rPr>
          <w:rStyle w:val="CommentReference"/>
          <w:szCs w:val="24"/>
        </w:rPr>
      </w:pPr>
    </w:p>
    <w:p w14:paraId="26791FAB" w14:textId="2400F70B" w:rsidR="009C29A2" w:rsidRPr="00001499" w:rsidRDefault="009C29A2" w:rsidP="00AA46C6">
      <w:pPr>
        <w:pStyle w:val="3-BodyText"/>
        <w:ind w:left="709"/>
      </w:pPr>
      <w:r w:rsidRPr="00001499">
        <w:fldChar w:fldCharType="begin" w:fldLock="1"/>
      </w:r>
      <w:r w:rsidRPr="00001499">
        <w:instrText xml:space="preserve"> REF _Ref93354860 \h </w:instrText>
      </w:r>
      <w:r w:rsidRPr="00001499">
        <w:fldChar w:fldCharType="separate"/>
      </w:r>
      <w:r w:rsidR="005C1FE9" w:rsidRPr="00001499">
        <w:t xml:space="preserve">Table </w:t>
      </w:r>
      <w:r w:rsidR="005C1FE9">
        <w:rPr>
          <w:noProof/>
        </w:rPr>
        <w:t>15</w:t>
      </w:r>
      <w:r w:rsidRPr="00001499">
        <w:fldChar w:fldCharType="end"/>
      </w:r>
      <w:r w:rsidRPr="00001499">
        <w:t xml:space="preserve"> presents the results of the stepped economic evaluation for each of the proposed populations and for the overall proposed NIP population</w:t>
      </w:r>
      <w:r w:rsidR="0051434B">
        <w:t xml:space="preserve"> using the cost per dose proposed in the submission</w:t>
      </w:r>
      <w:r w:rsidRPr="00001499">
        <w:t>. The stepped approaches were:</w:t>
      </w:r>
    </w:p>
    <w:p w14:paraId="0FC0BA6A" w14:textId="661458C5" w:rsidR="009C29A2" w:rsidRPr="00001499" w:rsidRDefault="009C29A2" w:rsidP="003F47DE">
      <w:pPr>
        <w:pStyle w:val="ListParagraph"/>
        <w:numPr>
          <w:ilvl w:val="0"/>
          <w:numId w:val="12"/>
        </w:numPr>
        <w:ind w:left="1134"/>
      </w:pPr>
      <w:r w:rsidRPr="00001499">
        <w:t>Step 1: Incremental cost per influenza case avoided within the 1-year time horizon.</w:t>
      </w:r>
    </w:p>
    <w:p w14:paraId="6FBC3F6F" w14:textId="3E1B6600" w:rsidR="009C29A2" w:rsidRPr="00001499" w:rsidRDefault="009C29A2" w:rsidP="003F47DE">
      <w:pPr>
        <w:pStyle w:val="ListParagraph"/>
        <w:numPr>
          <w:ilvl w:val="0"/>
          <w:numId w:val="12"/>
        </w:numPr>
        <w:ind w:left="1134"/>
      </w:pPr>
      <w:r w:rsidRPr="00001499">
        <w:t xml:space="preserve">Step 2: Incremental cost per life year </w:t>
      </w:r>
      <w:r w:rsidRPr="00001499">
        <w:rPr>
          <w:iCs/>
        </w:rPr>
        <w:t>gained (LYG)</w:t>
      </w:r>
      <w:r w:rsidRPr="00001499">
        <w:t>, extrapolating influenza deaths to age-dependent loss of life expectancy expressed in years.</w:t>
      </w:r>
    </w:p>
    <w:p w14:paraId="23DA77BE" w14:textId="77777777" w:rsidR="009C29A2" w:rsidRPr="00001499" w:rsidRDefault="009C29A2" w:rsidP="003F47DE">
      <w:pPr>
        <w:pStyle w:val="ListParagraph"/>
        <w:numPr>
          <w:ilvl w:val="0"/>
          <w:numId w:val="12"/>
        </w:numPr>
        <w:ind w:left="1134"/>
      </w:pPr>
      <w:r w:rsidRPr="00001499">
        <w:t>Step 3 (base case analysis): Incremental cost per QALY gained, extrapolating influenza deaths to age-dependent loss of life expectancy expressed in QALYs.</w:t>
      </w:r>
    </w:p>
    <w:p w14:paraId="0F307597" w14:textId="59D27C23" w:rsidR="009C29A2" w:rsidRPr="00001499" w:rsidRDefault="009C29A2" w:rsidP="009C29A2">
      <w:pPr>
        <w:pStyle w:val="TableHeading0"/>
        <w:rPr>
          <w:rStyle w:val="CommentReference"/>
          <w:b/>
          <w:szCs w:val="24"/>
        </w:rPr>
      </w:pPr>
      <w:bookmarkStart w:id="75" w:name="_Ref93354860"/>
      <w:r w:rsidRPr="00001499">
        <w:lastRenderedPageBreak/>
        <w:t xml:space="preserve">Table </w:t>
      </w:r>
      <w:fldSimple w:instr=" SEQ Table \* ARABIC " w:fldLock="1">
        <w:r w:rsidR="005C1FE9">
          <w:rPr>
            <w:noProof/>
          </w:rPr>
          <w:t>15</w:t>
        </w:r>
      </w:fldSimple>
      <w:bookmarkEnd w:id="75"/>
      <w:r w:rsidRPr="00001499">
        <w:rPr>
          <w:rStyle w:val="CommentReference"/>
          <w:b/>
          <w:szCs w:val="24"/>
        </w:rPr>
        <w:t>: Results of the stepped economic evaluation by population and averaged 2015-2019 seasons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Results of the stepped economic evaluation by population and averaged 2015-2019 seasons"/>
      </w:tblPr>
      <w:tblGrid>
        <w:gridCol w:w="3538"/>
        <w:gridCol w:w="1845"/>
        <w:gridCol w:w="1841"/>
        <w:gridCol w:w="1793"/>
      </w:tblGrid>
      <w:tr w:rsidR="009C29A2" w:rsidRPr="00001499" w14:paraId="7D46E8E9" w14:textId="77777777" w:rsidTr="00474E6F">
        <w:tc>
          <w:tcPr>
            <w:tcW w:w="1962" w:type="pct"/>
            <w:vAlign w:val="center"/>
          </w:tcPr>
          <w:p w14:paraId="511BD2DC" w14:textId="77777777" w:rsidR="009C29A2" w:rsidRPr="00001499" w:rsidRDefault="009C29A2" w:rsidP="00FC7A97">
            <w:pPr>
              <w:pStyle w:val="In-tableHeading"/>
              <w:keepLines/>
              <w:widowControl w:val="0"/>
              <w:rPr>
                <w:lang w:val="en-AU"/>
              </w:rPr>
            </w:pPr>
            <w:r w:rsidRPr="00001499">
              <w:rPr>
                <w:lang w:val="en-AU"/>
              </w:rPr>
              <w:t>Step and component</w:t>
            </w:r>
          </w:p>
        </w:tc>
        <w:tc>
          <w:tcPr>
            <w:tcW w:w="1023" w:type="pct"/>
            <w:vAlign w:val="center"/>
          </w:tcPr>
          <w:p w14:paraId="337513D2" w14:textId="77777777" w:rsidR="009C29A2" w:rsidRPr="00001499" w:rsidRDefault="009C29A2" w:rsidP="00FC7A97">
            <w:pPr>
              <w:pStyle w:val="In-tableHeading"/>
              <w:keepLines/>
              <w:widowControl w:val="0"/>
              <w:jc w:val="center"/>
              <w:rPr>
                <w:lang w:val="en-AU"/>
              </w:rPr>
            </w:pPr>
            <w:r w:rsidRPr="00001499">
              <w:rPr>
                <w:lang w:val="en-AU"/>
              </w:rPr>
              <w:t>QIVc</w:t>
            </w:r>
          </w:p>
        </w:tc>
        <w:tc>
          <w:tcPr>
            <w:tcW w:w="1021" w:type="pct"/>
            <w:vAlign w:val="center"/>
          </w:tcPr>
          <w:p w14:paraId="2D862739" w14:textId="77777777" w:rsidR="009C29A2" w:rsidRPr="00001499" w:rsidRDefault="009C29A2" w:rsidP="00FC7A97">
            <w:pPr>
              <w:pStyle w:val="In-tableHeading"/>
              <w:keepLines/>
              <w:widowControl w:val="0"/>
              <w:jc w:val="center"/>
              <w:rPr>
                <w:lang w:val="en-AU"/>
              </w:rPr>
            </w:pPr>
            <w:r w:rsidRPr="00001499">
              <w:rPr>
                <w:lang w:val="en-AU"/>
              </w:rPr>
              <w:t>QIVe</w:t>
            </w:r>
          </w:p>
        </w:tc>
        <w:tc>
          <w:tcPr>
            <w:tcW w:w="994" w:type="pct"/>
            <w:vAlign w:val="center"/>
          </w:tcPr>
          <w:p w14:paraId="0E9B7793" w14:textId="77777777" w:rsidR="009C29A2" w:rsidRPr="00001499" w:rsidRDefault="009C29A2" w:rsidP="00FC7A97">
            <w:pPr>
              <w:pStyle w:val="In-tableHeading"/>
              <w:keepLines/>
              <w:widowControl w:val="0"/>
              <w:jc w:val="center"/>
              <w:rPr>
                <w:lang w:val="en-AU"/>
              </w:rPr>
            </w:pPr>
            <w:r w:rsidRPr="00001499">
              <w:rPr>
                <w:lang w:val="en-AU"/>
              </w:rPr>
              <w:t>Increment</w:t>
            </w:r>
          </w:p>
        </w:tc>
      </w:tr>
      <w:tr w:rsidR="009C29A2" w:rsidRPr="00001499" w14:paraId="685C2886" w14:textId="77777777" w:rsidTr="00FC7A97">
        <w:tc>
          <w:tcPr>
            <w:tcW w:w="5000" w:type="pct"/>
            <w:gridSpan w:val="4"/>
            <w:vAlign w:val="center"/>
          </w:tcPr>
          <w:p w14:paraId="246240C9" w14:textId="77777777" w:rsidR="009C29A2" w:rsidRPr="00001499" w:rsidRDefault="009C29A2" w:rsidP="00FC7A97">
            <w:pPr>
              <w:pStyle w:val="In-tableHeading"/>
              <w:keepLines/>
              <w:widowControl w:val="0"/>
              <w:rPr>
                <w:lang w:val="en-AU"/>
              </w:rPr>
            </w:pPr>
            <w:r w:rsidRPr="00001499">
              <w:rPr>
                <w:lang w:val="en-AU"/>
              </w:rPr>
              <w:t>Children 2-4 years</w:t>
            </w:r>
          </w:p>
        </w:tc>
      </w:tr>
      <w:tr w:rsidR="009C29A2" w:rsidRPr="00001499" w14:paraId="0EF12F13" w14:textId="77777777" w:rsidTr="00474E6F">
        <w:tc>
          <w:tcPr>
            <w:tcW w:w="1962" w:type="pct"/>
            <w:vAlign w:val="center"/>
          </w:tcPr>
          <w:p w14:paraId="328B7DCA" w14:textId="77777777" w:rsidR="009C29A2" w:rsidRPr="00001499" w:rsidRDefault="009C29A2" w:rsidP="00FC7A97">
            <w:pPr>
              <w:pStyle w:val="TableText0"/>
              <w:keepLines/>
              <w:widowControl w:val="0"/>
              <w:rPr>
                <w:rFonts w:ascii="Times" w:hAnsi="Times"/>
              </w:rPr>
            </w:pPr>
            <w:r w:rsidRPr="00001499">
              <w:t>Costs</w:t>
            </w:r>
          </w:p>
        </w:tc>
        <w:tc>
          <w:tcPr>
            <w:tcW w:w="1023" w:type="pct"/>
          </w:tcPr>
          <w:p w14:paraId="2C657172" w14:textId="645C892C" w:rsidR="009C29A2" w:rsidRPr="00001499" w:rsidRDefault="009C29A2" w:rsidP="00FC7A97">
            <w:pPr>
              <w:pStyle w:val="TableText0"/>
              <w:keepLines/>
              <w:widowControl w:val="0"/>
              <w:jc w:val="center"/>
              <w:rPr>
                <w:rFonts w:ascii="Times" w:hAnsi="Times"/>
              </w:rPr>
            </w:pPr>
            <w:r w:rsidRPr="00001499">
              <w:t>$</w:t>
            </w:r>
            <w:r w:rsidR="00D76B55" w:rsidRPr="00D76B55">
              <w:rPr>
                <w:color w:val="000000"/>
                <w:shd w:val="solid" w:color="000000" w:fill="000000"/>
                <w14:textFill>
                  <w14:solidFill>
                    <w14:srgbClr w14:val="000000">
                      <w14:alpha w14:val="100000"/>
                    </w14:srgbClr>
                  </w14:solidFill>
                </w14:textFill>
              </w:rPr>
              <w:t>|</w:t>
            </w:r>
          </w:p>
        </w:tc>
        <w:tc>
          <w:tcPr>
            <w:tcW w:w="1021" w:type="pct"/>
          </w:tcPr>
          <w:p w14:paraId="4ABDEBB2" w14:textId="6F377298" w:rsidR="009C29A2" w:rsidRPr="00001499" w:rsidRDefault="009C29A2" w:rsidP="00FC7A97">
            <w:pPr>
              <w:pStyle w:val="TableText0"/>
              <w:keepLines/>
              <w:widowControl w:val="0"/>
              <w:jc w:val="center"/>
              <w:rPr>
                <w:rFonts w:ascii="Times" w:hAnsi="Times"/>
              </w:rPr>
            </w:pPr>
            <w:r w:rsidRPr="00001499">
              <w:t>$</w:t>
            </w:r>
            <w:r w:rsidR="00D76B55" w:rsidRPr="00D76B55">
              <w:rPr>
                <w:color w:val="000000"/>
                <w:shd w:val="solid" w:color="000000" w:fill="000000"/>
                <w14:textFill>
                  <w14:solidFill>
                    <w14:srgbClr w14:val="000000">
                      <w14:alpha w14:val="100000"/>
                    </w14:srgbClr>
                  </w14:solidFill>
                </w14:textFill>
              </w:rPr>
              <w:t>|</w:t>
            </w:r>
          </w:p>
        </w:tc>
        <w:tc>
          <w:tcPr>
            <w:tcW w:w="994" w:type="pct"/>
          </w:tcPr>
          <w:p w14:paraId="7307D7DD" w14:textId="0D153745" w:rsidR="009C29A2" w:rsidRPr="00001499" w:rsidRDefault="009C29A2" w:rsidP="00FC7A97">
            <w:pPr>
              <w:pStyle w:val="TableText0"/>
              <w:keepLines/>
              <w:widowControl w:val="0"/>
              <w:jc w:val="center"/>
              <w:rPr>
                <w:rFonts w:ascii="Times" w:hAnsi="Times"/>
              </w:rPr>
            </w:pPr>
            <w:r w:rsidRPr="00001499">
              <w:t>$</w:t>
            </w:r>
            <w:r w:rsidR="00D76B55" w:rsidRPr="0020701F">
              <w:rPr>
                <w:rFonts w:hint="eastAsia"/>
                <w:color w:val="000000"/>
                <w:w w:val="15"/>
                <w:shd w:val="solid" w:color="000000" w:fill="000000"/>
                <w:fitText w:val="11" w:id="-1404292864"/>
                <w14:textFill>
                  <w14:solidFill>
                    <w14:srgbClr w14:val="000000">
                      <w14:alpha w14:val="100000"/>
                    </w14:srgbClr>
                  </w14:solidFill>
                </w14:textFill>
              </w:rPr>
              <w:t xml:space="preserve">　</w:t>
            </w:r>
            <w:r w:rsidR="00D76B55" w:rsidRPr="0020701F">
              <w:rPr>
                <w:color w:val="000000"/>
                <w:w w:val="15"/>
                <w:shd w:val="solid" w:color="000000" w:fill="000000"/>
                <w:fitText w:val="11" w:id="-1404292864"/>
                <w14:textFill>
                  <w14:solidFill>
                    <w14:srgbClr w14:val="000000">
                      <w14:alpha w14:val="100000"/>
                    </w14:srgbClr>
                  </w14:solidFill>
                </w14:textFill>
              </w:rPr>
              <w:t>|</w:t>
            </w:r>
            <w:r w:rsidR="00D76B55" w:rsidRPr="0020701F">
              <w:rPr>
                <w:rFonts w:hint="eastAsia"/>
                <w:color w:val="000000"/>
                <w:spacing w:val="-55"/>
                <w:w w:val="15"/>
                <w:shd w:val="solid" w:color="000000" w:fill="000000"/>
                <w:fitText w:val="11" w:id="-1404292864"/>
                <w14:textFill>
                  <w14:solidFill>
                    <w14:srgbClr w14:val="000000">
                      <w14:alpha w14:val="100000"/>
                    </w14:srgbClr>
                  </w14:solidFill>
                </w14:textFill>
              </w:rPr>
              <w:t xml:space="preserve">　</w:t>
            </w:r>
            <w:r w:rsidRPr="00001499">
              <w:t xml:space="preserve"> </w:t>
            </w:r>
          </w:p>
        </w:tc>
      </w:tr>
      <w:tr w:rsidR="009C29A2" w:rsidRPr="00001499" w14:paraId="5955A5BB" w14:textId="77777777" w:rsidTr="00474E6F">
        <w:tc>
          <w:tcPr>
            <w:tcW w:w="1962" w:type="pct"/>
            <w:vAlign w:val="center"/>
          </w:tcPr>
          <w:p w14:paraId="55A7B40F" w14:textId="77777777" w:rsidR="009C29A2" w:rsidRPr="00001499" w:rsidRDefault="009C29A2" w:rsidP="00FC7A97">
            <w:pPr>
              <w:pStyle w:val="TableText0"/>
              <w:keepLines/>
              <w:widowControl w:val="0"/>
              <w:rPr>
                <w:rFonts w:ascii="Times" w:hAnsi="Times"/>
              </w:rPr>
            </w:pPr>
            <w:r w:rsidRPr="00001499">
              <w:t>Influenza cases</w:t>
            </w:r>
          </w:p>
        </w:tc>
        <w:tc>
          <w:tcPr>
            <w:tcW w:w="1023" w:type="pct"/>
          </w:tcPr>
          <w:p w14:paraId="1DB37A38" w14:textId="77777777" w:rsidR="009C29A2" w:rsidRPr="00001499" w:rsidRDefault="009C29A2" w:rsidP="00FC7A97">
            <w:pPr>
              <w:pStyle w:val="TableText0"/>
              <w:keepLines/>
              <w:widowControl w:val="0"/>
              <w:jc w:val="center"/>
              <w:rPr>
                <w:rFonts w:ascii="Times" w:hAnsi="Times"/>
              </w:rPr>
            </w:pPr>
            <w:r w:rsidRPr="00001499">
              <w:t>0.009923</w:t>
            </w:r>
          </w:p>
        </w:tc>
        <w:tc>
          <w:tcPr>
            <w:tcW w:w="1021" w:type="pct"/>
          </w:tcPr>
          <w:p w14:paraId="096476DC" w14:textId="77777777" w:rsidR="009C29A2" w:rsidRPr="00001499" w:rsidRDefault="009C29A2" w:rsidP="00FC7A97">
            <w:pPr>
              <w:pStyle w:val="TableText0"/>
              <w:keepLines/>
              <w:widowControl w:val="0"/>
              <w:jc w:val="center"/>
              <w:rPr>
                <w:rFonts w:ascii="Times" w:hAnsi="Times"/>
              </w:rPr>
            </w:pPr>
            <w:r w:rsidRPr="00001499">
              <w:t>0.011302</w:t>
            </w:r>
          </w:p>
        </w:tc>
        <w:tc>
          <w:tcPr>
            <w:tcW w:w="994" w:type="pct"/>
          </w:tcPr>
          <w:p w14:paraId="6E309875" w14:textId="77777777" w:rsidR="009C29A2" w:rsidRPr="00001499" w:rsidRDefault="009C29A2" w:rsidP="00FC7A97">
            <w:pPr>
              <w:pStyle w:val="TableText0"/>
              <w:keepLines/>
              <w:widowControl w:val="0"/>
              <w:jc w:val="center"/>
            </w:pPr>
            <w:r w:rsidRPr="00001499">
              <w:t>-0.001379</w:t>
            </w:r>
          </w:p>
        </w:tc>
      </w:tr>
      <w:tr w:rsidR="009C29A2" w:rsidRPr="00001499" w14:paraId="2F8C0808" w14:textId="77777777" w:rsidTr="00474E6F">
        <w:tc>
          <w:tcPr>
            <w:tcW w:w="4006" w:type="pct"/>
            <w:gridSpan w:val="3"/>
            <w:vAlign w:val="center"/>
          </w:tcPr>
          <w:p w14:paraId="45C3E00F" w14:textId="77777777" w:rsidR="009C29A2" w:rsidRPr="00001499" w:rsidRDefault="009C29A2" w:rsidP="00FC7A97">
            <w:pPr>
              <w:pStyle w:val="TableText0"/>
              <w:keepLines/>
              <w:widowControl w:val="0"/>
              <w:rPr>
                <w:rFonts w:ascii="Times" w:hAnsi="Times"/>
                <w:b/>
              </w:rPr>
            </w:pPr>
            <w:r w:rsidRPr="00001499">
              <w:rPr>
                <w:b/>
              </w:rPr>
              <w:t>Step 1: Incremental cost/influenza case avoided</w:t>
            </w:r>
          </w:p>
        </w:tc>
        <w:tc>
          <w:tcPr>
            <w:tcW w:w="994" w:type="pct"/>
            <w:vAlign w:val="center"/>
          </w:tcPr>
          <w:p w14:paraId="06777339" w14:textId="6984C8C6" w:rsidR="009C29A2" w:rsidRPr="00A67347" w:rsidRDefault="009C29A2" w:rsidP="00FC7A97">
            <w:pPr>
              <w:pStyle w:val="TableText0"/>
              <w:keepLines/>
              <w:widowControl w:val="0"/>
              <w:jc w:val="center"/>
              <w:rPr>
                <w:rFonts w:ascii="Times" w:hAnsi="Times"/>
                <w:b/>
                <w:vertAlign w:val="superscript"/>
              </w:rPr>
            </w:pPr>
            <w:r w:rsidRPr="00001499">
              <w:rPr>
                <w:b/>
              </w:rPr>
              <w:t>$</w:t>
            </w:r>
            <w:r w:rsidR="00D76B55" w:rsidRPr="0020701F">
              <w:rPr>
                <w:rFonts w:hint="eastAsia"/>
                <w:b/>
                <w:color w:val="000000"/>
                <w:w w:val="15"/>
                <w:shd w:val="solid" w:color="000000" w:fill="000000"/>
                <w:fitText w:val="11" w:id="-1404292863"/>
                <w14:textFill>
                  <w14:solidFill>
                    <w14:srgbClr w14:val="000000">
                      <w14:alpha w14:val="100000"/>
                    </w14:srgbClr>
                  </w14:solidFill>
                </w14:textFill>
              </w:rPr>
              <w:t xml:space="preserve">　</w:t>
            </w:r>
            <w:r w:rsidR="00D76B55" w:rsidRPr="0020701F">
              <w:rPr>
                <w:b/>
                <w:color w:val="000000"/>
                <w:w w:val="15"/>
                <w:shd w:val="solid" w:color="000000" w:fill="000000"/>
                <w:fitText w:val="11" w:id="-1404292863"/>
                <w14:textFill>
                  <w14:solidFill>
                    <w14:srgbClr w14:val="000000">
                      <w14:alpha w14:val="100000"/>
                    </w14:srgbClr>
                  </w14:solidFill>
                </w14:textFill>
              </w:rPr>
              <w:t>|</w:t>
            </w:r>
            <w:r w:rsidR="00D76B55" w:rsidRPr="0020701F">
              <w:rPr>
                <w:rFonts w:hint="eastAsia"/>
                <w:b/>
                <w:color w:val="000000"/>
                <w:spacing w:val="-55"/>
                <w:w w:val="15"/>
                <w:shd w:val="solid" w:color="000000" w:fill="000000"/>
                <w:fitText w:val="11" w:id="-1404292863"/>
                <w14:textFill>
                  <w14:solidFill>
                    <w14:srgbClr w14:val="000000">
                      <w14:alpha w14:val="100000"/>
                    </w14:srgbClr>
                  </w14:solidFill>
                </w14:textFill>
              </w:rPr>
              <w:t xml:space="preserve">　</w:t>
            </w:r>
            <w:r w:rsidR="00BE027F" w:rsidRPr="00A67347">
              <w:rPr>
                <w:bCs w:val="0"/>
                <w:vertAlign w:val="superscript"/>
              </w:rPr>
              <w:t>1</w:t>
            </w:r>
          </w:p>
        </w:tc>
      </w:tr>
      <w:tr w:rsidR="009C29A2" w:rsidRPr="00001499" w14:paraId="69EB33F5" w14:textId="77777777" w:rsidTr="00474E6F">
        <w:tc>
          <w:tcPr>
            <w:tcW w:w="1962" w:type="pct"/>
            <w:vAlign w:val="center"/>
          </w:tcPr>
          <w:p w14:paraId="2A1CE8D5" w14:textId="77777777" w:rsidR="009C29A2" w:rsidRPr="00001499" w:rsidRDefault="009C29A2" w:rsidP="00FC7A97">
            <w:pPr>
              <w:pStyle w:val="TableText0"/>
              <w:keepLines/>
              <w:widowControl w:val="0"/>
              <w:rPr>
                <w:rFonts w:ascii="Times" w:hAnsi="Times"/>
              </w:rPr>
            </w:pPr>
            <w:r w:rsidRPr="00001499">
              <w:t>LYG</w:t>
            </w:r>
          </w:p>
        </w:tc>
        <w:tc>
          <w:tcPr>
            <w:tcW w:w="1023" w:type="pct"/>
          </w:tcPr>
          <w:p w14:paraId="321D099F" w14:textId="77777777" w:rsidR="009C29A2" w:rsidRPr="00001499" w:rsidRDefault="009C29A2" w:rsidP="00FC7A97">
            <w:pPr>
              <w:pStyle w:val="TableText0"/>
              <w:keepLines/>
              <w:widowControl w:val="0"/>
              <w:jc w:val="center"/>
              <w:rPr>
                <w:rFonts w:ascii="Times" w:hAnsi="Times"/>
              </w:rPr>
            </w:pPr>
            <w:r w:rsidRPr="00001499">
              <w:t>21.03954</w:t>
            </w:r>
          </w:p>
        </w:tc>
        <w:tc>
          <w:tcPr>
            <w:tcW w:w="1021" w:type="pct"/>
          </w:tcPr>
          <w:p w14:paraId="1F06F53A" w14:textId="77777777" w:rsidR="009C29A2" w:rsidRPr="00001499" w:rsidRDefault="009C29A2" w:rsidP="00FC7A97">
            <w:pPr>
              <w:pStyle w:val="TableText0"/>
              <w:keepLines/>
              <w:widowControl w:val="0"/>
              <w:jc w:val="center"/>
              <w:rPr>
                <w:rFonts w:ascii="Times" w:hAnsi="Times"/>
              </w:rPr>
            </w:pPr>
            <w:r w:rsidRPr="00001499">
              <w:t>21.03950</w:t>
            </w:r>
          </w:p>
        </w:tc>
        <w:tc>
          <w:tcPr>
            <w:tcW w:w="994" w:type="pct"/>
          </w:tcPr>
          <w:p w14:paraId="68FA6B17" w14:textId="77777777" w:rsidR="009C29A2" w:rsidRPr="00001499" w:rsidRDefault="009C29A2" w:rsidP="00FC7A97">
            <w:pPr>
              <w:pStyle w:val="TableText0"/>
              <w:keepLines/>
              <w:widowControl w:val="0"/>
              <w:jc w:val="center"/>
            </w:pPr>
            <w:r w:rsidRPr="00001499">
              <w:t>0.000036</w:t>
            </w:r>
          </w:p>
        </w:tc>
      </w:tr>
      <w:tr w:rsidR="009C29A2" w:rsidRPr="00001499" w14:paraId="159ACB74" w14:textId="77777777" w:rsidTr="00474E6F">
        <w:tc>
          <w:tcPr>
            <w:tcW w:w="4006" w:type="pct"/>
            <w:gridSpan w:val="3"/>
            <w:vAlign w:val="center"/>
          </w:tcPr>
          <w:p w14:paraId="7F353FB4" w14:textId="2C03E4BD" w:rsidR="009C29A2" w:rsidRPr="00001499" w:rsidRDefault="009C29A2" w:rsidP="00FC7A97">
            <w:pPr>
              <w:pStyle w:val="TableText0"/>
              <w:keepLines/>
              <w:widowControl w:val="0"/>
              <w:rPr>
                <w:rFonts w:ascii="Times" w:hAnsi="Times"/>
                <w:b/>
              </w:rPr>
            </w:pPr>
            <w:r w:rsidRPr="00001499">
              <w:rPr>
                <w:b/>
              </w:rPr>
              <w:t xml:space="preserve">Step 2: Incremental cost/LYG </w:t>
            </w:r>
          </w:p>
        </w:tc>
        <w:tc>
          <w:tcPr>
            <w:tcW w:w="994" w:type="pct"/>
            <w:vAlign w:val="center"/>
          </w:tcPr>
          <w:p w14:paraId="38D9C657" w14:textId="4DDAF4A8" w:rsidR="009C29A2" w:rsidRPr="00A67347" w:rsidRDefault="009C29A2" w:rsidP="00FC7A97">
            <w:pPr>
              <w:pStyle w:val="TableText0"/>
              <w:keepLines/>
              <w:widowControl w:val="0"/>
              <w:jc w:val="center"/>
              <w:rPr>
                <w:rFonts w:ascii="Times" w:hAnsi="Times"/>
                <w:bCs w:val="0"/>
                <w:vertAlign w:val="superscript"/>
              </w:rPr>
            </w:pPr>
            <w:r w:rsidRPr="00001499">
              <w:rPr>
                <w:b/>
              </w:rPr>
              <w:t>$</w:t>
            </w:r>
            <w:r w:rsidR="00D76B55" w:rsidRPr="0020701F">
              <w:rPr>
                <w:rFonts w:hint="eastAsia"/>
                <w:b/>
                <w:color w:val="000000"/>
                <w:w w:val="15"/>
                <w:shd w:val="solid" w:color="000000" w:fill="000000"/>
                <w:fitText w:val="11" w:id="-1404292862"/>
                <w14:textFill>
                  <w14:solidFill>
                    <w14:srgbClr w14:val="000000">
                      <w14:alpha w14:val="100000"/>
                    </w14:srgbClr>
                  </w14:solidFill>
                </w14:textFill>
              </w:rPr>
              <w:t xml:space="preserve">　</w:t>
            </w:r>
            <w:r w:rsidR="00D76B55" w:rsidRPr="0020701F">
              <w:rPr>
                <w:b/>
                <w:color w:val="000000"/>
                <w:w w:val="15"/>
                <w:shd w:val="solid" w:color="000000" w:fill="000000"/>
                <w:fitText w:val="11" w:id="-1404292862"/>
                <w14:textFill>
                  <w14:solidFill>
                    <w14:srgbClr w14:val="000000">
                      <w14:alpha w14:val="100000"/>
                    </w14:srgbClr>
                  </w14:solidFill>
                </w14:textFill>
              </w:rPr>
              <w:t>|</w:t>
            </w:r>
            <w:r w:rsidR="00D76B55" w:rsidRPr="0020701F">
              <w:rPr>
                <w:rFonts w:hint="eastAsia"/>
                <w:b/>
                <w:color w:val="000000"/>
                <w:spacing w:val="-55"/>
                <w:w w:val="15"/>
                <w:shd w:val="solid" w:color="000000" w:fill="000000"/>
                <w:fitText w:val="11" w:id="-1404292862"/>
                <w14:textFill>
                  <w14:solidFill>
                    <w14:srgbClr w14:val="000000">
                      <w14:alpha w14:val="100000"/>
                    </w14:srgbClr>
                  </w14:solidFill>
                </w14:textFill>
              </w:rPr>
              <w:t xml:space="preserve">　</w:t>
            </w:r>
            <w:r w:rsidR="003D08C7">
              <w:rPr>
                <w:bCs w:val="0"/>
                <w:vertAlign w:val="superscript"/>
              </w:rPr>
              <w:t>2</w:t>
            </w:r>
          </w:p>
        </w:tc>
      </w:tr>
      <w:tr w:rsidR="009C29A2" w:rsidRPr="00001499" w14:paraId="2B4D14EC" w14:textId="77777777" w:rsidTr="00474E6F">
        <w:tc>
          <w:tcPr>
            <w:tcW w:w="1962" w:type="pct"/>
            <w:vAlign w:val="center"/>
          </w:tcPr>
          <w:p w14:paraId="6E7BDE6E" w14:textId="77777777" w:rsidR="009C29A2" w:rsidRPr="00001499" w:rsidRDefault="009C29A2" w:rsidP="00FC7A97">
            <w:pPr>
              <w:pStyle w:val="TableText0"/>
              <w:keepLines/>
              <w:widowControl w:val="0"/>
              <w:rPr>
                <w:rFonts w:ascii="Times" w:hAnsi="Times"/>
              </w:rPr>
            </w:pPr>
            <w:r w:rsidRPr="00001499">
              <w:t>QALYs</w:t>
            </w:r>
          </w:p>
        </w:tc>
        <w:tc>
          <w:tcPr>
            <w:tcW w:w="1023" w:type="pct"/>
          </w:tcPr>
          <w:p w14:paraId="21111221" w14:textId="77777777" w:rsidR="009C29A2" w:rsidRPr="00001499" w:rsidRDefault="009C29A2" w:rsidP="00FC7A97">
            <w:pPr>
              <w:pStyle w:val="TableText0"/>
              <w:keepLines/>
              <w:widowControl w:val="0"/>
              <w:jc w:val="center"/>
              <w:rPr>
                <w:rFonts w:ascii="Times" w:hAnsi="Times"/>
              </w:rPr>
            </w:pPr>
            <w:r w:rsidRPr="00001499">
              <w:t>20.14596</w:t>
            </w:r>
          </w:p>
        </w:tc>
        <w:tc>
          <w:tcPr>
            <w:tcW w:w="1021" w:type="pct"/>
          </w:tcPr>
          <w:p w14:paraId="26F152AF" w14:textId="77777777" w:rsidR="009C29A2" w:rsidRPr="00001499" w:rsidRDefault="009C29A2" w:rsidP="00FC7A97">
            <w:pPr>
              <w:pStyle w:val="TableText0"/>
              <w:keepLines/>
              <w:widowControl w:val="0"/>
              <w:jc w:val="center"/>
              <w:rPr>
                <w:rFonts w:ascii="Times" w:hAnsi="Times"/>
              </w:rPr>
            </w:pPr>
            <w:r w:rsidRPr="00001499">
              <w:t>20.14592</w:t>
            </w:r>
          </w:p>
        </w:tc>
        <w:tc>
          <w:tcPr>
            <w:tcW w:w="994" w:type="pct"/>
          </w:tcPr>
          <w:p w14:paraId="12FDBD1F" w14:textId="77777777" w:rsidR="009C29A2" w:rsidRPr="00001499" w:rsidRDefault="009C29A2" w:rsidP="00FC7A97">
            <w:pPr>
              <w:pStyle w:val="TableText0"/>
              <w:keepLines/>
              <w:widowControl w:val="0"/>
              <w:jc w:val="center"/>
            </w:pPr>
            <w:r w:rsidRPr="00001499">
              <w:t>0.000048</w:t>
            </w:r>
          </w:p>
        </w:tc>
      </w:tr>
      <w:tr w:rsidR="009C29A2" w:rsidRPr="00001499" w14:paraId="6F212032" w14:textId="77777777" w:rsidTr="00474E6F">
        <w:tc>
          <w:tcPr>
            <w:tcW w:w="4006" w:type="pct"/>
            <w:gridSpan w:val="3"/>
            <w:vAlign w:val="center"/>
          </w:tcPr>
          <w:p w14:paraId="47286039" w14:textId="1CF6E318" w:rsidR="009C29A2" w:rsidRPr="00001499" w:rsidRDefault="009C29A2" w:rsidP="00FC7A97">
            <w:pPr>
              <w:pStyle w:val="TableText0"/>
              <w:keepLines/>
              <w:widowControl w:val="0"/>
              <w:rPr>
                <w:rFonts w:ascii="Times" w:hAnsi="Times"/>
                <w:b/>
              </w:rPr>
            </w:pPr>
            <w:r w:rsidRPr="00001499">
              <w:rPr>
                <w:b/>
              </w:rPr>
              <w:t>Step 3: Incremental cost/QALY gained</w:t>
            </w:r>
          </w:p>
        </w:tc>
        <w:tc>
          <w:tcPr>
            <w:tcW w:w="994" w:type="pct"/>
            <w:vAlign w:val="center"/>
          </w:tcPr>
          <w:p w14:paraId="73005746" w14:textId="3BCAB90A" w:rsidR="009C29A2" w:rsidRPr="00A67347" w:rsidRDefault="009C29A2" w:rsidP="00FC7A97">
            <w:pPr>
              <w:pStyle w:val="TableText0"/>
              <w:keepLines/>
              <w:widowControl w:val="0"/>
              <w:jc w:val="center"/>
              <w:rPr>
                <w:rFonts w:ascii="Times" w:hAnsi="Times"/>
                <w:vertAlign w:val="superscript"/>
              </w:rPr>
            </w:pPr>
            <w:r w:rsidRPr="00001499">
              <w:rPr>
                <w:b/>
              </w:rPr>
              <w:t>$</w:t>
            </w:r>
            <w:r w:rsidR="00D76B55" w:rsidRPr="0020701F">
              <w:rPr>
                <w:rFonts w:hint="eastAsia"/>
                <w:b/>
                <w:color w:val="000000"/>
                <w:w w:val="15"/>
                <w:shd w:val="solid" w:color="000000" w:fill="000000"/>
                <w:fitText w:val="11" w:id="-1404292861"/>
                <w14:textFill>
                  <w14:solidFill>
                    <w14:srgbClr w14:val="000000">
                      <w14:alpha w14:val="100000"/>
                    </w14:srgbClr>
                  </w14:solidFill>
                </w14:textFill>
              </w:rPr>
              <w:t xml:space="preserve">　</w:t>
            </w:r>
            <w:r w:rsidR="00D76B55" w:rsidRPr="0020701F">
              <w:rPr>
                <w:b/>
                <w:color w:val="000000"/>
                <w:w w:val="15"/>
                <w:shd w:val="solid" w:color="000000" w:fill="000000"/>
                <w:fitText w:val="11" w:id="-1404292861"/>
                <w14:textFill>
                  <w14:solidFill>
                    <w14:srgbClr w14:val="000000">
                      <w14:alpha w14:val="100000"/>
                    </w14:srgbClr>
                  </w14:solidFill>
                </w14:textFill>
              </w:rPr>
              <w:t>|</w:t>
            </w:r>
            <w:r w:rsidR="00D76B55" w:rsidRPr="0020701F">
              <w:rPr>
                <w:rFonts w:hint="eastAsia"/>
                <w:b/>
                <w:color w:val="000000"/>
                <w:spacing w:val="-55"/>
                <w:w w:val="15"/>
                <w:shd w:val="solid" w:color="000000" w:fill="000000"/>
                <w:fitText w:val="11" w:id="-1404292861"/>
                <w14:textFill>
                  <w14:solidFill>
                    <w14:srgbClr w14:val="000000">
                      <w14:alpha w14:val="100000"/>
                    </w14:srgbClr>
                  </w14:solidFill>
                </w14:textFill>
              </w:rPr>
              <w:t xml:space="preserve">　</w:t>
            </w:r>
            <w:r w:rsidR="003D08C7">
              <w:rPr>
                <w:vertAlign w:val="superscript"/>
              </w:rPr>
              <w:t>3</w:t>
            </w:r>
          </w:p>
        </w:tc>
      </w:tr>
      <w:tr w:rsidR="009C29A2" w:rsidRPr="00001499" w14:paraId="12A6451B" w14:textId="77777777" w:rsidTr="00FC7A97">
        <w:tc>
          <w:tcPr>
            <w:tcW w:w="5000" w:type="pct"/>
            <w:gridSpan w:val="4"/>
            <w:vAlign w:val="center"/>
          </w:tcPr>
          <w:p w14:paraId="64DD2376" w14:textId="77777777" w:rsidR="009C29A2" w:rsidRPr="00001499" w:rsidRDefault="009C29A2" w:rsidP="00FC7A97">
            <w:pPr>
              <w:pStyle w:val="In-tableHeading"/>
              <w:keepLines/>
              <w:widowControl w:val="0"/>
              <w:rPr>
                <w:lang w:val="en-AU"/>
              </w:rPr>
            </w:pPr>
          </w:p>
        </w:tc>
      </w:tr>
      <w:tr w:rsidR="009C29A2" w:rsidRPr="00001499" w14:paraId="4C3DFB1D" w14:textId="77777777" w:rsidTr="00FC7A97">
        <w:tc>
          <w:tcPr>
            <w:tcW w:w="5000" w:type="pct"/>
            <w:gridSpan w:val="4"/>
            <w:vAlign w:val="center"/>
          </w:tcPr>
          <w:p w14:paraId="0FB5CB1E" w14:textId="77777777" w:rsidR="009C29A2" w:rsidRPr="00001499" w:rsidRDefault="009C29A2" w:rsidP="00FC7A97">
            <w:pPr>
              <w:pStyle w:val="In-tableHeading"/>
              <w:keepLines/>
              <w:widowControl w:val="0"/>
              <w:rPr>
                <w:lang w:val="en-AU"/>
              </w:rPr>
            </w:pPr>
            <w:r w:rsidRPr="00001499">
              <w:rPr>
                <w:lang w:val="en-AU"/>
              </w:rPr>
              <w:t>Aboriginal and Torres Strait Islander population</w:t>
            </w:r>
          </w:p>
        </w:tc>
      </w:tr>
      <w:tr w:rsidR="009C29A2" w:rsidRPr="00001499" w14:paraId="24DCB0EF" w14:textId="77777777" w:rsidTr="00474E6F">
        <w:tc>
          <w:tcPr>
            <w:tcW w:w="1962" w:type="pct"/>
            <w:vAlign w:val="center"/>
          </w:tcPr>
          <w:p w14:paraId="00D770BD" w14:textId="77777777" w:rsidR="009C29A2" w:rsidRPr="00001499" w:rsidRDefault="009C29A2" w:rsidP="00FC7A97">
            <w:pPr>
              <w:pStyle w:val="TableText0"/>
              <w:keepLines/>
              <w:widowControl w:val="0"/>
              <w:rPr>
                <w:rFonts w:ascii="Times" w:hAnsi="Times"/>
              </w:rPr>
            </w:pPr>
            <w:r w:rsidRPr="00001499">
              <w:t>Costs</w:t>
            </w:r>
          </w:p>
        </w:tc>
        <w:tc>
          <w:tcPr>
            <w:tcW w:w="1023" w:type="pct"/>
          </w:tcPr>
          <w:p w14:paraId="640CB708" w14:textId="42D0D4AC" w:rsidR="009C29A2" w:rsidRPr="00001499" w:rsidRDefault="009C29A2" w:rsidP="00FC7A97">
            <w:pPr>
              <w:pStyle w:val="TableText0"/>
              <w:keepLines/>
              <w:widowControl w:val="0"/>
              <w:jc w:val="center"/>
              <w:rPr>
                <w:rFonts w:ascii="Times" w:hAnsi="Times"/>
              </w:rPr>
            </w:pPr>
            <w:r w:rsidRPr="00001499">
              <w:t>$</w:t>
            </w:r>
            <w:r w:rsidR="00D76B55" w:rsidRPr="00D76B55">
              <w:rPr>
                <w:color w:val="000000"/>
                <w:shd w:val="solid" w:color="000000" w:fill="000000"/>
                <w14:textFill>
                  <w14:solidFill>
                    <w14:srgbClr w14:val="000000">
                      <w14:alpha w14:val="100000"/>
                    </w14:srgbClr>
                  </w14:solidFill>
                </w14:textFill>
              </w:rPr>
              <w:t>|</w:t>
            </w:r>
          </w:p>
        </w:tc>
        <w:tc>
          <w:tcPr>
            <w:tcW w:w="1021" w:type="pct"/>
          </w:tcPr>
          <w:p w14:paraId="56D6ACD6" w14:textId="14FB1983" w:rsidR="009C29A2" w:rsidRPr="00001499" w:rsidRDefault="009C29A2" w:rsidP="00FC7A97">
            <w:pPr>
              <w:pStyle w:val="TableText0"/>
              <w:keepLines/>
              <w:widowControl w:val="0"/>
              <w:jc w:val="center"/>
              <w:rPr>
                <w:rFonts w:ascii="Times" w:hAnsi="Times"/>
              </w:rPr>
            </w:pPr>
            <w:r w:rsidRPr="00001499">
              <w:t>$</w:t>
            </w:r>
            <w:r w:rsidR="00D76B55" w:rsidRPr="00D76B55">
              <w:rPr>
                <w:color w:val="000000"/>
                <w:shd w:val="solid" w:color="000000" w:fill="000000"/>
                <w14:textFill>
                  <w14:solidFill>
                    <w14:srgbClr w14:val="000000">
                      <w14:alpha w14:val="100000"/>
                    </w14:srgbClr>
                  </w14:solidFill>
                </w14:textFill>
              </w:rPr>
              <w:t>|</w:t>
            </w:r>
          </w:p>
        </w:tc>
        <w:tc>
          <w:tcPr>
            <w:tcW w:w="994" w:type="pct"/>
          </w:tcPr>
          <w:p w14:paraId="04B16783" w14:textId="6AB8EC59" w:rsidR="009C29A2" w:rsidRPr="00001499" w:rsidRDefault="009C29A2" w:rsidP="00FC7A97">
            <w:pPr>
              <w:pStyle w:val="TableText0"/>
              <w:keepLines/>
              <w:widowControl w:val="0"/>
              <w:jc w:val="center"/>
              <w:rPr>
                <w:rFonts w:ascii="Times" w:hAnsi="Times"/>
              </w:rPr>
            </w:pPr>
            <w:r w:rsidRPr="00001499">
              <w:t>$</w:t>
            </w:r>
            <w:r w:rsidR="00D76B55" w:rsidRPr="0020701F">
              <w:rPr>
                <w:rFonts w:hint="eastAsia"/>
                <w:color w:val="000000"/>
                <w:w w:val="15"/>
                <w:shd w:val="solid" w:color="000000" w:fill="000000"/>
                <w:fitText w:val="11" w:id="-1404292860"/>
                <w14:textFill>
                  <w14:solidFill>
                    <w14:srgbClr w14:val="000000">
                      <w14:alpha w14:val="100000"/>
                    </w14:srgbClr>
                  </w14:solidFill>
                </w14:textFill>
              </w:rPr>
              <w:t xml:space="preserve">　</w:t>
            </w:r>
            <w:r w:rsidR="00D76B55" w:rsidRPr="0020701F">
              <w:rPr>
                <w:color w:val="000000"/>
                <w:w w:val="15"/>
                <w:shd w:val="solid" w:color="000000" w:fill="000000"/>
                <w:fitText w:val="11" w:id="-1404292860"/>
                <w14:textFill>
                  <w14:solidFill>
                    <w14:srgbClr w14:val="000000">
                      <w14:alpha w14:val="100000"/>
                    </w14:srgbClr>
                  </w14:solidFill>
                </w14:textFill>
              </w:rPr>
              <w:t>|</w:t>
            </w:r>
            <w:r w:rsidR="00D76B55" w:rsidRPr="0020701F">
              <w:rPr>
                <w:rFonts w:hint="eastAsia"/>
                <w:color w:val="000000"/>
                <w:spacing w:val="-55"/>
                <w:w w:val="15"/>
                <w:shd w:val="solid" w:color="000000" w:fill="000000"/>
                <w:fitText w:val="11" w:id="-1404292860"/>
                <w14:textFill>
                  <w14:solidFill>
                    <w14:srgbClr w14:val="000000">
                      <w14:alpha w14:val="100000"/>
                    </w14:srgbClr>
                  </w14:solidFill>
                </w14:textFill>
              </w:rPr>
              <w:t xml:space="preserve">　</w:t>
            </w:r>
          </w:p>
        </w:tc>
      </w:tr>
      <w:tr w:rsidR="009C29A2" w:rsidRPr="00001499" w14:paraId="56A375A4" w14:textId="77777777" w:rsidTr="00474E6F">
        <w:tc>
          <w:tcPr>
            <w:tcW w:w="1962" w:type="pct"/>
            <w:vAlign w:val="center"/>
          </w:tcPr>
          <w:p w14:paraId="417C77F9" w14:textId="77777777" w:rsidR="009C29A2" w:rsidRPr="00001499" w:rsidRDefault="009C29A2" w:rsidP="00FC7A97">
            <w:pPr>
              <w:pStyle w:val="TableText0"/>
              <w:keepLines/>
              <w:widowControl w:val="0"/>
              <w:rPr>
                <w:rFonts w:ascii="Times" w:hAnsi="Times"/>
              </w:rPr>
            </w:pPr>
            <w:r w:rsidRPr="00001499">
              <w:t>Influenza cases</w:t>
            </w:r>
          </w:p>
        </w:tc>
        <w:tc>
          <w:tcPr>
            <w:tcW w:w="1023" w:type="pct"/>
          </w:tcPr>
          <w:p w14:paraId="5F13594E" w14:textId="77777777" w:rsidR="009C29A2" w:rsidRPr="00001499" w:rsidRDefault="009C29A2" w:rsidP="00FC7A97">
            <w:pPr>
              <w:pStyle w:val="TableText0"/>
              <w:keepLines/>
              <w:widowControl w:val="0"/>
              <w:jc w:val="center"/>
              <w:rPr>
                <w:rFonts w:ascii="Times" w:hAnsi="Times"/>
              </w:rPr>
            </w:pPr>
            <w:r w:rsidRPr="00001499">
              <w:t>0.006350</w:t>
            </w:r>
          </w:p>
        </w:tc>
        <w:tc>
          <w:tcPr>
            <w:tcW w:w="1021" w:type="pct"/>
          </w:tcPr>
          <w:p w14:paraId="0455FAFA" w14:textId="77777777" w:rsidR="009C29A2" w:rsidRPr="00001499" w:rsidRDefault="009C29A2" w:rsidP="00FC7A97">
            <w:pPr>
              <w:pStyle w:val="TableText0"/>
              <w:keepLines/>
              <w:widowControl w:val="0"/>
              <w:jc w:val="center"/>
              <w:rPr>
                <w:rFonts w:ascii="Times" w:hAnsi="Times"/>
              </w:rPr>
            </w:pPr>
            <w:r w:rsidRPr="00001499">
              <w:t>0.007233</w:t>
            </w:r>
          </w:p>
        </w:tc>
        <w:tc>
          <w:tcPr>
            <w:tcW w:w="994" w:type="pct"/>
          </w:tcPr>
          <w:p w14:paraId="718A0309" w14:textId="77777777" w:rsidR="009C29A2" w:rsidRPr="00001499" w:rsidRDefault="009C29A2" w:rsidP="00FC7A97">
            <w:pPr>
              <w:pStyle w:val="TableText0"/>
              <w:keepLines/>
              <w:widowControl w:val="0"/>
              <w:jc w:val="center"/>
            </w:pPr>
            <w:r w:rsidRPr="00001499">
              <w:t>-0.000882</w:t>
            </w:r>
          </w:p>
        </w:tc>
      </w:tr>
      <w:tr w:rsidR="009C29A2" w:rsidRPr="00001499" w14:paraId="7A8993F3" w14:textId="77777777" w:rsidTr="00474E6F">
        <w:tc>
          <w:tcPr>
            <w:tcW w:w="4006" w:type="pct"/>
            <w:gridSpan w:val="3"/>
            <w:vAlign w:val="center"/>
          </w:tcPr>
          <w:p w14:paraId="57E4FAB4" w14:textId="77777777" w:rsidR="009C29A2" w:rsidRPr="00001499" w:rsidRDefault="009C29A2" w:rsidP="00FC7A97">
            <w:pPr>
              <w:pStyle w:val="TableText0"/>
              <w:keepLines/>
              <w:widowControl w:val="0"/>
              <w:rPr>
                <w:rFonts w:ascii="Times" w:hAnsi="Times"/>
              </w:rPr>
            </w:pPr>
            <w:r w:rsidRPr="00001499">
              <w:rPr>
                <w:b/>
              </w:rPr>
              <w:t>Step 1: Incremental cost/influenza case avoided</w:t>
            </w:r>
          </w:p>
        </w:tc>
        <w:tc>
          <w:tcPr>
            <w:tcW w:w="994" w:type="pct"/>
            <w:vAlign w:val="center"/>
          </w:tcPr>
          <w:p w14:paraId="0672BB56" w14:textId="440D36EA" w:rsidR="009C29A2" w:rsidRPr="00A67347" w:rsidRDefault="009C29A2" w:rsidP="00FC7A97">
            <w:pPr>
              <w:pStyle w:val="TableText0"/>
              <w:keepLines/>
              <w:widowControl w:val="0"/>
              <w:jc w:val="center"/>
              <w:rPr>
                <w:rFonts w:ascii="Times" w:hAnsi="Times"/>
                <w:vertAlign w:val="superscript"/>
              </w:rPr>
            </w:pPr>
            <w:r w:rsidRPr="00001499">
              <w:rPr>
                <w:b/>
                <w:bCs w:val="0"/>
              </w:rPr>
              <w:t>$</w:t>
            </w:r>
            <w:r w:rsidR="00D76B55" w:rsidRPr="0020701F">
              <w:rPr>
                <w:rFonts w:hint="eastAsia"/>
                <w:b/>
                <w:bCs w:val="0"/>
                <w:color w:val="000000"/>
                <w:w w:val="15"/>
                <w:shd w:val="solid" w:color="000000" w:fill="000000"/>
                <w:fitText w:val="11" w:id="-1404292859"/>
                <w14:textFill>
                  <w14:solidFill>
                    <w14:srgbClr w14:val="000000">
                      <w14:alpha w14:val="100000"/>
                    </w14:srgbClr>
                  </w14:solidFill>
                </w14:textFill>
              </w:rPr>
              <w:t xml:space="preserve">　</w:t>
            </w:r>
            <w:r w:rsidR="00D76B55" w:rsidRPr="0020701F">
              <w:rPr>
                <w:b/>
                <w:bCs w:val="0"/>
                <w:color w:val="000000"/>
                <w:w w:val="15"/>
                <w:shd w:val="solid" w:color="000000" w:fill="000000"/>
                <w:fitText w:val="11" w:id="-1404292859"/>
                <w14:textFill>
                  <w14:solidFill>
                    <w14:srgbClr w14:val="000000">
                      <w14:alpha w14:val="100000"/>
                    </w14:srgbClr>
                  </w14:solidFill>
                </w14:textFill>
              </w:rPr>
              <w:t>|</w:t>
            </w:r>
            <w:r w:rsidR="00D76B55" w:rsidRPr="0020701F">
              <w:rPr>
                <w:rFonts w:hint="eastAsia"/>
                <w:b/>
                <w:bCs w:val="0"/>
                <w:color w:val="000000"/>
                <w:spacing w:val="-55"/>
                <w:w w:val="15"/>
                <w:shd w:val="solid" w:color="000000" w:fill="000000"/>
                <w:fitText w:val="11" w:id="-1404292859"/>
                <w14:textFill>
                  <w14:solidFill>
                    <w14:srgbClr w14:val="000000">
                      <w14:alpha w14:val="100000"/>
                    </w14:srgbClr>
                  </w14:solidFill>
                </w14:textFill>
              </w:rPr>
              <w:t xml:space="preserve">　</w:t>
            </w:r>
            <w:r w:rsidR="003D08C7">
              <w:rPr>
                <w:vertAlign w:val="superscript"/>
              </w:rPr>
              <w:t>1</w:t>
            </w:r>
          </w:p>
        </w:tc>
      </w:tr>
      <w:tr w:rsidR="009C29A2" w:rsidRPr="00001499" w14:paraId="23D588A6" w14:textId="77777777" w:rsidTr="00474E6F">
        <w:tc>
          <w:tcPr>
            <w:tcW w:w="1962" w:type="pct"/>
            <w:vAlign w:val="center"/>
          </w:tcPr>
          <w:p w14:paraId="0AFDDCF2" w14:textId="77777777" w:rsidR="009C29A2" w:rsidRPr="00001499" w:rsidRDefault="009C29A2" w:rsidP="00FC7A97">
            <w:pPr>
              <w:pStyle w:val="TableText0"/>
              <w:keepLines/>
              <w:widowControl w:val="0"/>
              <w:rPr>
                <w:rFonts w:ascii="Times" w:hAnsi="Times"/>
              </w:rPr>
            </w:pPr>
            <w:r w:rsidRPr="00001499">
              <w:t>LYG</w:t>
            </w:r>
          </w:p>
        </w:tc>
        <w:tc>
          <w:tcPr>
            <w:tcW w:w="1023" w:type="pct"/>
          </w:tcPr>
          <w:p w14:paraId="4811F992" w14:textId="77777777" w:rsidR="009C29A2" w:rsidRPr="00001499" w:rsidRDefault="009C29A2" w:rsidP="00FC7A97">
            <w:pPr>
              <w:pStyle w:val="TableText0"/>
              <w:keepLines/>
              <w:widowControl w:val="0"/>
              <w:jc w:val="center"/>
              <w:rPr>
                <w:rFonts w:ascii="Times" w:hAnsi="Times"/>
              </w:rPr>
            </w:pPr>
            <w:r w:rsidRPr="00001499">
              <w:t>18.502412</w:t>
            </w:r>
          </w:p>
        </w:tc>
        <w:tc>
          <w:tcPr>
            <w:tcW w:w="1021" w:type="pct"/>
          </w:tcPr>
          <w:p w14:paraId="74A01EB7" w14:textId="77777777" w:rsidR="009C29A2" w:rsidRPr="00001499" w:rsidRDefault="009C29A2" w:rsidP="00FC7A97">
            <w:pPr>
              <w:pStyle w:val="TableText0"/>
              <w:keepLines/>
              <w:widowControl w:val="0"/>
              <w:jc w:val="center"/>
              <w:rPr>
                <w:rFonts w:ascii="Times" w:hAnsi="Times"/>
              </w:rPr>
            </w:pPr>
            <w:r w:rsidRPr="00001499">
              <w:t>18.502329</w:t>
            </w:r>
          </w:p>
        </w:tc>
        <w:tc>
          <w:tcPr>
            <w:tcW w:w="994" w:type="pct"/>
          </w:tcPr>
          <w:p w14:paraId="3DC75A07" w14:textId="77777777" w:rsidR="009C29A2" w:rsidRPr="00001499" w:rsidRDefault="009C29A2" w:rsidP="00FC7A97">
            <w:pPr>
              <w:pStyle w:val="TableText0"/>
              <w:keepLines/>
              <w:widowControl w:val="0"/>
              <w:jc w:val="center"/>
            </w:pPr>
            <w:r w:rsidRPr="00001499">
              <w:t>0.000083</w:t>
            </w:r>
          </w:p>
        </w:tc>
      </w:tr>
      <w:tr w:rsidR="009C29A2" w:rsidRPr="00001499" w14:paraId="6491FAEE" w14:textId="77777777" w:rsidTr="00474E6F">
        <w:tc>
          <w:tcPr>
            <w:tcW w:w="4006" w:type="pct"/>
            <w:gridSpan w:val="3"/>
            <w:vAlign w:val="center"/>
          </w:tcPr>
          <w:p w14:paraId="51E8146E" w14:textId="3BABA75B" w:rsidR="009C29A2" w:rsidRPr="00001499" w:rsidRDefault="009C29A2" w:rsidP="00FC7A97">
            <w:pPr>
              <w:pStyle w:val="TableText0"/>
              <w:keepLines/>
              <w:widowControl w:val="0"/>
              <w:rPr>
                <w:rFonts w:ascii="Times" w:hAnsi="Times"/>
              </w:rPr>
            </w:pPr>
            <w:r w:rsidRPr="00001499">
              <w:rPr>
                <w:b/>
              </w:rPr>
              <w:t xml:space="preserve">Step 2: Incremental cost/LYG </w:t>
            </w:r>
          </w:p>
        </w:tc>
        <w:tc>
          <w:tcPr>
            <w:tcW w:w="994" w:type="pct"/>
            <w:vAlign w:val="center"/>
          </w:tcPr>
          <w:p w14:paraId="4F64AEC7" w14:textId="585D1CF8" w:rsidR="009C29A2" w:rsidRPr="00A67347" w:rsidRDefault="009C29A2" w:rsidP="00FC7A97">
            <w:pPr>
              <w:pStyle w:val="TableText0"/>
              <w:keepLines/>
              <w:widowControl w:val="0"/>
              <w:jc w:val="center"/>
              <w:rPr>
                <w:rFonts w:ascii="Times" w:hAnsi="Times"/>
                <w:vertAlign w:val="superscript"/>
              </w:rPr>
            </w:pPr>
            <w:r w:rsidRPr="00001499">
              <w:rPr>
                <w:b/>
                <w:bCs w:val="0"/>
              </w:rPr>
              <w:t>$</w:t>
            </w:r>
            <w:r w:rsidR="00D76B55" w:rsidRPr="0020701F">
              <w:rPr>
                <w:rFonts w:hint="eastAsia"/>
                <w:b/>
                <w:bCs w:val="0"/>
                <w:color w:val="000000"/>
                <w:w w:val="15"/>
                <w:shd w:val="solid" w:color="000000" w:fill="000000"/>
                <w:fitText w:val="11" w:id="-1404292858"/>
                <w14:textFill>
                  <w14:solidFill>
                    <w14:srgbClr w14:val="000000">
                      <w14:alpha w14:val="100000"/>
                    </w14:srgbClr>
                  </w14:solidFill>
                </w14:textFill>
              </w:rPr>
              <w:t xml:space="preserve">　</w:t>
            </w:r>
            <w:r w:rsidR="00D76B55" w:rsidRPr="0020701F">
              <w:rPr>
                <w:b/>
                <w:bCs w:val="0"/>
                <w:color w:val="000000"/>
                <w:w w:val="15"/>
                <w:shd w:val="solid" w:color="000000" w:fill="000000"/>
                <w:fitText w:val="11" w:id="-1404292858"/>
                <w14:textFill>
                  <w14:solidFill>
                    <w14:srgbClr w14:val="000000">
                      <w14:alpha w14:val="100000"/>
                    </w14:srgbClr>
                  </w14:solidFill>
                </w14:textFill>
              </w:rPr>
              <w:t>|</w:t>
            </w:r>
            <w:r w:rsidR="00D76B55" w:rsidRPr="0020701F">
              <w:rPr>
                <w:rFonts w:hint="eastAsia"/>
                <w:b/>
                <w:bCs w:val="0"/>
                <w:color w:val="000000"/>
                <w:spacing w:val="-55"/>
                <w:w w:val="15"/>
                <w:shd w:val="solid" w:color="000000" w:fill="000000"/>
                <w:fitText w:val="11" w:id="-1404292858"/>
                <w14:textFill>
                  <w14:solidFill>
                    <w14:srgbClr w14:val="000000">
                      <w14:alpha w14:val="100000"/>
                    </w14:srgbClr>
                  </w14:solidFill>
                </w14:textFill>
              </w:rPr>
              <w:t xml:space="preserve">　</w:t>
            </w:r>
            <w:r w:rsidR="003D08C7">
              <w:rPr>
                <w:vertAlign w:val="superscript"/>
              </w:rPr>
              <w:t>4</w:t>
            </w:r>
          </w:p>
        </w:tc>
      </w:tr>
      <w:tr w:rsidR="009C29A2" w:rsidRPr="00001499" w14:paraId="0BD2A863" w14:textId="77777777" w:rsidTr="00474E6F">
        <w:tc>
          <w:tcPr>
            <w:tcW w:w="1962" w:type="pct"/>
            <w:vAlign w:val="center"/>
          </w:tcPr>
          <w:p w14:paraId="4F547937" w14:textId="77777777" w:rsidR="009C29A2" w:rsidRPr="00001499" w:rsidRDefault="009C29A2" w:rsidP="00FC7A97">
            <w:pPr>
              <w:pStyle w:val="TableText0"/>
              <w:keepLines/>
              <w:widowControl w:val="0"/>
              <w:rPr>
                <w:rFonts w:ascii="Times" w:hAnsi="Times"/>
              </w:rPr>
            </w:pPr>
            <w:r w:rsidRPr="00001499">
              <w:t>QALYs</w:t>
            </w:r>
          </w:p>
        </w:tc>
        <w:tc>
          <w:tcPr>
            <w:tcW w:w="1023" w:type="pct"/>
          </w:tcPr>
          <w:p w14:paraId="76BB1D60" w14:textId="77777777" w:rsidR="009C29A2" w:rsidRPr="00001499" w:rsidRDefault="009C29A2" w:rsidP="00FC7A97">
            <w:pPr>
              <w:pStyle w:val="TableText0"/>
              <w:keepLines/>
              <w:widowControl w:val="0"/>
              <w:jc w:val="center"/>
              <w:rPr>
                <w:rFonts w:ascii="Times" w:hAnsi="Times"/>
              </w:rPr>
            </w:pPr>
            <w:r w:rsidRPr="00001499">
              <w:t>16.922490</w:t>
            </w:r>
          </w:p>
        </w:tc>
        <w:tc>
          <w:tcPr>
            <w:tcW w:w="1021" w:type="pct"/>
          </w:tcPr>
          <w:p w14:paraId="0362E962" w14:textId="77777777" w:rsidR="009C29A2" w:rsidRPr="00001499" w:rsidRDefault="009C29A2" w:rsidP="00FC7A97">
            <w:pPr>
              <w:pStyle w:val="TableText0"/>
              <w:keepLines/>
              <w:widowControl w:val="0"/>
              <w:jc w:val="center"/>
              <w:rPr>
                <w:rFonts w:ascii="Times" w:hAnsi="Times"/>
              </w:rPr>
            </w:pPr>
            <w:r w:rsidRPr="00001499">
              <w:t>16.922408</w:t>
            </w:r>
          </w:p>
        </w:tc>
        <w:tc>
          <w:tcPr>
            <w:tcW w:w="994" w:type="pct"/>
          </w:tcPr>
          <w:p w14:paraId="04A011AC" w14:textId="77777777" w:rsidR="009C29A2" w:rsidRPr="00001499" w:rsidRDefault="009C29A2" w:rsidP="00FC7A97">
            <w:pPr>
              <w:pStyle w:val="TableText0"/>
              <w:keepLines/>
              <w:widowControl w:val="0"/>
              <w:jc w:val="center"/>
            </w:pPr>
            <w:r w:rsidRPr="00001499">
              <w:t>0.000082</w:t>
            </w:r>
          </w:p>
        </w:tc>
      </w:tr>
      <w:tr w:rsidR="009C29A2" w:rsidRPr="00001499" w14:paraId="0726A243" w14:textId="77777777" w:rsidTr="00474E6F">
        <w:tc>
          <w:tcPr>
            <w:tcW w:w="4006" w:type="pct"/>
            <w:gridSpan w:val="3"/>
            <w:vAlign w:val="center"/>
          </w:tcPr>
          <w:p w14:paraId="2B929A95" w14:textId="0BEEDAC5" w:rsidR="009C29A2" w:rsidRPr="00001499" w:rsidRDefault="009C29A2" w:rsidP="00FC7A97">
            <w:pPr>
              <w:pStyle w:val="TableText0"/>
              <w:keepLines/>
              <w:widowControl w:val="0"/>
              <w:rPr>
                <w:rFonts w:ascii="Times" w:hAnsi="Times"/>
              </w:rPr>
            </w:pPr>
            <w:r w:rsidRPr="00001499">
              <w:rPr>
                <w:b/>
              </w:rPr>
              <w:t>Step 3: Incremental cost/QALY gained</w:t>
            </w:r>
          </w:p>
        </w:tc>
        <w:tc>
          <w:tcPr>
            <w:tcW w:w="994" w:type="pct"/>
            <w:vAlign w:val="center"/>
          </w:tcPr>
          <w:p w14:paraId="32411DF2" w14:textId="2C383D00" w:rsidR="009C29A2" w:rsidRPr="00A67347" w:rsidRDefault="009C29A2" w:rsidP="00FC7A97">
            <w:pPr>
              <w:pStyle w:val="TableText0"/>
              <w:keepLines/>
              <w:widowControl w:val="0"/>
              <w:jc w:val="center"/>
              <w:rPr>
                <w:rFonts w:ascii="Times" w:hAnsi="Times"/>
                <w:vertAlign w:val="superscript"/>
              </w:rPr>
            </w:pPr>
            <w:r w:rsidRPr="00001499">
              <w:rPr>
                <w:b/>
                <w:bCs w:val="0"/>
              </w:rPr>
              <w:t>$</w:t>
            </w:r>
            <w:r w:rsidR="00D76B55" w:rsidRPr="0020701F">
              <w:rPr>
                <w:rFonts w:hint="eastAsia"/>
                <w:b/>
                <w:bCs w:val="0"/>
                <w:color w:val="000000"/>
                <w:w w:val="15"/>
                <w:shd w:val="solid" w:color="000000" w:fill="000000"/>
                <w:fitText w:val="11" w:id="-1404292857"/>
                <w14:textFill>
                  <w14:solidFill>
                    <w14:srgbClr w14:val="000000">
                      <w14:alpha w14:val="100000"/>
                    </w14:srgbClr>
                  </w14:solidFill>
                </w14:textFill>
              </w:rPr>
              <w:t xml:space="preserve">　</w:t>
            </w:r>
            <w:r w:rsidR="00D76B55" w:rsidRPr="0020701F">
              <w:rPr>
                <w:b/>
                <w:bCs w:val="0"/>
                <w:color w:val="000000"/>
                <w:w w:val="15"/>
                <w:shd w:val="solid" w:color="000000" w:fill="000000"/>
                <w:fitText w:val="11" w:id="-1404292857"/>
                <w14:textFill>
                  <w14:solidFill>
                    <w14:srgbClr w14:val="000000">
                      <w14:alpha w14:val="100000"/>
                    </w14:srgbClr>
                  </w14:solidFill>
                </w14:textFill>
              </w:rPr>
              <w:t>|</w:t>
            </w:r>
            <w:r w:rsidR="00D76B55" w:rsidRPr="0020701F">
              <w:rPr>
                <w:rFonts w:hint="eastAsia"/>
                <w:b/>
                <w:bCs w:val="0"/>
                <w:color w:val="000000"/>
                <w:spacing w:val="-55"/>
                <w:w w:val="15"/>
                <w:shd w:val="solid" w:color="000000" w:fill="000000"/>
                <w:fitText w:val="11" w:id="-1404292857"/>
                <w14:textFill>
                  <w14:solidFill>
                    <w14:srgbClr w14:val="000000">
                      <w14:alpha w14:val="100000"/>
                    </w14:srgbClr>
                  </w14:solidFill>
                </w14:textFill>
              </w:rPr>
              <w:t xml:space="preserve">　</w:t>
            </w:r>
            <w:r w:rsidR="003D08C7">
              <w:rPr>
                <w:vertAlign w:val="superscript"/>
              </w:rPr>
              <w:t>4</w:t>
            </w:r>
          </w:p>
        </w:tc>
      </w:tr>
      <w:tr w:rsidR="009C29A2" w:rsidRPr="00001499" w14:paraId="2D16CD30" w14:textId="77777777" w:rsidTr="00474E6F">
        <w:tc>
          <w:tcPr>
            <w:tcW w:w="1962" w:type="pct"/>
            <w:vAlign w:val="center"/>
          </w:tcPr>
          <w:p w14:paraId="702B938B" w14:textId="77777777" w:rsidR="009C29A2" w:rsidRPr="00001499" w:rsidRDefault="009C29A2" w:rsidP="00FC7A97">
            <w:pPr>
              <w:pStyle w:val="TableText0"/>
              <w:keepLines/>
              <w:widowControl w:val="0"/>
              <w:rPr>
                <w:rFonts w:ascii="Times" w:hAnsi="Times"/>
              </w:rPr>
            </w:pPr>
          </w:p>
        </w:tc>
        <w:tc>
          <w:tcPr>
            <w:tcW w:w="1023" w:type="pct"/>
            <w:vAlign w:val="center"/>
          </w:tcPr>
          <w:p w14:paraId="52C825F8" w14:textId="77777777" w:rsidR="009C29A2" w:rsidRPr="00001499" w:rsidRDefault="009C29A2" w:rsidP="00FC7A97">
            <w:pPr>
              <w:pStyle w:val="TableText0"/>
              <w:keepLines/>
              <w:widowControl w:val="0"/>
              <w:jc w:val="center"/>
              <w:rPr>
                <w:rFonts w:ascii="Times" w:hAnsi="Times"/>
              </w:rPr>
            </w:pPr>
          </w:p>
        </w:tc>
        <w:tc>
          <w:tcPr>
            <w:tcW w:w="1021" w:type="pct"/>
            <w:vAlign w:val="center"/>
          </w:tcPr>
          <w:p w14:paraId="63657947" w14:textId="77777777" w:rsidR="009C29A2" w:rsidRPr="00001499" w:rsidRDefault="009C29A2" w:rsidP="00FC7A97">
            <w:pPr>
              <w:pStyle w:val="TableText0"/>
              <w:keepLines/>
              <w:widowControl w:val="0"/>
              <w:jc w:val="center"/>
              <w:rPr>
                <w:rFonts w:ascii="Times" w:hAnsi="Times"/>
              </w:rPr>
            </w:pPr>
          </w:p>
        </w:tc>
        <w:tc>
          <w:tcPr>
            <w:tcW w:w="994" w:type="pct"/>
            <w:vAlign w:val="center"/>
          </w:tcPr>
          <w:p w14:paraId="46EA7EFF" w14:textId="77777777" w:rsidR="009C29A2" w:rsidRPr="00001499" w:rsidRDefault="009C29A2" w:rsidP="00FC7A97">
            <w:pPr>
              <w:pStyle w:val="TableText0"/>
              <w:keepLines/>
              <w:widowControl w:val="0"/>
              <w:jc w:val="center"/>
              <w:rPr>
                <w:rFonts w:ascii="Times" w:hAnsi="Times"/>
              </w:rPr>
            </w:pPr>
          </w:p>
        </w:tc>
      </w:tr>
      <w:tr w:rsidR="009C29A2" w:rsidRPr="00001499" w14:paraId="1605BA39" w14:textId="77777777" w:rsidTr="00FC7A97">
        <w:tc>
          <w:tcPr>
            <w:tcW w:w="5000" w:type="pct"/>
            <w:gridSpan w:val="4"/>
            <w:vAlign w:val="center"/>
          </w:tcPr>
          <w:p w14:paraId="5ECA6807" w14:textId="77777777" w:rsidR="009C29A2" w:rsidRPr="00001499" w:rsidRDefault="009C29A2" w:rsidP="00FC7A97">
            <w:pPr>
              <w:pStyle w:val="In-tableHeading"/>
              <w:keepLines/>
              <w:widowControl w:val="0"/>
              <w:rPr>
                <w:lang w:val="en-AU"/>
              </w:rPr>
            </w:pPr>
            <w:r w:rsidRPr="00001499">
              <w:rPr>
                <w:lang w:val="en-AU"/>
              </w:rPr>
              <w:t>High-risk</w:t>
            </w:r>
          </w:p>
        </w:tc>
      </w:tr>
      <w:tr w:rsidR="009C29A2" w:rsidRPr="00001499" w14:paraId="72AE12D6" w14:textId="77777777" w:rsidTr="00474E6F">
        <w:tc>
          <w:tcPr>
            <w:tcW w:w="1962" w:type="pct"/>
            <w:vAlign w:val="center"/>
          </w:tcPr>
          <w:p w14:paraId="74C5E2D6" w14:textId="77777777" w:rsidR="009C29A2" w:rsidRPr="00001499" w:rsidRDefault="009C29A2" w:rsidP="00FC7A97">
            <w:pPr>
              <w:pStyle w:val="TableText0"/>
              <w:keepLines/>
              <w:widowControl w:val="0"/>
              <w:rPr>
                <w:rFonts w:ascii="Times" w:hAnsi="Times"/>
              </w:rPr>
            </w:pPr>
            <w:r w:rsidRPr="00001499">
              <w:t>Costs</w:t>
            </w:r>
          </w:p>
        </w:tc>
        <w:tc>
          <w:tcPr>
            <w:tcW w:w="1023" w:type="pct"/>
            <w:vAlign w:val="center"/>
          </w:tcPr>
          <w:p w14:paraId="669C2C8B" w14:textId="19697FA5" w:rsidR="009C29A2" w:rsidRPr="00001499" w:rsidRDefault="009C29A2" w:rsidP="00FC7A97">
            <w:pPr>
              <w:pStyle w:val="TableText0"/>
              <w:keepLines/>
              <w:widowControl w:val="0"/>
              <w:jc w:val="center"/>
              <w:rPr>
                <w:rFonts w:ascii="Times" w:hAnsi="Times"/>
              </w:rPr>
            </w:pPr>
            <w:r w:rsidRPr="00001499">
              <w:rPr>
                <w:rFonts w:cs="Calibri"/>
                <w:color w:val="000000"/>
              </w:rPr>
              <w:t>$</w:t>
            </w:r>
            <w:r w:rsidR="00D76B55" w:rsidRPr="00D76B55">
              <w:rPr>
                <w:rFonts w:cs="Calibri"/>
                <w:color w:val="000000"/>
                <w:shd w:val="solid" w:color="000000" w:fill="000000"/>
                <w14:textFill>
                  <w14:solidFill>
                    <w14:srgbClr w14:val="000000">
                      <w14:alpha w14:val="100000"/>
                    </w14:srgbClr>
                  </w14:solidFill>
                </w14:textFill>
              </w:rPr>
              <w:t>|</w:t>
            </w:r>
          </w:p>
        </w:tc>
        <w:tc>
          <w:tcPr>
            <w:tcW w:w="1021" w:type="pct"/>
            <w:vAlign w:val="center"/>
          </w:tcPr>
          <w:p w14:paraId="1065B3A1" w14:textId="63294C73" w:rsidR="009C29A2" w:rsidRPr="00001499" w:rsidRDefault="009C29A2" w:rsidP="00FC7A97">
            <w:pPr>
              <w:pStyle w:val="TableText0"/>
              <w:keepLines/>
              <w:widowControl w:val="0"/>
              <w:jc w:val="center"/>
              <w:rPr>
                <w:rFonts w:ascii="Times" w:hAnsi="Times"/>
              </w:rPr>
            </w:pPr>
            <w:r w:rsidRPr="00001499">
              <w:rPr>
                <w:rFonts w:cs="Calibri"/>
                <w:color w:val="000000"/>
              </w:rPr>
              <w:t>$</w:t>
            </w:r>
            <w:r w:rsidR="00D76B55" w:rsidRPr="00D76B55">
              <w:rPr>
                <w:rFonts w:cs="Calibri"/>
                <w:color w:val="000000"/>
                <w:shd w:val="solid" w:color="000000" w:fill="000000"/>
                <w14:textFill>
                  <w14:solidFill>
                    <w14:srgbClr w14:val="000000">
                      <w14:alpha w14:val="100000"/>
                    </w14:srgbClr>
                  </w14:solidFill>
                </w14:textFill>
              </w:rPr>
              <w:t>|</w:t>
            </w:r>
          </w:p>
        </w:tc>
        <w:tc>
          <w:tcPr>
            <w:tcW w:w="994" w:type="pct"/>
            <w:vAlign w:val="center"/>
          </w:tcPr>
          <w:p w14:paraId="28A8E6E1" w14:textId="1A4658C0" w:rsidR="009C29A2" w:rsidRPr="00001499" w:rsidRDefault="009C29A2" w:rsidP="00FC7A97">
            <w:pPr>
              <w:pStyle w:val="TableText0"/>
              <w:keepLines/>
              <w:widowControl w:val="0"/>
              <w:jc w:val="center"/>
              <w:rPr>
                <w:rFonts w:ascii="Times" w:hAnsi="Times"/>
              </w:rPr>
            </w:pPr>
            <w:r w:rsidRPr="00001499">
              <w:rPr>
                <w:rFonts w:cs="Calibri"/>
                <w:color w:val="000000"/>
              </w:rPr>
              <w:t>$</w:t>
            </w:r>
            <w:r w:rsidR="00D76B55" w:rsidRPr="0020701F">
              <w:rPr>
                <w:rFonts w:cs="Calibri" w:hint="eastAsia"/>
                <w:color w:val="000000"/>
                <w:w w:val="15"/>
                <w:shd w:val="solid" w:color="000000" w:fill="000000"/>
                <w:fitText w:val="11" w:id="-1404292856"/>
                <w14:textFill>
                  <w14:solidFill>
                    <w14:srgbClr w14:val="000000">
                      <w14:alpha w14:val="100000"/>
                    </w14:srgbClr>
                  </w14:solidFill>
                </w14:textFill>
              </w:rPr>
              <w:t xml:space="preserve">　</w:t>
            </w:r>
            <w:r w:rsidR="00D76B55" w:rsidRPr="0020701F">
              <w:rPr>
                <w:rFonts w:cs="Calibri"/>
                <w:color w:val="000000"/>
                <w:w w:val="15"/>
                <w:shd w:val="solid" w:color="000000" w:fill="000000"/>
                <w:fitText w:val="11" w:id="-1404292856"/>
                <w14:textFill>
                  <w14:solidFill>
                    <w14:srgbClr w14:val="000000">
                      <w14:alpha w14:val="100000"/>
                    </w14:srgbClr>
                  </w14:solidFill>
                </w14:textFill>
              </w:rPr>
              <w:t>|</w:t>
            </w:r>
            <w:r w:rsidR="00D76B55" w:rsidRPr="0020701F">
              <w:rPr>
                <w:rFonts w:cs="Calibri" w:hint="eastAsia"/>
                <w:color w:val="000000"/>
                <w:spacing w:val="-55"/>
                <w:w w:val="15"/>
                <w:shd w:val="solid" w:color="000000" w:fill="000000"/>
                <w:fitText w:val="11" w:id="-1404292856"/>
                <w14:textFill>
                  <w14:solidFill>
                    <w14:srgbClr w14:val="000000">
                      <w14:alpha w14:val="100000"/>
                    </w14:srgbClr>
                  </w14:solidFill>
                </w14:textFill>
              </w:rPr>
              <w:t xml:space="preserve">　</w:t>
            </w:r>
          </w:p>
        </w:tc>
      </w:tr>
      <w:tr w:rsidR="009C29A2" w:rsidRPr="00001499" w14:paraId="5E6F72EC" w14:textId="77777777" w:rsidTr="00474E6F">
        <w:tc>
          <w:tcPr>
            <w:tcW w:w="1962" w:type="pct"/>
            <w:vAlign w:val="center"/>
          </w:tcPr>
          <w:p w14:paraId="1B15986D" w14:textId="77777777" w:rsidR="009C29A2" w:rsidRPr="00001499" w:rsidRDefault="009C29A2" w:rsidP="00FC7A97">
            <w:pPr>
              <w:pStyle w:val="TableText0"/>
              <w:keepLines/>
              <w:widowControl w:val="0"/>
              <w:rPr>
                <w:rFonts w:ascii="Times" w:hAnsi="Times"/>
              </w:rPr>
            </w:pPr>
            <w:r w:rsidRPr="00001499">
              <w:t>Influenza cases</w:t>
            </w:r>
          </w:p>
        </w:tc>
        <w:tc>
          <w:tcPr>
            <w:tcW w:w="1023" w:type="pct"/>
            <w:vAlign w:val="center"/>
          </w:tcPr>
          <w:p w14:paraId="26854AAB" w14:textId="77777777" w:rsidR="009C29A2" w:rsidRPr="00001499" w:rsidRDefault="009C29A2" w:rsidP="00FC7A97">
            <w:pPr>
              <w:pStyle w:val="TableText0"/>
              <w:keepLines/>
              <w:widowControl w:val="0"/>
              <w:jc w:val="center"/>
              <w:rPr>
                <w:rFonts w:ascii="Times" w:hAnsi="Times"/>
              </w:rPr>
            </w:pPr>
            <w:r w:rsidRPr="00001499">
              <w:rPr>
                <w:rFonts w:cs="Calibri"/>
                <w:color w:val="000000"/>
              </w:rPr>
              <w:t>0.004615</w:t>
            </w:r>
          </w:p>
        </w:tc>
        <w:tc>
          <w:tcPr>
            <w:tcW w:w="1021" w:type="pct"/>
            <w:vAlign w:val="center"/>
          </w:tcPr>
          <w:p w14:paraId="628E3705" w14:textId="77777777" w:rsidR="009C29A2" w:rsidRPr="00001499" w:rsidRDefault="009C29A2" w:rsidP="00FC7A97">
            <w:pPr>
              <w:pStyle w:val="TableText0"/>
              <w:keepLines/>
              <w:widowControl w:val="0"/>
              <w:jc w:val="center"/>
              <w:rPr>
                <w:rFonts w:ascii="Times" w:hAnsi="Times"/>
              </w:rPr>
            </w:pPr>
            <w:r w:rsidRPr="00001499">
              <w:rPr>
                <w:rFonts w:cs="Calibri"/>
                <w:color w:val="000000"/>
              </w:rPr>
              <w:t>0.005256</w:t>
            </w:r>
          </w:p>
        </w:tc>
        <w:tc>
          <w:tcPr>
            <w:tcW w:w="994" w:type="pct"/>
            <w:vAlign w:val="center"/>
          </w:tcPr>
          <w:p w14:paraId="04E19DCD" w14:textId="77777777" w:rsidR="009C29A2" w:rsidRPr="00001499" w:rsidRDefault="009C29A2" w:rsidP="00FC7A97">
            <w:pPr>
              <w:pStyle w:val="TableText0"/>
              <w:keepLines/>
              <w:widowControl w:val="0"/>
              <w:jc w:val="center"/>
            </w:pPr>
            <w:r w:rsidRPr="00001499">
              <w:rPr>
                <w:rFonts w:cs="Calibri"/>
                <w:color w:val="000000"/>
              </w:rPr>
              <w:t>-0.000641</w:t>
            </w:r>
          </w:p>
        </w:tc>
      </w:tr>
      <w:tr w:rsidR="009C29A2" w:rsidRPr="00001499" w14:paraId="30F4E706" w14:textId="77777777" w:rsidTr="00474E6F">
        <w:tc>
          <w:tcPr>
            <w:tcW w:w="4006" w:type="pct"/>
            <w:gridSpan w:val="3"/>
            <w:vAlign w:val="center"/>
          </w:tcPr>
          <w:p w14:paraId="7498C370" w14:textId="77777777" w:rsidR="009C29A2" w:rsidRPr="00001499" w:rsidRDefault="009C29A2" w:rsidP="00FC7A97">
            <w:pPr>
              <w:pStyle w:val="TableText0"/>
              <w:keepLines/>
              <w:widowControl w:val="0"/>
              <w:rPr>
                <w:rFonts w:ascii="Times" w:hAnsi="Times"/>
              </w:rPr>
            </w:pPr>
            <w:r w:rsidRPr="00001499">
              <w:rPr>
                <w:b/>
              </w:rPr>
              <w:t>Step 1: Incremental cost/influenza case avoided</w:t>
            </w:r>
          </w:p>
        </w:tc>
        <w:tc>
          <w:tcPr>
            <w:tcW w:w="994" w:type="pct"/>
            <w:vAlign w:val="center"/>
          </w:tcPr>
          <w:p w14:paraId="238E9B9F" w14:textId="2FBE17D5" w:rsidR="009C29A2" w:rsidRPr="00A67347" w:rsidRDefault="009C29A2" w:rsidP="00FC7A97">
            <w:pPr>
              <w:pStyle w:val="TableText0"/>
              <w:keepLines/>
              <w:widowControl w:val="0"/>
              <w:jc w:val="center"/>
              <w:rPr>
                <w:rFonts w:ascii="Times" w:hAnsi="Times"/>
                <w:vertAlign w:val="superscript"/>
              </w:rPr>
            </w:pPr>
            <w:r w:rsidRPr="00001499">
              <w:rPr>
                <w:rFonts w:cs="Calibri"/>
                <w:b/>
                <w:bCs w:val="0"/>
                <w:color w:val="000000"/>
              </w:rPr>
              <w:t>$</w:t>
            </w:r>
            <w:r w:rsidR="00D76B55" w:rsidRPr="0020701F">
              <w:rPr>
                <w:rFonts w:cs="Calibri" w:hint="eastAsia"/>
                <w:b/>
                <w:bCs w:val="0"/>
                <w:color w:val="000000"/>
                <w:w w:val="15"/>
                <w:shd w:val="solid" w:color="000000" w:fill="000000"/>
                <w:fitText w:val="11" w:id="-1404292855"/>
                <w14:textFill>
                  <w14:solidFill>
                    <w14:srgbClr w14:val="000000">
                      <w14:alpha w14:val="100000"/>
                    </w14:srgbClr>
                  </w14:solidFill>
                </w14:textFill>
              </w:rPr>
              <w:t xml:space="preserve">　</w:t>
            </w:r>
            <w:r w:rsidR="00D76B55" w:rsidRPr="0020701F">
              <w:rPr>
                <w:rFonts w:cs="Calibri"/>
                <w:b/>
                <w:bCs w:val="0"/>
                <w:color w:val="000000"/>
                <w:w w:val="15"/>
                <w:shd w:val="solid" w:color="000000" w:fill="000000"/>
                <w:fitText w:val="11" w:id="-1404292855"/>
                <w14:textFill>
                  <w14:solidFill>
                    <w14:srgbClr w14:val="000000">
                      <w14:alpha w14:val="100000"/>
                    </w14:srgbClr>
                  </w14:solidFill>
                </w14:textFill>
              </w:rPr>
              <w:t>|</w:t>
            </w:r>
            <w:r w:rsidR="00D76B55" w:rsidRPr="0020701F">
              <w:rPr>
                <w:rFonts w:cs="Calibri" w:hint="eastAsia"/>
                <w:b/>
                <w:bCs w:val="0"/>
                <w:color w:val="000000"/>
                <w:spacing w:val="-55"/>
                <w:w w:val="15"/>
                <w:shd w:val="solid" w:color="000000" w:fill="000000"/>
                <w:fitText w:val="11" w:id="-1404292855"/>
                <w14:textFill>
                  <w14:solidFill>
                    <w14:srgbClr w14:val="000000">
                      <w14:alpha w14:val="100000"/>
                    </w14:srgbClr>
                  </w14:solidFill>
                </w14:textFill>
              </w:rPr>
              <w:t xml:space="preserve">　</w:t>
            </w:r>
            <w:r w:rsidR="003D08C7">
              <w:rPr>
                <w:rFonts w:cs="Calibri"/>
                <w:color w:val="000000"/>
                <w:vertAlign w:val="superscript"/>
              </w:rPr>
              <w:t>5</w:t>
            </w:r>
          </w:p>
        </w:tc>
      </w:tr>
      <w:tr w:rsidR="009C29A2" w:rsidRPr="00001499" w14:paraId="714BA284" w14:textId="77777777" w:rsidTr="00474E6F">
        <w:tc>
          <w:tcPr>
            <w:tcW w:w="1962" w:type="pct"/>
            <w:vAlign w:val="center"/>
          </w:tcPr>
          <w:p w14:paraId="3E4F96DD" w14:textId="77777777" w:rsidR="009C29A2" w:rsidRPr="00001499" w:rsidRDefault="009C29A2" w:rsidP="00FC7A97">
            <w:pPr>
              <w:pStyle w:val="TableText0"/>
              <w:keepLines/>
              <w:widowControl w:val="0"/>
              <w:rPr>
                <w:rFonts w:ascii="Times" w:hAnsi="Times"/>
              </w:rPr>
            </w:pPr>
            <w:r w:rsidRPr="00001499">
              <w:t>LYG</w:t>
            </w:r>
          </w:p>
        </w:tc>
        <w:tc>
          <w:tcPr>
            <w:tcW w:w="1023" w:type="pct"/>
            <w:vAlign w:val="center"/>
          </w:tcPr>
          <w:p w14:paraId="0E5B7348" w14:textId="77777777" w:rsidR="009C29A2" w:rsidRPr="00001499" w:rsidRDefault="009C29A2" w:rsidP="00FC7A97">
            <w:pPr>
              <w:pStyle w:val="TableText0"/>
              <w:keepLines/>
              <w:widowControl w:val="0"/>
              <w:jc w:val="center"/>
              <w:rPr>
                <w:rFonts w:ascii="Times" w:hAnsi="Times"/>
              </w:rPr>
            </w:pPr>
            <w:r w:rsidRPr="00001499">
              <w:rPr>
                <w:rFonts w:cs="Calibri"/>
                <w:color w:val="000000"/>
              </w:rPr>
              <w:t>17.052028</w:t>
            </w:r>
          </w:p>
        </w:tc>
        <w:tc>
          <w:tcPr>
            <w:tcW w:w="1021" w:type="pct"/>
            <w:vAlign w:val="center"/>
          </w:tcPr>
          <w:p w14:paraId="65624036" w14:textId="77777777" w:rsidR="009C29A2" w:rsidRPr="00001499" w:rsidRDefault="009C29A2" w:rsidP="00FC7A97">
            <w:pPr>
              <w:pStyle w:val="TableText0"/>
              <w:keepLines/>
              <w:widowControl w:val="0"/>
              <w:jc w:val="center"/>
              <w:rPr>
                <w:rFonts w:ascii="Times" w:hAnsi="Times"/>
              </w:rPr>
            </w:pPr>
            <w:r w:rsidRPr="00001499">
              <w:rPr>
                <w:rFonts w:cs="Calibri"/>
                <w:color w:val="000000"/>
              </w:rPr>
              <w:t>17.051881</w:t>
            </w:r>
          </w:p>
        </w:tc>
        <w:tc>
          <w:tcPr>
            <w:tcW w:w="994" w:type="pct"/>
            <w:vAlign w:val="center"/>
          </w:tcPr>
          <w:p w14:paraId="05463428" w14:textId="77777777" w:rsidR="009C29A2" w:rsidRPr="00001499" w:rsidRDefault="009C29A2" w:rsidP="00FC7A97">
            <w:pPr>
              <w:pStyle w:val="TableText0"/>
              <w:keepLines/>
              <w:widowControl w:val="0"/>
              <w:jc w:val="center"/>
            </w:pPr>
            <w:r w:rsidRPr="00001499">
              <w:rPr>
                <w:rFonts w:cs="Calibri"/>
                <w:color w:val="000000"/>
              </w:rPr>
              <w:t>0.000147</w:t>
            </w:r>
          </w:p>
        </w:tc>
      </w:tr>
      <w:tr w:rsidR="009C29A2" w:rsidRPr="00001499" w14:paraId="7C49EB72" w14:textId="77777777" w:rsidTr="00474E6F">
        <w:tc>
          <w:tcPr>
            <w:tcW w:w="4006" w:type="pct"/>
            <w:gridSpan w:val="3"/>
            <w:vAlign w:val="center"/>
          </w:tcPr>
          <w:p w14:paraId="7DA6A6CC" w14:textId="195656AC" w:rsidR="009C29A2" w:rsidRPr="00001499" w:rsidRDefault="009C29A2" w:rsidP="00FC7A97">
            <w:pPr>
              <w:pStyle w:val="TableText0"/>
              <w:keepLines/>
              <w:widowControl w:val="0"/>
              <w:rPr>
                <w:rFonts w:ascii="Times" w:hAnsi="Times"/>
              </w:rPr>
            </w:pPr>
            <w:r w:rsidRPr="00001499">
              <w:rPr>
                <w:b/>
              </w:rPr>
              <w:t xml:space="preserve">Step 2: Incremental cost/LYG </w:t>
            </w:r>
          </w:p>
        </w:tc>
        <w:tc>
          <w:tcPr>
            <w:tcW w:w="994" w:type="pct"/>
            <w:vAlign w:val="center"/>
          </w:tcPr>
          <w:p w14:paraId="7D59E242" w14:textId="6D9BB03E" w:rsidR="009C29A2" w:rsidRPr="00A67347" w:rsidRDefault="009C29A2" w:rsidP="00FC7A97">
            <w:pPr>
              <w:pStyle w:val="TableText0"/>
              <w:keepLines/>
              <w:widowControl w:val="0"/>
              <w:jc w:val="center"/>
              <w:rPr>
                <w:rFonts w:ascii="Times" w:hAnsi="Times"/>
                <w:vertAlign w:val="superscript"/>
              </w:rPr>
            </w:pPr>
            <w:r w:rsidRPr="00001499">
              <w:rPr>
                <w:rFonts w:cs="Calibri"/>
                <w:b/>
                <w:bCs w:val="0"/>
                <w:color w:val="000000"/>
              </w:rPr>
              <w:t>$</w:t>
            </w:r>
            <w:r w:rsidR="00D76B55" w:rsidRPr="0020701F">
              <w:rPr>
                <w:rFonts w:cs="Calibri" w:hint="eastAsia"/>
                <w:b/>
                <w:bCs w:val="0"/>
                <w:color w:val="000000"/>
                <w:w w:val="15"/>
                <w:shd w:val="solid" w:color="000000" w:fill="000000"/>
                <w:fitText w:val="11" w:id="-1404292854"/>
                <w14:textFill>
                  <w14:solidFill>
                    <w14:srgbClr w14:val="000000">
                      <w14:alpha w14:val="100000"/>
                    </w14:srgbClr>
                  </w14:solidFill>
                </w14:textFill>
              </w:rPr>
              <w:t xml:space="preserve">　</w:t>
            </w:r>
            <w:r w:rsidR="00D76B55" w:rsidRPr="0020701F">
              <w:rPr>
                <w:rFonts w:cs="Calibri"/>
                <w:b/>
                <w:bCs w:val="0"/>
                <w:color w:val="000000"/>
                <w:w w:val="15"/>
                <w:shd w:val="solid" w:color="000000" w:fill="000000"/>
                <w:fitText w:val="11" w:id="-1404292854"/>
                <w14:textFill>
                  <w14:solidFill>
                    <w14:srgbClr w14:val="000000">
                      <w14:alpha w14:val="100000"/>
                    </w14:srgbClr>
                  </w14:solidFill>
                </w14:textFill>
              </w:rPr>
              <w:t>|</w:t>
            </w:r>
            <w:r w:rsidR="00D76B55" w:rsidRPr="0020701F">
              <w:rPr>
                <w:rFonts w:cs="Calibri" w:hint="eastAsia"/>
                <w:b/>
                <w:bCs w:val="0"/>
                <w:color w:val="000000"/>
                <w:spacing w:val="-55"/>
                <w:w w:val="15"/>
                <w:shd w:val="solid" w:color="000000" w:fill="000000"/>
                <w:fitText w:val="11" w:id="-1404292854"/>
                <w14:textFill>
                  <w14:solidFill>
                    <w14:srgbClr w14:val="000000">
                      <w14:alpha w14:val="100000"/>
                    </w14:srgbClr>
                  </w14:solidFill>
                </w14:textFill>
              </w:rPr>
              <w:t xml:space="preserve">　</w:t>
            </w:r>
            <w:r w:rsidR="003D08C7">
              <w:rPr>
                <w:rFonts w:cs="Calibri"/>
                <w:color w:val="000000"/>
                <w:vertAlign w:val="superscript"/>
              </w:rPr>
              <w:t>6</w:t>
            </w:r>
          </w:p>
        </w:tc>
      </w:tr>
      <w:tr w:rsidR="009C29A2" w:rsidRPr="00001499" w14:paraId="0BD9DEA1" w14:textId="77777777" w:rsidTr="00474E6F">
        <w:tc>
          <w:tcPr>
            <w:tcW w:w="1962" w:type="pct"/>
            <w:vAlign w:val="center"/>
          </w:tcPr>
          <w:p w14:paraId="3ADA5CCA" w14:textId="77777777" w:rsidR="009C29A2" w:rsidRPr="00001499" w:rsidRDefault="009C29A2" w:rsidP="00FC7A97">
            <w:pPr>
              <w:pStyle w:val="TableText0"/>
              <w:keepLines/>
              <w:widowControl w:val="0"/>
              <w:rPr>
                <w:rFonts w:ascii="Times" w:hAnsi="Times"/>
              </w:rPr>
            </w:pPr>
            <w:r w:rsidRPr="00001499">
              <w:t>QALYs</w:t>
            </w:r>
          </w:p>
        </w:tc>
        <w:tc>
          <w:tcPr>
            <w:tcW w:w="1023" w:type="pct"/>
            <w:vAlign w:val="center"/>
          </w:tcPr>
          <w:p w14:paraId="66268C45" w14:textId="77777777" w:rsidR="009C29A2" w:rsidRPr="00001499" w:rsidRDefault="009C29A2" w:rsidP="00FC7A97">
            <w:pPr>
              <w:pStyle w:val="TableText0"/>
              <w:keepLines/>
              <w:widowControl w:val="0"/>
              <w:jc w:val="center"/>
              <w:rPr>
                <w:rFonts w:ascii="Times" w:hAnsi="Times"/>
              </w:rPr>
            </w:pPr>
            <w:r w:rsidRPr="00001499">
              <w:rPr>
                <w:rFonts w:cs="Calibri"/>
                <w:color w:val="000000"/>
              </w:rPr>
              <w:t>15.231421</w:t>
            </w:r>
          </w:p>
        </w:tc>
        <w:tc>
          <w:tcPr>
            <w:tcW w:w="1021" w:type="pct"/>
            <w:vAlign w:val="center"/>
          </w:tcPr>
          <w:p w14:paraId="6FE01991" w14:textId="77777777" w:rsidR="009C29A2" w:rsidRPr="00001499" w:rsidRDefault="009C29A2" w:rsidP="00FC7A97">
            <w:pPr>
              <w:pStyle w:val="TableText0"/>
              <w:keepLines/>
              <w:widowControl w:val="0"/>
              <w:jc w:val="center"/>
              <w:rPr>
                <w:rFonts w:ascii="Times" w:hAnsi="Times"/>
              </w:rPr>
            </w:pPr>
            <w:r w:rsidRPr="00001499">
              <w:rPr>
                <w:rFonts w:cs="Calibri"/>
                <w:color w:val="000000"/>
              </w:rPr>
              <w:t>15.231284</w:t>
            </w:r>
          </w:p>
        </w:tc>
        <w:tc>
          <w:tcPr>
            <w:tcW w:w="994" w:type="pct"/>
            <w:vAlign w:val="center"/>
          </w:tcPr>
          <w:p w14:paraId="0341BC1A" w14:textId="77777777" w:rsidR="009C29A2" w:rsidRPr="00001499" w:rsidRDefault="009C29A2" w:rsidP="00FC7A97">
            <w:pPr>
              <w:pStyle w:val="TableText0"/>
              <w:keepLines/>
              <w:widowControl w:val="0"/>
              <w:jc w:val="center"/>
            </w:pPr>
            <w:r w:rsidRPr="00001499">
              <w:rPr>
                <w:rFonts w:cs="Calibri"/>
                <w:color w:val="000000"/>
              </w:rPr>
              <w:t>0.000137</w:t>
            </w:r>
          </w:p>
        </w:tc>
      </w:tr>
      <w:tr w:rsidR="009C29A2" w:rsidRPr="00001499" w14:paraId="7932DF76" w14:textId="77777777" w:rsidTr="00474E6F">
        <w:tc>
          <w:tcPr>
            <w:tcW w:w="4006" w:type="pct"/>
            <w:gridSpan w:val="3"/>
            <w:vAlign w:val="center"/>
          </w:tcPr>
          <w:p w14:paraId="403E8E46" w14:textId="7A57EAD0" w:rsidR="009C29A2" w:rsidRPr="00001499" w:rsidRDefault="009C29A2" w:rsidP="00FC7A97">
            <w:pPr>
              <w:pStyle w:val="TableText0"/>
              <w:keepLines/>
              <w:widowControl w:val="0"/>
              <w:rPr>
                <w:rFonts w:ascii="Times" w:hAnsi="Times"/>
                <w:b/>
                <w:bCs w:val="0"/>
              </w:rPr>
            </w:pPr>
            <w:r w:rsidRPr="00001499">
              <w:rPr>
                <w:b/>
                <w:bCs w:val="0"/>
              </w:rPr>
              <w:t>Step 3: Incremental cost/QALY gained</w:t>
            </w:r>
          </w:p>
        </w:tc>
        <w:tc>
          <w:tcPr>
            <w:tcW w:w="994" w:type="pct"/>
            <w:vAlign w:val="center"/>
          </w:tcPr>
          <w:p w14:paraId="3AE4DE59" w14:textId="48AACED0" w:rsidR="009C29A2" w:rsidRPr="00A67347" w:rsidRDefault="009C29A2" w:rsidP="00FC7A97">
            <w:pPr>
              <w:pStyle w:val="TableText0"/>
              <w:keepLines/>
              <w:widowControl w:val="0"/>
              <w:jc w:val="center"/>
              <w:rPr>
                <w:rFonts w:ascii="Times" w:hAnsi="Times"/>
                <w:vertAlign w:val="superscript"/>
              </w:rPr>
            </w:pPr>
            <w:r w:rsidRPr="00001499">
              <w:rPr>
                <w:rFonts w:cs="Calibri"/>
                <w:b/>
                <w:bCs w:val="0"/>
                <w:color w:val="000000"/>
              </w:rPr>
              <w:t>$</w:t>
            </w:r>
            <w:r w:rsidR="00D76B55" w:rsidRPr="0020701F">
              <w:rPr>
                <w:rFonts w:cs="Calibri" w:hint="eastAsia"/>
                <w:b/>
                <w:bCs w:val="0"/>
                <w:color w:val="000000"/>
                <w:w w:val="15"/>
                <w:shd w:val="solid" w:color="000000" w:fill="000000"/>
                <w:fitText w:val="11" w:id="-1404292853"/>
                <w14:textFill>
                  <w14:solidFill>
                    <w14:srgbClr w14:val="000000">
                      <w14:alpha w14:val="100000"/>
                    </w14:srgbClr>
                  </w14:solidFill>
                </w14:textFill>
              </w:rPr>
              <w:t xml:space="preserve">　</w:t>
            </w:r>
            <w:r w:rsidR="00D76B55" w:rsidRPr="0020701F">
              <w:rPr>
                <w:rFonts w:cs="Calibri"/>
                <w:b/>
                <w:bCs w:val="0"/>
                <w:color w:val="000000"/>
                <w:w w:val="15"/>
                <w:shd w:val="solid" w:color="000000" w:fill="000000"/>
                <w:fitText w:val="11" w:id="-1404292853"/>
                <w14:textFill>
                  <w14:solidFill>
                    <w14:srgbClr w14:val="000000">
                      <w14:alpha w14:val="100000"/>
                    </w14:srgbClr>
                  </w14:solidFill>
                </w14:textFill>
              </w:rPr>
              <w:t>|</w:t>
            </w:r>
            <w:r w:rsidR="00D76B55" w:rsidRPr="0020701F">
              <w:rPr>
                <w:rFonts w:cs="Calibri" w:hint="eastAsia"/>
                <w:b/>
                <w:bCs w:val="0"/>
                <w:color w:val="000000"/>
                <w:spacing w:val="-55"/>
                <w:w w:val="15"/>
                <w:shd w:val="solid" w:color="000000" w:fill="000000"/>
                <w:fitText w:val="11" w:id="-1404292853"/>
                <w14:textFill>
                  <w14:solidFill>
                    <w14:srgbClr w14:val="000000">
                      <w14:alpha w14:val="100000"/>
                    </w14:srgbClr>
                  </w14:solidFill>
                </w14:textFill>
              </w:rPr>
              <w:t xml:space="preserve">　</w:t>
            </w:r>
            <w:r w:rsidR="003D08C7">
              <w:rPr>
                <w:rFonts w:cs="Calibri"/>
                <w:color w:val="000000"/>
                <w:vertAlign w:val="superscript"/>
              </w:rPr>
              <w:t>6</w:t>
            </w:r>
          </w:p>
        </w:tc>
      </w:tr>
      <w:tr w:rsidR="009C29A2" w:rsidRPr="00001499" w14:paraId="1ABE6359" w14:textId="77777777" w:rsidTr="00474E6F">
        <w:tc>
          <w:tcPr>
            <w:tcW w:w="4006" w:type="pct"/>
            <w:gridSpan w:val="3"/>
            <w:vAlign w:val="center"/>
          </w:tcPr>
          <w:p w14:paraId="2FB3979F" w14:textId="77777777" w:rsidR="009C29A2" w:rsidRPr="00001499" w:rsidRDefault="009C29A2" w:rsidP="00FC7A97">
            <w:pPr>
              <w:pStyle w:val="TableText0"/>
              <w:keepLines/>
              <w:widowControl w:val="0"/>
            </w:pPr>
          </w:p>
        </w:tc>
        <w:tc>
          <w:tcPr>
            <w:tcW w:w="994" w:type="pct"/>
            <w:vAlign w:val="center"/>
          </w:tcPr>
          <w:p w14:paraId="17CC7C04" w14:textId="77777777" w:rsidR="009C29A2" w:rsidRPr="00001499" w:rsidRDefault="009C29A2" w:rsidP="00FC7A97">
            <w:pPr>
              <w:pStyle w:val="TableText0"/>
              <w:keepLines/>
              <w:widowControl w:val="0"/>
              <w:jc w:val="center"/>
            </w:pPr>
          </w:p>
        </w:tc>
      </w:tr>
      <w:tr w:rsidR="009C29A2" w:rsidRPr="00001499" w14:paraId="3CBD948B" w14:textId="77777777" w:rsidTr="00FC7A97">
        <w:tc>
          <w:tcPr>
            <w:tcW w:w="5000" w:type="pct"/>
            <w:gridSpan w:val="4"/>
            <w:vAlign w:val="center"/>
          </w:tcPr>
          <w:p w14:paraId="14F60229" w14:textId="77777777" w:rsidR="009C29A2" w:rsidRPr="00001499" w:rsidRDefault="009C29A2" w:rsidP="00FC7A97">
            <w:pPr>
              <w:pStyle w:val="In-tableHeading"/>
              <w:keepLines/>
              <w:widowControl w:val="0"/>
              <w:rPr>
                <w:lang w:val="en-AU"/>
              </w:rPr>
            </w:pPr>
            <w:r w:rsidRPr="00001499">
              <w:rPr>
                <w:lang w:val="en-AU"/>
              </w:rPr>
              <w:t>Pregnant and newborns</w:t>
            </w:r>
          </w:p>
        </w:tc>
      </w:tr>
      <w:tr w:rsidR="009C29A2" w:rsidRPr="00001499" w14:paraId="09979B4C" w14:textId="77777777" w:rsidTr="00FC7A97">
        <w:tc>
          <w:tcPr>
            <w:tcW w:w="5000" w:type="pct"/>
            <w:gridSpan w:val="4"/>
            <w:vAlign w:val="center"/>
          </w:tcPr>
          <w:p w14:paraId="4FF8746F" w14:textId="77777777" w:rsidR="009C29A2" w:rsidRPr="00001499" w:rsidRDefault="009C29A2" w:rsidP="00FC7A97">
            <w:pPr>
              <w:pStyle w:val="TableText0"/>
              <w:keepLines/>
              <w:widowControl w:val="0"/>
              <w:rPr>
                <w:b/>
                <w:bCs w:val="0"/>
              </w:rPr>
            </w:pPr>
            <w:r w:rsidRPr="00001499">
              <w:rPr>
                <w:b/>
                <w:bCs w:val="0"/>
              </w:rPr>
              <w:t>Step 1</w:t>
            </w:r>
          </w:p>
        </w:tc>
      </w:tr>
      <w:tr w:rsidR="009C29A2" w:rsidRPr="00001499" w14:paraId="3CEF16F8" w14:textId="77777777" w:rsidTr="00474E6F">
        <w:tc>
          <w:tcPr>
            <w:tcW w:w="1962" w:type="pct"/>
            <w:vAlign w:val="center"/>
          </w:tcPr>
          <w:p w14:paraId="182D6557" w14:textId="77777777" w:rsidR="009C29A2" w:rsidRPr="00001499" w:rsidRDefault="009C29A2" w:rsidP="00FC7A97">
            <w:pPr>
              <w:pStyle w:val="TableText0"/>
              <w:keepLines/>
              <w:widowControl w:val="0"/>
              <w:rPr>
                <w:rFonts w:ascii="Times" w:hAnsi="Times"/>
              </w:rPr>
            </w:pPr>
            <w:r w:rsidRPr="00001499">
              <w:t>Costs</w:t>
            </w:r>
          </w:p>
        </w:tc>
        <w:tc>
          <w:tcPr>
            <w:tcW w:w="1023" w:type="pct"/>
            <w:vAlign w:val="center"/>
          </w:tcPr>
          <w:p w14:paraId="20956CF6" w14:textId="14F8DD52" w:rsidR="009C29A2" w:rsidRPr="00001499" w:rsidRDefault="009C29A2" w:rsidP="00FC7A97">
            <w:pPr>
              <w:pStyle w:val="TableText0"/>
              <w:keepLines/>
              <w:widowControl w:val="0"/>
              <w:jc w:val="center"/>
              <w:rPr>
                <w:rFonts w:ascii="Times" w:hAnsi="Times"/>
              </w:rPr>
            </w:pPr>
            <w:r w:rsidRPr="00001499">
              <w:rPr>
                <w:rFonts w:cs="Calibri"/>
                <w:color w:val="000000"/>
              </w:rPr>
              <w:t>$</w:t>
            </w:r>
            <w:r w:rsidR="00D76B55" w:rsidRPr="00D76B55">
              <w:rPr>
                <w:rFonts w:cs="Calibri"/>
                <w:color w:val="000000"/>
                <w:shd w:val="solid" w:color="000000" w:fill="000000"/>
                <w14:textFill>
                  <w14:solidFill>
                    <w14:srgbClr w14:val="000000">
                      <w14:alpha w14:val="100000"/>
                    </w14:srgbClr>
                  </w14:solidFill>
                </w14:textFill>
              </w:rPr>
              <w:t>|</w:t>
            </w:r>
          </w:p>
        </w:tc>
        <w:tc>
          <w:tcPr>
            <w:tcW w:w="1021" w:type="pct"/>
            <w:vAlign w:val="center"/>
          </w:tcPr>
          <w:p w14:paraId="1F81CF3E" w14:textId="0867A86D" w:rsidR="009C29A2" w:rsidRPr="00001499" w:rsidRDefault="009C29A2" w:rsidP="00FC7A97">
            <w:pPr>
              <w:pStyle w:val="TableText0"/>
              <w:keepLines/>
              <w:widowControl w:val="0"/>
              <w:jc w:val="center"/>
              <w:rPr>
                <w:rFonts w:ascii="Times" w:hAnsi="Times"/>
              </w:rPr>
            </w:pPr>
            <w:r w:rsidRPr="00001499">
              <w:rPr>
                <w:rFonts w:cs="Calibri"/>
                <w:color w:val="000000"/>
              </w:rPr>
              <w:t>$</w:t>
            </w:r>
            <w:r w:rsidR="00D76B55" w:rsidRPr="00D76B55">
              <w:rPr>
                <w:rFonts w:cs="Calibri"/>
                <w:color w:val="000000"/>
                <w:shd w:val="solid" w:color="000000" w:fill="000000"/>
                <w14:textFill>
                  <w14:solidFill>
                    <w14:srgbClr w14:val="000000">
                      <w14:alpha w14:val="100000"/>
                    </w14:srgbClr>
                  </w14:solidFill>
                </w14:textFill>
              </w:rPr>
              <w:t>|</w:t>
            </w:r>
          </w:p>
        </w:tc>
        <w:tc>
          <w:tcPr>
            <w:tcW w:w="994" w:type="pct"/>
            <w:vAlign w:val="center"/>
          </w:tcPr>
          <w:p w14:paraId="51F84800" w14:textId="10827C9F" w:rsidR="009C29A2" w:rsidRPr="00001499" w:rsidRDefault="009C29A2" w:rsidP="00FC7A97">
            <w:pPr>
              <w:pStyle w:val="TableText0"/>
              <w:keepLines/>
              <w:widowControl w:val="0"/>
              <w:jc w:val="center"/>
              <w:rPr>
                <w:rFonts w:ascii="Times" w:hAnsi="Times"/>
              </w:rPr>
            </w:pPr>
            <w:r w:rsidRPr="00001499">
              <w:rPr>
                <w:rFonts w:cs="Calibri"/>
                <w:color w:val="000000"/>
              </w:rPr>
              <w:t>$</w:t>
            </w:r>
            <w:r w:rsidR="00D76B55" w:rsidRPr="0020701F">
              <w:rPr>
                <w:rFonts w:cs="Calibri" w:hint="eastAsia"/>
                <w:color w:val="000000"/>
                <w:w w:val="15"/>
                <w:shd w:val="solid" w:color="000000" w:fill="000000"/>
                <w:fitText w:val="11" w:id="-1404292852"/>
                <w14:textFill>
                  <w14:solidFill>
                    <w14:srgbClr w14:val="000000">
                      <w14:alpha w14:val="100000"/>
                    </w14:srgbClr>
                  </w14:solidFill>
                </w14:textFill>
              </w:rPr>
              <w:t xml:space="preserve">　</w:t>
            </w:r>
            <w:r w:rsidR="00D76B55" w:rsidRPr="0020701F">
              <w:rPr>
                <w:rFonts w:cs="Calibri"/>
                <w:color w:val="000000"/>
                <w:w w:val="15"/>
                <w:shd w:val="solid" w:color="000000" w:fill="000000"/>
                <w:fitText w:val="11" w:id="-1404292852"/>
                <w14:textFill>
                  <w14:solidFill>
                    <w14:srgbClr w14:val="000000">
                      <w14:alpha w14:val="100000"/>
                    </w14:srgbClr>
                  </w14:solidFill>
                </w14:textFill>
              </w:rPr>
              <w:t>|</w:t>
            </w:r>
            <w:r w:rsidR="00D76B55" w:rsidRPr="0020701F">
              <w:rPr>
                <w:rFonts w:cs="Calibri" w:hint="eastAsia"/>
                <w:color w:val="000000"/>
                <w:spacing w:val="-55"/>
                <w:w w:val="15"/>
                <w:shd w:val="solid" w:color="000000" w:fill="000000"/>
                <w:fitText w:val="11" w:id="-1404292852"/>
                <w14:textFill>
                  <w14:solidFill>
                    <w14:srgbClr w14:val="000000">
                      <w14:alpha w14:val="100000"/>
                    </w14:srgbClr>
                  </w14:solidFill>
                </w14:textFill>
              </w:rPr>
              <w:t xml:space="preserve">　</w:t>
            </w:r>
          </w:p>
        </w:tc>
      </w:tr>
      <w:tr w:rsidR="009C29A2" w:rsidRPr="00001499" w14:paraId="63C240BD" w14:textId="77777777" w:rsidTr="00474E6F">
        <w:tc>
          <w:tcPr>
            <w:tcW w:w="1962" w:type="pct"/>
            <w:vAlign w:val="center"/>
          </w:tcPr>
          <w:p w14:paraId="3B51024F" w14:textId="77777777" w:rsidR="009C29A2" w:rsidRPr="00001499" w:rsidRDefault="009C29A2" w:rsidP="00FC7A97">
            <w:pPr>
              <w:pStyle w:val="TableText0"/>
              <w:keepLines/>
              <w:widowControl w:val="0"/>
              <w:rPr>
                <w:rFonts w:ascii="Times" w:hAnsi="Times"/>
              </w:rPr>
            </w:pPr>
            <w:r w:rsidRPr="00001499">
              <w:t>Influenza cases</w:t>
            </w:r>
          </w:p>
        </w:tc>
        <w:tc>
          <w:tcPr>
            <w:tcW w:w="1023" w:type="pct"/>
            <w:vAlign w:val="center"/>
          </w:tcPr>
          <w:p w14:paraId="2DD25EDA" w14:textId="77777777" w:rsidR="009C29A2" w:rsidRPr="00001499" w:rsidRDefault="009C29A2" w:rsidP="00FC7A97">
            <w:pPr>
              <w:pStyle w:val="TableText0"/>
              <w:keepLines/>
              <w:widowControl w:val="0"/>
              <w:jc w:val="center"/>
              <w:rPr>
                <w:rFonts w:ascii="Times" w:hAnsi="Times"/>
              </w:rPr>
            </w:pPr>
            <w:r w:rsidRPr="00001499">
              <w:rPr>
                <w:rFonts w:cs="Calibri"/>
                <w:color w:val="000000"/>
              </w:rPr>
              <w:t>0.0103</w:t>
            </w:r>
          </w:p>
        </w:tc>
        <w:tc>
          <w:tcPr>
            <w:tcW w:w="1021" w:type="pct"/>
            <w:vAlign w:val="center"/>
          </w:tcPr>
          <w:p w14:paraId="7A8D95FA" w14:textId="77777777" w:rsidR="009C29A2" w:rsidRPr="00001499" w:rsidRDefault="009C29A2" w:rsidP="00FC7A97">
            <w:pPr>
              <w:pStyle w:val="TableText0"/>
              <w:keepLines/>
              <w:widowControl w:val="0"/>
              <w:jc w:val="center"/>
              <w:rPr>
                <w:rFonts w:ascii="Times" w:hAnsi="Times"/>
              </w:rPr>
            </w:pPr>
            <w:r w:rsidRPr="00001499">
              <w:rPr>
                <w:rFonts w:cs="Calibri"/>
                <w:color w:val="000000"/>
              </w:rPr>
              <w:t>0.0118</w:t>
            </w:r>
          </w:p>
        </w:tc>
        <w:tc>
          <w:tcPr>
            <w:tcW w:w="994" w:type="pct"/>
            <w:vAlign w:val="center"/>
          </w:tcPr>
          <w:p w14:paraId="24BF8E49" w14:textId="77777777" w:rsidR="009C29A2" w:rsidRPr="00001499" w:rsidRDefault="009C29A2" w:rsidP="00FC7A97">
            <w:pPr>
              <w:pStyle w:val="TableText0"/>
              <w:keepLines/>
              <w:widowControl w:val="0"/>
              <w:jc w:val="center"/>
            </w:pPr>
            <w:r w:rsidRPr="00001499">
              <w:rPr>
                <w:rFonts w:cs="Calibri"/>
                <w:color w:val="000000"/>
              </w:rPr>
              <w:t>-0.00144</w:t>
            </w:r>
          </w:p>
        </w:tc>
      </w:tr>
      <w:tr w:rsidR="009C29A2" w:rsidRPr="00001499" w14:paraId="7048C7D4" w14:textId="77777777" w:rsidTr="00474E6F">
        <w:tc>
          <w:tcPr>
            <w:tcW w:w="4006" w:type="pct"/>
            <w:gridSpan w:val="3"/>
            <w:vAlign w:val="center"/>
          </w:tcPr>
          <w:p w14:paraId="2E3A71AC" w14:textId="77777777" w:rsidR="009C29A2" w:rsidRPr="00001499" w:rsidRDefault="009C29A2" w:rsidP="00FC7A97">
            <w:pPr>
              <w:pStyle w:val="TableText0"/>
              <w:keepLines/>
              <w:widowControl w:val="0"/>
              <w:rPr>
                <w:rFonts w:ascii="Times" w:hAnsi="Times"/>
              </w:rPr>
            </w:pPr>
            <w:r w:rsidRPr="00001499">
              <w:rPr>
                <w:b/>
              </w:rPr>
              <w:t>Step 1: Incremental cost/influenza case avoided</w:t>
            </w:r>
          </w:p>
        </w:tc>
        <w:tc>
          <w:tcPr>
            <w:tcW w:w="994" w:type="pct"/>
            <w:vAlign w:val="center"/>
          </w:tcPr>
          <w:p w14:paraId="13279340" w14:textId="4BF00BCB" w:rsidR="009C29A2" w:rsidRPr="00A67347" w:rsidRDefault="009C29A2" w:rsidP="00FC7A97">
            <w:pPr>
              <w:pStyle w:val="TableText0"/>
              <w:keepLines/>
              <w:widowControl w:val="0"/>
              <w:jc w:val="center"/>
              <w:rPr>
                <w:rFonts w:ascii="Times" w:hAnsi="Times"/>
                <w:vertAlign w:val="superscript"/>
              </w:rPr>
            </w:pPr>
            <w:r w:rsidRPr="00001499">
              <w:rPr>
                <w:rFonts w:cs="Calibri"/>
                <w:b/>
                <w:bCs w:val="0"/>
                <w:color w:val="000000"/>
              </w:rPr>
              <w:t>$</w:t>
            </w:r>
            <w:r w:rsidR="00D76B55" w:rsidRPr="0020701F">
              <w:rPr>
                <w:rFonts w:cs="Calibri" w:hint="eastAsia"/>
                <w:b/>
                <w:bCs w:val="0"/>
                <w:color w:val="000000"/>
                <w:w w:val="15"/>
                <w:shd w:val="solid" w:color="000000" w:fill="000000"/>
                <w:fitText w:val="11" w:id="-1404292851"/>
                <w14:textFill>
                  <w14:solidFill>
                    <w14:srgbClr w14:val="000000">
                      <w14:alpha w14:val="100000"/>
                    </w14:srgbClr>
                  </w14:solidFill>
                </w14:textFill>
              </w:rPr>
              <w:t xml:space="preserve">　</w:t>
            </w:r>
            <w:r w:rsidR="00D76B55" w:rsidRPr="0020701F">
              <w:rPr>
                <w:rFonts w:cs="Calibri"/>
                <w:b/>
                <w:bCs w:val="0"/>
                <w:color w:val="000000"/>
                <w:w w:val="15"/>
                <w:shd w:val="solid" w:color="000000" w:fill="000000"/>
                <w:fitText w:val="11" w:id="-1404292851"/>
                <w14:textFill>
                  <w14:solidFill>
                    <w14:srgbClr w14:val="000000">
                      <w14:alpha w14:val="100000"/>
                    </w14:srgbClr>
                  </w14:solidFill>
                </w14:textFill>
              </w:rPr>
              <w:t>|</w:t>
            </w:r>
            <w:r w:rsidR="00D76B55" w:rsidRPr="0020701F">
              <w:rPr>
                <w:rFonts w:cs="Calibri" w:hint="eastAsia"/>
                <w:b/>
                <w:bCs w:val="0"/>
                <w:color w:val="000000"/>
                <w:spacing w:val="-55"/>
                <w:w w:val="15"/>
                <w:shd w:val="solid" w:color="000000" w:fill="000000"/>
                <w:fitText w:val="11" w:id="-1404292851"/>
                <w14:textFill>
                  <w14:solidFill>
                    <w14:srgbClr w14:val="000000">
                      <w14:alpha w14:val="100000"/>
                    </w14:srgbClr>
                  </w14:solidFill>
                </w14:textFill>
              </w:rPr>
              <w:t xml:space="preserve">　</w:t>
            </w:r>
            <w:r w:rsidR="003D08C7">
              <w:rPr>
                <w:rFonts w:cs="Calibri"/>
                <w:color w:val="000000"/>
                <w:vertAlign w:val="superscript"/>
              </w:rPr>
              <w:t>1</w:t>
            </w:r>
          </w:p>
        </w:tc>
      </w:tr>
      <w:tr w:rsidR="009C29A2" w:rsidRPr="00001499" w14:paraId="2ABC7FCE" w14:textId="77777777" w:rsidTr="00474E6F">
        <w:tc>
          <w:tcPr>
            <w:tcW w:w="1962" w:type="pct"/>
            <w:vAlign w:val="center"/>
          </w:tcPr>
          <w:p w14:paraId="3326F818" w14:textId="77777777" w:rsidR="009C29A2" w:rsidRPr="00001499" w:rsidRDefault="009C29A2" w:rsidP="00FC7A97">
            <w:pPr>
              <w:pStyle w:val="TableText0"/>
              <w:keepLines/>
              <w:widowControl w:val="0"/>
              <w:rPr>
                <w:rFonts w:ascii="Times" w:hAnsi="Times"/>
              </w:rPr>
            </w:pPr>
            <w:r w:rsidRPr="00001499">
              <w:t>LYG</w:t>
            </w:r>
          </w:p>
        </w:tc>
        <w:tc>
          <w:tcPr>
            <w:tcW w:w="1023" w:type="pct"/>
            <w:vAlign w:val="center"/>
          </w:tcPr>
          <w:p w14:paraId="79086FBB" w14:textId="77777777" w:rsidR="009C29A2" w:rsidRPr="00001499" w:rsidRDefault="009C29A2" w:rsidP="00FC7A97">
            <w:pPr>
              <w:pStyle w:val="TableText0"/>
              <w:keepLines/>
              <w:widowControl w:val="0"/>
              <w:jc w:val="center"/>
              <w:rPr>
                <w:rFonts w:ascii="Times" w:hAnsi="Times"/>
              </w:rPr>
            </w:pPr>
            <w:r w:rsidRPr="00001499">
              <w:rPr>
                <w:rFonts w:cs="Calibri"/>
                <w:color w:val="000000"/>
              </w:rPr>
              <w:t>29.5508</w:t>
            </w:r>
          </w:p>
        </w:tc>
        <w:tc>
          <w:tcPr>
            <w:tcW w:w="1021" w:type="pct"/>
            <w:vAlign w:val="center"/>
          </w:tcPr>
          <w:p w14:paraId="53B34FEB" w14:textId="77777777" w:rsidR="009C29A2" w:rsidRPr="00001499" w:rsidRDefault="009C29A2" w:rsidP="00FC7A97">
            <w:pPr>
              <w:pStyle w:val="TableText0"/>
              <w:keepLines/>
              <w:widowControl w:val="0"/>
              <w:jc w:val="center"/>
              <w:rPr>
                <w:rFonts w:ascii="Times" w:hAnsi="Times"/>
              </w:rPr>
            </w:pPr>
            <w:r w:rsidRPr="00001499">
              <w:rPr>
                <w:rFonts w:cs="Calibri"/>
                <w:color w:val="000000"/>
              </w:rPr>
              <w:t>29.5508</w:t>
            </w:r>
          </w:p>
        </w:tc>
        <w:tc>
          <w:tcPr>
            <w:tcW w:w="994" w:type="pct"/>
            <w:vAlign w:val="center"/>
          </w:tcPr>
          <w:p w14:paraId="210DD54C" w14:textId="77777777" w:rsidR="009C29A2" w:rsidRPr="00001499" w:rsidRDefault="009C29A2" w:rsidP="00FC7A97">
            <w:pPr>
              <w:pStyle w:val="TableText0"/>
              <w:keepLines/>
              <w:widowControl w:val="0"/>
              <w:jc w:val="center"/>
            </w:pPr>
            <w:r w:rsidRPr="00001499">
              <w:rPr>
                <w:rFonts w:cs="Calibri"/>
                <w:color w:val="000000"/>
              </w:rPr>
              <w:t>0.00006</w:t>
            </w:r>
          </w:p>
        </w:tc>
      </w:tr>
      <w:tr w:rsidR="009C29A2" w:rsidRPr="00001499" w14:paraId="3F8308EA" w14:textId="77777777" w:rsidTr="00474E6F">
        <w:tc>
          <w:tcPr>
            <w:tcW w:w="4006" w:type="pct"/>
            <w:gridSpan w:val="3"/>
            <w:vAlign w:val="center"/>
          </w:tcPr>
          <w:p w14:paraId="1C7FC859" w14:textId="58088959" w:rsidR="009C29A2" w:rsidRPr="00001499" w:rsidRDefault="009C29A2" w:rsidP="00FC7A97">
            <w:pPr>
              <w:pStyle w:val="TableText0"/>
              <w:keepLines/>
              <w:widowControl w:val="0"/>
              <w:rPr>
                <w:rFonts w:ascii="Times" w:hAnsi="Times"/>
                <w:b/>
                <w:bCs w:val="0"/>
              </w:rPr>
            </w:pPr>
            <w:r w:rsidRPr="00001499">
              <w:rPr>
                <w:b/>
                <w:bCs w:val="0"/>
              </w:rPr>
              <w:t xml:space="preserve">Step 2: Incremental cost/LYG </w:t>
            </w:r>
          </w:p>
        </w:tc>
        <w:tc>
          <w:tcPr>
            <w:tcW w:w="994" w:type="pct"/>
            <w:vAlign w:val="center"/>
          </w:tcPr>
          <w:p w14:paraId="6D35AEE2" w14:textId="45153A2A" w:rsidR="009C29A2" w:rsidRPr="00A67347" w:rsidRDefault="009C29A2" w:rsidP="00FC7A97">
            <w:pPr>
              <w:pStyle w:val="TableText0"/>
              <w:keepLines/>
              <w:widowControl w:val="0"/>
              <w:jc w:val="center"/>
              <w:rPr>
                <w:rFonts w:ascii="Times" w:hAnsi="Times"/>
                <w:vertAlign w:val="superscript"/>
              </w:rPr>
            </w:pPr>
            <w:r w:rsidRPr="00001499">
              <w:rPr>
                <w:rFonts w:cs="Calibri"/>
                <w:b/>
                <w:bCs w:val="0"/>
                <w:color w:val="000000"/>
              </w:rPr>
              <w:t>$</w:t>
            </w:r>
            <w:r w:rsidR="00D76B55" w:rsidRPr="0020701F">
              <w:rPr>
                <w:rFonts w:cs="Calibri" w:hint="eastAsia"/>
                <w:b/>
                <w:bCs w:val="0"/>
                <w:color w:val="000000"/>
                <w:w w:val="15"/>
                <w:shd w:val="solid" w:color="000000" w:fill="000000"/>
                <w:fitText w:val="11" w:id="-1404292850"/>
                <w14:textFill>
                  <w14:solidFill>
                    <w14:srgbClr w14:val="000000">
                      <w14:alpha w14:val="100000"/>
                    </w14:srgbClr>
                  </w14:solidFill>
                </w14:textFill>
              </w:rPr>
              <w:t xml:space="preserve">　</w:t>
            </w:r>
            <w:r w:rsidR="00D76B55" w:rsidRPr="0020701F">
              <w:rPr>
                <w:rFonts w:cs="Calibri"/>
                <w:b/>
                <w:bCs w:val="0"/>
                <w:color w:val="000000"/>
                <w:w w:val="15"/>
                <w:shd w:val="solid" w:color="000000" w:fill="000000"/>
                <w:fitText w:val="11" w:id="-1404292850"/>
                <w14:textFill>
                  <w14:solidFill>
                    <w14:srgbClr w14:val="000000">
                      <w14:alpha w14:val="100000"/>
                    </w14:srgbClr>
                  </w14:solidFill>
                </w14:textFill>
              </w:rPr>
              <w:t>|</w:t>
            </w:r>
            <w:r w:rsidR="00D76B55" w:rsidRPr="0020701F">
              <w:rPr>
                <w:rFonts w:cs="Calibri" w:hint="eastAsia"/>
                <w:b/>
                <w:bCs w:val="0"/>
                <w:color w:val="000000"/>
                <w:spacing w:val="-55"/>
                <w:w w:val="15"/>
                <w:shd w:val="solid" w:color="000000" w:fill="000000"/>
                <w:fitText w:val="11" w:id="-1404292850"/>
                <w14:textFill>
                  <w14:solidFill>
                    <w14:srgbClr w14:val="000000">
                      <w14:alpha w14:val="100000"/>
                    </w14:srgbClr>
                  </w14:solidFill>
                </w14:textFill>
              </w:rPr>
              <w:t xml:space="preserve">　</w:t>
            </w:r>
            <w:r w:rsidR="003D08C7">
              <w:rPr>
                <w:rFonts w:cs="Calibri"/>
                <w:color w:val="000000"/>
                <w:vertAlign w:val="superscript"/>
              </w:rPr>
              <w:t>7</w:t>
            </w:r>
          </w:p>
        </w:tc>
      </w:tr>
      <w:tr w:rsidR="009C29A2" w:rsidRPr="00001499" w14:paraId="118C26CF" w14:textId="77777777" w:rsidTr="00474E6F">
        <w:tc>
          <w:tcPr>
            <w:tcW w:w="1962" w:type="pct"/>
            <w:vAlign w:val="center"/>
          </w:tcPr>
          <w:p w14:paraId="20F9D9BE" w14:textId="77777777" w:rsidR="009C29A2" w:rsidRPr="00001499" w:rsidRDefault="009C29A2" w:rsidP="00FC7A97">
            <w:pPr>
              <w:pStyle w:val="TableText0"/>
              <w:keepLines/>
              <w:widowControl w:val="0"/>
              <w:rPr>
                <w:rFonts w:ascii="Times" w:hAnsi="Times"/>
              </w:rPr>
            </w:pPr>
            <w:r w:rsidRPr="00001499">
              <w:t>QALYs</w:t>
            </w:r>
          </w:p>
        </w:tc>
        <w:tc>
          <w:tcPr>
            <w:tcW w:w="1023" w:type="pct"/>
            <w:vAlign w:val="center"/>
          </w:tcPr>
          <w:p w14:paraId="2C23149C" w14:textId="77777777" w:rsidR="009C29A2" w:rsidRPr="00001499" w:rsidRDefault="009C29A2" w:rsidP="00FC7A97">
            <w:pPr>
              <w:pStyle w:val="TableText0"/>
              <w:keepLines/>
              <w:widowControl w:val="0"/>
              <w:jc w:val="center"/>
              <w:rPr>
                <w:rFonts w:ascii="Times" w:hAnsi="Times"/>
              </w:rPr>
            </w:pPr>
            <w:r w:rsidRPr="00001499">
              <w:rPr>
                <w:rFonts w:cs="Calibri"/>
                <w:color w:val="000000"/>
              </w:rPr>
              <w:t>27.4460</w:t>
            </w:r>
          </w:p>
        </w:tc>
        <w:tc>
          <w:tcPr>
            <w:tcW w:w="1021" w:type="pct"/>
            <w:vAlign w:val="center"/>
          </w:tcPr>
          <w:p w14:paraId="58DA5C31" w14:textId="77777777" w:rsidR="009C29A2" w:rsidRPr="00001499" w:rsidRDefault="009C29A2" w:rsidP="00FC7A97">
            <w:pPr>
              <w:pStyle w:val="TableText0"/>
              <w:keepLines/>
              <w:widowControl w:val="0"/>
              <w:jc w:val="center"/>
              <w:rPr>
                <w:rFonts w:ascii="Times" w:hAnsi="Times"/>
              </w:rPr>
            </w:pPr>
            <w:r w:rsidRPr="00001499">
              <w:rPr>
                <w:rFonts w:cs="Calibri"/>
                <w:color w:val="000000"/>
              </w:rPr>
              <w:t>27.4459</w:t>
            </w:r>
          </w:p>
        </w:tc>
        <w:tc>
          <w:tcPr>
            <w:tcW w:w="994" w:type="pct"/>
            <w:vAlign w:val="center"/>
          </w:tcPr>
          <w:p w14:paraId="4C0FB47E" w14:textId="77777777" w:rsidR="009C29A2" w:rsidRPr="00001499" w:rsidRDefault="009C29A2" w:rsidP="00FC7A97">
            <w:pPr>
              <w:pStyle w:val="TableText0"/>
              <w:keepLines/>
              <w:widowControl w:val="0"/>
              <w:jc w:val="center"/>
            </w:pPr>
            <w:r w:rsidRPr="00001499">
              <w:rPr>
                <w:rFonts w:cs="Calibri"/>
                <w:color w:val="000000"/>
              </w:rPr>
              <w:t>0.00008</w:t>
            </w:r>
          </w:p>
        </w:tc>
      </w:tr>
      <w:tr w:rsidR="009C29A2" w:rsidRPr="00001499" w14:paraId="4DA19522" w14:textId="77777777" w:rsidTr="00474E6F">
        <w:tc>
          <w:tcPr>
            <w:tcW w:w="4006" w:type="pct"/>
            <w:gridSpan w:val="3"/>
            <w:vAlign w:val="center"/>
          </w:tcPr>
          <w:p w14:paraId="48B98F4B" w14:textId="1E968646" w:rsidR="009C29A2" w:rsidRPr="00001499" w:rsidRDefault="009C29A2" w:rsidP="00FC7A97">
            <w:pPr>
              <w:pStyle w:val="TableText0"/>
              <w:keepLines/>
              <w:widowControl w:val="0"/>
              <w:rPr>
                <w:rFonts w:ascii="Times" w:hAnsi="Times"/>
                <w:b/>
                <w:bCs w:val="0"/>
              </w:rPr>
            </w:pPr>
            <w:r w:rsidRPr="00001499">
              <w:rPr>
                <w:b/>
                <w:bCs w:val="0"/>
              </w:rPr>
              <w:t xml:space="preserve">Step 3: Incremental cost/QALY gained </w:t>
            </w:r>
            <w:r w:rsidR="00BE027F">
              <w:rPr>
                <w:b/>
                <w:bCs w:val="0"/>
                <w:vertAlign w:val="superscript"/>
              </w:rPr>
              <w:t>a</w:t>
            </w:r>
          </w:p>
        </w:tc>
        <w:tc>
          <w:tcPr>
            <w:tcW w:w="994" w:type="pct"/>
            <w:vAlign w:val="center"/>
          </w:tcPr>
          <w:p w14:paraId="11BAFDA6" w14:textId="27F0AA5A" w:rsidR="009C29A2" w:rsidRPr="00A67347" w:rsidRDefault="009C29A2" w:rsidP="00FC7A97">
            <w:pPr>
              <w:pStyle w:val="TableText0"/>
              <w:keepLines/>
              <w:widowControl w:val="0"/>
              <w:jc w:val="center"/>
              <w:rPr>
                <w:rFonts w:ascii="Times" w:hAnsi="Times"/>
                <w:vertAlign w:val="superscript"/>
              </w:rPr>
            </w:pPr>
            <w:r w:rsidRPr="00001499">
              <w:rPr>
                <w:rFonts w:cs="Calibri"/>
                <w:b/>
                <w:bCs w:val="0"/>
                <w:color w:val="000000"/>
              </w:rPr>
              <w:t>$</w:t>
            </w:r>
            <w:r w:rsidR="00D76B55" w:rsidRPr="0020701F">
              <w:rPr>
                <w:rFonts w:cs="Calibri" w:hint="eastAsia"/>
                <w:b/>
                <w:bCs w:val="0"/>
                <w:color w:val="000000"/>
                <w:w w:val="15"/>
                <w:shd w:val="solid" w:color="000000" w:fill="000000"/>
                <w:fitText w:val="11" w:id="-1404292849"/>
                <w14:textFill>
                  <w14:solidFill>
                    <w14:srgbClr w14:val="000000">
                      <w14:alpha w14:val="100000"/>
                    </w14:srgbClr>
                  </w14:solidFill>
                </w14:textFill>
              </w:rPr>
              <w:t xml:space="preserve">　</w:t>
            </w:r>
            <w:r w:rsidR="00D76B55" w:rsidRPr="0020701F">
              <w:rPr>
                <w:rFonts w:cs="Calibri"/>
                <w:b/>
                <w:bCs w:val="0"/>
                <w:color w:val="000000"/>
                <w:w w:val="15"/>
                <w:shd w:val="solid" w:color="000000" w:fill="000000"/>
                <w:fitText w:val="11" w:id="-1404292849"/>
                <w14:textFill>
                  <w14:solidFill>
                    <w14:srgbClr w14:val="000000">
                      <w14:alpha w14:val="100000"/>
                    </w14:srgbClr>
                  </w14:solidFill>
                </w14:textFill>
              </w:rPr>
              <w:t>|</w:t>
            </w:r>
            <w:r w:rsidR="00D76B55" w:rsidRPr="0020701F">
              <w:rPr>
                <w:rFonts w:cs="Calibri" w:hint="eastAsia"/>
                <w:b/>
                <w:bCs w:val="0"/>
                <w:color w:val="000000"/>
                <w:spacing w:val="-55"/>
                <w:w w:val="15"/>
                <w:shd w:val="solid" w:color="000000" w:fill="000000"/>
                <w:fitText w:val="11" w:id="-1404292849"/>
                <w14:textFill>
                  <w14:solidFill>
                    <w14:srgbClr w14:val="000000">
                      <w14:alpha w14:val="100000"/>
                    </w14:srgbClr>
                  </w14:solidFill>
                </w14:textFill>
              </w:rPr>
              <w:t xml:space="preserve">　</w:t>
            </w:r>
            <w:r w:rsidR="003D08C7">
              <w:rPr>
                <w:rFonts w:cs="Calibri"/>
                <w:color w:val="000000"/>
                <w:vertAlign w:val="superscript"/>
              </w:rPr>
              <w:t>7</w:t>
            </w:r>
          </w:p>
        </w:tc>
      </w:tr>
      <w:tr w:rsidR="009C29A2" w:rsidRPr="00001499" w14:paraId="6C8ABD67" w14:textId="77777777" w:rsidTr="00474E6F">
        <w:tc>
          <w:tcPr>
            <w:tcW w:w="4006" w:type="pct"/>
            <w:gridSpan w:val="3"/>
            <w:vAlign w:val="center"/>
          </w:tcPr>
          <w:p w14:paraId="4AE30C4C" w14:textId="77777777" w:rsidR="009C29A2" w:rsidRPr="00001499" w:rsidRDefault="009C29A2" w:rsidP="00FC7A97">
            <w:pPr>
              <w:pStyle w:val="TableText0"/>
              <w:keepLines/>
              <w:widowControl w:val="0"/>
            </w:pPr>
          </w:p>
        </w:tc>
        <w:tc>
          <w:tcPr>
            <w:tcW w:w="994" w:type="pct"/>
            <w:vAlign w:val="center"/>
          </w:tcPr>
          <w:p w14:paraId="035B9C60" w14:textId="77777777" w:rsidR="009C29A2" w:rsidRPr="00001499" w:rsidRDefault="009C29A2" w:rsidP="00FC7A97">
            <w:pPr>
              <w:pStyle w:val="TableText0"/>
              <w:keepLines/>
              <w:widowControl w:val="0"/>
              <w:jc w:val="center"/>
            </w:pPr>
          </w:p>
        </w:tc>
      </w:tr>
      <w:tr w:rsidR="009C29A2" w:rsidRPr="00001499" w14:paraId="095ABA94" w14:textId="77777777" w:rsidTr="00474E6F">
        <w:tc>
          <w:tcPr>
            <w:tcW w:w="1962" w:type="pct"/>
            <w:vAlign w:val="center"/>
          </w:tcPr>
          <w:p w14:paraId="219110E8" w14:textId="0FA9DCE3" w:rsidR="009C29A2" w:rsidRPr="00001499" w:rsidRDefault="009C29A2" w:rsidP="00FC7A97">
            <w:pPr>
              <w:pStyle w:val="In-tableHeading"/>
              <w:keepLines/>
              <w:widowControl w:val="0"/>
              <w:rPr>
                <w:lang w:val="en-AU"/>
              </w:rPr>
            </w:pPr>
            <w:r w:rsidRPr="00001499">
              <w:rPr>
                <w:lang w:val="en-AU"/>
              </w:rPr>
              <w:t xml:space="preserve">NIP population </w:t>
            </w:r>
            <w:r w:rsidR="00BE027F">
              <w:rPr>
                <w:vertAlign w:val="superscript"/>
                <w:lang w:val="en-AU"/>
              </w:rPr>
              <w:t>b</w:t>
            </w:r>
          </w:p>
        </w:tc>
        <w:tc>
          <w:tcPr>
            <w:tcW w:w="1023" w:type="pct"/>
            <w:vAlign w:val="center"/>
          </w:tcPr>
          <w:p w14:paraId="55424AC1" w14:textId="77777777" w:rsidR="009C29A2" w:rsidRPr="00001499" w:rsidRDefault="009C29A2" w:rsidP="00FC7A97">
            <w:pPr>
              <w:pStyle w:val="In-tableHeading"/>
              <w:keepLines/>
              <w:widowControl w:val="0"/>
              <w:jc w:val="center"/>
              <w:rPr>
                <w:lang w:val="en-AU"/>
              </w:rPr>
            </w:pPr>
          </w:p>
        </w:tc>
        <w:tc>
          <w:tcPr>
            <w:tcW w:w="1021" w:type="pct"/>
            <w:vAlign w:val="center"/>
          </w:tcPr>
          <w:p w14:paraId="6B3AA9F9" w14:textId="77777777" w:rsidR="009C29A2" w:rsidRPr="00001499" w:rsidRDefault="009C29A2" w:rsidP="00FC7A97">
            <w:pPr>
              <w:pStyle w:val="In-tableHeading"/>
              <w:keepLines/>
              <w:widowControl w:val="0"/>
              <w:jc w:val="center"/>
              <w:rPr>
                <w:lang w:val="en-AU"/>
              </w:rPr>
            </w:pPr>
          </w:p>
        </w:tc>
        <w:tc>
          <w:tcPr>
            <w:tcW w:w="994" w:type="pct"/>
            <w:vAlign w:val="center"/>
          </w:tcPr>
          <w:p w14:paraId="4497A9D2" w14:textId="77777777" w:rsidR="009C29A2" w:rsidRPr="00001499" w:rsidRDefault="009C29A2" w:rsidP="00FC7A97">
            <w:pPr>
              <w:pStyle w:val="In-tableHeading"/>
              <w:keepLines/>
              <w:widowControl w:val="0"/>
              <w:jc w:val="center"/>
              <w:rPr>
                <w:lang w:val="en-AU"/>
              </w:rPr>
            </w:pPr>
          </w:p>
        </w:tc>
      </w:tr>
      <w:tr w:rsidR="009C29A2" w:rsidRPr="00001499" w14:paraId="6EE82A4A" w14:textId="77777777" w:rsidTr="00474E6F">
        <w:tc>
          <w:tcPr>
            <w:tcW w:w="1962" w:type="pct"/>
            <w:vAlign w:val="center"/>
          </w:tcPr>
          <w:p w14:paraId="78B478B5" w14:textId="77777777" w:rsidR="009C29A2" w:rsidRPr="00001499" w:rsidRDefault="009C29A2" w:rsidP="00FC7A97">
            <w:pPr>
              <w:pStyle w:val="TableText0"/>
              <w:keepLines/>
              <w:widowControl w:val="0"/>
              <w:rPr>
                <w:rFonts w:ascii="Times" w:hAnsi="Times"/>
              </w:rPr>
            </w:pPr>
            <w:r w:rsidRPr="00001499">
              <w:t>Costs</w:t>
            </w:r>
          </w:p>
        </w:tc>
        <w:tc>
          <w:tcPr>
            <w:tcW w:w="1023" w:type="pct"/>
          </w:tcPr>
          <w:p w14:paraId="3E87B9C1" w14:textId="5982F3D7" w:rsidR="009C29A2" w:rsidRPr="00001499" w:rsidRDefault="009C29A2" w:rsidP="00FC7A97">
            <w:pPr>
              <w:pStyle w:val="TableText0"/>
              <w:keepLines/>
              <w:widowControl w:val="0"/>
              <w:jc w:val="center"/>
              <w:rPr>
                <w:rFonts w:ascii="Times" w:hAnsi="Times"/>
              </w:rPr>
            </w:pPr>
            <w:r w:rsidRPr="00001499">
              <w:t xml:space="preserve"> $</w:t>
            </w:r>
            <w:r w:rsidR="00D76B55" w:rsidRPr="00D76B55">
              <w:rPr>
                <w:color w:val="000000"/>
                <w:shd w:val="solid" w:color="000000" w:fill="000000"/>
                <w14:textFill>
                  <w14:solidFill>
                    <w14:srgbClr w14:val="000000">
                      <w14:alpha w14:val="100000"/>
                    </w14:srgbClr>
                  </w14:solidFill>
                </w14:textFill>
              </w:rPr>
              <w:t>|</w:t>
            </w:r>
            <w:r w:rsidRPr="00001499">
              <w:t xml:space="preserve"> </w:t>
            </w:r>
          </w:p>
        </w:tc>
        <w:tc>
          <w:tcPr>
            <w:tcW w:w="1021" w:type="pct"/>
          </w:tcPr>
          <w:p w14:paraId="77EE00A5" w14:textId="45BCBFD9" w:rsidR="009C29A2" w:rsidRPr="00001499" w:rsidRDefault="009C29A2" w:rsidP="00FC7A97">
            <w:pPr>
              <w:pStyle w:val="TableText0"/>
              <w:keepLines/>
              <w:widowControl w:val="0"/>
              <w:jc w:val="center"/>
              <w:rPr>
                <w:rFonts w:ascii="Times" w:hAnsi="Times"/>
              </w:rPr>
            </w:pPr>
            <w:r w:rsidRPr="00001499">
              <w:t>$</w:t>
            </w:r>
            <w:r w:rsidR="00D76B55" w:rsidRPr="00D76B55">
              <w:rPr>
                <w:color w:val="000000"/>
                <w:shd w:val="solid" w:color="000000" w:fill="000000"/>
                <w14:textFill>
                  <w14:solidFill>
                    <w14:srgbClr w14:val="000000">
                      <w14:alpha w14:val="100000"/>
                    </w14:srgbClr>
                  </w14:solidFill>
                </w14:textFill>
              </w:rPr>
              <w:t>|</w:t>
            </w:r>
            <w:r w:rsidRPr="00001499">
              <w:t xml:space="preserve"> </w:t>
            </w:r>
          </w:p>
        </w:tc>
        <w:tc>
          <w:tcPr>
            <w:tcW w:w="994" w:type="pct"/>
          </w:tcPr>
          <w:p w14:paraId="009BAA7D" w14:textId="6CF8C458" w:rsidR="009C29A2" w:rsidRPr="00001499" w:rsidRDefault="009C29A2" w:rsidP="00FC7A97">
            <w:pPr>
              <w:pStyle w:val="TableText0"/>
              <w:keepLines/>
              <w:widowControl w:val="0"/>
              <w:jc w:val="center"/>
              <w:rPr>
                <w:rFonts w:ascii="Times" w:hAnsi="Times"/>
              </w:rPr>
            </w:pPr>
            <w:r w:rsidRPr="00001499">
              <w:t xml:space="preserve"> $</w:t>
            </w:r>
            <w:r w:rsidR="00D76B55" w:rsidRPr="00D76B55">
              <w:rPr>
                <w:rFonts w:hint="eastAsia"/>
                <w:color w:val="000000"/>
                <w:w w:val="15"/>
                <w:shd w:val="solid" w:color="000000" w:fill="000000"/>
                <w:fitText w:val="33" w:id="-1404292848"/>
                <w14:textFill>
                  <w14:solidFill>
                    <w14:srgbClr w14:val="000000">
                      <w14:alpha w14:val="100000"/>
                    </w14:srgbClr>
                  </w14:solidFill>
                </w14:textFill>
              </w:rPr>
              <w:t xml:space="preserve">　</w:t>
            </w:r>
            <w:r w:rsidR="00D76B55" w:rsidRPr="00D76B55">
              <w:rPr>
                <w:color w:val="000000"/>
                <w:w w:val="15"/>
                <w:shd w:val="solid" w:color="000000" w:fill="000000"/>
                <w:fitText w:val="33" w:id="-1404292848"/>
                <w14:textFill>
                  <w14:solidFill>
                    <w14:srgbClr w14:val="000000">
                      <w14:alpha w14:val="100000"/>
                    </w14:srgbClr>
                  </w14:solidFill>
                </w14:textFill>
              </w:rPr>
              <w:t>|</w:t>
            </w:r>
            <w:r w:rsidR="00D76B55" w:rsidRPr="00D76B55">
              <w:rPr>
                <w:rFonts w:hint="eastAsia"/>
                <w:color w:val="000000"/>
                <w:spacing w:val="-32"/>
                <w:w w:val="15"/>
                <w:shd w:val="solid" w:color="000000" w:fill="000000"/>
                <w:fitText w:val="33" w:id="-1404292848"/>
                <w14:textFill>
                  <w14:solidFill>
                    <w14:srgbClr w14:val="000000">
                      <w14:alpha w14:val="100000"/>
                    </w14:srgbClr>
                  </w14:solidFill>
                </w14:textFill>
              </w:rPr>
              <w:t xml:space="preserve">　</w:t>
            </w:r>
            <w:r w:rsidRPr="00001499">
              <w:t xml:space="preserve"> </w:t>
            </w:r>
          </w:p>
        </w:tc>
      </w:tr>
      <w:tr w:rsidR="009C29A2" w:rsidRPr="00001499" w14:paraId="04432A9F" w14:textId="77777777" w:rsidTr="00474E6F">
        <w:tc>
          <w:tcPr>
            <w:tcW w:w="1962" w:type="pct"/>
            <w:vAlign w:val="center"/>
          </w:tcPr>
          <w:p w14:paraId="5BAB5184" w14:textId="77777777" w:rsidR="009C29A2" w:rsidRPr="00001499" w:rsidRDefault="009C29A2" w:rsidP="00FC7A97">
            <w:pPr>
              <w:pStyle w:val="TableText0"/>
              <w:keepLines/>
              <w:widowControl w:val="0"/>
              <w:rPr>
                <w:rFonts w:ascii="Times" w:hAnsi="Times"/>
              </w:rPr>
            </w:pPr>
            <w:r w:rsidRPr="00001499">
              <w:t>Influenza cases</w:t>
            </w:r>
          </w:p>
        </w:tc>
        <w:tc>
          <w:tcPr>
            <w:tcW w:w="1023" w:type="pct"/>
          </w:tcPr>
          <w:p w14:paraId="56632B44" w14:textId="77777777" w:rsidR="009C29A2" w:rsidRPr="00001499" w:rsidRDefault="009C29A2" w:rsidP="00FC7A97">
            <w:pPr>
              <w:pStyle w:val="TableText0"/>
              <w:keepLines/>
              <w:widowControl w:val="0"/>
              <w:jc w:val="center"/>
              <w:rPr>
                <w:rFonts w:ascii="Times" w:hAnsi="Times"/>
              </w:rPr>
            </w:pPr>
            <w:r w:rsidRPr="00001499">
              <w:t xml:space="preserve"> 0.00587 </w:t>
            </w:r>
          </w:p>
        </w:tc>
        <w:tc>
          <w:tcPr>
            <w:tcW w:w="1021" w:type="pct"/>
          </w:tcPr>
          <w:p w14:paraId="357FA246" w14:textId="77777777" w:rsidR="009C29A2" w:rsidRPr="00001499" w:rsidRDefault="009C29A2" w:rsidP="00FC7A97">
            <w:pPr>
              <w:pStyle w:val="TableText0"/>
              <w:keepLines/>
              <w:widowControl w:val="0"/>
              <w:jc w:val="center"/>
              <w:rPr>
                <w:rFonts w:ascii="Times" w:hAnsi="Times"/>
              </w:rPr>
            </w:pPr>
            <w:r w:rsidRPr="00001499">
              <w:t xml:space="preserve"> 0.00669 </w:t>
            </w:r>
          </w:p>
        </w:tc>
        <w:tc>
          <w:tcPr>
            <w:tcW w:w="994" w:type="pct"/>
          </w:tcPr>
          <w:p w14:paraId="7C8137B6" w14:textId="77777777" w:rsidR="009C29A2" w:rsidRPr="00001499" w:rsidRDefault="009C29A2" w:rsidP="00FC7A97">
            <w:pPr>
              <w:pStyle w:val="TableText0"/>
              <w:keepLines/>
              <w:widowControl w:val="0"/>
              <w:jc w:val="center"/>
            </w:pPr>
            <w:r w:rsidRPr="00001499">
              <w:t xml:space="preserve">-0.00082 </w:t>
            </w:r>
          </w:p>
        </w:tc>
      </w:tr>
      <w:tr w:rsidR="009C29A2" w:rsidRPr="00001499" w14:paraId="3DC8A4C4" w14:textId="77777777" w:rsidTr="00474E6F">
        <w:tc>
          <w:tcPr>
            <w:tcW w:w="4006" w:type="pct"/>
            <w:gridSpan w:val="3"/>
            <w:vAlign w:val="center"/>
          </w:tcPr>
          <w:p w14:paraId="1FC6BFA6" w14:textId="77777777" w:rsidR="009C29A2" w:rsidRPr="00001499" w:rsidRDefault="009C29A2" w:rsidP="00FC7A97">
            <w:pPr>
              <w:pStyle w:val="TableText0"/>
              <w:keepLines/>
              <w:widowControl w:val="0"/>
              <w:rPr>
                <w:rFonts w:ascii="Times" w:hAnsi="Times"/>
              </w:rPr>
            </w:pPr>
            <w:r w:rsidRPr="00001499">
              <w:rPr>
                <w:b/>
              </w:rPr>
              <w:t>Step 1: Incremental cost/influenza case avoided</w:t>
            </w:r>
          </w:p>
        </w:tc>
        <w:tc>
          <w:tcPr>
            <w:tcW w:w="994" w:type="pct"/>
            <w:vAlign w:val="center"/>
          </w:tcPr>
          <w:p w14:paraId="26B30B63" w14:textId="0002F1A8" w:rsidR="009C29A2" w:rsidRPr="00A67347" w:rsidRDefault="009C29A2" w:rsidP="00FC7A97">
            <w:pPr>
              <w:pStyle w:val="TableText0"/>
              <w:keepLines/>
              <w:widowControl w:val="0"/>
              <w:jc w:val="center"/>
              <w:rPr>
                <w:rFonts w:ascii="Times" w:hAnsi="Times"/>
                <w:vertAlign w:val="superscript"/>
              </w:rPr>
            </w:pPr>
            <w:r w:rsidRPr="00001499">
              <w:rPr>
                <w:b/>
                <w:bCs w:val="0"/>
              </w:rPr>
              <w:t>$</w:t>
            </w:r>
            <w:r w:rsidR="00D76B55" w:rsidRPr="0020701F">
              <w:rPr>
                <w:rFonts w:hint="eastAsia"/>
                <w:b/>
                <w:bCs w:val="0"/>
                <w:color w:val="000000"/>
                <w:w w:val="15"/>
                <w:shd w:val="solid" w:color="000000" w:fill="000000"/>
                <w:fitText w:val="11" w:id="-1404292864"/>
                <w14:textFill>
                  <w14:solidFill>
                    <w14:srgbClr w14:val="000000">
                      <w14:alpha w14:val="100000"/>
                    </w14:srgbClr>
                  </w14:solidFill>
                </w14:textFill>
              </w:rPr>
              <w:t xml:space="preserve">　</w:t>
            </w:r>
            <w:r w:rsidR="00D76B55" w:rsidRPr="0020701F">
              <w:rPr>
                <w:b/>
                <w:bCs w:val="0"/>
                <w:color w:val="000000"/>
                <w:w w:val="15"/>
                <w:shd w:val="solid" w:color="000000" w:fill="000000"/>
                <w:fitText w:val="11" w:id="-1404292864"/>
                <w14:textFill>
                  <w14:solidFill>
                    <w14:srgbClr w14:val="000000">
                      <w14:alpha w14:val="100000"/>
                    </w14:srgbClr>
                  </w14:solidFill>
                </w14:textFill>
              </w:rPr>
              <w:t>|</w:t>
            </w:r>
            <w:r w:rsidR="00D76B55" w:rsidRPr="0020701F">
              <w:rPr>
                <w:rFonts w:hint="eastAsia"/>
                <w:b/>
                <w:bCs w:val="0"/>
                <w:color w:val="000000"/>
                <w:spacing w:val="-55"/>
                <w:w w:val="15"/>
                <w:shd w:val="solid" w:color="000000" w:fill="000000"/>
                <w:fitText w:val="11" w:id="-1404292864"/>
                <w14:textFill>
                  <w14:solidFill>
                    <w14:srgbClr w14:val="000000">
                      <w14:alpha w14:val="100000"/>
                    </w14:srgbClr>
                  </w14:solidFill>
                </w14:textFill>
              </w:rPr>
              <w:t xml:space="preserve">　</w:t>
            </w:r>
            <w:r w:rsidR="00B03D1F">
              <w:rPr>
                <w:vertAlign w:val="superscript"/>
              </w:rPr>
              <w:t>5</w:t>
            </w:r>
          </w:p>
        </w:tc>
      </w:tr>
      <w:tr w:rsidR="009C29A2" w:rsidRPr="00001499" w14:paraId="29020C41" w14:textId="77777777" w:rsidTr="00474E6F">
        <w:tc>
          <w:tcPr>
            <w:tcW w:w="1962" w:type="pct"/>
            <w:vAlign w:val="center"/>
          </w:tcPr>
          <w:p w14:paraId="5565B7D6" w14:textId="77777777" w:rsidR="009C29A2" w:rsidRPr="00001499" w:rsidRDefault="009C29A2" w:rsidP="00FC7A97">
            <w:pPr>
              <w:pStyle w:val="TableText0"/>
              <w:keepLines/>
              <w:widowControl w:val="0"/>
              <w:rPr>
                <w:rFonts w:ascii="Times" w:hAnsi="Times"/>
              </w:rPr>
            </w:pPr>
            <w:r w:rsidRPr="00001499">
              <w:t>LYG</w:t>
            </w:r>
          </w:p>
        </w:tc>
        <w:tc>
          <w:tcPr>
            <w:tcW w:w="1023" w:type="pct"/>
          </w:tcPr>
          <w:p w14:paraId="3A4A7545" w14:textId="77777777" w:rsidR="009C29A2" w:rsidRPr="00001499" w:rsidRDefault="009C29A2" w:rsidP="00FC7A97">
            <w:pPr>
              <w:pStyle w:val="TableText0"/>
              <w:keepLines/>
              <w:widowControl w:val="0"/>
              <w:jc w:val="center"/>
              <w:rPr>
                <w:rFonts w:ascii="Times" w:hAnsi="Times"/>
              </w:rPr>
            </w:pPr>
            <w:r w:rsidRPr="00001499">
              <w:t xml:space="preserve"> 18.42 </w:t>
            </w:r>
          </w:p>
        </w:tc>
        <w:tc>
          <w:tcPr>
            <w:tcW w:w="1021" w:type="pct"/>
          </w:tcPr>
          <w:p w14:paraId="55819A74" w14:textId="77777777" w:rsidR="009C29A2" w:rsidRPr="00001499" w:rsidRDefault="009C29A2" w:rsidP="00FC7A97">
            <w:pPr>
              <w:pStyle w:val="TableText0"/>
              <w:keepLines/>
              <w:widowControl w:val="0"/>
              <w:jc w:val="center"/>
              <w:rPr>
                <w:rFonts w:ascii="Times" w:hAnsi="Times"/>
              </w:rPr>
            </w:pPr>
            <w:r w:rsidRPr="00001499">
              <w:t xml:space="preserve"> 18.42 </w:t>
            </w:r>
          </w:p>
        </w:tc>
        <w:tc>
          <w:tcPr>
            <w:tcW w:w="994" w:type="pct"/>
          </w:tcPr>
          <w:p w14:paraId="680F2B6E" w14:textId="77777777" w:rsidR="009C29A2" w:rsidRPr="00001499" w:rsidRDefault="009C29A2" w:rsidP="00FC7A97">
            <w:pPr>
              <w:pStyle w:val="TableText0"/>
              <w:keepLines/>
              <w:widowControl w:val="0"/>
              <w:jc w:val="center"/>
            </w:pPr>
            <w:r w:rsidRPr="00001499">
              <w:t xml:space="preserve"> 0.000121 </w:t>
            </w:r>
          </w:p>
        </w:tc>
      </w:tr>
      <w:tr w:rsidR="009C29A2" w:rsidRPr="00001499" w14:paraId="13BC3B13" w14:textId="77777777" w:rsidTr="00474E6F">
        <w:tc>
          <w:tcPr>
            <w:tcW w:w="4006" w:type="pct"/>
            <w:gridSpan w:val="3"/>
            <w:vAlign w:val="center"/>
          </w:tcPr>
          <w:p w14:paraId="4E9CE5AA" w14:textId="6415665B" w:rsidR="009C29A2" w:rsidRPr="00001499" w:rsidRDefault="009C29A2" w:rsidP="00FC7A97">
            <w:pPr>
              <w:pStyle w:val="TableText0"/>
              <w:keepLines/>
              <w:widowControl w:val="0"/>
              <w:rPr>
                <w:rFonts w:ascii="Times" w:hAnsi="Times"/>
                <w:b/>
                <w:bCs w:val="0"/>
              </w:rPr>
            </w:pPr>
            <w:r w:rsidRPr="00001499">
              <w:rPr>
                <w:b/>
                <w:bCs w:val="0"/>
              </w:rPr>
              <w:t xml:space="preserve">Step 2: Incremental cost/LYG </w:t>
            </w:r>
          </w:p>
        </w:tc>
        <w:tc>
          <w:tcPr>
            <w:tcW w:w="994" w:type="pct"/>
            <w:vAlign w:val="center"/>
          </w:tcPr>
          <w:p w14:paraId="7423929B" w14:textId="68C56656" w:rsidR="009C29A2" w:rsidRPr="00A67347" w:rsidRDefault="009C29A2" w:rsidP="00FC7A97">
            <w:pPr>
              <w:pStyle w:val="TableText0"/>
              <w:keepLines/>
              <w:widowControl w:val="0"/>
              <w:jc w:val="center"/>
              <w:rPr>
                <w:rFonts w:ascii="Times" w:hAnsi="Times"/>
                <w:vertAlign w:val="superscript"/>
              </w:rPr>
            </w:pPr>
            <w:r w:rsidRPr="00001499">
              <w:rPr>
                <w:b/>
                <w:bCs w:val="0"/>
              </w:rPr>
              <w:t>$</w:t>
            </w:r>
            <w:r w:rsidR="00D76B55" w:rsidRPr="0020701F">
              <w:rPr>
                <w:rFonts w:hint="eastAsia"/>
                <w:b/>
                <w:bCs w:val="0"/>
                <w:color w:val="000000"/>
                <w:w w:val="15"/>
                <w:shd w:val="solid" w:color="000000" w:fill="000000"/>
                <w:fitText w:val="11" w:id="-1404292863"/>
                <w14:textFill>
                  <w14:solidFill>
                    <w14:srgbClr w14:val="000000">
                      <w14:alpha w14:val="100000"/>
                    </w14:srgbClr>
                  </w14:solidFill>
                </w14:textFill>
              </w:rPr>
              <w:t xml:space="preserve">　</w:t>
            </w:r>
            <w:r w:rsidR="00D76B55" w:rsidRPr="0020701F">
              <w:rPr>
                <w:b/>
                <w:bCs w:val="0"/>
                <w:color w:val="000000"/>
                <w:w w:val="15"/>
                <w:shd w:val="solid" w:color="000000" w:fill="000000"/>
                <w:fitText w:val="11" w:id="-1404292863"/>
                <w14:textFill>
                  <w14:solidFill>
                    <w14:srgbClr w14:val="000000">
                      <w14:alpha w14:val="100000"/>
                    </w14:srgbClr>
                  </w14:solidFill>
                </w14:textFill>
              </w:rPr>
              <w:t>|</w:t>
            </w:r>
            <w:r w:rsidR="00D76B55" w:rsidRPr="0020701F">
              <w:rPr>
                <w:rFonts w:hint="eastAsia"/>
                <w:b/>
                <w:bCs w:val="0"/>
                <w:color w:val="000000"/>
                <w:spacing w:val="-55"/>
                <w:w w:val="15"/>
                <w:shd w:val="solid" w:color="000000" w:fill="000000"/>
                <w:fitText w:val="11" w:id="-1404292863"/>
                <w14:textFill>
                  <w14:solidFill>
                    <w14:srgbClr w14:val="000000">
                      <w14:alpha w14:val="100000"/>
                    </w14:srgbClr>
                  </w14:solidFill>
                </w14:textFill>
              </w:rPr>
              <w:t xml:space="preserve">　</w:t>
            </w:r>
            <w:r w:rsidR="00C55C64">
              <w:rPr>
                <w:vertAlign w:val="superscript"/>
              </w:rPr>
              <w:t>6</w:t>
            </w:r>
          </w:p>
        </w:tc>
      </w:tr>
      <w:tr w:rsidR="009C29A2" w:rsidRPr="00001499" w14:paraId="1D4D7F71" w14:textId="77777777" w:rsidTr="00474E6F">
        <w:tc>
          <w:tcPr>
            <w:tcW w:w="1962" w:type="pct"/>
            <w:vAlign w:val="center"/>
          </w:tcPr>
          <w:p w14:paraId="3732F7A2" w14:textId="77777777" w:rsidR="009C29A2" w:rsidRPr="00001499" w:rsidRDefault="009C29A2" w:rsidP="00FC7A97">
            <w:pPr>
              <w:pStyle w:val="TableText0"/>
              <w:keepLines/>
              <w:widowControl w:val="0"/>
              <w:rPr>
                <w:rFonts w:ascii="Times" w:hAnsi="Times"/>
              </w:rPr>
            </w:pPr>
            <w:r w:rsidRPr="00001499">
              <w:t>QALYs</w:t>
            </w:r>
          </w:p>
        </w:tc>
        <w:tc>
          <w:tcPr>
            <w:tcW w:w="1023" w:type="pct"/>
          </w:tcPr>
          <w:p w14:paraId="3952D061" w14:textId="77777777" w:rsidR="009C29A2" w:rsidRPr="00001499" w:rsidRDefault="009C29A2" w:rsidP="00FC7A97">
            <w:pPr>
              <w:pStyle w:val="TableText0"/>
              <w:keepLines/>
              <w:widowControl w:val="0"/>
              <w:jc w:val="center"/>
              <w:rPr>
                <w:rFonts w:ascii="Times" w:hAnsi="Times"/>
              </w:rPr>
            </w:pPr>
            <w:r w:rsidRPr="00001499">
              <w:t xml:space="preserve"> 16.75 </w:t>
            </w:r>
          </w:p>
        </w:tc>
        <w:tc>
          <w:tcPr>
            <w:tcW w:w="1021" w:type="pct"/>
          </w:tcPr>
          <w:p w14:paraId="3910DA80" w14:textId="77777777" w:rsidR="009C29A2" w:rsidRPr="00001499" w:rsidRDefault="009C29A2" w:rsidP="00FC7A97">
            <w:pPr>
              <w:pStyle w:val="TableText0"/>
              <w:keepLines/>
              <w:widowControl w:val="0"/>
              <w:jc w:val="center"/>
              <w:rPr>
                <w:rFonts w:ascii="Times" w:hAnsi="Times"/>
              </w:rPr>
            </w:pPr>
            <w:r w:rsidRPr="00001499">
              <w:t xml:space="preserve"> 16.75 </w:t>
            </w:r>
          </w:p>
        </w:tc>
        <w:tc>
          <w:tcPr>
            <w:tcW w:w="994" w:type="pct"/>
          </w:tcPr>
          <w:p w14:paraId="569B425B" w14:textId="77777777" w:rsidR="009C29A2" w:rsidRPr="00001499" w:rsidRDefault="009C29A2" w:rsidP="00FC7A97">
            <w:pPr>
              <w:pStyle w:val="TableText0"/>
              <w:keepLines/>
              <w:widowControl w:val="0"/>
              <w:jc w:val="center"/>
            </w:pPr>
            <w:r w:rsidRPr="00001499">
              <w:t xml:space="preserve"> 0.000116 </w:t>
            </w:r>
          </w:p>
        </w:tc>
      </w:tr>
      <w:tr w:rsidR="009C29A2" w:rsidRPr="00001499" w14:paraId="2D21F536" w14:textId="77777777" w:rsidTr="00474E6F">
        <w:tc>
          <w:tcPr>
            <w:tcW w:w="4006" w:type="pct"/>
            <w:gridSpan w:val="3"/>
            <w:vAlign w:val="center"/>
          </w:tcPr>
          <w:p w14:paraId="411ED87C" w14:textId="5DD5A547" w:rsidR="009C29A2" w:rsidRPr="00001499" w:rsidRDefault="009C29A2" w:rsidP="00FC7A97">
            <w:pPr>
              <w:pStyle w:val="TableText0"/>
              <w:keepLines/>
              <w:widowControl w:val="0"/>
              <w:rPr>
                <w:rFonts w:ascii="Times" w:hAnsi="Times"/>
                <w:b/>
                <w:bCs w:val="0"/>
              </w:rPr>
            </w:pPr>
            <w:r w:rsidRPr="00001499">
              <w:rPr>
                <w:b/>
                <w:bCs w:val="0"/>
              </w:rPr>
              <w:t>Step 3: Incremental cost/QALY gained</w:t>
            </w:r>
          </w:p>
        </w:tc>
        <w:tc>
          <w:tcPr>
            <w:tcW w:w="994" w:type="pct"/>
            <w:vAlign w:val="center"/>
          </w:tcPr>
          <w:p w14:paraId="5763DCFF" w14:textId="6D2BE123" w:rsidR="009C29A2" w:rsidRPr="00A67347" w:rsidRDefault="009C29A2" w:rsidP="00FC7A97">
            <w:pPr>
              <w:pStyle w:val="TableText0"/>
              <w:keepLines/>
              <w:widowControl w:val="0"/>
              <w:jc w:val="center"/>
              <w:rPr>
                <w:rFonts w:ascii="Times" w:hAnsi="Times"/>
                <w:vertAlign w:val="superscript"/>
              </w:rPr>
            </w:pPr>
            <w:r w:rsidRPr="00001499">
              <w:rPr>
                <w:b/>
                <w:bCs w:val="0"/>
              </w:rPr>
              <w:t>$</w:t>
            </w:r>
            <w:r w:rsidR="00D76B55" w:rsidRPr="0020701F">
              <w:rPr>
                <w:rFonts w:hint="eastAsia"/>
                <w:b/>
                <w:bCs w:val="0"/>
                <w:color w:val="000000"/>
                <w:w w:val="15"/>
                <w:shd w:val="solid" w:color="000000" w:fill="000000"/>
                <w:fitText w:val="11" w:id="-1404292862"/>
                <w14:textFill>
                  <w14:solidFill>
                    <w14:srgbClr w14:val="000000">
                      <w14:alpha w14:val="100000"/>
                    </w14:srgbClr>
                  </w14:solidFill>
                </w14:textFill>
              </w:rPr>
              <w:t xml:space="preserve">　</w:t>
            </w:r>
            <w:r w:rsidR="00D76B55" w:rsidRPr="0020701F">
              <w:rPr>
                <w:b/>
                <w:bCs w:val="0"/>
                <w:color w:val="000000"/>
                <w:w w:val="15"/>
                <w:shd w:val="solid" w:color="000000" w:fill="000000"/>
                <w:fitText w:val="11" w:id="-1404292862"/>
                <w14:textFill>
                  <w14:solidFill>
                    <w14:srgbClr w14:val="000000">
                      <w14:alpha w14:val="100000"/>
                    </w14:srgbClr>
                  </w14:solidFill>
                </w14:textFill>
              </w:rPr>
              <w:t>|</w:t>
            </w:r>
            <w:r w:rsidR="00D76B55" w:rsidRPr="0020701F">
              <w:rPr>
                <w:rFonts w:hint="eastAsia"/>
                <w:b/>
                <w:bCs w:val="0"/>
                <w:color w:val="000000"/>
                <w:spacing w:val="-55"/>
                <w:w w:val="15"/>
                <w:shd w:val="solid" w:color="000000" w:fill="000000"/>
                <w:fitText w:val="11" w:id="-1404292862"/>
                <w14:textFill>
                  <w14:solidFill>
                    <w14:srgbClr w14:val="000000">
                      <w14:alpha w14:val="100000"/>
                    </w14:srgbClr>
                  </w14:solidFill>
                </w14:textFill>
              </w:rPr>
              <w:t xml:space="preserve">　</w:t>
            </w:r>
            <w:r w:rsidR="00C55C64">
              <w:rPr>
                <w:vertAlign w:val="superscript"/>
              </w:rPr>
              <w:t>7</w:t>
            </w:r>
          </w:p>
        </w:tc>
      </w:tr>
    </w:tbl>
    <w:p w14:paraId="0AC8D28A" w14:textId="77777777" w:rsidR="009C29A2" w:rsidRPr="00001499" w:rsidRDefault="009C29A2" w:rsidP="009C29A2">
      <w:pPr>
        <w:pStyle w:val="TableFigureFooter"/>
      </w:pPr>
      <w:r w:rsidRPr="00001499">
        <w:t>Source: Table 3.8.2, p192 of the submission</w:t>
      </w:r>
    </w:p>
    <w:p w14:paraId="5541BB45" w14:textId="0ADF1A42" w:rsidR="009C29A2" w:rsidRPr="00001499" w:rsidRDefault="009C29A2" w:rsidP="009C29A2">
      <w:pPr>
        <w:pStyle w:val="TableFigureFooter"/>
      </w:pPr>
      <w:r w:rsidRPr="00001499">
        <w:t>LYG = life years gained, NIP = National Immunisation Program; QALY = quality-adjusted life year, QIVc = cell-based quadrivalent subunit influenza virus vaccine, QIVe = egg-based quadrivalent subunit influenza virus vaccine.</w:t>
      </w:r>
    </w:p>
    <w:p w14:paraId="55BA1650" w14:textId="20BC0225" w:rsidR="009C29A2" w:rsidRPr="00001499" w:rsidRDefault="00BE027F" w:rsidP="009C29A2">
      <w:pPr>
        <w:pStyle w:val="TableFigureFooter"/>
      </w:pPr>
      <w:r>
        <w:rPr>
          <w:vertAlign w:val="superscript"/>
        </w:rPr>
        <w:t>a</w:t>
      </w:r>
      <w:r w:rsidR="009C29A2" w:rsidRPr="00001499">
        <w:rPr>
          <w:vertAlign w:val="superscript"/>
        </w:rPr>
        <w:t xml:space="preserve"> </w:t>
      </w:r>
      <w:r w:rsidR="009C29A2" w:rsidRPr="00001499">
        <w:t xml:space="preserve">ICERs for pregnant women only population for step 3 was </w:t>
      </w:r>
      <w:r w:rsidR="00C55C64" w:rsidRPr="00C55C64">
        <w:t>$155,000 to &lt; $255,000</w:t>
      </w:r>
      <w:r w:rsidR="00C55C64">
        <w:t xml:space="preserve"> </w:t>
      </w:r>
      <w:r w:rsidR="009C29A2" w:rsidRPr="00001499">
        <w:t>per QALY gained compared to that presented in combination (</w:t>
      </w:r>
      <w:r w:rsidR="00C55C64" w:rsidRPr="00C55C64">
        <w:t>$35,000 to &lt; $45,000</w:t>
      </w:r>
      <w:r w:rsidR="00C55C64">
        <w:t xml:space="preserve"> </w:t>
      </w:r>
      <w:r w:rsidR="009C29A2" w:rsidRPr="00001499">
        <w:t>per QALY gained).</w:t>
      </w:r>
    </w:p>
    <w:p w14:paraId="5EF6E981" w14:textId="2A4F052B" w:rsidR="009C29A2" w:rsidRDefault="00BE027F" w:rsidP="009C29A2">
      <w:pPr>
        <w:pStyle w:val="TableFigureFooter"/>
        <w:rPr>
          <w:lang w:eastAsia="en-US"/>
        </w:rPr>
      </w:pPr>
      <w:r>
        <w:rPr>
          <w:vertAlign w:val="superscript"/>
          <w:lang w:eastAsia="en-US"/>
        </w:rPr>
        <w:lastRenderedPageBreak/>
        <w:t>b</w:t>
      </w:r>
      <w:r w:rsidR="009C29A2" w:rsidRPr="00001499">
        <w:rPr>
          <w:vertAlign w:val="superscript"/>
          <w:lang w:eastAsia="en-US"/>
        </w:rPr>
        <w:t xml:space="preserve"> </w:t>
      </w:r>
      <w:r w:rsidR="009C29A2" w:rsidRPr="00001499">
        <w:rPr>
          <w:lang w:eastAsia="en-US"/>
        </w:rPr>
        <w:t xml:space="preserve">Includes costs and outcomes from pregnant and newborns combined. However, the pregnant women population comprised of only 5% of the overall NIP population, therefore, impact was small. Revised NIP population ICER was </w:t>
      </w:r>
      <w:r w:rsidR="00C55C64" w:rsidRPr="00C55C64">
        <w:rPr>
          <w:lang w:eastAsia="en-US"/>
        </w:rPr>
        <w:t>$35,000 to &lt; $45,000</w:t>
      </w:r>
      <w:r w:rsidR="00C55C64">
        <w:rPr>
          <w:lang w:eastAsia="en-US"/>
        </w:rPr>
        <w:t xml:space="preserve"> </w:t>
      </w:r>
      <w:r w:rsidR="009C29A2" w:rsidRPr="00001499">
        <w:rPr>
          <w:lang w:eastAsia="en-US"/>
        </w:rPr>
        <w:t>per QALY gained instead.</w:t>
      </w:r>
    </w:p>
    <w:p w14:paraId="60C2E0D8" w14:textId="533159DF" w:rsidR="00BE027F" w:rsidRDefault="00BE027F" w:rsidP="009C29A2">
      <w:pPr>
        <w:pStyle w:val="TableFigureFooter"/>
        <w:rPr>
          <w:i/>
          <w:iCs/>
          <w:lang w:eastAsia="en-US"/>
        </w:rPr>
      </w:pPr>
      <w:r w:rsidRPr="00A67347">
        <w:rPr>
          <w:i/>
          <w:iCs/>
          <w:lang w:eastAsia="en-US"/>
        </w:rPr>
        <w:t>The redacted values correspond to the following ranges:</w:t>
      </w:r>
    </w:p>
    <w:p w14:paraId="27519A3A" w14:textId="642D9EFA" w:rsidR="00BE027F" w:rsidRDefault="00BE027F" w:rsidP="009C29A2">
      <w:pPr>
        <w:pStyle w:val="TableFigureFooter"/>
        <w:rPr>
          <w:i/>
          <w:iCs/>
          <w:lang w:eastAsia="en-US"/>
        </w:rPr>
      </w:pPr>
      <w:r>
        <w:rPr>
          <w:i/>
          <w:iCs/>
          <w:vertAlign w:val="superscript"/>
          <w:lang w:eastAsia="en-US"/>
        </w:rPr>
        <w:t>1</w:t>
      </w:r>
      <w:r w:rsidR="003D08C7" w:rsidRPr="00A67347">
        <w:rPr>
          <w:i/>
          <w:iCs/>
          <w:lang w:eastAsia="en-US"/>
        </w:rPr>
        <w:t>$0 to &lt; $5,000</w:t>
      </w:r>
    </w:p>
    <w:p w14:paraId="4538D36F" w14:textId="68951369" w:rsidR="003D08C7" w:rsidRDefault="003D08C7" w:rsidP="009C29A2">
      <w:pPr>
        <w:pStyle w:val="TableFigureFooter"/>
        <w:rPr>
          <w:i/>
          <w:iCs/>
          <w:lang w:eastAsia="en-US"/>
        </w:rPr>
      </w:pPr>
      <w:r>
        <w:rPr>
          <w:i/>
          <w:iCs/>
          <w:vertAlign w:val="superscript"/>
          <w:lang w:eastAsia="en-US"/>
        </w:rPr>
        <w:t>2</w:t>
      </w:r>
      <w:r w:rsidRPr="00A67347">
        <w:rPr>
          <w:i/>
          <w:iCs/>
          <w:lang w:eastAsia="en-US"/>
        </w:rPr>
        <w:t>$135,000 to &lt; $155,000</w:t>
      </w:r>
    </w:p>
    <w:p w14:paraId="3A1688BF" w14:textId="73AA8242" w:rsidR="003D08C7" w:rsidRDefault="003D08C7" w:rsidP="009C29A2">
      <w:pPr>
        <w:pStyle w:val="TableFigureFooter"/>
        <w:rPr>
          <w:i/>
          <w:iCs/>
          <w:lang w:eastAsia="en-US"/>
        </w:rPr>
      </w:pPr>
      <w:r>
        <w:rPr>
          <w:i/>
          <w:iCs/>
          <w:vertAlign w:val="superscript"/>
          <w:lang w:eastAsia="en-US"/>
        </w:rPr>
        <w:t>3</w:t>
      </w:r>
      <w:r w:rsidRPr="003D08C7">
        <w:rPr>
          <w:i/>
          <w:iCs/>
          <w:lang w:eastAsia="en-US"/>
        </w:rPr>
        <w:t>$95,000 to &lt; $115,000</w:t>
      </w:r>
    </w:p>
    <w:p w14:paraId="6F542166" w14:textId="0289D51D" w:rsidR="003D08C7" w:rsidRDefault="003D08C7" w:rsidP="009C29A2">
      <w:pPr>
        <w:pStyle w:val="TableFigureFooter"/>
        <w:rPr>
          <w:i/>
          <w:iCs/>
          <w:lang w:eastAsia="en-US"/>
        </w:rPr>
      </w:pPr>
      <w:r>
        <w:rPr>
          <w:i/>
          <w:iCs/>
          <w:vertAlign w:val="superscript"/>
          <w:lang w:eastAsia="en-US"/>
        </w:rPr>
        <w:t>4</w:t>
      </w:r>
      <w:r w:rsidRPr="003D08C7">
        <w:rPr>
          <w:i/>
          <w:iCs/>
          <w:lang w:eastAsia="en-US"/>
        </w:rPr>
        <w:t>$45,000 to &lt; $55,000</w:t>
      </w:r>
    </w:p>
    <w:p w14:paraId="7CC15D33" w14:textId="557B7228" w:rsidR="003D08C7" w:rsidRDefault="003D08C7" w:rsidP="009C29A2">
      <w:pPr>
        <w:pStyle w:val="TableFigureFooter"/>
        <w:rPr>
          <w:i/>
          <w:iCs/>
          <w:lang w:eastAsia="en-US"/>
        </w:rPr>
      </w:pPr>
      <w:r>
        <w:rPr>
          <w:i/>
          <w:iCs/>
          <w:vertAlign w:val="superscript"/>
          <w:lang w:eastAsia="en-US"/>
        </w:rPr>
        <w:t>5</w:t>
      </w:r>
      <w:r w:rsidRPr="003D08C7">
        <w:rPr>
          <w:i/>
          <w:iCs/>
          <w:lang w:eastAsia="en-US"/>
        </w:rPr>
        <w:t>$5,000 to &lt; $15,000</w:t>
      </w:r>
    </w:p>
    <w:p w14:paraId="7BD741FE" w14:textId="63C860E7" w:rsidR="003D08C7" w:rsidRDefault="003D08C7" w:rsidP="009C29A2">
      <w:pPr>
        <w:pStyle w:val="TableFigureFooter"/>
        <w:rPr>
          <w:i/>
          <w:iCs/>
          <w:lang w:eastAsia="en-US"/>
        </w:rPr>
      </w:pPr>
      <w:r>
        <w:rPr>
          <w:i/>
          <w:iCs/>
          <w:vertAlign w:val="superscript"/>
          <w:lang w:eastAsia="en-US"/>
        </w:rPr>
        <w:t>6</w:t>
      </w:r>
      <w:r w:rsidRPr="003D08C7">
        <w:rPr>
          <w:i/>
          <w:iCs/>
          <w:lang w:eastAsia="en-US"/>
        </w:rPr>
        <w:t>$25,000 to &lt; $35,000</w:t>
      </w:r>
    </w:p>
    <w:p w14:paraId="193A6CAA" w14:textId="2971F610" w:rsidR="003D08C7" w:rsidRDefault="003D08C7" w:rsidP="009C29A2">
      <w:pPr>
        <w:pStyle w:val="TableFigureFooter"/>
        <w:rPr>
          <w:i/>
          <w:iCs/>
          <w:lang w:eastAsia="en-US"/>
        </w:rPr>
      </w:pPr>
      <w:r>
        <w:rPr>
          <w:i/>
          <w:iCs/>
          <w:vertAlign w:val="superscript"/>
          <w:lang w:eastAsia="en-US"/>
        </w:rPr>
        <w:t>7</w:t>
      </w:r>
      <w:r w:rsidRPr="003D08C7">
        <w:rPr>
          <w:i/>
          <w:iCs/>
          <w:lang w:eastAsia="en-US"/>
        </w:rPr>
        <w:t>$35,000 to &lt; $45,000</w:t>
      </w:r>
    </w:p>
    <w:p w14:paraId="71CD012D" w14:textId="752464BB" w:rsidR="009C29A2" w:rsidRPr="00001499" w:rsidRDefault="00C029A9" w:rsidP="00AA46C6">
      <w:pPr>
        <w:pStyle w:val="3-BodyText"/>
        <w:ind w:left="709"/>
      </w:pPr>
      <w:r>
        <w:t>The economic evaluation above is based on the price per dose proposed in the original submission ($</w:t>
      </w:r>
      <w:r w:rsidR="00D76B55" w:rsidRPr="0020701F">
        <w:rPr>
          <w:color w:val="000000"/>
          <w:w w:val="15"/>
          <w:shd w:val="solid" w:color="000000" w:fill="000000"/>
          <w:fitText w:val="-20" w:id="-1404292861"/>
          <w14:textFill>
            <w14:solidFill>
              <w14:srgbClr w14:val="000000">
                <w14:alpha w14:val="100000"/>
              </w14:srgbClr>
            </w14:solidFill>
          </w14:textFill>
        </w:rPr>
        <w:t xml:space="preserve">|  </w:t>
      </w:r>
      <w:r w:rsidR="00D76B55" w:rsidRPr="0020701F">
        <w:rPr>
          <w:color w:val="000000"/>
          <w:spacing w:val="-69"/>
          <w:w w:val="15"/>
          <w:shd w:val="solid" w:color="000000" w:fill="000000"/>
          <w:fitText w:val="-20" w:id="-1404292861"/>
          <w14:textFill>
            <w14:solidFill>
              <w14:srgbClr w14:val="000000">
                <w14:alpha w14:val="100000"/>
              </w14:srgbClr>
            </w14:solidFill>
          </w14:textFill>
        </w:rPr>
        <w:t>|</w:t>
      </w:r>
      <w:r>
        <w:t xml:space="preserve">). </w:t>
      </w:r>
      <w:r w:rsidR="009C29A2" w:rsidRPr="00001499">
        <w:t>These results should be interpreted with caution for the following reasons:</w:t>
      </w:r>
    </w:p>
    <w:p w14:paraId="60B303DF" w14:textId="77777777" w:rsidR="009C29A2" w:rsidRPr="00001499" w:rsidRDefault="009C29A2" w:rsidP="00AC330C">
      <w:pPr>
        <w:pStyle w:val="ListParagraph"/>
        <w:numPr>
          <w:ilvl w:val="0"/>
          <w:numId w:val="8"/>
        </w:numPr>
        <w:ind w:left="709"/>
      </w:pPr>
      <w:r w:rsidRPr="00001499">
        <w:t xml:space="preserve">The results averaged over seasons may understate the uncertainty as it does not capture the distribution around the mean value. </w:t>
      </w:r>
    </w:p>
    <w:p w14:paraId="4EA86AD6" w14:textId="77777777" w:rsidR="009C29A2" w:rsidRPr="00001499" w:rsidRDefault="009C29A2" w:rsidP="00AC330C">
      <w:pPr>
        <w:pStyle w:val="ListParagraph"/>
        <w:numPr>
          <w:ilvl w:val="0"/>
          <w:numId w:val="8"/>
        </w:numPr>
        <w:ind w:left="709"/>
      </w:pPr>
      <w:r w:rsidRPr="00001499">
        <w:t xml:space="preserve">Seasonal variations in influenza incidence and strain circulation were uncertain as were vaccine coverage rates. </w:t>
      </w:r>
    </w:p>
    <w:p w14:paraId="2E177201" w14:textId="77777777" w:rsidR="009C29A2" w:rsidRPr="00001499" w:rsidRDefault="009C29A2" w:rsidP="00AC330C">
      <w:pPr>
        <w:pStyle w:val="ListParagraph"/>
        <w:numPr>
          <w:ilvl w:val="0"/>
          <w:numId w:val="8"/>
        </w:numPr>
        <w:ind w:left="709"/>
      </w:pPr>
      <w:r w:rsidRPr="00001499">
        <w:t>The use of a less conservative CFR (modelled pooled respiratory and cardiovascular hospitalisation and deaths) as opposed to AIHW observed data (ICD-10 coded deaths from influenza) available for the corresponding seasons evaluated.</w:t>
      </w:r>
    </w:p>
    <w:p w14:paraId="547D572B" w14:textId="219E0289" w:rsidR="009C29A2" w:rsidRPr="00001499" w:rsidRDefault="009C29A2" w:rsidP="00AC330C">
      <w:pPr>
        <w:pStyle w:val="ListParagraph"/>
        <w:numPr>
          <w:ilvl w:val="0"/>
          <w:numId w:val="8"/>
        </w:numPr>
        <w:ind w:left="709"/>
      </w:pPr>
      <w:r w:rsidRPr="00001499">
        <w:t xml:space="preserve">The applicability of rVE to incidence of influenza is uncertain and may not be a reasonable approach. </w:t>
      </w:r>
    </w:p>
    <w:p w14:paraId="6785FF69" w14:textId="774160C8" w:rsidR="009C29A2" w:rsidRPr="00001499" w:rsidRDefault="009C29A2" w:rsidP="00AC330C">
      <w:pPr>
        <w:pStyle w:val="ListParagraph"/>
        <w:numPr>
          <w:ilvl w:val="0"/>
          <w:numId w:val="8"/>
        </w:numPr>
        <w:ind w:left="709"/>
      </w:pPr>
      <w:r w:rsidRPr="00001499">
        <w:t>Primary care and hospitalisation outcomes have been combined, which may obscure differences in rVE in these settings in some seasons.</w:t>
      </w:r>
    </w:p>
    <w:p w14:paraId="1AA4437A" w14:textId="7F8EFDDF" w:rsidR="009C29A2" w:rsidRPr="00001499" w:rsidRDefault="009C29A2" w:rsidP="00AA46C6">
      <w:pPr>
        <w:pStyle w:val="3-BodyText"/>
        <w:ind w:left="709"/>
      </w:pPr>
      <w:r w:rsidRPr="00001499">
        <w:t xml:space="preserve">The main cost which contributes to the ICER is the cost of </w:t>
      </w:r>
      <w:r w:rsidRPr="00001499">
        <w:rPr>
          <w:iCs/>
        </w:rPr>
        <w:t>QIVc</w:t>
      </w:r>
      <w:r w:rsidRPr="00001499">
        <w:t xml:space="preserve"> vaccination. Cost savings from reduced outpatient and hospitalised influenza were observed, mainly from hospitalised influenza</w:t>
      </w:r>
      <w:r w:rsidR="001D0E46" w:rsidRPr="00001499">
        <w:t>. The extent</w:t>
      </w:r>
      <w:r w:rsidRPr="00001499">
        <w:t xml:space="preserve"> varied by populations and seasons. </w:t>
      </w:r>
    </w:p>
    <w:p w14:paraId="3D5714E9" w14:textId="471B7942" w:rsidR="009C29A2" w:rsidRPr="00001499" w:rsidRDefault="00EF028B" w:rsidP="00AA46C6">
      <w:pPr>
        <w:pStyle w:val="3-BodyText"/>
        <w:ind w:left="709"/>
      </w:pPr>
      <w:bookmarkStart w:id="76" w:name="_Hlk96432867"/>
      <w:r w:rsidRPr="00001499">
        <w:t xml:space="preserve">Season specific base case results and </w:t>
      </w:r>
      <w:r w:rsidR="009C29A2" w:rsidRPr="00001499">
        <w:t xml:space="preserve">key sensitivity analyses </w:t>
      </w:r>
      <w:bookmarkEnd w:id="76"/>
      <w:r w:rsidR="009C29A2" w:rsidRPr="00001499">
        <w:t xml:space="preserve">are summarised below. </w:t>
      </w:r>
    </w:p>
    <w:p w14:paraId="50CA0017" w14:textId="54D651C2" w:rsidR="009C29A2" w:rsidRPr="00001499" w:rsidRDefault="009C29A2" w:rsidP="009C29A2">
      <w:pPr>
        <w:pStyle w:val="TableHeading0"/>
        <w:rPr>
          <w:rStyle w:val="CommentReference"/>
          <w:b/>
          <w:szCs w:val="24"/>
        </w:rPr>
      </w:pPr>
      <w:r w:rsidRPr="00001499">
        <w:lastRenderedPageBreak/>
        <w:t xml:space="preserve">Table </w:t>
      </w:r>
      <w:fldSimple w:instr=" SEQ Table \* ARABIC " w:fldLock="1">
        <w:r w:rsidR="005C1FE9">
          <w:rPr>
            <w:noProof/>
          </w:rPr>
          <w:t>16</w:t>
        </w:r>
      </w:fldSimple>
      <w:r w:rsidRPr="00001499">
        <w:rPr>
          <w:rStyle w:val="CommentReference"/>
          <w:b/>
          <w:szCs w:val="24"/>
        </w:rPr>
        <w:t xml:space="preserve">: </w:t>
      </w:r>
      <w:r w:rsidR="00404917" w:rsidRPr="00001499">
        <w:rPr>
          <w:szCs w:val="24"/>
        </w:rPr>
        <w:t xml:space="preserve">Season specific base case results and </w:t>
      </w:r>
      <w:r w:rsidR="00404917" w:rsidRPr="00001499">
        <w:rPr>
          <w:iCs/>
          <w:szCs w:val="24"/>
        </w:rPr>
        <w:t>key</w:t>
      </w:r>
      <w:r w:rsidR="00404917" w:rsidRPr="00001499">
        <w:rPr>
          <w:szCs w:val="24"/>
        </w:rPr>
        <w:t xml:space="preserve"> sensitivity analyses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Season specific base case results and key sensitivity analyses "/>
      </w:tblPr>
      <w:tblGrid>
        <w:gridCol w:w="3684"/>
        <w:gridCol w:w="1338"/>
        <w:gridCol w:w="1338"/>
        <w:gridCol w:w="1432"/>
        <w:gridCol w:w="1225"/>
      </w:tblGrid>
      <w:tr w:rsidR="009C29A2" w:rsidRPr="00001499" w14:paraId="075D4527" w14:textId="77777777" w:rsidTr="00D76B55">
        <w:trPr>
          <w:tblHeader/>
        </w:trPr>
        <w:tc>
          <w:tcPr>
            <w:tcW w:w="2043" w:type="pct"/>
          </w:tcPr>
          <w:p w14:paraId="70725D33" w14:textId="77777777" w:rsidR="009C29A2" w:rsidRPr="00001499" w:rsidRDefault="009C29A2" w:rsidP="00FC7A97">
            <w:pPr>
              <w:pStyle w:val="In-tableHeading"/>
              <w:rPr>
                <w:lang w:val="en-AU"/>
              </w:rPr>
            </w:pPr>
            <w:r w:rsidRPr="00001499">
              <w:rPr>
                <w:lang w:val="en-AU"/>
              </w:rPr>
              <w:t>Analyses</w:t>
            </w:r>
          </w:p>
        </w:tc>
        <w:tc>
          <w:tcPr>
            <w:tcW w:w="742" w:type="pct"/>
            <w:tcBorders>
              <w:bottom w:val="single" w:sz="4" w:space="0" w:color="auto"/>
            </w:tcBorders>
          </w:tcPr>
          <w:p w14:paraId="6E6E6E7A" w14:textId="77777777" w:rsidR="009C29A2" w:rsidRPr="00001499" w:rsidRDefault="009C29A2" w:rsidP="00FC7A97">
            <w:pPr>
              <w:pStyle w:val="In-tableHeading"/>
              <w:jc w:val="center"/>
              <w:rPr>
                <w:lang w:val="en-AU"/>
              </w:rPr>
            </w:pPr>
            <w:r w:rsidRPr="00001499">
              <w:rPr>
                <w:lang w:val="en-AU"/>
              </w:rPr>
              <w:t>Incremental cost ($)</w:t>
            </w:r>
          </w:p>
        </w:tc>
        <w:tc>
          <w:tcPr>
            <w:tcW w:w="742" w:type="pct"/>
          </w:tcPr>
          <w:p w14:paraId="1D912F64" w14:textId="77777777" w:rsidR="009C29A2" w:rsidRPr="00001499" w:rsidRDefault="009C29A2" w:rsidP="00FC7A97">
            <w:pPr>
              <w:pStyle w:val="In-tableHeading"/>
              <w:jc w:val="center"/>
              <w:rPr>
                <w:lang w:val="en-AU"/>
              </w:rPr>
            </w:pPr>
            <w:r w:rsidRPr="00001499">
              <w:rPr>
                <w:lang w:val="en-AU"/>
              </w:rPr>
              <w:t>Incremental QALY</w:t>
            </w:r>
          </w:p>
        </w:tc>
        <w:tc>
          <w:tcPr>
            <w:tcW w:w="794" w:type="pct"/>
          </w:tcPr>
          <w:p w14:paraId="65D3C68C" w14:textId="77777777" w:rsidR="009C29A2" w:rsidRPr="00001499" w:rsidRDefault="009C29A2" w:rsidP="00FC7A97">
            <w:pPr>
              <w:pStyle w:val="In-tableHeading"/>
              <w:jc w:val="center"/>
              <w:rPr>
                <w:lang w:val="en-AU"/>
              </w:rPr>
            </w:pPr>
            <w:r w:rsidRPr="00001499">
              <w:rPr>
                <w:lang w:val="en-AU"/>
              </w:rPr>
              <w:t>ICER</w:t>
            </w:r>
          </w:p>
        </w:tc>
        <w:tc>
          <w:tcPr>
            <w:tcW w:w="679" w:type="pct"/>
          </w:tcPr>
          <w:p w14:paraId="0874E40C" w14:textId="7245C318" w:rsidR="009C29A2" w:rsidRPr="00001499" w:rsidRDefault="009C29A2" w:rsidP="00FC7A97">
            <w:pPr>
              <w:pStyle w:val="In-tableHeading"/>
              <w:jc w:val="center"/>
              <w:rPr>
                <w:vertAlign w:val="superscript"/>
                <w:lang w:val="en-AU"/>
              </w:rPr>
            </w:pPr>
            <w:r w:rsidRPr="00001499">
              <w:rPr>
                <w:lang w:val="en-AU"/>
              </w:rPr>
              <w:t>% change from base case</w:t>
            </w:r>
            <w:r w:rsidR="00C55C64">
              <w:rPr>
                <w:vertAlign w:val="superscript"/>
                <w:lang w:val="en-AU"/>
              </w:rPr>
              <w:t>a</w:t>
            </w:r>
          </w:p>
        </w:tc>
      </w:tr>
      <w:tr w:rsidR="009C29A2" w:rsidRPr="00001499" w14:paraId="125BD9BF" w14:textId="77777777" w:rsidTr="00D76B55">
        <w:tc>
          <w:tcPr>
            <w:tcW w:w="2043" w:type="pct"/>
          </w:tcPr>
          <w:p w14:paraId="2032A3C4" w14:textId="77777777" w:rsidR="009C29A2" w:rsidRPr="00001499" w:rsidRDefault="009C29A2" w:rsidP="00FC7A97">
            <w:pPr>
              <w:pStyle w:val="TableText0"/>
              <w:keepLines/>
              <w:widowControl w:val="0"/>
              <w:rPr>
                <w:b/>
              </w:rPr>
            </w:pPr>
            <w:r w:rsidRPr="00001499">
              <w:rPr>
                <w:b/>
              </w:rPr>
              <w:t>Base case (Proposed NIP pop. (2015-2019))</w:t>
            </w:r>
          </w:p>
        </w:tc>
        <w:tc>
          <w:tcPr>
            <w:tcW w:w="742" w:type="pct"/>
            <w:tcBorders>
              <w:bottom w:val="single" w:sz="4" w:space="0" w:color="auto"/>
            </w:tcBorders>
            <w:shd w:val="solid" w:color="000000" w:fill="000000"/>
          </w:tcPr>
          <w:p w14:paraId="51C14B54" w14:textId="0342F0DE" w:rsidR="009C29A2" w:rsidRPr="00D76B55" w:rsidRDefault="00D76B55" w:rsidP="00FC7A97">
            <w:pPr>
              <w:pStyle w:val="TableText0"/>
              <w:keepLines/>
              <w:widowControl w:val="0"/>
              <w:jc w:val="center"/>
              <w:rPr>
                <w:b/>
              </w:rPr>
            </w:pPr>
            <w:r w:rsidRPr="00D76B55">
              <w:rPr>
                <w:b/>
                <w:color w:val="000000"/>
                <w:spacing w:val="152"/>
                <w:fitText w:val="244" w:id="-1404292860"/>
                <w14:textFill>
                  <w14:solidFill>
                    <w14:srgbClr w14:val="000000">
                      <w14:alpha w14:val="100000"/>
                    </w14:srgbClr>
                  </w14:solidFill>
                </w14:textFill>
              </w:rPr>
              <w:t>|</w:t>
            </w:r>
            <w:r w:rsidRPr="00D76B55">
              <w:rPr>
                <w:b/>
                <w:color w:val="000000"/>
                <w:fitText w:val="244" w:id="-1404292860"/>
                <w14:textFill>
                  <w14:solidFill>
                    <w14:srgbClr w14:val="000000">
                      <w14:alpha w14:val="100000"/>
                    </w14:srgbClr>
                  </w14:solidFill>
                </w14:textFill>
              </w:rPr>
              <w:t>|</w:t>
            </w:r>
          </w:p>
        </w:tc>
        <w:tc>
          <w:tcPr>
            <w:tcW w:w="742" w:type="pct"/>
          </w:tcPr>
          <w:p w14:paraId="7F73A709" w14:textId="77777777" w:rsidR="009C29A2" w:rsidRPr="00001499" w:rsidRDefault="009C29A2" w:rsidP="00FC7A97">
            <w:pPr>
              <w:pStyle w:val="TableText0"/>
              <w:keepLines/>
              <w:widowControl w:val="0"/>
              <w:jc w:val="center"/>
              <w:rPr>
                <w:b/>
              </w:rPr>
            </w:pPr>
            <w:r w:rsidRPr="00001499">
              <w:rPr>
                <w:b/>
              </w:rPr>
              <w:t>0.000116</w:t>
            </w:r>
          </w:p>
        </w:tc>
        <w:tc>
          <w:tcPr>
            <w:tcW w:w="794" w:type="pct"/>
          </w:tcPr>
          <w:p w14:paraId="12DBF617" w14:textId="3646257E" w:rsidR="009C29A2" w:rsidRPr="00A67347" w:rsidRDefault="009C29A2" w:rsidP="00FC7A97">
            <w:pPr>
              <w:pStyle w:val="TableText0"/>
              <w:keepLines/>
              <w:widowControl w:val="0"/>
              <w:jc w:val="center"/>
              <w:rPr>
                <w:bCs w:val="0"/>
                <w:vertAlign w:val="superscript"/>
              </w:rPr>
            </w:pPr>
            <w:r w:rsidRPr="00001499">
              <w:rPr>
                <w:b/>
              </w:rPr>
              <w:t>$</w:t>
            </w:r>
            <w:r w:rsidR="00D76B55" w:rsidRPr="00D76B55">
              <w:rPr>
                <w:b/>
                <w:color w:val="000000"/>
                <w:spacing w:val="174"/>
                <w:shd w:val="solid" w:color="000000" w:fill="000000"/>
                <w:fitText w:val="266" w:id="-1404292859"/>
                <w14:textFill>
                  <w14:solidFill>
                    <w14:srgbClr w14:val="000000">
                      <w14:alpha w14:val="100000"/>
                    </w14:srgbClr>
                  </w14:solidFill>
                </w14:textFill>
              </w:rPr>
              <w:t>|</w:t>
            </w:r>
            <w:r w:rsidR="00D76B55" w:rsidRPr="00D76B55">
              <w:rPr>
                <w:b/>
                <w:color w:val="000000"/>
                <w:spacing w:val="1"/>
                <w:shd w:val="solid" w:color="000000" w:fill="000000"/>
                <w:fitText w:val="266" w:id="-1404292859"/>
                <w14:textFill>
                  <w14:solidFill>
                    <w14:srgbClr w14:val="000000">
                      <w14:alpha w14:val="100000"/>
                    </w14:srgbClr>
                  </w14:solidFill>
                </w14:textFill>
              </w:rPr>
              <w:t>|</w:t>
            </w:r>
            <w:r w:rsidR="00C55C64">
              <w:rPr>
                <w:bCs w:val="0"/>
                <w:vertAlign w:val="superscript"/>
              </w:rPr>
              <w:t>1</w:t>
            </w:r>
          </w:p>
        </w:tc>
        <w:tc>
          <w:tcPr>
            <w:tcW w:w="679" w:type="pct"/>
          </w:tcPr>
          <w:p w14:paraId="1B7C8089" w14:textId="77777777" w:rsidR="009C29A2" w:rsidRPr="00001499" w:rsidRDefault="009C29A2" w:rsidP="00FC7A97">
            <w:pPr>
              <w:pStyle w:val="TableText0"/>
              <w:keepLines/>
              <w:widowControl w:val="0"/>
              <w:jc w:val="center"/>
              <w:rPr>
                <w:b/>
              </w:rPr>
            </w:pPr>
          </w:p>
        </w:tc>
      </w:tr>
      <w:tr w:rsidR="009C29A2" w:rsidRPr="00001499" w14:paraId="28A40057" w14:textId="77777777" w:rsidTr="00D76B55">
        <w:tc>
          <w:tcPr>
            <w:tcW w:w="2043" w:type="pct"/>
            <w:vAlign w:val="bottom"/>
          </w:tcPr>
          <w:p w14:paraId="68BD1CEC" w14:textId="77777777" w:rsidR="009C29A2" w:rsidRPr="00001499" w:rsidRDefault="009C29A2" w:rsidP="00FC7A97">
            <w:pPr>
              <w:pStyle w:val="TableText0"/>
              <w:keepLines/>
              <w:widowControl w:val="0"/>
              <w:rPr>
                <w:b/>
                <w:iCs/>
              </w:rPr>
            </w:pPr>
            <w:r w:rsidRPr="00001499">
              <w:rPr>
                <w:iCs/>
              </w:rPr>
              <w:t xml:space="preserve">  Season 2015</w:t>
            </w:r>
          </w:p>
        </w:tc>
        <w:tc>
          <w:tcPr>
            <w:tcW w:w="742" w:type="pct"/>
            <w:tcBorders>
              <w:bottom w:val="single" w:sz="4" w:space="0" w:color="auto"/>
            </w:tcBorders>
            <w:shd w:val="solid" w:color="000000" w:fill="000000"/>
          </w:tcPr>
          <w:p w14:paraId="3A0B6DD7" w14:textId="1EE36C2D" w:rsidR="009C29A2" w:rsidRPr="00D76B55" w:rsidRDefault="00D76B55" w:rsidP="00FC7A97">
            <w:pPr>
              <w:pStyle w:val="TableText0"/>
              <w:keepLines/>
              <w:widowControl w:val="0"/>
              <w:jc w:val="center"/>
              <w:rPr>
                <w:b/>
                <w:iCs/>
              </w:rPr>
            </w:pPr>
            <w:r w:rsidRPr="00D76B55">
              <w:rPr>
                <w:rFonts w:cs="Calibri"/>
                <w:iCs/>
                <w:color w:val="000000"/>
                <w:spacing w:val="180"/>
                <w:fitText w:val="266" w:id="-1404292858"/>
                <w14:textFill>
                  <w14:solidFill>
                    <w14:srgbClr w14:val="000000">
                      <w14:alpha w14:val="100000"/>
                    </w14:srgbClr>
                  </w14:solidFill>
                </w14:textFill>
              </w:rPr>
              <w:t>|</w:t>
            </w:r>
            <w:r w:rsidRPr="00D76B55">
              <w:rPr>
                <w:rFonts w:cs="Calibri"/>
                <w:iCs/>
                <w:color w:val="000000"/>
                <w:fitText w:val="266" w:id="-1404292858"/>
                <w14:textFill>
                  <w14:solidFill>
                    <w14:srgbClr w14:val="000000">
                      <w14:alpha w14:val="100000"/>
                    </w14:srgbClr>
                  </w14:solidFill>
                </w14:textFill>
              </w:rPr>
              <w:t>|</w:t>
            </w:r>
          </w:p>
        </w:tc>
        <w:tc>
          <w:tcPr>
            <w:tcW w:w="742" w:type="pct"/>
          </w:tcPr>
          <w:p w14:paraId="63819E5B" w14:textId="77777777" w:rsidR="009C29A2" w:rsidRPr="00001499" w:rsidRDefault="009C29A2" w:rsidP="00FC7A97">
            <w:pPr>
              <w:pStyle w:val="TableText0"/>
              <w:keepLines/>
              <w:widowControl w:val="0"/>
              <w:jc w:val="center"/>
              <w:rPr>
                <w:b/>
                <w:iCs/>
              </w:rPr>
            </w:pPr>
            <w:r w:rsidRPr="00001499">
              <w:rPr>
                <w:rFonts w:cs="Calibri"/>
                <w:iCs/>
                <w:color w:val="000000"/>
              </w:rPr>
              <w:t>0.000083</w:t>
            </w:r>
          </w:p>
        </w:tc>
        <w:tc>
          <w:tcPr>
            <w:tcW w:w="794" w:type="pct"/>
          </w:tcPr>
          <w:p w14:paraId="7EA4ED4F" w14:textId="6EED7179" w:rsidR="009C29A2" w:rsidRPr="00A67347" w:rsidRDefault="009C29A2" w:rsidP="00FC7A97">
            <w:pPr>
              <w:pStyle w:val="TableText0"/>
              <w:keepLines/>
              <w:widowControl w:val="0"/>
              <w:jc w:val="center"/>
              <w:rPr>
                <w:b/>
                <w:iCs/>
                <w:vertAlign w:val="superscript"/>
              </w:rPr>
            </w:pPr>
            <w:r w:rsidRPr="00001499">
              <w:rPr>
                <w:rFonts w:cs="Calibri"/>
                <w:iCs/>
                <w:color w:val="000000"/>
              </w:rPr>
              <w:t>$</w:t>
            </w:r>
            <w:r w:rsidR="00D76B55" w:rsidRPr="00D76B55">
              <w:rPr>
                <w:rFonts w:cs="Calibri"/>
                <w:iCs/>
                <w:color w:val="000000"/>
                <w:spacing w:val="213"/>
                <w:shd w:val="solid" w:color="000000" w:fill="000000"/>
                <w:fitText w:val="299" w:id="-1404292857"/>
                <w14:textFill>
                  <w14:solidFill>
                    <w14:srgbClr w14:val="000000">
                      <w14:alpha w14:val="100000"/>
                    </w14:srgbClr>
                  </w14:solidFill>
                </w14:textFill>
              </w:rPr>
              <w:t>|</w:t>
            </w:r>
            <w:r w:rsidR="00D76B55" w:rsidRPr="00D76B55">
              <w:rPr>
                <w:rFonts w:cs="Calibri"/>
                <w:iCs/>
                <w:color w:val="000000"/>
                <w:spacing w:val="1"/>
                <w:shd w:val="solid" w:color="000000" w:fill="000000"/>
                <w:fitText w:val="299" w:id="-1404292857"/>
                <w14:textFill>
                  <w14:solidFill>
                    <w14:srgbClr w14:val="000000">
                      <w14:alpha w14:val="100000"/>
                    </w14:srgbClr>
                  </w14:solidFill>
                </w14:textFill>
              </w:rPr>
              <w:t>|</w:t>
            </w:r>
            <w:r w:rsidR="00C55C64">
              <w:rPr>
                <w:rFonts w:cs="Calibri"/>
                <w:iCs/>
                <w:color w:val="000000"/>
                <w:vertAlign w:val="superscript"/>
              </w:rPr>
              <w:t>2</w:t>
            </w:r>
          </w:p>
        </w:tc>
        <w:tc>
          <w:tcPr>
            <w:tcW w:w="679" w:type="pct"/>
          </w:tcPr>
          <w:p w14:paraId="1830F141" w14:textId="77777777" w:rsidR="009C29A2" w:rsidRPr="00001499" w:rsidRDefault="009C29A2" w:rsidP="00FC7A97">
            <w:pPr>
              <w:pStyle w:val="TableText0"/>
              <w:keepLines/>
              <w:widowControl w:val="0"/>
              <w:jc w:val="center"/>
              <w:rPr>
                <w:bCs w:val="0"/>
                <w:iCs/>
              </w:rPr>
            </w:pPr>
            <w:r w:rsidRPr="00001499">
              <w:rPr>
                <w:bCs w:val="0"/>
                <w:iCs/>
              </w:rPr>
              <w:t>55%</w:t>
            </w:r>
          </w:p>
        </w:tc>
      </w:tr>
      <w:tr w:rsidR="009C29A2" w:rsidRPr="00001499" w14:paraId="24AB0D21" w14:textId="77777777" w:rsidTr="00D76B55">
        <w:tc>
          <w:tcPr>
            <w:tcW w:w="2043" w:type="pct"/>
            <w:vAlign w:val="bottom"/>
          </w:tcPr>
          <w:p w14:paraId="36ADC626" w14:textId="77777777" w:rsidR="009C29A2" w:rsidRPr="00001499" w:rsidRDefault="009C29A2" w:rsidP="00FC7A97">
            <w:pPr>
              <w:pStyle w:val="TableText0"/>
              <w:keepLines/>
              <w:widowControl w:val="0"/>
              <w:rPr>
                <w:b/>
                <w:iCs/>
              </w:rPr>
            </w:pPr>
            <w:r w:rsidRPr="00001499">
              <w:rPr>
                <w:iCs/>
              </w:rPr>
              <w:t xml:space="preserve">  Season 2016</w:t>
            </w:r>
          </w:p>
        </w:tc>
        <w:tc>
          <w:tcPr>
            <w:tcW w:w="742" w:type="pct"/>
            <w:tcBorders>
              <w:bottom w:val="single" w:sz="4" w:space="0" w:color="auto"/>
            </w:tcBorders>
            <w:shd w:val="solid" w:color="000000" w:fill="000000"/>
          </w:tcPr>
          <w:p w14:paraId="439770A7" w14:textId="1700C012" w:rsidR="009C29A2" w:rsidRPr="00D76B55" w:rsidRDefault="00D76B55" w:rsidP="00FC7A97">
            <w:pPr>
              <w:pStyle w:val="TableText0"/>
              <w:keepLines/>
              <w:widowControl w:val="0"/>
              <w:jc w:val="center"/>
              <w:rPr>
                <w:b/>
                <w:iCs/>
              </w:rPr>
            </w:pPr>
            <w:r w:rsidRPr="00D76B55">
              <w:rPr>
                <w:rFonts w:cs="Calibri"/>
                <w:iCs/>
                <w:color w:val="000000"/>
                <w:spacing w:val="180"/>
                <w:fitText w:val="266" w:id="-1404292856"/>
                <w14:textFill>
                  <w14:solidFill>
                    <w14:srgbClr w14:val="000000">
                      <w14:alpha w14:val="100000"/>
                    </w14:srgbClr>
                  </w14:solidFill>
                </w14:textFill>
              </w:rPr>
              <w:t>|</w:t>
            </w:r>
            <w:r w:rsidRPr="00D76B55">
              <w:rPr>
                <w:rFonts w:cs="Calibri"/>
                <w:iCs/>
                <w:color w:val="000000"/>
                <w:fitText w:val="266" w:id="-1404292856"/>
                <w14:textFill>
                  <w14:solidFill>
                    <w14:srgbClr w14:val="000000">
                      <w14:alpha w14:val="100000"/>
                    </w14:srgbClr>
                  </w14:solidFill>
                </w14:textFill>
              </w:rPr>
              <w:t>|</w:t>
            </w:r>
          </w:p>
        </w:tc>
        <w:tc>
          <w:tcPr>
            <w:tcW w:w="742" w:type="pct"/>
          </w:tcPr>
          <w:p w14:paraId="23C99022" w14:textId="77777777" w:rsidR="009C29A2" w:rsidRPr="00001499" w:rsidRDefault="009C29A2" w:rsidP="00FC7A97">
            <w:pPr>
              <w:pStyle w:val="TableText0"/>
              <w:keepLines/>
              <w:widowControl w:val="0"/>
              <w:jc w:val="center"/>
              <w:rPr>
                <w:b/>
                <w:iCs/>
              </w:rPr>
            </w:pPr>
            <w:r w:rsidRPr="00001499">
              <w:rPr>
                <w:rFonts w:cs="Calibri"/>
                <w:iCs/>
                <w:color w:val="000000"/>
              </w:rPr>
              <w:t>0.000096</w:t>
            </w:r>
          </w:p>
        </w:tc>
        <w:tc>
          <w:tcPr>
            <w:tcW w:w="794" w:type="pct"/>
          </w:tcPr>
          <w:p w14:paraId="06AB3D8D" w14:textId="14F8DFB9" w:rsidR="009C29A2" w:rsidRPr="00A67347" w:rsidRDefault="009C29A2" w:rsidP="00FC7A97">
            <w:pPr>
              <w:pStyle w:val="TableText0"/>
              <w:keepLines/>
              <w:widowControl w:val="0"/>
              <w:jc w:val="center"/>
              <w:rPr>
                <w:b/>
                <w:iCs/>
                <w:vertAlign w:val="superscript"/>
              </w:rPr>
            </w:pPr>
            <w:r w:rsidRPr="00001499">
              <w:rPr>
                <w:rFonts w:cs="Calibri"/>
                <w:iCs/>
                <w:color w:val="000000"/>
              </w:rPr>
              <w:t>$</w:t>
            </w:r>
            <w:r w:rsidR="00D76B55" w:rsidRPr="00D76B55">
              <w:rPr>
                <w:rFonts w:cs="Calibri"/>
                <w:iCs/>
                <w:color w:val="000000"/>
                <w:spacing w:val="213"/>
                <w:shd w:val="solid" w:color="000000" w:fill="000000"/>
                <w:fitText w:val="299" w:id="-1404292855"/>
                <w14:textFill>
                  <w14:solidFill>
                    <w14:srgbClr w14:val="000000">
                      <w14:alpha w14:val="100000"/>
                    </w14:srgbClr>
                  </w14:solidFill>
                </w14:textFill>
              </w:rPr>
              <w:t>|</w:t>
            </w:r>
            <w:r w:rsidR="00D76B55" w:rsidRPr="00D76B55">
              <w:rPr>
                <w:rFonts w:cs="Calibri"/>
                <w:iCs/>
                <w:color w:val="000000"/>
                <w:spacing w:val="1"/>
                <w:shd w:val="solid" w:color="000000" w:fill="000000"/>
                <w:fitText w:val="299" w:id="-1404292855"/>
                <w14:textFill>
                  <w14:solidFill>
                    <w14:srgbClr w14:val="000000">
                      <w14:alpha w14:val="100000"/>
                    </w14:srgbClr>
                  </w14:solidFill>
                </w14:textFill>
              </w:rPr>
              <w:t>|</w:t>
            </w:r>
            <w:r w:rsidR="00C55C64">
              <w:rPr>
                <w:rFonts w:cs="Calibri"/>
                <w:iCs/>
                <w:color w:val="000000"/>
                <w:vertAlign w:val="superscript"/>
              </w:rPr>
              <w:t>3</w:t>
            </w:r>
          </w:p>
        </w:tc>
        <w:tc>
          <w:tcPr>
            <w:tcW w:w="679" w:type="pct"/>
          </w:tcPr>
          <w:p w14:paraId="7264EB7D" w14:textId="77777777" w:rsidR="009C29A2" w:rsidRPr="00001499" w:rsidRDefault="009C29A2" w:rsidP="00FC7A97">
            <w:pPr>
              <w:pStyle w:val="TableText0"/>
              <w:keepLines/>
              <w:widowControl w:val="0"/>
              <w:jc w:val="center"/>
              <w:rPr>
                <w:bCs w:val="0"/>
                <w:iCs/>
              </w:rPr>
            </w:pPr>
            <w:r w:rsidRPr="00001499">
              <w:rPr>
                <w:bCs w:val="0"/>
                <w:iCs/>
              </w:rPr>
              <w:t>29%</w:t>
            </w:r>
          </w:p>
        </w:tc>
      </w:tr>
      <w:tr w:rsidR="009C29A2" w:rsidRPr="00001499" w14:paraId="738858AE" w14:textId="77777777" w:rsidTr="00D76B55">
        <w:tc>
          <w:tcPr>
            <w:tcW w:w="2043" w:type="pct"/>
            <w:vAlign w:val="bottom"/>
          </w:tcPr>
          <w:p w14:paraId="5123620F" w14:textId="77777777" w:rsidR="009C29A2" w:rsidRPr="00001499" w:rsidRDefault="009C29A2" w:rsidP="00FC7A97">
            <w:pPr>
              <w:pStyle w:val="TableText0"/>
              <w:keepLines/>
              <w:widowControl w:val="0"/>
              <w:rPr>
                <w:b/>
                <w:iCs/>
              </w:rPr>
            </w:pPr>
            <w:r w:rsidRPr="00001499">
              <w:rPr>
                <w:iCs/>
              </w:rPr>
              <w:t xml:space="preserve">  Season 2017</w:t>
            </w:r>
          </w:p>
        </w:tc>
        <w:tc>
          <w:tcPr>
            <w:tcW w:w="742" w:type="pct"/>
            <w:tcBorders>
              <w:bottom w:val="single" w:sz="4" w:space="0" w:color="auto"/>
            </w:tcBorders>
            <w:shd w:val="solid" w:color="000000" w:fill="000000"/>
          </w:tcPr>
          <w:p w14:paraId="5575C6B2" w14:textId="0F142313" w:rsidR="009C29A2" w:rsidRPr="00D76B55" w:rsidRDefault="00D76B55" w:rsidP="00FC7A97">
            <w:pPr>
              <w:pStyle w:val="TableText0"/>
              <w:keepLines/>
              <w:widowControl w:val="0"/>
              <w:jc w:val="center"/>
              <w:rPr>
                <w:b/>
                <w:iCs/>
              </w:rPr>
            </w:pPr>
            <w:r w:rsidRPr="00D76B55">
              <w:rPr>
                <w:rFonts w:cs="Calibri"/>
                <w:iCs/>
                <w:color w:val="000000"/>
                <w:spacing w:val="180"/>
                <w:fitText w:val="266" w:id="-1404292854"/>
                <w14:textFill>
                  <w14:solidFill>
                    <w14:srgbClr w14:val="000000">
                      <w14:alpha w14:val="100000"/>
                    </w14:srgbClr>
                  </w14:solidFill>
                </w14:textFill>
              </w:rPr>
              <w:t>|</w:t>
            </w:r>
            <w:r w:rsidRPr="00D76B55">
              <w:rPr>
                <w:rFonts w:cs="Calibri"/>
                <w:iCs/>
                <w:color w:val="000000"/>
                <w:fitText w:val="266" w:id="-1404292854"/>
                <w14:textFill>
                  <w14:solidFill>
                    <w14:srgbClr w14:val="000000">
                      <w14:alpha w14:val="100000"/>
                    </w14:srgbClr>
                  </w14:solidFill>
                </w14:textFill>
              </w:rPr>
              <w:t>|</w:t>
            </w:r>
          </w:p>
        </w:tc>
        <w:tc>
          <w:tcPr>
            <w:tcW w:w="742" w:type="pct"/>
          </w:tcPr>
          <w:p w14:paraId="22546E10" w14:textId="77777777" w:rsidR="009C29A2" w:rsidRPr="00001499" w:rsidRDefault="009C29A2" w:rsidP="00FC7A97">
            <w:pPr>
              <w:pStyle w:val="TableText0"/>
              <w:keepLines/>
              <w:widowControl w:val="0"/>
              <w:jc w:val="center"/>
              <w:rPr>
                <w:b/>
                <w:iCs/>
              </w:rPr>
            </w:pPr>
            <w:r w:rsidRPr="00001499">
              <w:rPr>
                <w:rFonts w:cs="Calibri"/>
                <w:iCs/>
                <w:color w:val="000000"/>
              </w:rPr>
              <w:t>0.000214</w:t>
            </w:r>
          </w:p>
        </w:tc>
        <w:tc>
          <w:tcPr>
            <w:tcW w:w="794" w:type="pct"/>
          </w:tcPr>
          <w:p w14:paraId="1C0F15A9" w14:textId="07828005" w:rsidR="009C29A2" w:rsidRPr="00A67347" w:rsidRDefault="009C29A2" w:rsidP="00FC7A97">
            <w:pPr>
              <w:pStyle w:val="TableText0"/>
              <w:keepLines/>
              <w:widowControl w:val="0"/>
              <w:jc w:val="center"/>
              <w:rPr>
                <w:b/>
                <w:iCs/>
                <w:vertAlign w:val="superscript"/>
              </w:rPr>
            </w:pPr>
            <w:r w:rsidRPr="00001499">
              <w:rPr>
                <w:rFonts w:cs="Calibri"/>
                <w:iCs/>
                <w:color w:val="000000"/>
              </w:rPr>
              <w:t>$</w:t>
            </w:r>
            <w:r w:rsidR="00D76B55" w:rsidRPr="00D76B55">
              <w:rPr>
                <w:rFonts w:cs="Calibri"/>
                <w:iCs/>
                <w:color w:val="000000"/>
                <w:spacing w:val="213"/>
                <w:shd w:val="solid" w:color="000000" w:fill="000000"/>
                <w:fitText w:val="299" w:id="-1404292853"/>
                <w14:textFill>
                  <w14:solidFill>
                    <w14:srgbClr w14:val="000000">
                      <w14:alpha w14:val="100000"/>
                    </w14:srgbClr>
                  </w14:solidFill>
                </w14:textFill>
              </w:rPr>
              <w:t>|</w:t>
            </w:r>
            <w:r w:rsidR="00D76B55" w:rsidRPr="00D76B55">
              <w:rPr>
                <w:rFonts w:cs="Calibri"/>
                <w:iCs/>
                <w:color w:val="000000"/>
                <w:spacing w:val="1"/>
                <w:shd w:val="solid" w:color="000000" w:fill="000000"/>
                <w:fitText w:val="299" w:id="-1404292853"/>
                <w14:textFill>
                  <w14:solidFill>
                    <w14:srgbClr w14:val="000000">
                      <w14:alpha w14:val="100000"/>
                    </w14:srgbClr>
                  </w14:solidFill>
                </w14:textFill>
              </w:rPr>
              <w:t>|</w:t>
            </w:r>
            <w:r w:rsidR="00C55C64">
              <w:rPr>
                <w:rFonts w:cs="Calibri"/>
                <w:iCs/>
                <w:color w:val="000000"/>
                <w:vertAlign w:val="superscript"/>
              </w:rPr>
              <w:t>4</w:t>
            </w:r>
          </w:p>
        </w:tc>
        <w:tc>
          <w:tcPr>
            <w:tcW w:w="679" w:type="pct"/>
          </w:tcPr>
          <w:p w14:paraId="09BEB091" w14:textId="77777777" w:rsidR="009C29A2" w:rsidRPr="00001499" w:rsidRDefault="009C29A2" w:rsidP="00FC7A97">
            <w:pPr>
              <w:pStyle w:val="TableText0"/>
              <w:keepLines/>
              <w:widowControl w:val="0"/>
              <w:jc w:val="center"/>
              <w:rPr>
                <w:bCs w:val="0"/>
                <w:iCs/>
              </w:rPr>
            </w:pPr>
            <w:r w:rsidRPr="00001499">
              <w:rPr>
                <w:bCs w:val="0"/>
                <w:iCs/>
              </w:rPr>
              <w:t>-64%</w:t>
            </w:r>
          </w:p>
        </w:tc>
      </w:tr>
      <w:tr w:rsidR="009C29A2" w:rsidRPr="00001499" w14:paraId="2C9CF626" w14:textId="77777777" w:rsidTr="00D76B55">
        <w:tc>
          <w:tcPr>
            <w:tcW w:w="2043" w:type="pct"/>
            <w:vAlign w:val="bottom"/>
          </w:tcPr>
          <w:p w14:paraId="50BEF948" w14:textId="77777777" w:rsidR="009C29A2" w:rsidRPr="00001499" w:rsidRDefault="009C29A2" w:rsidP="00FC7A97">
            <w:pPr>
              <w:pStyle w:val="TableText0"/>
              <w:keepLines/>
              <w:widowControl w:val="0"/>
              <w:rPr>
                <w:b/>
                <w:iCs/>
              </w:rPr>
            </w:pPr>
            <w:r w:rsidRPr="00001499">
              <w:rPr>
                <w:iCs/>
              </w:rPr>
              <w:t xml:space="preserve">  Season 2018</w:t>
            </w:r>
          </w:p>
        </w:tc>
        <w:tc>
          <w:tcPr>
            <w:tcW w:w="742" w:type="pct"/>
            <w:tcBorders>
              <w:bottom w:val="single" w:sz="4" w:space="0" w:color="auto"/>
            </w:tcBorders>
            <w:shd w:val="solid" w:color="000000" w:fill="000000"/>
          </w:tcPr>
          <w:p w14:paraId="496E128D" w14:textId="19E83959" w:rsidR="009C29A2" w:rsidRPr="00D76B55" w:rsidRDefault="00D76B55" w:rsidP="00FC7A97">
            <w:pPr>
              <w:pStyle w:val="TableText0"/>
              <w:keepLines/>
              <w:widowControl w:val="0"/>
              <w:jc w:val="center"/>
              <w:rPr>
                <w:b/>
                <w:iCs/>
              </w:rPr>
            </w:pPr>
            <w:r w:rsidRPr="00D76B55">
              <w:rPr>
                <w:rFonts w:cs="Calibri"/>
                <w:iCs/>
                <w:color w:val="000000"/>
                <w:spacing w:val="180"/>
                <w:fitText w:val="266" w:id="-1404292852"/>
                <w14:textFill>
                  <w14:solidFill>
                    <w14:srgbClr w14:val="000000">
                      <w14:alpha w14:val="100000"/>
                    </w14:srgbClr>
                  </w14:solidFill>
                </w14:textFill>
              </w:rPr>
              <w:t>|</w:t>
            </w:r>
            <w:r w:rsidRPr="00D76B55">
              <w:rPr>
                <w:rFonts w:cs="Calibri"/>
                <w:iCs/>
                <w:color w:val="000000"/>
                <w:fitText w:val="266" w:id="-1404292852"/>
                <w14:textFill>
                  <w14:solidFill>
                    <w14:srgbClr w14:val="000000">
                      <w14:alpha w14:val="100000"/>
                    </w14:srgbClr>
                  </w14:solidFill>
                </w14:textFill>
              </w:rPr>
              <w:t>|</w:t>
            </w:r>
          </w:p>
        </w:tc>
        <w:tc>
          <w:tcPr>
            <w:tcW w:w="742" w:type="pct"/>
          </w:tcPr>
          <w:p w14:paraId="1ECA8B6F" w14:textId="77777777" w:rsidR="009C29A2" w:rsidRPr="00001499" w:rsidRDefault="009C29A2" w:rsidP="00FC7A97">
            <w:pPr>
              <w:pStyle w:val="TableText0"/>
              <w:keepLines/>
              <w:widowControl w:val="0"/>
              <w:jc w:val="center"/>
              <w:rPr>
                <w:bCs w:val="0"/>
                <w:iCs/>
              </w:rPr>
            </w:pPr>
            <w:r w:rsidRPr="00001499">
              <w:rPr>
                <w:bCs w:val="0"/>
                <w:iCs/>
              </w:rPr>
              <w:t>-</w:t>
            </w:r>
          </w:p>
        </w:tc>
        <w:tc>
          <w:tcPr>
            <w:tcW w:w="794" w:type="pct"/>
          </w:tcPr>
          <w:p w14:paraId="5B53DD7E" w14:textId="77777777" w:rsidR="009C29A2" w:rsidRPr="00001499" w:rsidRDefault="009C29A2" w:rsidP="00FC7A97">
            <w:pPr>
              <w:pStyle w:val="TableText0"/>
              <w:keepLines/>
              <w:widowControl w:val="0"/>
              <w:jc w:val="center"/>
              <w:rPr>
                <w:b/>
                <w:iCs/>
              </w:rPr>
            </w:pPr>
            <w:r w:rsidRPr="00001499">
              <w:rPr>
                <w:rFonts w:cs="Calibri"/>
                <w:iCs/>
                <w:color w:val="000000"/>
              </w:rPr>
              <w:t>Dominated</w:t>
            </w:r>
          </w:p>
        </w:tc>
        <w:tc>
          <w:tcPr>
            <w:tcW w:w="679" w:type="pct"/>
          </w:tcPr>
          <w:p w14:paraId="3B64FF25" w14:textId="77777777" w:rsidR="009C29A2" w:rsidRPr="00001499" w:rsidRDefault="009C29A2" w:rsidP="00FC7A97">
            <w:pPr>
              <w:pStyle w:val="TableText0"/>
              <w:keepLines/>
              <w:widowControl w:val="0"/>
              <w:jc w:val="center"/>
              <w:rPr>
                <w:bCs w:val="0"/>
                <w:iCs/>
              </w:rPr>
            </w:pPr>
            <w:r w:rsidRPr="00001499">
              <w:rPr>
                <w:bCs w:val="0"/>
                <w:iCs/>
              </w:rPr>
              <w:t>-</w:t>
            </w:r>
          </w:p>
        </w:tc>
      </w:tr>
      <w:tr w:rsidR="009C29A2" w:rsidRPr="00001499" w14:paraId="71B091C4" w14:textId="77777777" w:rsidTr="00D76B55">
        <w:tc>
          <w:tcPr>
            <w:tcW w:w="2043" w:type="pct"/>
            <w:vAlign w:val="bottom"/>
          </w:tcPr>
          <w:p w14:paraId="1C9BE321" w14:textId="77777777" w:rsidR="009C29A2" w:rsidRPr="00001499" w:rsidRDefault="009C29A2" w:rsidP="00FC7A97">
            <w:pPr>
              <w:pStyle w:val="TableText0"/>
              <w:keepLines/>
              <w:widowControl w:val="0"/>
              <w:rPr>
                <w:b/>
                <w:iCs/>
              </w:rPr>
            </w:pPr>
            <w:r w:rsidRPr="00001499">
              <w:rPr>
                <w:iCs/>
              </w:rPr>
              <w:t xml:space="preserve">  Season 2019</w:t>
            </w:r>
          </w:p>
        </w:tc>
        <w:tc>
          <w:tcPr>
            <w:tcW w:w="742" w:type="pct"/>
            <w:shd w:val="solid" w:color="000000" w:fill="000000"/>
          </w:tcPr>
          <w:p w14:paraId="23651BDE" w14:textId="7EC9A6FA" w:rsidR="009C29A2" w:rsidRPr="00D76B55" w:rsidRDefault="00D76B55" w:rsidP="00FC7A97">
            <w:pPr>
              <w:pStyle w:val="TableText0"/>
              <w:keepLines/>
              <w:widowControl w:val="0"/>
              <w:jc w:val="center"/>
              <w:rPr>
                <w:b/>
                <w:iCs/>
              </w:rPr>
            </w:pPr>
            <w:r w:rsidRPr="00D76B55">
              <w:rPr>
                <w:rFonts w:cs="Calibri"/>
                <w:iCs/>
                <w:color w:val="000000"/>
                <w:spacing w:val="180"/>
                <w:fitText w:val="266" w:id="-1404292851"/>
                <w14:textFill>
                  <w14:solidFill>
                    <w14:srgbClr w14:val="000000">
                      <w14:alpha w14:val="100000"/>
                    </w14:srgbClr>
                  </w14:solidFill>
                </w14:textFill>
              </w:rPr>
              <w:t>|</w:t>
            </w:r>
            <w:r w:rsidRPr="00D76B55">
              <w:rPr>
                <w:rFonts w:cs="Calibri"/>
                <w:iCs/>
                <w:color w:val="000000"/>
                <w:fitText w:val="266" w:id="-1404292851"/>
                <w14:textFill>
                  <w14:solidFill>
                    <w14:srgbClr w14:val="000000">
                      <w14:alpha w14:val="100000"/>
                    </w14:srgbClr>
                  </w14:solidFill>
                </w14:textFill>
              </w:rPr>
              <w:t>|</w:t>
            </w:r>
          </w:p>
        </w:tc>
        <w:tc>
          <w:tcPr>
            <w:tcW w:w="742" w:type="pct"/>
          </w:tcPr>
          <w:p w14:paraId="78EAD3EF" w14:textId="77777777" w:rsidR="009C29A2" w:rsidRPr="00001499" w:rsidRDefault="009C29A2" w:rsidP="00FC7A97">
            <w:pPr>
              <w:pStyle w:val="TableText0"/>
              <w:keepLines/>
              <w:widowControl w:val="0"/>
              <w:jc w:val="center"/>
              <w:rPr>
                <w:b/>
                <w:iCs/>
              </w:rPr>
            </w:pPr>
            <w:r w:rsidRPr="00001499">
              <w:rPr>
                <w:rFonts w:cs="Calibri"/>
                <w:iCs/>
                <w:color w:val="000000"/>
              </w:rPr>
              <w:t>0.000250</w:t>
            </w:r>
          </w:p>
        </w:tc>
        <w:tc>
          <w:tcPr>
            <w:tcW w:w="794" w:type="pct"/>
          </w:tcPr>
          <w:p w14:paraId="63D1722E" w14:textId="1BDB8FC6" w:rsidR="009C29A2" w:rsidRPr="00A67347" w:rsidRDefault="009C29A2" w:rsidP="00FC7A97">
            <w:pPr>
              <w:pStyle w:val="TableText0"/>
              <w:keepLines/>
              <w:widowControl w:val="0"/>
              <w:jc w:val="center"/>
              <w:rPr>
                <w:b/>
                <w:iCs/>
                <w:vertAlign w:val="superscript"/>
              </w:rPr>
            </w:pPr>
            <w:r w:rsidRPr="00001499">
              <w:rPr>
                <w:rFonts w:cs="Calibri"/>
                <w:iCs/>
                <w:color w:val="000000"/>
              </w:rPr>
              <w:t>$</w:t>
            </w:r>
            <w:r w:rsidR="00D76B55" w:rsidRPr="00D76B55">
              <w:rPr>
                <w:rFonts w:cs="Calibri"/>
                <w:iCs/>
                <w:color w:val="000000"/>
                <w:spacing w:val="213"/>
                <w:shd w:val="solid" w:color="000000" w:fill="000000"/>
                <w:fitText w:val="299" w:id="-1404292850"/>
                <w14:textFill>
                  <w14:solidFill>
                    <w14:srgbClr w14:val="000000">
                      <w14:alpha w14:val="100000"/>
                    </w14:srgbClr>
                  </w14:solidFill>
                </w14:textFill>
              </w:rPr>
              <w:t>|</w:t>
            </w:r>
            <w:r w:rsidR="00D76B55" w:rsidRPr="00D76B55">
              <w:rPr>
                <w:rFonts w:cs="Calibri"/>
                <w:iCs/>
                <w:color w:val="000000"/>
                <w:spacing w:val="1"/>
                <w:shd w:val="solid" w:color="000000" w:fill="000000"/>
                <w:fitText w:val="299" w:id="-1404292850"/>
                <w14:textFill>
                  <w14:solidFill>
                    <w14:srgbClr w14:val="000000">
                      <w14:alpha w14:val="100000"/>
                    </w14:srgbClr>
                  </w14:solidFill>
                </w14:textFill>
              </w:rPr>
              <w:t>|</w:t>
            </w:r>
            <w:r w:rsidR="009E1845">
              <w:rPr>
                <w:rFonts w:cs="Calibri"/>
                <w:iCs/>
                <w:color w:val="000000"/>
                <w:vertAlign w:val="superscript"/>
              </w:rPr>
              <w:t>4</w:t>
            </w:r>
          </w:p>
        </w:tc>
        <w:tc>
          <w:tcPr>
            <w:tcW w:w="679" w:type="pct"/>
          </w:tcPr>
          <w:p w14:paraId="75164060" w14:textId="77777777" w:rsidR="009C29A2" w:rsidRPr="00001499" w:rsidRDefault="009C29A2" w:rsidP="00FC7A97">
            <w:pPr>
              <w:pStyle w:val="TableText0"/>
              <w:keepLines/>
              <w:widowControl w:val="0"/>
              <w:jc w:val="center"/>
              <w:rPr>
                <w:bCs w:val="0"/>
                <w:iCs/>
              </w:rPr>
            </w:pPr>
            <w:r w:rsidRPr="00001499">
              <w:rPr>
                <w:bCs w:val="0"/>
                <w:iCs/>
              </w:rPr>
              <w:t>-76%</w:t>
            </w:r>
          </w:p>
        </w:tc>
      </w:tr>
      <w:tr w:rsidR="009C29A2" w:rsidRPr="00001499" w14:paraId="6AE188C2" w14:textId="77777777" w:rsidTr="00D76B55">
        <w:tc>
          <w:tcPr>
            <w:tcW w:w="2043" w:type="pct"/>
          </w:tcPr>
          <w:p w14:paraId="1DD505D0" w14:textId="77777777" w:rsidR="009C29A2" w:rsidRPr="00001499" w:rsidRDefault="009C29A2" w:rsidP="00FC7A97">
            <w:pPr>
              <w:pStyle w:val="TableText0"/>
              <w:keepLines/>
              <w:widowControl w:val="0"/>
              <w:rPr>
                <w:b/>
              </w:rPr>
            </w:pPr>
            <w:r w:rsidRPr="00001499">
              <w:rPr>
                <w:b/>
              </w:rPr>
              <w:t>Children 2-4 years</w:t>
            </w:r>
          </w:p>
        </w:tc>
        <w:tc>
          <w:tcPr>
            <w:tcW w:w="742" w:type="pct"/>
            <w:tcBorders>
              <w:bottom w:val="single" w:sz="4" w:space="0" w:color="auto"/>
            </w:tcBorders>
          </w:tcPr>
          <w:p w14:paraId="104CCEE9" w14:textId="77777777" w:rsidR="009C29A2" w:rsidRPr="00001499" w:rsidRDefault="009C29A2" w:rsidP="00FC7A97">
            <w:pPr>
              <w:pStyle w:val="TableText0"/>
              <w:keepLines/>
              <w:widowControl w:val="0"/>
              <w:jc w:val="center"/>
              <w:rPr>
                <w:rFonts w:ascii="Calibri" w:hAnsi="Calibri" w:cs="Calibri"/>
                <w:b/>
                <w:color w:val="000000"/>
              </w:rPr>
            </w:pPr>
          </w:p>
        </w:tc>
        <w:tc>
          <w:tcPr>
            <w:tcW w:w="742" w:type="pct"/>
          </w:tcPr>
          <w:p w14:paraId="6DAA8C05" w14:textId="77777777" w:rsidR="009C29A2" w:rsidRPr="00001499" w:rsidRDefault="009C29A2" w:rsidP="00FC7A97">
            <w:pPr>
              <w:pStyle w:val="TableText0"/>
              <w:keepLines/>
              <w:widowControl w:val="0"/>
              <w:jc w:val="center"/>
              <w:rPr>
                <w:rFonts w:ascii="Calibri" w:hAnsi="Calibri" w:cs="Calibri"/>
                <w:b/>
                <w:color w:val="000000"/>
              </w:rPr>
            </w:pPr>
          </w:p>
        </w:tc>
        <w:tc>
          <w:tcPr>
            <w:tcW w:w="794" w:type="pct"/>
          </w:tcPr>
          <w:p w14:paraId="42CA91AE" w14:textId="77777777" w:rsidR="009C29A2" w:rsidRPr="00001499" w:rsidRDefault="009C29A2" w:rsidP="00FC7A97">
            <w:pPr>
              <w:pStyle w:val="TableText0"/>
              <w:keepLines/>
              <w:widowControl w:val="0"/>
              <w:jc w:val="center"/>
              <w:rPr>
                <w:rFonts w:ascii="Calibri" w:hAnsi="Calibri" w:cs="Calibri"/>
                <w:b/>
                <w:color w:val="000000"/>
              </w:rPr>
            </w:pPr>
          </w:p>
        </w:tc>
        <w:tc>
          <w:tcPr>
            <w:tcW w:w="679" w:type="pct"/>
          </w:tcPr>
          <w:p w14:paraId="70438F68" w14:textId="77777777" w:rsidR="009C29A2" w:rsidRPr="00001499" w:rsidRDefault="009C29A2" w:rsidP="00FC7A97">
            <w:pPr>
              <w:pStyle w:val="TableText0"/>
              <w:keepLines/>
              <w:widowControl w:val="0"/>
              <w:jc w:val="center"/>
              <w:rPr>
                <w:b/>
              </w:rPr>
            </w:pPr>
          </w:p>
        </w:tc>
      </w:tr>
      <w:tr w:rsidR="009C29A2" w:rsidRPr="00001499" w14:paraId="6B74BFC2" w14:textId="77777777" w:rsidTr="00D76B55">
        <w:tc>
          <w:tcPr>
            <w:tcW w:w="2043" w:type="pct"/>
          </w:tcPr>
          <w:p w14:paraId="69485D9B" w14:textId="77777777" w:rsidR="009C29A2" w:rsidRPr="00001499" w:rsidRDefault="009C29A2" w:rsidP="00FC7A97">
            <w:pPr>
              <w:pStyle w:val="TableText0"/>
              <w:keepLines/>
              <w:widowControl w:val="0"/>
              <w:tabs>
                <w:tab w:val="left" w:pos="308"/>
              </w:tabs>
              <w:rPr>
                <w:b/>
              </w:rPr>
            </w:pPr>
            <w:r w:rsidRPr="00001499">
              <w:rPr>
                <w:b/>
              </w:rPr>
              <w:t>Base case (2015-2019)</w:t>
            </w:r>
          </w:p>
        </w:tc>
        <w:tc>
          <w:tcPr>
            <w:tcW w:w="742" w:type="pct"/>
            <w:tcBorders>
              <w:bottom w:val="single" w:sz="4" w:space="0" w:color="auto"/>
            </w:tcBorders>
            <w:shd w:val="solid" w:color="000000" w:fill="000000"/>
          </w:tcPr>
          <w:p w14:paraId="183BE924" w14:textId="24CE8B44" w:rsidR="009C29A2" w:rsidRPr="00D76B55" w:rsidRDefault="00D76B55" w:rsidP="00FC7A97">
            <w:pPr>
              <w:pStyle w:val="TableText0"/>
              <w:keepLines/>
              <w:widowControl w:val="0"/>
              <w:jc w:val="center"/>
              <w:rPr>
                <w:rFonts w:ascii="Calibri" w:hAnsi="Calibri" w:cs="Calibri"/>
                <w:b/>
                <w:color w:val="000000"/>
              </w:rPr>
            </w:pPr>
            <w:r w:rsidRPr="00D76B55">
              <w:rPr>
                <w:b/>
                <w:color w:val="000000"/>
                <w:spacing w:val="152"/>
                <w:fitText w:val="244" w:id="-1404292849"/>
                <w14:textFill>
                  <w14:solidFill>
                    <w14:srgbClr w14:val="000000">
                      <w14:alpha w14:val="100000"/>
                    </w14:srgbClr>
                  </w14:solidFill>
                </w14:textFill>
              </w:rPr>
              <w:t>|</w:t>
            </w:r>
            <w:r w:rsidRPr="00D76B55">
              <w:rPr>
                <w:b/>
                <w:color w:val="000000"/>
                <w:fitText w:val="244" w:id="-1404292849"/>
                <w14:textFill>
                  <w14:solidFill>
                    <w14:srgbClr w14:val="000000">
                      <w14:alpha w14:val="100000"/>
                    </w14:srgbClr>
                  </w14:solidFill>
                </w14:textFill>
              </w:rPr>
              <w:t>|</w:t>
            </w:r>
          </w:p>
        </w:tc>
        <w:tc>
          <w:tcPr>
            <w:tcW w:w="742" w:type="pct"/>
          </w:tcPr>
          <w:p w14:paraId="4D6BB7C9" w14:textId="77777777" w:rsidR="009C29A2" w:rsidRPr="00001499" w:rsidRDefault="009C29A2" w:rsidP="00FC7A97">
            <w:pPr>
              <w:pStyle w:val="TableText0"/>
              <w:keepLines/>
              <w:widowControl w:val="0"/>
              <w:jc w:val="center"/>
              <w:rPr>
                <w:rFonts w:ascii="Calibri" w:hAnsi="Calibri" w:cs="Calibri"/>
                <w:b/>
                <w:color w:val="000000"/>
              </w:rPr>
            </w:pPr>
            <w:r w:rsidRPr="00001499">
              <w:rPr>
                <w:b/>
              </w:rPr>
              <w:t>0.000048</w:t>
            </w:r>
          </w:p>
        </w:tc>
        <w:tc>
          <w:tcPr>
            <w:tcW w:w="794" w:type="pct"/>
          </w:tcPr>
          <w:p w14:paraId="38766C37" w14:textId="676EE479" w:rsidR="009C29A2" w:rsidRPr="00A67347" w:rsidRDefault="009C29A2" w:rsidP="00FC7A97">
            <w:pPr>
              <w:pStyle w:val="TableText0"/>
              <w:keepLines/>
              <w:widowControl w:val="0"/>
              <w:jc w:val="center"/>
              <w:rPr>
                <w:rFonts w:ascii="Calibri" w:hAnsi="Calibri" w:cs="Calibri"/>
                <w:bCs w:val="0"/>
                <w:color w:val="000000"/>
                <w:vertAlign w:val="superscript"/>
              </w:rPr>
            </w:pPr>
            <w:r w:rsidRPr="00001499">
              <w:rPr>
                <w:b/>
              </w:rPr>
              <w:t>$</w:t>
            </w:r>
            <w:r w:rsidR="00D76B55" w:rsidRPr="00D76B55">
              <w:rPr>
                <w:b/>
                <w:color w:val="000000"/>
                <w:spacing w:val="174"/>
                <w:shd w:val="solid" w:color="000000" w:fill="000000"/>
                <w:fitText w:val="266" w:id="-1404292848"/>
                <w14:textFill>
                  <w14:solidFill>
                    <w14:srgbClr w14:val="000000">
                      <w14:alpha w14:val="100000"/>
                    </w14:srgbClr>
                  </w14:solidFill>
                </w14:textFill>
              </w:rPr>
              <w:t>|</w:t>
            </w:r>
            <w:r w:rsidR="00D76B55" w:rsidRPr="00D76B55">
              <w:rPr>
                <w:b/>
                <w:color w:val="000000"/>
                <w:spacing w:val="1"/>
                <w:shd w:val="solid" w:color="000000" w:fill="000000"/>
                <w:fitText w:val="266" w:id="-1404292848"/>
                <w14:textFill>
                  <w14:solidFill>
                    <w14:srgbClr w14:val="000000">
                      <w14:alpha w14:val="100000"/>
                    </w14:srgbClr>
                  </w14:solidFill>
                </w14:textFill>
              </w:rPr>
              <w:t>|</w:t>
            </w:r>
            <w:r w:rsidR="009E1845">
              <w:rPr>
                <w:bCs w:val="0"/>
                <w:vertAlign w:val="superscript"/>
              </w:rPr>
              <w:t>5</w:t>
            </w:r>
          </w:p>
        </w:tc>
        <w:tc>
          <w:tcPr>
            <w:tcW w:w="679" w:type="pct"/>
          </w:tcPr>
          <w:p w14:paraId="32225DC9" w14:textId="77777777" w:rsidR="009C29A2" w:rsidRPr="00001499" w:rsidRDefault="009C29A2" w:rsidP="00FC7A97">
            <w:pPr>
              <w:pStyle w:val="TableText0"/>
              <w:keepLines/>
              <w:widowControl w:val="0"/>
              <w:jc w:val="center"/>
              <w:rPr>
                <w:rFonts w:ascii="Calibri" w:hAnsi="Calibri" w:cs="Calibri"/>
                <w:b/>
                <w:color w:val="000000"/>
              </w:rPr>
            </w:pPr>
            <w:r w:rsidRPr="00001499">
              <w:t>184%</w:t>
            </w:r>
          </w:p>
        </w:tc>
      </w:tr>
      <w:tr w:rsidR="009C29A2" w:rsidRPr="00001499" w14:paraId="2951B159" w14:textId="77777777" w:rsidTr="00D76B55">
        <w:tc>
          <w:tcPr>
            <w:tcW w:w="2043" w:type="pct"/>
            <w:vAlign w:val="bottom"/>
          </w:tcPr>
          <w:p w14:paraId="78ED6A36" w14:textId="77777777" w:rsidR="009C29A2" w:rsidRPr="00001499" w:rsidRDefault="009C29A2" w:rsidP="00FC7A97">
            <w:pPr>
              <w:pStyle w:val="TableText0"/>
              <w:keepLines/>
              <w:widowControl w:val="0"/>
            </w:pPr>
            <w:r w:rsidRPr="00001499">
              <w:t xml:space="preserve">  Season 2015</w:t>
            </w:r>
          </w:p>
        </w:tc>
        <w:tc>
          <w:tcPr>
            <w:tcW w:w="742" w:type="pct"/>
            <w:tcBorders>
              <w:bottom w:val="single" w:sz="4" w:space="0" w:color="auto"/>
            </w:tcBorders>
            <w:shd w:val="solid" w:color="000000" w:fill="000000"/>
          </w:tcPr>
          <w:p w14:paraId="471099D2" w14:textId="51138688" w:rsidR="009C29A2" w:rsidRPr="00D76B55" w:rsidRDefault="00D76B55" w:rsidP="00FC7A97">
            <w:pPr>
              <w:pStyle w:val="TableText0"/>
              <w:keepLines/>
              <w:widowControl w:val="0"/>
              <w:jc w:val="center"/>
              <w:rPr>
                <w:rFonts w:ascii="Calibri" w:hAnsi="Calibri" w:cs="Calibri"/>
                <w:color w:val="000000"/>
              </w:rPr>
            </w:pPr>
            <w:r w:rsidRPr="00D76B55">
              <w:rPr>
                <w:color w:val="000000"/>
                <w:spacing w:val="180"/>
                <w:fitText w:val="266" w:id="-1404292864"/>
                <w14:textFill>
                  <w14:solidFill>
                    <w14:srgbClr w14:val="000000">
                      <w14:alpha w14:val="100000"/>
                    </w14:srgbClr>
                  </w14:solidFill>
                </w14:textFill>
              </w:rPr>
              <w:t>|</w:t>
            </w:r>
            <w:r w:rsidRPr="00D76B55">
              <w:rPr>
                <w:color w:val="000000"/>
                <w:fitText w:val="266" w:id="-1404292864"/>
                <w14:textFill>
                  <w14:solidFill>
                    <w14:srgbClr w14:val="000000">
                      <w14:alpha w14:val="100000"/>
                    </w14:srgbClr>
                  </w14:solidFill>
                </w14:textFill>
              </w:rPr>
              <w:t>|</w:t>
            </w:r>
          </w:p>
        </w:tc>
        <w:tc>
          <w:tcPr>
            <w:tcW w:w="742" w:type="pct"/>
          </w:tcPr>
          <w:p w14:paraId="62E9DF09" w14:textId="77777777" w:rsidR="009C29A2" w:rsidRPr="00001499" w:rsidRDefault="009C29A2" w:rsidP="00FC7A97">
            <w:pPr>
              <w:pStyle w:val="TableText0"/>
              <w:keepLines/>
              <w:widowControl w:val="0"/>
              <w:jc w:val="center"/>
              <w:rPr>
                <w:rFonts w:ascii="Calibri" w:hAnsi="Calibri" w:cs="Calibri"/>
                <w:color w:val="000000"/>
              </w:rPr>
            </w:pPr>
            <w:r w:rsidRPr="00001499">
              <w:t>0.000043</w:t>
            </w:r>
          </w:p>
        </w:tc>
        <w:tc>
          <w:tcPr>
            <w:tcW w:w="794" w:type="pct"/>
          </w:tcPr>
          <w:p w14:paraId="411E3CA1" w14:textId="77F62EBB" w:rsidR="009C29A2" w:rsidRPr="00A67347" w:rsidRDefault="009C29A2" w:rsidP="00FC7A97">
            <w:pPr>
              <w:pStyle w:val="TableText0"/>
              <w:keepLines/>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63"/>
                <w14:textFill>
                  <w14:solidFill>
                    <w14:srgbClr w14:val="000000">
                      <w14:alpha w14:val="100000"/>
                    </w14:srgbClr>
                  </w14:solidFill>
                </w14:textFill>
              </w:rPr>
              <w:t>|</w:t>
            </w:r>
            <w:r w:rsidR="00D76B55" w:rsidRPr="00D76B55">
              <w:rPr>
                <w:color w:val="000000"/>
                <w:spacing w:val="1"/>
                <w:shd w:val="solid" w:color="000000" w:fill="000000"/>
                <w:fitText w:val="299" w:id="-1404292863"/>
                <w14:textFill>
                  <w14:solidFill>
                    <w14:srgbClr w14:val="000000">
                      <w14:alpha w14:val="100000"/>
                    </w14:srgbClr>
                  </w14:solidFill>
                </w14:textFill>
              </w:rPr>
              <w:t>|</w:t>
            </w:r>
            <w:r w:rsidR="009E1845">
              <w:rPr>
                <w:vertAlign w:val="superscript"/>
              </w:rPr>
              <w:t>6</w:t>
            </w:r>
          </w:p>
        </w:tc>
        <w:tc>
          <w:tcPr>
            <w:tcW w:w="679" w:type="pct"/>
          </w:tcPr>
          <w:p w14:paraId="4008B698" w14:textId="77777777" w:rsidR="009C29A2" w:rsidRPr="00001499" w:rsidRDefault="009C29A2" w:rsidP="00FC7A97">
            <w:pPr>
              <w:pStyle w:val="TableText0"/>
              <w:keepLines/>
              <w:widowControl w:val="0"/>
              <w:jc w:val="center"/>
              <w:rPr>
                <w:rFonts w:ascii="Calibri" w:hAnsi="Calibri" w:cs="Calibri"/>
                <w:color w:val="000000"/>
              </w:rPr>
            </w:pPr>
            <w:r w:rsidRPr="00001499">
              <w:t>230%</w:t>
            </w:r>
          </w:p>
        </w:tc>
      </w:tr>
      <w:tr w:rsidR="009C29A2" w:rsidRPr="00001499" w14:paraId="5B008472" w14:textId="77777777" w:rsidTr="00D76B55">
        <w:tc>
          <w:tcPr>
            <w:tcW w:w="2043" w:type="pct"/>
            <w:vAlign w:val="bottom"/>
          </w:tcPr>
          <w:p w14:paraId="3E0D6BCA" w14:textId="77777777" w:rsidR="009C29A2" w:rsidRPr="00001499" w:rsidRDefault="009C29A2" w:rsidP="00FC7A97">
            <w:pPr>
              <w:pStyle w:val="TableText0"/>
              <w:keepLines/>
              <w:widowControl w:val="0"/>
            </w:pPr>
            <w:r w:rsidRPr="00001499">
              <w:t xml:space="preserve">  Season 2016</w:t>
            </w:r>
          </w:p>
        </w:tc>
        <w:tc>
          <w:tcPr>
            <w:tcW w:w="742" w:type="pct"/>
            <w:tcBorders>
              <w:bottom w:val="single" w:sz="4" w:space="0" w:color="auto"/>
            </w:tcBorders>
            <w:shd w:val="solid" w:color="000000" w:fill="000000"/>
          </w:tcPr>
          <w:p w14:paraId="23ECF0A9" w14:textId="0C1FE43C" w:rsidR="009C29A2" w:rsidRPr="00D76B55" w:rsidRDefault="00D76B55" w:rsidP="00FC7A97">
            <w:pPr>
              <w:pStyle w:val="TableText0"/>
              <w:keepLines/>
              <w:widowControl w:val="0"/>
              <w:jc w:val="center"/>
              <w:rPr>
                <w:rFonts w:ascii="Calibri" w:hAnsi="Calibri" w:cs="Calibri"/>
                <w:color w:val="000000"/>
              </w:rPr>
            </w:pPr>
            <w:r w:rsidRPr="00D76B55">
              <w:rPr>
                <w:color w:val="000000"/>
                <w:spacing w:val="180"/>
                <w:fitText w:val="266" w:id="-1404292862"/>
                <w14:textFill>
                  <w14:solidFill>
                    <w14:srgbClr w14:val="000000">
                      <w14:alpha w14:val="100000"/>
                    </w14:srgbClr>
                  </w14:solidFill>
                </w14:textFill>
              </w:rPr>
              <w:t>|</w:t>
            </w:r>
            <w:r w:rsidRPr="00D76B55">
              <w:rPr>
                <w:color w:val="000000"/>
                <w:fitText w:val="266" w:id="-1404292862"/>
                <w14:textFill>
                  <w14:solidFill>
                    <w14:srgbClr w14:val="000000">
                      <w14:alpha w14:val="100000"/>
                    </w14:srgbClr>
                  </w14:solidFill>
                </w14:textFill>
              </w:rPr>
              <w:t>|</w:t>
            </w:r>
          </w:p>
        </w:tc>
        <w:tc>
          <w:tcPr>
            <w:tcW w:w="742" w:type="pct"/>
          </w:tcPr>
          <w:p w14:paraId="53D959C9" w14:textId="77777777" w:rsidR="009C29A2" w:rsidRPr="00001499" w:rsidRDefault="009C29A2" w:rsidP="00FC7A97">
            <w:pPr>
              <w:pStyle w:val="TableText0"/>
              <w:keepLines/>
              <w:widowControl w:val="0"/>
              <w:jc w:val="center"/>
              <w:rPr>
                <w:rFonts w:ascii="Calibri" w:hAnsi="Calibri" w:cs="Calibri"/>
                <w:color w:val="000000"/>
              </w:rPr>
            </w:pPr>
            <w:r w:rsidRPr="00001499">
              <w:t>0.000040</w:t>
            </w:r>
          </w:p>
        </w:tc>
        <w:tc>
          <w:tcPr>
            <w:tcW w:w="794" w:type="pct"/>
          </w:tcPr>
          <w:p w14:paraId="54565E6B" w14:textId="4C6E63F4" w:rsidR="009C29A2" w:rsidRPr="00A67347" w:rsidRDefault="009C29A2" w:rsidP="00FC7A97">
            <w:pPr>
              <w:pStyle w:val="TableText0"/>
              <w:keepLines/>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61"/>
                <w14:textFill>
                  <w14:solidFill>
                    <w14:srgbClr w14:val="000000">
                      <w14:alpha w14:val="100000"/>
                    </w14:srgbClr>
                  </w14:solidFill>
                </w14:textFill>
              </w:rPr>
              <w:t>|</w:t>
            </w:r>
            <w:r w:rsidR="00D76B55" w:rsidRPr="00D76B55">
              <w:rPr>
                <w:color w:val="000000"/>
                <w:spacing w:val="1"/>
                <w:shd w:val="solid" w:color="000000" w:fill="000000"/>
                <w:fitText w:val="299" w:id="-1404292861"/>
                <w14:textFill>
                  <w14:solidFill>
                    <w14:srgbClr w14:val="000000">
                      <w14:alpha w14:val="100000"/>
                    </w14:srgbClr>
                  </w14:solidFill>
                </w14:textFill>
              </w:rPr>
              <w:t>|</w:t>
            </w:r>
            <w:r w:rsidR="009E1845">
              <w:rPr>
                <w:vertAlign w:val="superscript"/>
              </w:rPr>
              <w:t>6</w:t>
            </w:r>
          </w:p>
        </w:tc>
        <w:tc>
          <w:tcPr>
            <w:tcW w:w="679" w:type="pct"/>
          </w:tcPr>
          <w:p w14:paraId="10710604" w14:textId="77777777" w:rsidR="009C29A2" w:rsidRPr="00001499" w:rsidRDefault="009C29A2" w:rsidP="00FC7A97">
            <w:pPr>
              <w:pStyle w:val="TableText0"/>
              <w:keepLines/>
              <w:widowControl w:val="0"/>
              <w:jc w:val="center"/>
              <w:rPr>
                <w:rFonts w:ascii="Calibri" w:hAnsi="Calibri" w:cs="Calibri"/>
                <w:color w:val="000000"/>
              </w:rPr>
            </w:pPr>
            <w:r w:rsidRPr="00001499">
              <w:t>252%</w:t>
            </w:r>
          </w:p>
        </w:tc>
      </w:tr>
      <w:tr w:rsidR="009C29A2" w:rsidRPr="00001499" w14:paraId="07B1BD1C" w14:textId="77777777" w:rsidTr="00D76B55">
        <w:tc>
          <w:tcPr>
            <w:tcW w:w="2043" w:type="pct"/>
            <w:vAlign w:val="bottom"/>
          </w:tcPr>
          <w:p w14:paraId="3DE5DDB5" w14:textId="77777777" w:rsidR="009C29A2" w:rsidRPr="00001499" w:rsidRDefault="009C29A2" w:rsidP="00FC7A97">
            <w:pPr>
              <w:pStyle w:val="TableText0"/>
              <w:keepLines/>
              <w:widowControl w:val="0"/>
            </w:pPr>
            <w:r w:rsidRPr="00001499">
              <w:t xml:space="preserve">  Season 2017</w:t>
            </w:r>
          </w:p>
        </w:tc>
        <w:tc>
          <w:tcPr>
            <w:tcW w:w="742" w:type="pct"/>
            <w:tcBorders>
              <w:bottom w:val="single" w:sz="4" w:space="0" w:color="auto"/>
            </w:tcBorders>
            <w:shd w:val="solid" w:color="000000" w:fill="000000"/>
          </w:tcPr>
          <w:p w14:paraId="36774FDB" w14:textId="226CA860" w:rsidR="009C29A2" w:rsidRPr="00D76B55" w:rsidRDefault="00D76B55" w:rsidP="00FC7A97">
            <w:pPr>
              <w:pStyle w:val="TableText0"/>
              <w:keepLines/>
              <w:widowControl w:val="0"/>
              <w:jc w:val="center"/>
              <w:rPr>
                <w:rFonts w:ascii="Calibri" w:hAnsi="Calibri" w:cs="Calibri"/>
                <w:color w:val="000000"/>
              </w:rPr>
            </w:pPr>
            <w:r w:rsidRPr="00D76B55">
              <w:rPr>
                <w:color w:val="000000"/>
                <w:spacing w:val="180"/>
                <w:fitText w:val="266" w:id="-1404292860"/>
                <w14:textFill>
                  <w14:solidFill>
                    <w14:srgbClr w14:val="000000">
                      <w14:alpha w14:val="100000"/>
                    </w14:srgbClr>
                  </w14:solidFill>
                </w14:textFill>
              </w:rPr>
              <w:t>|</w:t>
            </w:r>
            <w:r w:rsidRPr="00D76B55">
              <w:rPr>
                <w:color w:val="000000"/>
                <w:fitText w:val="266" w:id="-1404292860"/>
                <w14:textFill>
                  <w14:solidFill>
                    <w14:srgbClr w14:val="000000">
                      <w14:alpha w14:val="100000"/>
                    </w14:srgbClr>
                  </w14:solidFill>
                </w14:textFill>
              </w:rPr>
              <w:t>|</w:t>
            </w:r>
          </w:p>
        </w:tc>
        <w:tc>
          <w:tcPr>
            <w:tcW w:w="742" w:type="pct"/>
          </w:tcPr>
          <w:p w14:paraId="1A3F5C01" w14:textId="77777777" w:rsidR="009C29A2" w:rsidRPr="00001499" w:rsidRDefault="009C29A2" w:rsidP="00FC7A97">
            <w:pPr>
              <w:pStyle w:val="TableText0"/>
              <w:keepLines/>
              <w:widowControl w:val="0"/>
              <w:jc w:val="center"/>
              <w:rPr>
                <w:rFonts w:ascii="Calibri" w:hAnsi="Calibri" w:cs="Calibri"/>
                <w:color w:val="000000"/>
              </w:rPr>
            </w:pPr>
            <w:r w:rsidRPr="00001499">
              <w:t>0.000083</w:t>
            </w:r>
          </w:p>
        </w:tc>
        <w:tc>
          <w:tcPr>
            <w:tcW w:w="794" w:type="pct"/>
          </w:tcPr>
          <w:p w14:paraId="0BB944DE" w14:textId="74EB34CC" w:rsidR="009C29A2" w:rsidRPr="00A67347" w:rsidRDefault="009C29A2" w:rsidP="00FC7A97">
            <w:pPr>
              <w:pStyle w:val="TableText0"/>
              <w:keepLines/>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9"/>
                <w14:textFill>
                  <w14:solidFill>
                    <w14:srgbClr w14:val="000000">
                      <w14:alpha w14:val="100000"/>
                    </w14:srgbClr>
                  </w14:solidFill>
                </w14:textFill>
              </w:rPr>
              <w:t>|</w:t>
            </w:r>
            <w:r w:rsidR="00D76B55" w:rsidRPr="00D76B55">
              <w:rPr>
                <w:color w:val="000000"/>
                <w:spacing w:val="1"/>
                <w:shd w:val="solid" w:color="000000" w:fill="000000"/>
                <w:fitText w:val="299" w:id="-1404292859"/>
                <w14:textFill>
                  <w14:solidFill>
                    <w14:srgbClr w14:val="000000">
                      <w14:alpha w14:val="100000"/>
                    </w14:srgbClr>
                  </w14:solidFill>
                </w14:textFill>
              </w:rPr>
              <w:t>|</w:t>
            </w:r>
            <w:r w:rsidR="009E1845">
              <w:rPr>
                <w:vertAlign w:val="superscript"/>
              </w:rPr>
              <w:t>1</w:t>
            </w:r>
          </w:p>
        </w:tc>
        <w:tc>
          <w:tcPr>
            <w:tcW w:w="679" w:type="pct"/>
          </w:tcPr>
          <w:p w14:paraId="5D93BC75" w14:textId="77777777" w:rsidR="009C29A2" w:rsidRPr="00001499" w:rsidRDefault="009C29A2" w:rsidP="00FC7A97">
            <w:pPr>
              <w:pStyle w:val="TableText0"/>
              <w:keepLines/>
              <w:widowControl w:val="0"/>
              <w:jc w:val="center"/>
              <w:rPr>
                <w:rFonts w:ascii="Calibri" w:hAnsi="Calibri" w:cs="Calibri"/>
                <w:color w:val="000000"/>
              </w:rPr>
            </w:pPr>
            <w:r w:rsidRPr="00001499">
              <w:t>24%</w:t>
            </w:r>
          </w:p>
        </w:tc>
      </w:tr>
      <w:tr w:rsidR="009C29A2" w:rsidRPr="00001499" w14:paraId="34846D45" w14:textId="77777777" w:rsidTr="00D76B55">
        <w:tc>
          <w:tcPr>
            <w:tcW w:w="2043" w:type="pct"/>
            <w:vAlign w:val="bottom"/>
          </w:tcPr>
          <w:p w14:paraId="48B07E2A" w14:textId="77777777" w:rsidR="009C29A2" w:rsidRPr="00001499" w:rsidRDefault="009C29A2" w:rsidP="00FC7A97">
            <w:pPr>
              <w:pStyle w:val="TableText0"/>
              <w:keepLines/>
              <w:widowControl w:val="0"/>
            </w:pPr>
            <w:r w:rsidRPr="00001499">
              <w:t xml:space="preserve">  Season 2018</w:t>
            </w:r>
          </w:p>
        </w:tc>
        <w:tc>
          <w:tcPr>
            <w:tcW w:w="742" w:type="pct"/>
            <w:tcBorders>
              <w:bottom w:val="single" w:sz="4" w:space="0" w:color="auto"/>
            </w:tcBorders>
            <w:shd w:val="solid" w:color="000000" w:fill="000000"/>
          </w:tcPr>
          <w:p w14:paraId="35E4E46E" w14:textId="352CE821" w:rsidR="009C29A2" w:rsidRPr="00D76B55" w:rsidRDefault="00D76B55" w:rsidP="00FC7A97">
            <w:pPr>
              <w:pStyle w:val="TableText0"/>
              <w:keepLines/>
              <w:widowControl w:val="0"/>
              <w:jc w:val="center"/>
              <w:rPr>
                <w:rFonts w:ascii="Calibri" w:hAnsi="Calibri" w:cs="Calibri"/>
                <w:color w:val="000000"/>
              </w:rPr>
            </w:pPr>
            <w:r w:rsidRPr="00D76B55">
              <w:rPr>
                <w:color w:val="000000"/>
                <w:spacing w:val="180"/>
                <w:fitText w:val="266" w:id="-1404292858"/>
                <w14:textFill>
                  <w14:solidFill>
                    <w14:srgbClr w14:val="000000">
                      <w14:alpha w14:val="100000"/>
                    </w14:srgbClr>
                  </w14:solidFill>
                </w14:textFill>
              </w:rPr>
              <w:t>|</w:t>
            </w:r>
            <w:r w:rsidRPr="00D76B55">
              <w:rPr>
                <w:color w:val="000000"/>
                <w:fitText w:val="266" w:id="-1404292858"/>
                <w14:textFill>
                  <w14:solidFill>
                    <w14:srgbClr w14:val="000000">
                      <w14:alpha w14:val="100000"/>
                    </w14:srgbClr>
                  </w14:solidFill>
                </w14:textFill>
              </w:rPr>
              <w:t>|</w:t>
            </w:r>
          </w:p>
        </w:tc>
        <w:tc>
          <w:tcPr>
            <w:tcW w:w="742" w:type="pct"/>
          </w:tcPr>
          <w:p w14:paraId="291C1B44" w14:textId="77777777" w:rsidR="009C29A2" w:rsidRPr="00001499" w:rsidRDefault="009C29A2" w:rsidP="00FC7A97">
            <w:pPr>
              <w:pStyle w:val="TableText0"/>
              <w:keepLines/>
              <w:widowControl w:val="0"/>
              <w:jc w:val="center"/>
              <w:rPr>
                <w:rFonts w:ascii="Calibri" w:hAnsi="Calibri" w:cs="Calibri"/>
                <w:color w:val="000000"/>
              </w:rPr>
            </w:pPr>
            <w:r w:rsidRPr="00001499">
              <w:t>0.000000</w:t>
            </w:r>
          </w:p>
        </w:tc>
        <w:tc>
          <w:tcPr>
            <w:tcW w:w="794" w:type="pct"/>
          </w:tcPr>
          <w:p w14:paraId="364EC83C" w14:textId="795A70E4" w:rsidR="009C29A2" w:rsidRPr="00001499" w:rsidRDefault="009C29A2" w:rsidP="00FC7A97">
            <w:pPr>
              <w:pStyle w:val="TableText0"/>
              <w:keepLines/>
              <w:widowControl w:val="0"/>
              <w:jc w:val="center"/>
              <w:rPr>
                <w:rFonts w:ascii="Calibri" w:hAnsi="Calibri" w:cs="Calibri"/>
                <w:color w:val="000000"/>
                <w:vertAlign w:val="superscript"/>
              </w:rPr>
            </w:pPr>
            <w:r w:rsidRPr="00001499">
              <w:t xml:space="preserve">Dominated </w:t>
            </w:r>
            <w:r w:rsidR="00C55C64">
              <w:rPr>
                <w:vertAlign w:val="superscript"/>
              </w:rPr>
              <w:t>b</w:t>
            </w:r>
          </w:p>
        </w:tc>
        <w:tc>
          <w:tcPr>
            <w:tcW w:w="679" w:type="pct"/>
          </w:tcPr>
          <w:p w14:paraId="0764790C" w14:textId="77777777" w:rsidR="009C29A2" w:rsidRPr="00001499" w:rsidRDefault="009C29A2" w:rsidP="00FC7A97">
            <w:pPr>
              <w:pStyle w:val="TableText0"/>
              <w:keepLines/>
              <w:widowControl w:val="0"/>
              <w:jc w:val="center"/>
              <w:rPr>
                <w:rFonts w:ascii="Calibri" w:hAnsi="Calibri" w:cs="Calibri"/>
                <w:color w:val="000000"/>
              </w:rPr>
            </w:pPr>
          </w:p>
        </w:tc>
      </w:tr>
      <w:tr w:rsidR="009C29A2" w:rsidRPr="00001499" w14:paraId="17AE818C" w14:textId="77777777" w:rsidTr="00D76B55">
        <w:tc>
          <w:tcPr>
            <w:tcW w:w="2043" w:type="pct"/>
            <w:vAlign w:val="bottom"/>
          </w:tcPr>
          <w:p w14:paraId="5760B47A" w14:textId="77777777" w:rsidR="009C29A2" w:rsidRPr="00001499" w:rsidRDefault="009C29A2" w:rsidP="00FC7A97">
            <w:pPr>
              <w:pStyle w:val="TableText0"/>
              <w:keepLines/>
              <w:widowControl w:val="0"/>
            </w:pPr>
            <w:r w:rsidRPr="00001499">
              <w:t xml:space="preserve">  Season 2019</w:t>
            </w:r>
          </w:p>
        </w:tc>
        <w:tc>
          <w:tcPr>
            <w:tcW w:w="742" w:type="pct"/>
            <w:tcBorders>
              <w:bottom w:val="single" w:sz="4" w:space="0" w:color="auto"/>
            </w:tcBorders>
            <w:shd w:val="solid" w:color="000000" w:fill="000000"/>
          </w:tcPr>
          <w:p w14:paraId="33F87FF1" w14:textId="08FFE97D" w:rsidR="009C29A2" w:rsidRPr="00D76B55" w:rsidRDefault="00D76B55" w:rsidP="00FC7A97">
            <w:pPr>
              <w:pStyle w:val="TableText0"/>
              <w:keepLines/>
              <w:widowControl w:val="0"/>
              <w:jc w:val="center"/>
              <w:rPr>
                <w:rFonts w:ascii="Calibri" w:hAnsi="Calibri" w:cs="Calibri"/>
                <w:color w:val="000000"/>
              </w:rPr>
            </w:pPr>
            <w:r w:rsidRPr="00D76B55">
              <w:rPr>
                <w:color w:val="000000"/>
                <w:spacing w:val="180"/>
                <w:fitText w:val="266" w:id="-1404292857"/>
                <w14:textFill>
                  <w14:solidFill>
                    <w14:srgbClr w14:val="000000">
                      <w14:alpha w14:val="100000"/>
                    </w14:srgbClr>
                  </w14:solidFill>
                </w14:textFill>
              </w:rPr>
              <w:t>|</w:t>
            </w:r>
            <w:r w:rsidRPr="00D76B55">
              <w:rPr>
                <w:color w:val="000000"/>
                <w:fitText w:val="266" w:id="-1404292857"/>
                <w14:textFill>
                  <w14:solidFill>
                    <w14:srgbClr w14:val="000000">
                      <w14:alpha w14:val="100000"/>
                    </w14:srgbClr>
                  </w14:solidFill>
                </w14:textFill>
              </w:rPr>
              <w:t>|</w:t>
            </w:r>
          </w:p>
        </w:tc>
        <w:tc>
          <w:tcPr>
            <w:tcW w:w="742" w:type="pct"/>
          </w:tcPr>
          <w:p w14:paraId="5F510F4D" w14:textId="77777777" w:rsidR="009C29A2" w:rsidRPr="00001499" w:rsidRDefault="009C29A2" w:rsidP="00FC7A97">
            <w:pPr>
              <w:pStyle w:val="TableText0"/>
              <w:keepLines/>
              <w:widowControl w:val="0"/>
              <w:jc w:val="center"/>
              <w:rPr>
                <w:rFonts w:ascii="Calibri" w:hAnsi="Calibri" w:cs="Calibri"/>
                <w:color w:val="000000"/>
              </w:rPr>
            </w:pPr>
            <w:r w:rsidRPr="00001499">
              <w:t>0.000106</w:t>
            </w:r>
          </w:p>
        </w:tc>
        <w:tc>
          <w:tcPr>
            <w:tcW w:w="794" w:type="pct"/>
          </w:tcPr>
          <w:p w14:paraId="43C4D324" w14:textId="32812481" w:rsidR="009C29A2" w:rsidRPr="00A67347" w:rsidRDefault="009C29A2" w:rsidP="00FC7A97">
            <w:pPr>
              <w:pStyle w:val="TableText0"/>
              <w:keepLines/>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6"/>
                <w14:textFill>
                  <w14:solidFill>
                    <w14:srgbClr w14:val="000000">
                      <w14:alpha w14:val="100000"/>
                    </w14:srgbClr>
                  </w14:solidFill>
                </w14:textFill>
              </w:rPr>
              <w:t>|</w:t>
            </w:r>
            <w:r w:rsidR="00D76B55" w:rsidRPr="00D76B55">
              <w:rPr>
                <w:color w:val="000000"/>
                <w:spacing w:val="1"/>
                <w:shd w:val="solid" w:color="000000" w:fill="000000"/>
                <w:fitText w:val="299" w:id="-1404292856"/>
                <w14:textFill>
                  <w14:solidFill>
                    <w14:srgbClr w14:val="000000">
                      <w14:alpha w14:val="100000"/>
                    </w14:srgbClr>
                  </w14:solidFill>
                </w14:textFill>
              </w:rPr>
              <w:t>|</w:t>
            </w:r>
            <w:r w:rsidR="009E1845">
              <w:rPr>
                <w:vertAlign w:val="superscript"/>
              </w:rPr>
              <w:t>7</w:t>
            </w:r>
          </w:p>
        </w:tc>
        <w:tc>
          <w:tcPr>
            <w:tcW w:w="679" w:type="pct"/>
          </w:tcPr>
          <w:p w14:paraId="70E4E192" w14:textId="77777777" w:rsidR="009C29A2" w:rsidRPr="00001499" w:rsidRDefault="009C29A2" w:rsidP="00FC7A97">
            <w:pPr>
              <w:pStyle w:val="TableText0"/>
              <w:keepLines/>
              <w:widowControl w:val="0"/>
              <w:jc w:val="center"/>
              <w:rPr>
                <w:rFonts w:ascii="Calibri" w:hAnsi="Calibri" w:cs="Calibri"/>
                <w:color w:val="000000"/>
              </w:rPr>
            </w:pPr>
            <w:r w:rsidRPr="00001499">
              <w:t>-19%</w:t>
            </w:r>
          </w:p>
        </w:tc>
      </w:tr>
      <w:tr w:rsidR="009C29A2" w:rsidRPr="00001499" w14:paraId="569D6124" w14:textId="77777777" w:rsidTr="00D76B55">
        <w:tc>
          <w:tcPr>
            <w:tcW w:w="2043" w:type="pct"/>
            <w:vAlign w:val="bottom"/>
          </w:tcPr>
          <w:p w14:paraId="1CAC93BB" w14:textId="77777777" w:rsidR="009C29A2" w:rsidRPr="00001499" w:rsidRDefault="009C29A2" w:rsidP="00FC7A97">
            <w:pPr>
              <w:pStyle w:val="TableText0"/>
              <w:keepLines/>
              <w:widowControl w:val="0"/>
            </w:pPr>
            <w:r w:rsidRPr="00001499">
              <w:t xml:space="preserve">  Low rVE</w:t>
            </w:r>
          </w:p>
        </w:tc>
        <w:tc>
          <w:tcPr>
            <w:tcW w:w="742" w:type="pct"/>
            <w:tcBorders>
              <w:bottom w:val="single" w:sz="4" w:space="0" w:color="auto"/>
            </w:tcBorders>
            <w:shd w:val="solid" w:color="000000" w:fill="000000"/>
          </w:tcPr>
          <w:p w14:paraId="23AC256E" w14:textId="4A352851" w:rsidR="009C29A2" w:rsidRPr="00D76B55" w:rsidRDefault="00D76B55" w:rsidP="00FC7A97">
            <w:pPr>
              <w:pStyle w:val="TableText0"/>
              <w:keepLines/>
              <w:widowControl w:val="0"/>
              <w:jc w:val="center"/>
              <w:rPr>
                <w:rFonts w:ascii="Calibri" w:hAnsi="Calibri" w:cs="Calibri"/>
                <w:color w:val="000000"/>
              </w:rPr>
            </w:pPr>
            <w:r w:rsidRPr="00D76B55">
              <w:rPr>
                <w:color w:val="000000"/>
                <w:spacing w:val="180"/>
                <w:fitText w:val="266" w:id="-1404292855"/>
                <w14:textFill>
                  <w14:solidFill>
                    <w14:srgbClr w14:val="000000">
                      <w14:alpha w14:val="100000"/>
                    </w14:srgbClr>
                  </w14:solidFill>
                </w14:textFill>
              </w:rPr>
              <w:t>|</w:t>
            </w:r>
            <w:r w:rsidRPr="00D76B55">
              <w:rPr>
                <w:color w:val="000000"/>
                <w:fitText w:val="266" w:id="-1404292855"/>
                <w14:textFill>
                  <w14:solidFill>
                    <w14:srgbClr w14:val="000000">
                      <w14:alpha w14:val="100000"/>
                    </w14:srgbClr>
                  </w14:solidFill>
                </w14:textFill>
              </w:rPr>
              <w:t>|</w:t>
            </w:r>
          </w:p>
        </w:tc>
        <w:tc>
          <w:tcPr>
            <w:tcW w:w="742" w:type="pct"/>
          </w:tcPr>
          <w:p w14:paraId="1E24C527" w14:textId="77777777" w:rsidR="009C29A2" w:rsidRPr="00001499" w:rsidRDefault="009C29A2" w:rsidP="00FC7A97">
            <w:pPr>
              <w:pStyle w:val="TableText0"/>
              <w:keepLines/>
              <w:widowControl w:val="0"/>
              <w:jc w:val="center"/>
              <w:rPr>
                <w:rFonts w:ascii="Calibri" w:hAnsi="Calibri" w:cs="Calibri"/>
                <w:color w:val="000000"/>
              </w:rPr>
            </w:pPr>
            <w:r w:rsidRPr="00001499">
              <w:t>0.000033</w:t>
            </w:r>
          </w:p>
        </w:tc>
        <w:tc>
          <w:tcPr>
            <w:tcW w:w="794" w:type="pct"/>
          </w:tcPr>
          <w:p w14:paraId="03AC3AFE" w14:textId="14F268CF" w:rsidR="009C29A2" w:rsidRPr="00A67347" w:rsidRDefault="009C29A2" w:rsidP="00FC7A97">
            <w:pPr>
              <w:pStyle w:val="TableText0"/>
              <w:keepLines/>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4"/>
                <w14:textFill>
                  <w14:solidFill>
                    <w14:srgbClr w14:val="000000">
                      <w14:alpha w14:val="100000"/>
                    </w14:srgbClr>
                  </w14:solidFill>
                </w14:textFill>
              </w:rPr>
              <w:t>|</w:t>
            </w:r>
            <w:r w:rsidR="00D76B55" w:rsidRPr="00D76B55">
              <w:rPr>
                <w:color w:val="000000"/>
                <w:spacing w:val="1"/>
                <w:shd w:val="solid" w:color="000000" w:fill="000000"/>
                <w:fitText w:val="299" w:id="-1404292854"/>
                <w14:textFill>
                  <w14:solidFill>
                    <w14:srgbClr w14:val="000000">
                      <w14:alpha w14:val="100000"/>
                    </w14:srgbClr>
                  </w14:solidFill>
                </w14:textFill>
              </w:rPr>
              <w:t>|</w:t>
            </w:r>
            <w:r w:rsidR="009E1845">
              <w:rPr>
                <w:vertAlign w:val="superscript"/>
              </w:rPr>
              <w:t>8</w:t>
            </w:r>
          </w:p>
        </w:tc>
        <w:tc>
          <w:tcPr>
            <w:tcW w:w="679" w:type="pct"/>
          </w:tcPr>
          <w:p w14:paraId="015FE33E" w14:textId="77777777" w:rsidR="009C29A2" w:rsidRPr="00001499" w:rsidRDefault="009C29A2" w:rsidP="00FC7A97">
            <w:pPr>
              <w:pStyle w:val="TableText0"/>
              <w:keepLines/>
              <w:widowControl w:val="0"/>
              <w:jc w:val="center"/>
              <w:rPr>
                <w:rFonts w:ascii="Calibri" w:hAnsi="Calibri" w:cs="Calibri"/>
                <w:color w:val="000000"/>
              </w:rPr>
            </w:pPr>
            <w:r w:rsidRPr="00001499">
              <w:t>369%</w:t>
            </w:r>
          </w:p>
        </w:tc>
      </w:tr>
      <w:tr w:rsidR="009C29A2" w:rsidRPr="00001499" w14:paraId="6A3593F9" w14:textId="77777777" w:rsidTr="00D76B55">
        <w:tc>
          <w:tcPr>
            <w:tcW w:w="2043" w:type="pct"/>
            <w:vAlign w:val="bottom"/>
          </w:tcPr>
          <w:p w14:paraId="6EA494F1" w14:textId="77777777" w:rsidR="009C29A2" w:rsidRPr="00001499" w:rsidRDefault="009C29A2" w:rsidP="00FC7A97">
            <w:pPr>
              <w:pStyle w:val="TableText0"/>
              <w:keepLines/>
              <w:widowControl w:val="0"/>
            </w:pPr>
            <w:r w:rsidRPr="00001499">
              <w:t xml:space="preserve">  High rVE</w:t>
            </w:r>
          </w:p>
        </w:tc>
        <w:tc>
          <w:tcPr>
            <w:tcW w:w="742" w:type="pct"/>
            <w:tcBorders>
              <w:bottom w:val="single" w:sz="4" w:space="0" w:color="auto"/>
            </w:tcBorders>
            <w:shd w:val="solid" w:color="000000" w:fill="000000"/>
          </w:tcPr>
          <w:p w14:paraId="3AF2D850" w14:textId="7BCCED85" w:rsidR="009C29A2" w:rsidRPr="00D76B55" w:rsidRDefault="00D76B55" w:rsidP="00FC7A97">
            <w:pPr>
              <w:pStyle w:val="TableText0"/>
              <w:keepLines/>
              <w:widowControl w:val="0"/>
              <w:jc w:val="center"/>
              <w:rPr>
                <w:rFonts w:ascii="Calibri" w:hAnsi="Calibri" w:cs="Calibri"/>
                <w:color w:val="000000"/>
              </w:rPr>
            </w:pPr>
            <w:r w:rsidRPr="00D76B55">
              <w:rPr>
                <w:color w:val="000000"/>
                <w:spacing w:val="180"/>
                <w:fitText w:val="266" w:id="-1404292853"/>
                <w14:textFill>
                  <w14:solidFill>
                    <w14:srgbClr w14:val="000000">
                      <w14:alpha w14:val="100000"/>
                    </w14:srgbClr>
                  </w14:solidFill>
                </w14:textFill>
              </w:rPr>
              <w:t>|</w:t>
            </w:r>
            <w:r w:rsidRPr="00D76B55">
              <w:rPr>
                <w:color w:val="000000"/>
                <w:fitText w:val="266" w:id="-1404292853"/>
                <w14:textFill>
                  <w14:solidFill>
                    <w14:srgbClr w14:val="000000">
                      <w14:alpha w14:val="100000"/>
                    </w14:srgbClr>
                  </w14:solidFill>
                </w14:textFill>
              </w:rPr>
              <w:t>|</w:t>
            </w:r>
          </w:p>
        </w:tc>
        <w:tc>
          <w:tcPr>
            <w:tcW w:w="742" w:type="pct"/>
          </w:tcPr>
          <w:p w14:paraId="11614B29" w14:textId="77777777" w:rsidR="009C29A2" w:rsidRPr="00001499" w:rsidRDefault="009C29A2" w:rsidP="00FC7A97">
            <w:pPr>
              <w:pStyle w:val="TableText0"/>
              <w:keepLines/>
              <w:widowControl w:val="0"/>
              <w:jc w:val="center"/>
              <w:rPr>
                <w:rFonts w:ascii="Calibri" w:hAnsi="Calibri" w:cs="Calibri"/>
                <w:color w:val="000000"/>
              </w:rPr>
            </w:pPr>
            <w:r w:rsidRPr="00001499">
              <w:t>0.000072</w:t>
            </w:r>
          </w:p>
        </w:tc>
        <w:tc>
          <w:tcPr>
            <w:tcW w:w="794" w:type="pct"/>
          </w:tcPr>
          <w:p w14:paraId="5C8D0C0E" w14:textId="5D6CFE5F" w:rsidR="009C29A2" w:rsidRPr="00A67347" w:rsidRDefault="009C29A2" w:rsidP="00FC7A97">
            <w:pPr>
              <w:pStyle w:val="TableText0"/>
              <w:keepLines/>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2"/>
                <w14:textFill>
                  <w14:solidFill>
                    <w14:srgbClr w14:val="000000">
                      <w14:alpha w14:val="100000"/>
                    </w14:srgbClr>
                  </w14:solidFill>
                </w14:textFill>
              </w:rPr>
              <w:t>|</w:t>
            </w:r>
            <w:r w:rsidR="00D76B55" w:rsidRPr="00D76B55">
              <w:rPr>
                <w:color w:val="000000"/>
                <w:spacing w:val="1"/>
                <w:shd w:val="solid" w:color="000000" w:fill="000000"/>
                <w:fitText w:val="299" w:id="-1404292852"/>
                <w14:textFill>
                  <w14:solidFill>
                    <w14:srgbClr w14:val="000000">
                      <w14:alpha w14:val="100000"/>
                    </w14:srgbClr>
                  </w14:solidFill>
                </w14:textFill>
              </w:rPr>
              <w:t>|</w:t>
            </w:r>
            <w:r w:rsidR="009E1845">
              <w:rPr>
                <w:vertAlign w:val="superscript"/>
              </w:rPr>
              <w:t>2</w:t>
            </w:r>
          </w:p>
        </w:tc>
        <w:tc>
          <w:tcPr>
            <w:tcW w:w="679" w:type="pct"/>
          </w:tcPr>
          <w:p w14:paraId="2A145CB7" w14:textId="77777777" w:rsidR="009C29A2" w:rsidRPr="00001499" w:rsidRDefault="009C29A2" w:rsidP="00FC7A97">
            <w:pPr>
              <w:pStyle w:val="TableText0"/>
              <w:keepLines/>
              <w:widowControl w:val="0"/>
              <w:jc w:val="center"/>
              <w:rPr>
                <w:rFonts w:ascii="Calibri" w:hAnsi="Calibri" w:cs="Calibri"/>
                <w:color w:val="000000"/>
              </w:rPr>
            </w:pPr>
            <w:r w:rsidRPr="00001499">
              <w:t>56%</w:t>
            </w:r>
          </w:p>
        </w:tc>
      </w:tr>
      <w:tr w:rsidR="009C29A2" w:rsidRPr="00001499" w14:paraId="70BFD370" w14:textId="77777777" w:rsidTr="00D76B55">
        <w:tc>
          <w:tcPr>
            <w:tcW w:w="2043" w:type="pct"/>
            <w:vAlign w:val="bottom"/>
          </w:tcPr>
          <w:p w14:paraId="247A99D7" w14:textId="77777777" w:rsidR="009C29A2" w:rsidRPr="00001499" w:rsidRDefault="009C29A2" w:rsidP="00FC7A97">
            <w:pPr>
              <w:pStyle w:val="TableText0"/>
              <w:keepLines/>
              <w:widowControl w:val="0"/>
            </w:pPr>
            <w:r w:rsidRPr="00001499">
              <w:t xml:space="preserve">  Observed CFR</w:t>
            </w:r>
          </w:p>
        </w:tc>
        <w:tc>
          <w:tcPr>
            <w:tcW w:w="742" w:type="pct"/>
            <w:tcBorders>
              <w:bottom w:val="single" w:sz="4" w:space="0" w:color="auto"/>
            </w:tcBorders>
            <w:shd w:val="solid" w:color="000000" w:fill="000000"/>
          </w:tcPr>
          <w:p w14:paraId="0E6C938B" w14:textId="155EC912" w:rsidR="009C29A2" w:rsidRPr="00D76B55" w:rsidRDefault="00D76B55" w:rsidP="00FC7A97">
            <w:pPr>
              <w:pStyle w:val="TableText0"/>
              <w:keepLines/>
              <w:widowControl w:val="0"/>
              <w:jc w:val="center"/>
              <w:rPr>
                <w:rFonts w:ascii="Calibri" w:hAnsi="Calibri" w:cs="Calibri"/>
                <w:color w:val="000000"/>
              </w:rPr>
            </w:pPr>
            <w:r w:rsidRPr="00D76B55">
              <w:rPr>
                <w:color w:val="000000"/>
                <w:spacing w:val="180"/>
                <w:fitText w:val="266" w:id="-1404292851"/>
                <w14:textFill>
                  <w14:solidFill>
                    <w14:srgbClr w14:val="000000">
                      <w14:alpha w14:val="100000"/>
                    </w14:srgbClr>
                  </w14:solidFill>
                </w14:textFill>
              </w:rPr>
              <w:t>|</w:t>
            </w:r>
            <w:r w:rsidRPr="00D76B55">
              <w:rPr>
                <w:color w:val="000000"/>
                <w:fitText w:val="266" w:id="-1404292851"/>
                <w14:textFill>
                  <w14:solidFill>
                    <w14:srgbClr w14:val="000000">
                      <w14:alpha w14:val="100000"/>
                    </w14:srgbClr>
                  </w14:solidFill>
                </w14:textFill>
              </w:rPr>
              <w:t>|</w:t>
            </w:r>
          </w:p>
        </w:tc>
        <w:tc>
          <w:tcPr>
            <w:tcW w:w="742" w:type="pct"/>
          </w:tcPr>
          <w:p w14:paraId="7664E514" w14:textId="77777777" w:rsidR="009C29A2" w:rsidRPr="00001499" w:rsidRDefault="009C29A2" w:rsidP="00FC7A97">
            <w:pPr>
              <w:pStyle w:val="TableText0"/>
              <w:keepLines/>
              <w:widowControl w:val="0"/>
              <w:jc w:val="center"/>
              <w:rPr>
                <w:rFonts w:ascii="Calibri" w:hAnsi="Calibri" w:cs="Calibri"/>
                <w:color w:val="000000"/>
              </w:rPr>
            </w:pPr>
            <w:r w:rsidRPr="00001499">
              <w:t>0.000021</w:t>
            </w:r>
          </w:p>
        </w:tc>
        <w:tc>
          <w:tcPr>
            <w:tcW w:w="794" w:type="pct"/>
          </w:tcPr>
          <w:p w14:paraId="17B52934" w14:textId="0B085105" w:rsidR="009C29A2" w:rsidRPr="00A67347" w:rsidRDefault="009C29A2" w:rsidP="00FC7A97">
            <w:pPr>
              <w:pStyle w:val="TableText0"/>
              <w:keepLines/>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0"/>
                <w14:textFill>
                  <w14:solidFill>
                    <w14:srgbClr w14:val="000000">
                      <w14:alpha w14:val="100000"/>
                    </w14:srgbClr>
                  </w14:solidFill>
                </w14:textFill>
              </w:rPr>
              <w:t>|</w:t>
            </w:r>
            <w:r w:rsidR="00D76B55" w:rsidRPr="00D76B55">
              <w:rPr>
                <w:color w:val="000000"/>
                <w:spacing w:val="1"/>
                <w:shd w:val="solid" w:color="000000" w:fill="000000"/>
                <w:fitText w:val="299" w:id="-1404292850"/>
                <w14:textFill>
                  <w14:solidFill>
                    <w14:srgbClr w14:val="000000">
                      <w14:alpha w14:val="100000"/>
                    </w14:srgbClr>
                  </w14:solidFill>
                </w14:textFill>
              </w:rPr>
              <w:t>|</w:t>
            </w:r>
            <w:r w:rsidR="009E1845" w:rsidRPr="00A67347">
              <w:rPr>
                <w:vertAlign w:val="superscript"/>
              </w:rPr>
              <w:t>8</w:t>
            </w:r>
          </w:p>
        </w:tc>
        <w:tc>
          <w:tcPr>
            <w:tcW w:w="679" w:type="pct"/>
          </w:tcPr>
          <w:p w14:paraId="1BFA69F6" w14:textId="77777777" w:rsidR="009C29A2" w:rsidRPr="00001499" w:rsidRDefault="009C29A2" w:rsidP="00FC7A97">
            <w:pPr>
              <w:pStyle w:val="TableText0"/>
              <w:keepLines/>
              <w:widowControl w:val="0"/>
              <w:jc w:val="center"/>
              <w:rPr>
                <w:rFonts w:ascii="Calibri" w:hAnsi="Calibri" w:cs="Calibri"/>
                <w:color w:val="000000"/>
              </w:rPr>
            </w:pPr>
            <w:r w:rsidRPr="00001499">
              <w:t>547%</w:t>
            </w:r>
          </w:p>
        </w:tc>
      </w:tr>
      <w:tr w:rsidR="009C29A2" w:rsidRPr="00001499" w14:paraId="7B289EB7" w14:textId="77777777" w:rsidTr="00D76B55">
        <w:tc>
          <w:tcPr>
            <w:tcW w:w="2043" w:type="pct"/>
            <w:vAlign w:val="bottom"/>
          </w:tcPr>
          <w:p w14:paraId="0A1F5E0F" w14:textId="77777777" w:rsidR="009C29A2" w:rsidRPr="00001499" w:rsidRDefault="009C29A2" w:rsidP="00FC7A97">
            <w:pPr>
              <w:pStyle w:val="TableText0"/>
              <w:keepLines/>
              <w:widowControl w:val="0"/>
            </w:pPr>
            <w:r w:rsidRPr="00001499">
              <w:t xml:space="preserve">  Low rVE + Observed CFR</w:t>
            </w:r>
          </w:p>
        </w:tc>
        <w:tc>
          <w:tcPr>
            <w:tcW w:w="742" w:type="pct"/>
            <w:shd w:val="solid" w:color="000000" w:fill="000000"/>
          </w:tcPr>
          <w:p w14:paraId="70682E5A" w14:textId="32FDA06F" w:rsidR="009C29A2" w:rsidRPr="00D76B55" w:rsidRDefault="00D76B55" w:rsidP="00FC7A97">
            <w:pPr>
              <w:pStyle w:val="TableText0"/>
              <w:keepLines/>
              <w:widowControl w:val="0"/>
              <w:jc w:val="center"/>
              <w:rPr>
                <w:rFonts w:ascii="Calibri" w:hAnsi="Calibri" w:cs="Calibri"/>
                <w:color w:val="000000"/>
              </w:rPr>
            </w:pPr>
            <w:r w:rsidRPr="00D76B55">
              <w:rPr>
                <w:color w:val="000000"/>
                <w:spacing w:val="180"/>
                <w:fitText w:val="266" w:id="-1404292849"/>
                <w14:textFill>
                  <w14:solidFill>
                    <w14:srgbClr w14:val="000000">
                      <w14:alpha w14:val="100000"/>
                    </w14:srgbClr>
                  </w14:solidFill>
                </w14:textFill>
              </w:rPr>
              <w:t>|</w:t>
            </w:r>
            <w:r w:rsidRPr="00D76B55">
              <w:rPr>
                <w:color w:val="000000"/>
                <w:fitText w:val="266" w:id="-1404292849"/>
                <w14:textFill>
                  <w14:solidFill>
                    <w14:srgbClr w14:val="000000">
                      <w14:alpha w14:val="100000"/>
                    </w14:srgbClr>
                  </w14:solidFill>
                </w14:textFill>
              </w:rPr>
              <w:t>|</w:t>
            </w:r>
          </w:p>
        </w:tc>
        <w:tc>
          <w:tcPr>
            <w:tcW w:w="742" w:type="pct"/>
          </w:tcPr>
          <w:p w14:paraId="67C728C8" w14:textId="77777777" w:rsidR="009C29A2" w:rsidRPr="00001499" w:rsidRDefault="009C29A2" w:rsidP="00FC7A97">
            <w:pPr>
              <w:pStyle w:val="TableText0"/>
              <w:keepLines/>
              <w:widowControl w:val="0"/>
              <w:jc w:val="center"/>
              <w:rPr>
                <w:rFonts w:ascii="Calibri" w:hAnsi="Calibri" w:cs="Calibri"/>
                <w:color w:val="000000"/>
              </w:rPr>
            </w:pPr>
            <w:r w:rsidRPr="00001499">
              <w:t>0.000014</w:t>
            </w:r>
          </w:p>
        </w:tc>
        <w:tc>
          <w:tcPr>
            <w:tcW w:w="794" w:type="pct"/>
          </w:tcPr>
          <w:p w14:paraId="5E7464AF" w14:textId="5D27E3C9" w:rsidR="009C29A2" w:rsidRPr="00A67347" w:rsidRDefault="009C29A2" w:rsidP="00FC7A97">
            <w:pPr>
              <w:pStyle w:val="TableText0"/>
              <w:keepLines/>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48"/>
                <w14:textFill>
                  <w14:solidFill>
                    <w14:srgbClr w14:val="000000">
                      <w14:alpha w14:val="100000"/>
                    </w14:srgbClr>
                  </w14:solidFill>
                </w14:textFill>
              </w:rPr>
              <w:t>|</w:t>
            </w:r>
            <w:r w:rsidR="00D76B55" w:rsidRPr="00D76B55">
              <w:rPr>
                <w:color w:val="000000"/>
                <w:spacing w:val="1"/>
                <w:shd w:val="solid" w:color="000000" w:fill="000000"/>
                <w:fitText w:val="299" w:id="-1404292848"/>
                <w14:textFill>
                  <w14:solidFill>
                    <w14:srgbClr w14:val="000000">
                      <w14:alpha w14:val="100000"/>
                    </w14:srgbClr>
                  </w14:solidFill>
                </w14:textFill>
              </w:rPr>
              <w:t>|</w:t>
            </w:r>
            <w:r w:rsidR="009E1845">
              <w:rPr>
                <w:vertAlign w:val="superscript"/>
              </w:rPr>
              <w:t>9</w:t>
            </w:r>
          </w:p>
        </w:tc>
        <w:tc>
          <w:tcPr>
            <w:tcW w:w="679" w:type="pct"/>
          </w:tcPr>
          <w:p w14:paraId="32477A39" w14:textId="77777777" w:rsidR="009C29A2" w:rsidRPr="00001499" w:rsidRDefault="009C29A2" w:rsidP="00FC7A97">
            <w:pPr>
              <w:pStyle w:val="TableText0"/>
              <w:keepLines/>
              <w:widowControl w:val="0"/>
              <w:jc w:val="center"/>
              <w:rPr>
                <w:rFonts w:ascii="Calibri" w:hAnsi="Calibri" w:cs="Calibri"/>
                <w:color w:val="000000"/>
              </w:rPr>
            </w:pPr>
            <w:r w:rsidRPr="00001499">
              <w:t>969%</w:t>
            </w:r>
          </w:p>
        </w:tc>
      </w:tr>
      <w:tr w:rsidR="009C29A2" w:rsidRPr="00001499" w14:paraId="4A16CAAC" w14:textId="77777777" w:rsidTr="00D76B55">
        <w:tc>
          <w:tcPr>
            <w:tcW w:w="2043" w:type="pct"/>
          </w:tcPr>
          <w:p w14:paraId="605DD3A8" w14:textId="77777777" w:rsidR="009C29A2" w:rsidRPr="00001499" w:rsidRDefault="009C29A2" w:rsidP="00FC7A97">
            <w:pPr>
              <w:pStyle w:val="TableText0"/>
              <w:keepNext w:val="0"/>
              <w:widowControl w:val="0"/>
              <w:rPr>
                <w:b/>
              </w:rPr>
            </w:pPr>
            <w:r w:rsidRPr="00001499">
              <w:rPr>
                <w:b/>
              </w:rPr>
              <w:t xml:space="preserve">Aboriginal and Torres Strait Islander population </w:t>
            </w:r>
          </w:p>
        </w:tc>
        <w:tc>
          <w:tcPr>
            <w:tcW w:w="742" w:type="pct"/>
            <w:tcBorders>
              <w:bottom w:val="single" w:sz="4" w:space="0" w:color="auto"/>
            </w:tcBorders>
          </w:tcPr>
          <w:p w14:paraId="0A8DB392" w14:textId="77777777" w:rsidR="009C29A2" w:rsidRPr="00001499" w:rsidRDefault="009C29A2" w:rsidP="00FC7A97">
            <w:pPr>
              <w:pStyle w:val="TableText0"/>
              <w:keepNext w:val="0"/>
              <w:widowControl w:val="0"/>
              <w:jc w:val="center"/>
              <w:rPr>
                <w:rFonts w:ascii="Calibri" w:hAnsi="Calibri" w:cs="Calibri"/>
                <w:b/>
                <w:color w:val="000000"/>
              </w:rPr>
            </w:pPr>
          </w:p>
        </w:tc>
        <w:tc>
          <w:tcPr>
            <w:tcW w:w="742" w:type="pct"/>
          </w:tcPr>
          <w:p w14:paraId="792E8BDA" w14:textId="77777777" w:rsidR="009C29A2" w:rsidRPr="00001499" w:rsidRDefault="009C29A2" w:rsidP="00FC7A97">
            <w:pPr>
              <w:pStyle w:val="TableText0"/>
              <w:keepNext w:val="0"/>
              <w:widowControl w:val="0"/>
              <w:jc w:val="center"/>
              <w:rPr>
                <w:rFonts w:ascii="Calibri" w:hAnsi="Calibri" w:cs="Calibri"/>
                <w:b/>
                <w:color w:val="000000"/>
              </w:rPr>
            </w:pPr>
          </w:p>
        </w:tc>
        <w:tc>
          <w:tcPr>
            <w:tcW w:w="794" w:type="pct"/>
          </w:tcPr>
          <w:p w14:paraId="09B823A8" w14:textId="77777777" w:rsidR="009C29A2" w:rsidRPr="00001499" w:rsidRDefault="009C29A2" w:rsidP="00FC7A97">
            <w:pPr>
              <w:pStyle w:val="TableText0"/>
              <w:keepNext w:val="0"/>
              <w:widowControl w:val="0"/>
              <w:jc w:val="center"/>
              <w:rPr>
                <w:rFonts w:ascii="Calibri" w:hAnsi="Calibri" w:cs="Calibri"/>
                <w:b/>
                <w:color w:val="000000"/>
              </w:rPr>
            </w:pPr>
          </w:p>
        </w:tc>
        <w:tc>
          <w:tcPr>
            <w:tcW w:w="679" w:type="pct"/>
          </w:tcPr>
          <w:p w14:paraId="783CA870" w14:textId="77777777" w:rsidR="009C29A2" w:rsidRPr="00001499" w:rsidRDefault="009C29A2" w:rsidP="00FC7A97">
            <w:pPr>
              <w:pStyle w:val="TableText0"/>
              <w:keepNext w:val="0"/>
              <w:widowControl w:val="0"/>
              <w:jc w:val="center"/>
              <w:rPr>
                <w:rFonts w:ascii="Calibri" w:hAnsi="Calibri" w:cs="Calibri"/>
                <w:b/>
                <w:color w:val="000000"/>
              </w:rPr>
            </w:pPr>
          </w:p>
        </w:tc>
      </w:tr>
      <w:tr w:rsidR="009C29A2" w:rsidRPr="00001499" w14:paraId="408061B1" w14:textId="77777777" w:rsidTr="00D76B55">
        <w:tc>
          <w:tcPr>
            <w:tcW w:w="2043" w:type="pct"/>
          </w:tcPr>
          <w:p w14:paraId="6769F73B" w14:textId="77777777" w:rsidR="009C29A2" w:rsidRPr="00001499" w:rsidRDefault="009C29A2" w:rsidP="00FC7A97">
            <w:pPr>
              <w:pStyle w:val="TableText0"/>
              <w:keepNext w:val="0"/>
              <w:widowControl w:val="0"/>
              <w:rPr>
                <w:b/>
              </w:rPr>
            </w:pPr>
            <w:r w:rsidRPr="00001499">
              <w:rPr>
                <w:b/>
              </w:rPr>
              <w:t>Base case (2015-2019)</w:t>
            </w:r>
          </w:p>
        </w:tc>
        <w:tc>
          <w:tcPr>
            <w:tcW w:w="742" w:type="pct"/>
            <w:tcBorders>
              <w:bottom w:val="single" w:sz="4" w:space="0" w:color="auto"/>
            </w:tcBorders>
            <w:shd w:val="solid" w:color="000000" w:fill="000000"/>
          </w:tcPr>
          <w:p w14:paraId="673E8EF6" w14:textId="46C807F3" w:rsidR="009C29A2" w:rsidRPr="00D76B55" w:rsidRDefault="00D76B55" w:rsidP="00FC7A97">
            <w:pPr>
              <w:pStyle w:val="TableText0"/>
              <w:keepNext w:val="0"/>
              <w:widowControl w:val="0"/>
              <w:jc w:val="center"/>
              <w:rPr>
                <w:rFonts w:ascii="Calibri" w:hAnsi="Calibri" w:cs="Calibri"/>
                <w:b/>
                <w:color w:val="000000"/>
              </w:rPr>
            </w:pPr>
            <w:r w:rsidRPr="00D76B55">
              <w:rPr>
                <w:b/>
                <w:color w:val="000000"/>
                <w:spacing w:val="152"/>
                <w:fitText w:val="244" w:id="-1404292864"/>
                <w14:textFill>
                  <w14:solidFill>
                    <w14:srgbClr w14:val="000000">
                      <w14:alpha w14:val="100000"/>
                    </w14:srgbClr>
                  </w14:solidFill>
                </w14:textFill>
              </w:rPr>
              <w:t>|</w:t>
            </w:r>
            <w:r w:rsidRPr="00D76B55">
              <w:rPr>
                <w:b/>
                <w:color w:val="000000"/>
                <w:fitText w:val="244" w:id="-1404292864"/>
                <w14:textFill>
                  <w14:solidFill>
                    <w14:srgbClr w14:val="000000">
                      <w14:alpha w14:val="100000"/>
                    </w14:srgbClr>
                  </w14:solidFill>
                </w14:textFill>
              </w:rPr>
              <w:t>|</w:t>
            </w:r>
          </w:p>
        </w:tc>
        <w:tc>
          <w:tcPr>
            <w:tcW w:w="742" w:type="pct"/>
          </w:tcPr>
          <w:p w14:paraId="65FF6F39" w14:textId="77777777" w:rsidR="009C29A2" w:rsidRPr="00001499" w:rsidRDefault="009C29A2" w:rsidP="00FC7A97">
            <w:pPr>
              <w:pStyle w:val="TableText0"/>
              <w:keepNext w:val="0"/>
              <w:widowControl w:val="0"/>
              <w:jc w:val="center"/>
              <w:rPr>
                <w:rFonts w:ascii="Calibri" w:hAnsi="Calibri" w:cs="Calibri"/>
                <w:b/>
                <w:color w:val="000000"/>
              </w:rPr>
            </w:pPr>
            <w:r w:rsidRPr="00001499">
              <w:rPr>
                <w:b/>
              </w:rPr>
              <w:t>0.000082</w:t>
            </w:r>
          </w:p>
        </w:tc>
        <w:tc>
          <w:tcPr>
            <w:tcW w:w="794" w:type="pct"/>
          </w:tcPr>
          <w:p w14:paraId="135AC137" w14:textId="3959B7BF" w:rsidR="009C29A2" w:rsidRPr="00A67347" w:rsidRDefault="009C29A2" w:rsidP="00FC7A97">
            <w:pPr>
              <w:pStyle w:val="TableText0"/>
              <w:keepNext w:val="0"/>
              <w:widowControl w:val="0"/>
              <w:jc w:val="center"/>
              <w:rPr>
                <w:rFonts w:ascii="Calibri" w:hAnsi="Calibri" w:cs="Calibri"/>
                <w:bCs w:val="0"/>
                <w:color w:val="000000"/>
                <w:vertAlign w:val="superscript"/>
              </w:rPr>
            </w:pPr>
            <w:r w:rsidRPr="00001499">
              <w:rPr>
                <w:b/>
              </w:rPr>
              <w:t>$</w:t>
            </w:r>
            <w:r w:rsidR="00D76B55" w:rsidRPr="00D76B55">
              <w:rPr>
                <w:b/>
                <w:color w:val="000000"/>
                <w:spacing w:val="174"/>
                <w:shd w:val="solid" w:color="000000" w:fill="000000"/>
                <w:fitText w:val="266" w:id="-1404292863"/>
                <w14:textFill>
                  <w14:solidFill>
                    <w14:srgbClr w14:val="000000">
                      <w14:alpha w14:val="100000"/>
                    </w14:srgbClr>
                  </w14:solidFill>
                </w14:textFill>
              </w:rPr>
              <w:t>|</w:t>
            </w:r>
            <w:r w:rsidR="00D76B55" w:rsidRPr="00D76B55">
              <w:rPr>
                <w:b/>
                <w:color w:val="000000"/>
                <w:spacing w:val="1"/>
                <w:shd w:val="solid" w:color="000000" w:fill="000000"/>
                <w:fitText w:val="266" w:id="-1404292863"/>
                <w14:textFill>
                  <w14:solidFill>
                    <w14:srgbClr w14:val="000000">
                      <w14:alpha w14:val="100000"/>
                    </w14:srgbClr>
                  </w14:solidFill>
                </w14:textFill>
              </w:rPr>
              <w:t>|</w:t>
            </w:r>
            <w:r w:rsidR="009E1845">
              <w:rPr>
                <w:bCs w:val="0"/>
                <w:vertAlign w:val="superscript"/>
              </w:rPr>
              <w:t>3</w:t>
            </w:r>
          </w:p>
        </w:tc>
        <w:tc>
          <w:tcPr>
            <w:tcW w:w="679" w:type="pct"/>
          </w:tcPr>
          <w:p w14:paraId="1BB316DA" w14:textId="77777777" w:rsidR="009C29A2" w:rsidRPr="00001499" w:rsidRDefault="009C29A2" w:rsidP="00FC7A97">
            <w:pPr>
              <w:pStyle w:val="TableText0"/>
              <w:keepNext w:val="0"/>
              <w:widowControl w:val="0"/>
              <w:jc w:val="center"/>
              <w:rPr>
                <w:rFonts w:ascii="Calibri" w:hAnsi="Calibri" w:cs="Calibri"/>
                <w:b/>
                <w:color w:val="000000"/>
              </w:rPr>
            </w:pPr>
            <w:r w:rsidRPr="00001499">
              <w:t>36%</w:t>
            </w:r>
          </w:p>
        </w:tc>
      </w:tr>
      <w:tr w:rsidR="009C29A2" w:rsidRPr="00001499" w14:paraId="2F721F64" w14:textId="77777777" w:rsidTr="00D76B55">
        <w:tc>
          <w:tcPr>
            <w:tcW w:w="2043" w:type="pct"/>
            <w:vAlign w:val="bottom"/>
          </w:tcPr>
          <w:p w14:paraId="18309B7E" w14:textId="77777777" w:rsidR="009C29A2" w:rsidRPr="00001499" w:rsidRDefault="009C29A2" w:rsidP="00FC7A97">
            <w:pPr>
              <w:pStyle w:val="TableText0"/>
              <w:keepNext w:val="0"/>
              <w:widowControl w:val="0"/>
            </w:pPr>
            <w:r w:rsidRPr="00001499">
              <w:t xml:space="preserve">  Season 2015</w:t>
            </w:r>
          </w:p>
        </w:tc>
        <w:tc>
          <w:tcPr>
            <w:tcW w:w="742" w:type="pct"/>
            <w:tcBorders>
              <w:bottom w:val="single" w:sz="4" w:space="0" w:color="auto"/>
            </w:tcBorders>
            <w:shd w:val="solid" w:color="000000" w:fill="000000"/>
          </w:tcPr>
          <w:p w14:paraId="1BCA0299" w14:textId="7F436C3D"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62"/>
                <w14:textFill>
                  <w14:solidFill>
                    <w14:srgbClr w14:val="000000">
                      <w14:alpha w14:val="100000"/>
                    </w14:srgbClr>
                  </w14:solidFill>
                </w14:textFill>
              </w:rPr>
              <w:t>|</w:t>
            </w:r>
            <w:r w:rsidRPr="00D76B55">
              <w:rPr>
                <w:color w:val="000000"/>
                <w:fitText w:val="266" w:id="-1404292862"/>
                <w14:textFill>
                  <w14:solidFill>
                    <w14:srgbClr w14:val="000000">
                      <w14:alpha w14:val="100000"/>
                    </w14:srgbClr>
                  </w14:solidFill>
                </w14:textFill>
              </w:rPr>
              <w:t>|</w:t>
            </w:r>
          </w:p>
        </w:tc>
        <w:tc>
          <w:tcPr>
            <w:tcW w:w="742" w:type="pct"/>
          </w:tcPr>
          <w:p w14:paraId="2FD2688C" w14:textId="77777777" w:rsidR="009C29A2" w:rsidRPr="00001499" w:rsidRDefault="009C29A2" w:rsidP="00FC7A97">
            <w:pPr>
              <w:pStyle w:val="TableText0"/>
              <w:keepNext w:val="0"/>
              <w:widowControl w:val="0"/>
              <w:jc w:val="center"/>
              <w:rPr>
                <w:rFonts w:ascii="Calibri" w:hAnsi="Calibri" w:cs="Calibri"/>
                <w:color w:val="000000"/>
              </w:rPr>
            </w:pPr>
            <w:r w:rsidRPr="00001499">
              <w:t>0.000040</w:t>
            </w:r>
          </w:p>
        </w:tc>
        <w:tc>
          <w:tcPr>
            <w:tcW w:w="794" w:type="pct"/>
          </w:tcPr>
          <w:p w14:paraId="360188D8" w14:textId="095F25A1" w:rsidR="009C29A2" w:rsidRPr="00A67347"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61"/>
                <w14:textFill>
                  <w14:solidFill>
                    <w14:srgbClr w14:val="000000">
                      <w14:alpha w14:val="100000"/>
                    </w14:srgbClr>
                  </w14:solidFill>
                </w14:textFill>
              </w:rPr>
              <w:t>|</w:t>
            </w:r>
            <w:r w:rsidR="00D76B55" w:rsidRPr="00D76B55">
              <w:rPr>
                <w:color w:val="000000"/>
                <w:spacing w:val="1"/>
                <w:shd w:val="solid" w:color="000000" w:fill="000000"/>
                <w:fitText w:val="299" w:id="-1404292861"/>
                <w14:textFill>
                  <w14:solidFill>
                    <w14:srgbClr w14:val="000000">
                      <w14:alpha w14:val="100000"/>
                    </w14:srgbClr>
                  </w14:solidFill>
                </w14:textFill>
              </w:rPr>
              <w:t>|</w:t>
            </w:r>
            <w:r w:rsidR="009E1845">
              <w:rPr>
                <w:vertAlign w:val="superscript"/>
              </w:rPr>
              <w:t>6</w:t>
            </w:r>
          </w:p>
        </w:tc>
        <w:tc>
          <w:tcPr>
            <w:tcW w:w="679" w:type="pct"/>
          </w:tcPr>
          <w:p w14:paraId="73EB92F8" w14:textId="77777777" w:rsidR="009C29A2" w:rsidRPr="00001499" w:rsidRDefault="009C29A2" w:rsidP="00FC7A97">
            <w:pPr>
              <w:pStyle w:val="TableText0"/>
              <w:keepNext w:val="0"/>
              <w:widowControl w:val="0"/>
              <w:jc w:val="center"/>
              <w:rPr>
                <w:rFonts w:ascii="Calibri" w:hAnsi="Calibri" w:cs="Calibri"/>
                <w:color w:val="000000"/>
              </w:rPr>
            </w:pPr>
            <w:r w:rsidRPr="00001499">
              <w:t>235%</w:t>
            </w:r>
          </w:p>
        </w:tc>
      </w:tr>
      <w:tr w:rsidR="009C29A2" w:rsidRPr="00001499" w14:paraId="30567893" w14:textId="77777777" w:rsidTr="00D76B55">
        <w:tc>
          <w:tcPr>
            <w:tcW w:w="2043" w:type="pct"/>
            <w:vAlign w:val="bottom"/>
          </w:tcPr>
          <w:p w14:paraId="482B1D5D" w14:textId="77777777" w:rsidR="009C29A2" w:rsidRPr="00001499" w:rsidRDefault="009C29A2" w:rsidP="00FC7A97">
            <w:pPr>
              <w:pStyle w:val="TableText0"/>
              <w:keepNext w:val="0"/>
              <w:widowControl w:val="0"/>
            </w:pPr>
            <w:r w:rsidRPr="00001499">
              <w:t xml:space="preserve">  Season 2016</w:t>
            </w:r>
          </w:p>
        </w:tc>
        <w:tc>
          <w:tcPr>
            <w:tcW w:w="742" w:type="pct"/>
            <w:tcBorders>
              <w:bottom w:val="single" w:sz="4" w:space="0" w:color="auto"/>
            </w:tcBorders>
            <w:shd w:val="solid" w:color="000000" w:fill="000000"/>
          </w:tcPr>
          <w:p w14:paraId="3912510D" w14:textId="57FADD71"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60"/>
                <w14:textFill>
                  <w14:solidFill>
                    <w14:srgbClr w14:val="000000">
                      <w14:alpha w14:val="100000"/>
                    </w14:srgbClr>
                  </w14:solidFill>
                </w14:textFill>
              </w:rPr>
              <w:t>|</w:t>
            </w:r>
            <w:r w:rsidRPr="00D76B55">
              <w:rPr>
                <w:color w:val="000000"/>
                <w:fitText w:val="266" w:id="-1404292860"/>
                <w14:textFill>
                  <w14:solidFill>
                    <w14:srgbClr w14:val="000000">
                      <w14:alpha w14:val="100000"/>
                    </w14:srgbClr>
                  </w14:solidFill>
                </w14:textFill>
              </w:rPr>
              <w:t>|</w:t>
            </w:r>
          </w:p>
        </w:tc>
        <w:tc>
          <w:tcPr>
            <w:tcW w:w="742" w:type="pct"/>
          </w:tcPr>
          <w:p w14:paraId="0EBC3884" w14:textId="77777777" w:rsidR="009C29A2" w:rsidRPr="00001499" w:rsidRDefault="009C29A2" w:rsidP="00FC7A97">
            <w:pPr>
              <w:pStyle w:val="TableText0"/>
              <w:keepNext w:val="0"/>
              <w:widowControl w:val="0"/>
              <w:jc w:val="center"/>
              <w:rPr>
                <w:rFonts w:ascii="Calibri" w:hAnsi="Calibri" w:cs="Calibri"/>
                <w:color w:val="000000"/>
              </w:rPr>
            </w:pPr>
            <w:r w:rsidRPr="00001499">
              <w:t>0.000060</w:t>
            </w:r>
          </w:p>
        </w:tc>
        <w:tc>
          <w:tcPr>
            <w:tcW w:w="794" w:type="pct"/>
          </w:tcPr>
          <w:p w14:paraId="65D0DCCB" w14:textId="684CBCDE" w:rsidR="009C29A2" w:rsidRPr="00A67347"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859"/>
                <w14:textFill>
                  <w14:solidFill>
                    <w14:srgbClr w14:val="000000">
                      <w14:alpha w14:val="100000"/>
                    </w14:srgbClr>
                  </w14:solidFill>
                </w14:textFill>
              </w:rPr>
              <w:t>|||</w:t>
            </w:r>
            <w:r w:rsidR="00D76B55" w:rsidRPr="00D76B55">
              <w:rPr>
                <w:color w:val="000000"/>
                <w:spacing w:val="3"/>
                <w:shd w:val="solid" w:color="000000" w:fill="000000"/>
                <w:fitText w:val="332" w:id="-1404292859"/>
                <w14:textFill>
                  <w14:solidFill>
                    <w14:srgbClr w14:val="000000">
                      <w14:alpha w14:val="100000"/>
                    </w14:srgbClr>
                  </w14:solidFill>
                </w14:textFill>
              </w:rPr>
              <w:t>|</w:t>
            </w:r>
            <w:r w:rsidR="009E1845">
              <w:rPr>
                <w:vertAlign w:val="superscript"/>
              </w:rPr>
              <w:t>10</w:t>
            </w:r>
          </w:p>
        </w:tc>
        <w:tc>
          <w:tcPr>
            <w:tcW w:w="679" w:type="pct"/>
          </w:tcPr>
          <w:p w14:paraId="18B34478" w14:textId="77777777" w:rsidR="009C29A2" w:rsidRPr="00001499" w:rsidRDefault="009C29A2" w:rsidP="00FC7A97">
            <w:pPr>
              <w:pStyle w:val="TableText0"/>
              <w:keepNext w:val="0"/>
              <w:widowControl w:val="0"/>
              <w:jc w:val="center"/>
              <w:rPr>
                <w:rFonts w:ascii="Calibri" w:hAnsi="Calibri" w:cs="Calibri"/>
                <w:color w:val="000000"/>
              </w:rPr>
            </w:pPr>
            <w:r w:rsidRPr="00001499">
              <w:t>107%</w:t>
            </w:r>
          </w:p>
        </w:tc>
      </w:tr>
      <w:tr w:rsidR="009C29A2" w:rsidRPr="00001499" w14:paraId="0477761B" w14:textId="77777777" w:rsidTr="00D76B55">
        <w:tc>
          <w:tcPr>
            <w:tcW w:w="2043" w:type="pct"/>
            <w:vAlign w:val="bottom"/>
          </w:tcPr>
          <w:p w14:paraId="005C7619" w14:textId="77777777" w:rsidR="009C29A2" w:rsidRPr="00001499" w:rsidRDefault="009C29A2" w:rsidP="00FC7A97">
            <w:pPr>
              <w:pStyle w:val="TableText0"/>
              <w:keepNext w:val="0"/>
              <w:widowControl w:val="0"/>
            </w:pPr>
            <w:r w:rsidRPr="00001499">
              <w:t xml:space="preserve">  Season 2017</w:t>
            </w:r>
          </w:p>
        </w:tc>
        <w:tc>
          <w:tcPr>
            <w:tcW w:w="742" w:type="pct"/>
            <w:tcBorders>
              <w:bottom w:val="single" w:sz="4" w:space="0" w:color="auto"/>
            </w:tcBorders>
            <w:shd w:val="solid" w:color="000000" w:fill="000000"/>
          </w:tcPr>
          <w:p w14:paraId="762B56A0" w14:textId="0181A467"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8"/>
                <w14:textFill>
                  <w14:solidFill>
                    <w14:srgbClr w14:val="000000">
                      <w14:alpha w14:val="100000"/>
                    </w14:srgbClr>
                  </w14:solidFill>
                </w14:textFill>
              </w:rPr>
              <w:t>|</w:t>
            </w:r>
            <w:r w:rsidRPr="00D76B55">
              <w:rPr>
                <w:color w:val="000000"/>
                <w:fitText w:val="266" w:id="-1404292858"/>
                <w14:textFill>
                  <w14:solidFill>
                    <w14:srgbClr w14:val="000000">
                      <w14:alpha w14:val="100000"/>
                    </w14:srgbClr>
                  </w14:solidFill>
                </w14:textFill>
              </w:rPr>
              <w:t>|</w:t>
            </w:r>
          </w:p>
        </w:tc>
        <w:tc>
          <w:tcPr>
            <w:tcW w:w="742" w:type="pct"/>
          </w:tcPr>
          <w:p w14:paraId="77A72525" w14:textId="77777777" w:rsidR="009C29A2" w:rsidRPr="00001499" w:rsidRDefault="009C29A2" w:rsidP="00FC7A97">
            <w:pPr>
              <w:pStyle w:val="TableText0"/>
              <w:keepNext w:val="0"/>
              <w:widowControl w:val="0"/>
              <w:jc w:val="center"/>
              <w:rPr>
                <w:rFonts w:ascii="Calibri" w:hAnsi="Calibri" w:cs="Calibri"/>
                <w:color w:val="000000"/>
              </w:rPr>
            </w:pPr>
            <w:r w:rsidRPr="00001499">
              <w:t>0.000150</w:t>
            </w:r>
          </w:p>
        </w:tc>
        <w:tc>
          <w:tcPr>
            <w:tcW w:w="794" w:type="pct"/>
          </w:tcPr>
          <w:p w14:paraId="6248EFC1" w14:textId="32A2C205" w:rsidR="009C29A2" w:rsidRPr="00AF59C2"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857"/>
                <w14:textFill>
                  <w14:solidFill>
                    <w14:srgbClr w14:val="000000">
                      <w14:alpha w14:val="100000"/>
                    </w14:srgbClr>
                  </w14:solidFill>
                </w14:textFill>
              </w:rPr>
              <w:t>|||</w:t>
            </w:r>
            <w:r w:rsidR="00D76B55" w:rsidRPr="00D76B55">
              <w:rPr>
                <w:color w:val="000000"/>
                <w:spacing w:val="3"/>
                <w:shd w:val="solid" w:color="000000" w:fill="000000"/>
                <w:fitText w:val="332" w:id="-1404292857"/>
                <w14:textFill>
                  <w14:solidFill>
                    <w14:srgbClr w14:val="000000">
                      <w14:alpha w14:val="100000"/>
                    </w14:srgbClr>
                  </w14:solidFill>
                </w14:textFill>
              </w:rPr>
              <w:t>|</w:t>
            </w:r>
            <w:r w:rsidR="009E1845">
              <w:rPr>
                <w:vertAlign w:val="superscript"/>
              </w:rPr>
              <w:t>11</w:t>
            </w:r>
          </w:p>
        </w:tc>
        <w:tc>
          <w:tcPr>
            <w:tcW w:w="679" w:type="pct"/>
          </w:tcPr>
          <w:p w14:paraId="2322ADEF" w14:textId="77777777" w:rsidR="009C29A2" w:rsidRPr="00001499" w:rsidRDefault="009C29A2" w:rsidP="00FC7A97">
            <w:pPr>
              <w:pStyle w:val="TableText0"/>
              <w:keepNext w:val="0"/>
              <w:widowControl w:val="0"/>
              <w:jc w:val="center"/>
              <w:rPr>
                <w:rFonts w:ascii="Calibri" w:hAnsi="Calibri" w:cs="Calibri"/>
                <w:color w:val="000000"/>
              </w:rPr>
            </w:pPr>
            <w:r w:rsidRPr="00001499">
              <w:t>-49%</w:t>
            </w:r>
          </w:p>
        </w:tc>
      </w:tr>
      <w:tr w:rsidR="009C29A2" w:rsidRPr="00001499" w14:paraId="1024E7A3" w14:textId="77777777" w:rsidTr="00D76B55">
        <w:tc>
          <w:tcPr>
            <w:tcW w:w="2043" w:type="pct"/>
            <w:vAlign w:val="bottom"/>
          </w:tcPr>
          <w:p w14:paraId="75FA99D6" w14:textId="77777777" w:rsidR="009C29A2" w:rsidRPr="00001499" w:rsidRDefault="009C29A2" w:rsidP="00FC7A97">
            <w:pPr>
              <w:pStyle w:val="TableText0"/>
              <w:keepNext w:val="0"/>
              <w:widowControl w:val="0"/>
            </w:pPr>
            <w:r w:rsidRPr="00001499">
              <w:t xml:space="preserve">  Season 2018</w:t>
            </w:r>
          </w:p>
        </w:tc>
        <w:tc>
          <w:tcPr>
            <w:tcW w:w="742" w:type="pct"/>
            <w:tcBorders>
              <w:bottom w:val="single" w:sz="4" w:space="0" w:color="auto"/>
            </w:tcBorders>
            <w:shd w:val="solid" w:color="000000" w:fill="000000"/>
          </w:tcPr>
          <w:p w14:paraId="29EC9124" w14:textId="7F87D925"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6"/>
                <w14:textFill>
                  <w14:solidFill>
                    <w14:srgbClr w14:val="000000">
                      <w14:alpha w14:val="100000"/>
                    </w14:srgbClr>
                  </w14:solidFill>
                </w14:textFill>
              </w:rPr>
              <w:t>|</w:t>
            </w:r>
            <w:r w:rsidRPr="00D76B55">
              <w:rPr>
                <w:color w:val="000000"/>
                <w:fitText w:val="266" w:id="-1404292856"/>
                <w14:textFill>
                  <w14:solidFill>
                    <w14:srgbClr w14:val="000000">
                      <w14:alpha w14:val="100000"/>
                    </w14:srgbClr>
                  </w14:solidFill>
                </w14:textFill>
              </w:rPr>
              <w:t>|</w:t>
            </w:r>
          </w:p>
        </w:tc>
        <w:tc>
          <w:tcPr>
            <w:tcW w:w="742" w:type="pct"/>
          </w:tcPr>
          <w:p w14:paraId="7388E938" w14:textId="77777777" w:rsidR="009C29A2" w:rsidRPr="00001499" w:rsidRDefault="009C29A2" w:rsidP="00FC7A97">
            <w:pPr>
              <w:pStyle w:val="TableText0"/>
              <w:keepNext w:val="0"/>
              <w:widowControl w:val="0"/>
              <w:jc w:val="center"/>
              <w:rPr>
                <w:rFonts w:ascii="Calibri" w:hAnsi="Calibri" w:cs="Calibri"/>
                <w:color w:val="000000"/>
              </w:rPr>
            </w:pPr>
            <w:r w:rsidRPr="00001499">
              <w:t>0.000000</w:t>
            </w:r>
          </w:p>
        </w:tc>
        <w:tc>
          <w:tcPr>
            <w:tcW w:w="794" w:type="pct"/>
          </w:tcPr>
          <w:p w14:paraId="6667ECB2" w14:textId="1DA9E0BA" w:rsidR="009C29A2" w:rsidRPr="00001499" w:rsidRDefault="009C29A2" w:rsidP="00FC7A97">
            <w:pPr>
              <w:pStyle w:val="TableText0"/>
              <w:keepNext w:val="0"/>
              <w:widowControl w:val="0"/>
              <w:jc w:val="center"/>
              <w:rPr>
                <w:rFonts w:ascii="Calibri" w:hAnsi="Calibri" w:cs="Calibri"/>
                <w:color w:val="000000"/>
              </w:rPr>
            </w:pPr>
            <w:r w:rsidRPr="00001499">
              <w:t xml:space="preserve">Dominated </w:t>
            </w:r>
            <w:r w:rsidR="00C55C64">
              <w:rPr>
                <w:vertAlign w:val="superscript"/>
              </w:rPr>
              <w:t>b</w:t>
            </w:r>
          </w:p>
        </w:tc>
        <w:tc>
          <w:tcPr>
            <w:tcW w:w="679" w:type="pct"/>
          </w:tcPr>
          <w:p w14:paraId="3BF06379" w14:textId="77777777" w:rsidR="009C29A2" w:rsidRPr="00001499" w:rsidRDefault="009C29A2" w:rsidP="00FC7A97">
            <w:pPr>
              <w:pStyle w:val="TableText0"/>
              <w:keepNext w:val="0"/>
              <w:widowControl w:val="0"/>
              <w:jc w:val="center"/>
              <w:rPr>
                <w:rFonts w:ascii="Calibri" w:hAnsi="Calibri" w:cs="Calibri"/>
                <w:color w:val="000000"/>
              </w:rPr>
            </w:pPr>
          </w:p>
        </w:tc>
      </w:tr>
      <w:tr w:rsidR="009C29A2" w:rsidRPr="00001499" w14:paraId="559CA727" w14:textId="77777777" w:rsidTr="00D76B55">
        <w:tc>
          <w:tcPr>
            <w:tcW w:w="2043" w:type="pct"/>
            <w:vAlign w:val="bottom"/>
          </w:tcPr>
          <w:p w14:paraId="72D7010C" w14:textId="77777777" w:rsidR="009C29A2" w:rsidRPr="00001499" w:rsidRDefault="009C29A2" w:rsidP="00FC7A97">
            <w:pPr>
              <w:pStyle w:val="TableText0"/>
              <w:keepNext w:val="0"/>
              <w:widowControl w:val="0"/>
            </w:pPr>
            <w:r w:rsidRPr="00001499">
              <w:t xml:space="preserve">  Season 2019</w:t>
            </w:r>
          </w:p>
        </w:tc>
        <w:tc>
          <w:tcPr>
            <w:tcW w:w="742" w:type="pct"/>
            <w:tcBorders>
              <w:bottom w:val="single" w:sz="4" w:space="0" w:color="auto"/>
            </w:tcBorders>
            <w:shd w:val="solid" w:color="000000" w:fill="000000"/>
          </w:tcPr>
          <w:p w14:paraId="3D502956" w14:textId="375D6AF7"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5"/>
                <w14:textFill>
                  <w14:solidFill>
                    <w14:srgbClr w14:val="000000">
                      <w14:alpha w14:val="100000"/>
                    </w14:srgbClr>
                  </w14:solidFill>
                </w14:textFill>
              </w:rPr>
              <w:t>|</w:t>
            </w:r>
            <w:r w:rsidRPr="00D76B55">
              <w:rPr>
                <w:color w:val="000000"/>
                <w:fitText w:val="266" w:id="-1404292855"/>
                <w14:textFill>
                  <w14:solidFill>
                    <w14:srgbClr w14:val="000000">
                      <w14:alpha w14:val="100000"/>
                    </w14:srgbClr>
                  </w14:solidFill>
                </w14:textFill>
              </w:rPr>
              <w:t>|</w:t>
            </w:r>
          </w:p>
        </w:tc>
        <w:tc>
          <w:tcPr>
            <w:tcW w:w="742" w:type="pct"/>
          </w:tcPr>
          <w:p w14:paraId="474EAB5F" w14:textId="77777777" w:rsidR="009C29A2" w:rsidRPr="00001499" w:rsidRDefault="009C29A2" w:rsidP="00FC7A97">
            <w:pPr>
              <w:pStyle w:val="TableText0"/>
              <w:keepNext w:val="0"/>
              <w:widowControl w:val="0"/>
              <w:jc w:val="center"/>
              <w:rPr>
                <w:rFonts w:ascii="Calibri" w:hAnsi="Calibri" w:cs="Calibri"/>
                <w:color w:val="000000"/>
              </w:rPr>
            </w:pPr>
            <w:r w:rsidRPr="00001499">
              <w:t>0.000193</w:t>
            </w:r>
          </w:p>
        </w:tc>
        <w:tc>
          <w:tcPr>
            <w:tcW w:w="794" w:type="pct"/>
          </w:tcPr>
          <w:p w14:paraId="30114144" w14:textId="5B85DE73" w:rsidR="009C29A2" w:rsidRPr="00AF59C2"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4"/>
                <w14:textFill>
                  <w14:solidFill>
                    <w14:srgbClr w14:val="000000">
                      <w14:alpha w14:val="100000"/>
                    </w14:srgbClr>
                  </w14:solidFill>
                </w14:textFill>
              </w:rPr>
              <w:t>|</w:t>
            </w:r>
            <w:r w:rsidR="00D76B55" w:rsidRPr="00D76B55">
              <w:rPr>
                <w:color w:val="000000"/>
                <w:spacing w:val="1"/>
                <w:shd w:val="solid" w:color="000000" w:fill="000000"/>
                <w:fitText w:val="299" w:id="-1404292854"/>
                <w14:textFill>
                  <w14:solidFill>
                    <w14:srgbClr w14:val="000000">
                      <w14:alpha w14:val="100000"/>
                    </w14:srgbClr>
                  </w14:solidFill>
                </w14:textFill>
              </w:rPr>
              <w:t>|</w:t>
            </w:r>
            <w:r w:rsidR="009E1845">
              <w:rPr>
                <w:vertAlign w:val="superscript"/>
              </w:rPr>
              <w:t>4</w:t>
            </w:r>
          </w:p>
        </w:tc>
        <w:tc>
          <w:tcPr>
            <w:tcW w:w="679" w:type="pct"/>
          </w:tcPr>
          <w:p w14:paraId="21019ACE" w14:textId="77777777" w:rsidR="009C29A2" w:rsidRPr="00001499" w:rsidRDefault="009C29A2" w:rsidP="00FC7A97">
            <w:pPr>
              <w:pStyle w:val="TableText0"/>
              <w:keepNext w:val="0"/>
              <w:widowControl w:val="0"/>
              <w:jc w:val="center"/>
              <w:rPr>
                <w:rFonts w:ascii="Calibri" w:hAnsi="Calibri" w:cs="Calibri"/>
                <w:color w:val="000000"/>
              </w:rPr>
            </w:pPr>
            <w:r w:rsidRPr="00001499">
              <w:t>-77%</w:t>
            </w:r>
          </w:p>
        </w:tc>
      </w:tr>
      <w:tr w:rsidR="009C29A2" w:rsidRPr="00001499" w14:paraId="48769C49" w14:textId="77777777" w:rsidTr="00D76B55">
        <w:tc>
          <w:tcPr>
            <w:tcW w:w="2043" w:type="pct"/>
          </w:tcPr>
          <w:p w14:paraId="75C56698" w14:textId="191F09D4" w:rsidR="009C29A2" w:rsidRPr="00001499" w:rsidRDefault="009C29A2" w:rsidP="00FC7A97">
            <w:pPr>
              <w:pStyle w:val="TableText0"/>
              <w:keepNext w:val="0"/>
              <w:widowControl w:val="0"/>
              <w:rPr>
                <w:vertAlign w:val="superscript"/>
              </w:rPr>
            </w:pPr>
            <w:r w:rsidRPr="00001499">
              <w:t xml:space="preserve">  Low rVE (age20) </w:t>
            </w:r>
            <w:r w:rsidR="00C55C64">
              <w:rPr>
                <w:vertAlign w:val="superscript"/>
              </w:rPr>
              <w:t>c</w:t>
            </w:r>
          </w:p>
        </w:tc>
        <w:tc>
          <w:tcPr>
            <w:tcW w:w="742" w:type="pct"/>
            <w:tcBorders>
              <w:bottom w:val="single" w:sz="4" w:space="0" w:color="auto"/>
            </w:tcBorders>
            <w:shd w:val="solid" w:color="000000" w:fill="000000"/>
          </w:tcPr>
          <w:p w14:paraId="30FDD6D9" w14:textId="4983A580"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3"/>
                <w14:textFill>
                  <w14:solidFill>
                    <w14:srgbClr w14:val="000000">
                      <w14:alpha w14:val="100000"/>
                    </w14:srgbClr>
                  </w14:solidFill>
                </w14:textFill>
              </w:rPr>
              <w:t>|</w:t>
            </w:r>
            <w:r w:rsidRPr="00D76B55">
              <w:rPr>
                <w:color w:val="000000"/>
                <w:fitText w:val="266" w:id="-1404292853"/>
                <w14:textFill>
                  <w14:solidFill>
                    <w14:srgbClr w14:val="000000">
                      <w14:alpha w14:val="100000"/>
                    </w14:srgbClr>
                  </w14:solidFill>
                </w14:textFill>
              </w:rPr>
              <w:t>|</w:t>
            </w:r>
          </w:p>
        </w:tc>
        <w:tc>
          <w:tcPr>
            <w:tcW w:w="742" w:type="pct"/>
          </w:tcPr>
          <w:p w14:paraId="1527FF9A" w14:textId="77777777" w:rsidR="009C29A2" w:rsidRPr="00001499" w:rsidRDefault="009C29A2" w:rsidP="00FC7A97">
            <w:pPr>
              <w:pStyle w:val="TableText0"/>
              <w:keepNext w:val="0"/>
              <w:widowControl w:val="0"/>
              <w:jc w:val="center"/>
              <w:rPr>
                <w:rFonts w:ascii="Calibri" w:hAnsi="Calibri" w:cs="Calibri"/>
                <w:color w:val="000000"/>
              </w:rPr>
            </w:pPr>
            <w:r w:rsidRPr="00001499">
              <w:t>0.000017</w:t>
            </w:r>
          </w:p>
        </w:tc>
        <w:tc>
          <w:tcPr>
            <w:tcW w:w="794" w:type="pct"/>
          </w:tcPr>
          <w:p w14:paraId="3A857656" w14:textId="3DF59437" w:rsidR="009C29A2" w:rsidRPr="00AF59C2"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852"/>
                <w14:textFill>
                  <w14:solidFill>
                    <w14:srgbClr w14:val="000000">
                      <w14:alpha w14:val="100000"/>
                    </w14:srgbClr>
                  </w14:solidFill>
                </w14:textFill>
              </w:rPr>
              <w:t>|||</w:t>
            </w:r>
            <w:r w:rsidR="00D76B55" w:rsidRPr="00D76B55">
              <w:rPr>
                <w:color w:val="000000"/>
                <w:spacing w:val="3"/>
                <w:shd w:val="solid" w:color="000000" w:fill="000000"/>
                <w:fitText w:val="332" w:id="-1404292852"/>
                <w14:textFill>
                  <w14:solidFill>
                    <w14:srgbClr w14:val="000000">
                      <w14:alpha w14:val="100000"/>
                    </w14:srgbClr>
                  </w14:solidFill>
                </w14:textFill>
              </w:rPr>
              <w:t>|</w:t>
            </w:r>
            <w:r w:rsidR="009E1845">
              <w:rPr>
                <w:vertAlign w:val="superscript"/>
              </w:rPr>
              <w:t>12</w:t>
            </w:r>
          </w:p>
        </w:tc>
        <w:tc>
          <w:tcPr>
            <w:tcW w:w="679" w:type="pct"/>
          </w:tcPr>
          <w:p w14:paraId="2D198E58" w14:textId="77777777" w:rsidR="009C29A2" w:rsidRPr="00001499" w:rsidRDefault="009C29A2" w:rsidP="00FC7A97">
            <w:pPr>
              <w:pStyle w:val="TableText0"/>
              <w:keepNext w:val="0"/>
              <w:widowControl w:val="0"/>
              <w:jc w:val="center"/>
              <w:rPr>
                <w:rFonts w:ascii="Calibri" w:hAnsi="Calibri" w:cs="Calibri"/>
                <w:color w:val="000000"/>
              </w:rPr>
            </w:pPr>
            <w:r w:rsidRPr="00001499">
              <w:t>749%</w:t>
            </w:r>
          </w:p>
        </w:tc>
      </w:tr>
      <w:tr w:rsidR="009C29A2" w:rsidRPr="00001499" w14:paraId="02FC8C34" w14:textId="77777777" w:rsidTr="00D76B55">
        <w:tc>
          <w:tcPr>
            <w:tcW w:w="2043" w:type="pct"/>
          </w:tcPr>
          <w:p w14:paraId="09567FF4" w14:textId="56C8BDB7" w:rsidR="009C29A2" w:rsidRPr="00001499" w:rsidRDefault="009C29A2" w:rsidP="00FC7A97">
            <w:pPr>
              <w:pStyle w:val="TableText0"/>
              <w:keepNext w:val="0"/>
              <w:widowControl w:val="0"/>
            </w:pPr>
            <w:r w:rsidRPr="00001499">
              <w:t xml:space="preserve">  High rVE (age20) </w:t>
            </w:r>
            <w:r w:rsidR="00C55C64">
              <w:rPr>
                <w:vertAlign w:val="superscript"/>
              </w:rPr>
              <w:t>c</w:t>
            </w:r>
          </w:p>
        </w:tc>
        <w:tc>
          <w:tcPr>
            <w:tcW w:w="742" w:type="pct"/>
            <w:tcBorders>
              <w:bottom w:val="single" w:sz="4" w:space="0" w:color="auto"/>
            </w:tcBorders>
            <w:shd w:val="solid" w:color="000000" w:fill="000000"/>
          </w:tcPr>
          <w:p w14:paraId="5677688A" w14:textId="1A8E3D29"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1"/>
                <w14:textFill>
                  <w14:solidFill>
                    <w14:srgbClr w14:val="000000">
                      <w14:alpha w14:val="100000"/>
                    </w14:srgbClr>
                  </w14:solidFill>
                </w14:textFill>
              </w:rPr>
              <w:t>|</w:t>
            </w:r>
            <w:r w:rsidRPr="00D76B55">
              <w:rPr>
                <w:color w:val="000000"/>
                <w:fitText w:val="266" w:id="-1404292851"/>
                <w14:textFill>
                  <w14:solidFill>
                    <w14:srgbClr w14:val="000000">
                      <w14:alpha w14:val="100000"/>
                    </w14:srgbClr>
                  </w14:solidFill>
                </w14:textFill>
              </w:rPr>
              <w:t>|</w:t>
            </w:r>
          </w:p>
        </w:tc>
        <w:tc>
          <w:tcPr>
            <w:tcW w:w="742" w:type="pct"/>
          </w:tcPr>
          <w:p w14:paraId="3DF2591D" w14:textId="77777777" w:rsidR="009C29A2" w:rsidRPr="00001499" w:rsidRDefault="009C29A2" w:rsidP="00FC7A97">
            <w:pPr>
              <w:pStyle w:val="TableText0"/>
              <w:keepNext w:val="0"/>
              <w:widowControl w:val="0"/>
              <w:jc w:val="center"/>
              <w:rPr>
                <w:rFonts w:ascii="Calibri" w:hAnsi="Calibri" w:cs="Calibri"/>
                <w:color w:val="000000"/>
              </w:rPr>
            </w:pPr>
            <w:r w:rsidRPr="00001499">
              <w:t>0.000038</w:t>
            </w:r>
          </w:p>
        </w:tc>
        <w:tc>
          <w:tcPr>
            <w:tcW w:w="794" w:type="pct"/>
          </w:tcPr>
          <w:p w14:paraId="1551855B" w14:textId="1953E89F" w:rsidR="009C29A2" w:rsidRPr="00AF59C2"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0"/>
                <w14:textFill>
                  <w14:solidFill>
                    <w14:srgbClr w14:val="000000">
                      <w14:alpha w14:val="100000"/>
                    </w14:srgbClr>
                  </w14:solidFill>
                </w14:textFill>
              </w:rPr>
              <w:t>|</w:t>
            </w:r>
            <w:r w:rsidR="00D76B55" w:rsidRPr="00D76B55">
              <w:rPr>
                <w:color w:val="000000"/>
                <w:spacing w:val="1"/>
                <w:shd w:val="solid" w:color="000000" w:fill="000000"/>
                <w:fitText w:val="299" w:id="-1404292850"/>
                <w14:textFill>
                  <w14:solidFill>
                    <w14:srgbClr w14:val="000000">
                      <w14:alpha w14:val="100000"/>
                    </w14:srgbClr>
                  </w14:solidFill>
                </w14:textFill>
              </w:rPr>
              <w:t>|</w:t>
            </w:r>
            <w:r w:rsidR="009E1845">
              <w:rPr>
                <w:vertAlign w:val="superscript"/>
              </w:rPr>
              <w:t>6</w:t>
            </w:r>
          </w:p>
        </w:tc>
        <w:tc>
          <w:tcPr>
            <w:tcW w:w="679" w:type="pct"/>
          </w:tcPr>
          <w:p w14:paraId="7375A309" w14:textId="77777777" w:rsidR="009C29A2" w:rsidRPr="00001499" w:rsidRDefault="009C29A2" w:rsidP="00FC7A97">
            <w:pPr>
              <w:pStyle w:val="TableText0"/>
              <w:keepNext w:val="0"/>
              <w:widowControl w:val="0"/>
              <w:jc w:val="center"/>
              <w:rPr>
                <w:rFonts w:ascii="Calibri" w:hAnsi="Calibri" w:cs="Calibri"/>
                <w:color w:val="000000"/>
              </w:rPr>
            </w:pPr>
            <w:r w:rsidRPr="00001499">
              <w:t>239%</w:t>
            </w:r>
          </w:p>
        </w:tc>
      </w:tr>
      <w:tr w:rsidR="009C29A2" w:rsidRPr="00001499" w14:paraId="446E5F52" w14:textId="77777777" w:rsidTr="00D76B55">
        <w:tc>
          <w:tcPr>
            <w:tcW w:w="2043" w:type="pct"/>
          </w:tcPr>
          <w:p w14:paraId="2D9B6B27" w14:textId="6E22FC0E" w:rsidR="009C29A2" w:rsidRPr="00001499" w:rsidRDefault="009C29A2" w:rsidP="00FC7A97">
            <w:pPr>
              <w:pStyle w:val="TableText0"/>
              <w:keepNext w:val="0"/>
              <w:widowControl w:val="0"/>
            </w:pPr>
            <w:r w:rsidRPr="00001499">
              <w:t xml:space="preserve">  Low rVE + Observed CFR (age20) </w:t>
            </w:r>
            <w:r w:rsidR="00C55C64">
              <w:rPr>
                <w:vertAlign w:val="superscript"/>
              </w:rPr>
              <w:t>c</w:t>
            </w:r>
          </w:p>
        </w:tc>
        <w:tc>
          <w:tcPr>
            <w:tcW w:w="742" w:type="pct"/>
            <w:tcBorders>
              <w:bottom w:val="single" w:sz="4" w:space="0" w:color="auto"/>
            </w:tcBorders>
            <w:shd w:val="solid" w:color="000000" w:fill="000000"/>
          </w:tcPr>
          <w:p w14:paraId="3E6A7CDB" w14:textId="2D37B96D"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49"/>
                <w14:textFill>
                  <w14:solidFill>
                    <w14:srgbClr w14:val="000000">
                      <w14:alpha w14:val="100000"/>
                    </w14:srgbClr>
                  </w14:solidFill>
                </w14:textFill>
              </w:rPr>
              <w:t>|</w:t>
            </w:r>
            <w:r w:rsidRPr="00D76B55">
              <w:rPr>
                <w:color w:val="000000"/>
                <w:fitText w:val="266" w:id="-1404292849"/>
                <w14:textFill>
                  <w14:solidFill>
                    <w14:srgbClr w14:val="000000">
                      <w14:alpha w14:val="100000"/>
                    </w14:srgbClr>
                  </w14:solidFill>
                </w14:textFill>
              </w:rPr>
              <w:t>|</w:t>
            </w:r>
          </w:p>
        </w:tc>
        <w:tc>
          <w:tcPr>
            <w:tcW w:w="742" w:type="pct"/>
          </w:tcPr>
          <w:p w14:paraId="1644A531" w14:textId="77777777" w:rsidR="009C29A2" w:rsidRPr="00001499" w:rsidRDefault="009C29A2" w:rsidP="00FC7A97">
            <w:pPr>
              <w:pStyle w:val="TableText0"/>
              <w:keepNext w:val="0"/>
              <w:widowControl w:val="0"/>
              <w:jc w:val="center"/>
              <w:rPr>
                <w:rFonts w:ascii="Calibri" w:hAnsi="Calibri" w:cs="Calibri"/>
                <w:color w:val="000000"/>
              </w:rPr>
            </w:pPr>
            <w:r w:rsidRPr="00001499">
              <w:t>0.000005</w:t>
            </w:r>
          </w:p>
        </w:tc>
        <w:tc>
          <w:tcPr>
            <w:tcW w:w="794" w:type="pct"/>
          </w:tcPr>
          <w:p w14:paraId="62821527" w14:textId="4B9E8F31" w:rsidR="009C29A2" w:rsidRPr="00AF59C2"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848"/>
                <w14:textFill>
                  <w14:solidFill>
                    <w14:srgbClr w14:val="000000">
                      <w14:alpha w14:val="100000"/>
                    </w14:srgbClr>
                  </w14:solidFill>
                </w14:textFill>
              </w:rPr>
              <w:t>|||</w:t>
            </w:r>
            <w:r w:rsidR="00D76B55" w:rsidRPr="00D76B55">
              <w:rPr>
                <w:color w:val="000000"/>
                <w:spacing w:val="3"/>
                <w:shd w:val="solid" w:color="000000" w:fill="000000"/>
                <w:fitText w:val="332" w:id="-1404292848"/>
                <w14:textFill>
                  <w14:solidFill>
                    <w14:srgbClr w14:val="000000">
                      <w14:alpha w14:val="100000"/>
                    </w14:srgbClr>
                  </w14:solidFill>
                </w14:textFill>
              </w:rPr>
              <w:t>|</w:t>
            </w:r>
            <w:r w:rsidR="009E1845">
              <w:rPr>
                <w:vertAlign w:val="superscript"/>
              </w:rPr>
              <w:t>13</w:t>
            </w:r>
          </w:p>
        </w:tc>
        <w:tc>
          <w:tcPr>
            <w:tcW w:w="679" w:type="pct"/>
          </w:tcPr>
          <w:p w14:paraId="33725688" w14:textId="77777777" w:rsidR="009C29A2" w:rsidRPr="00001499" w:rsidRDefault="009C29A2" w:rsidP="00FC7A97">
            <w:pPr>
              <w:pStyle w:val="TableText0"/>
              <w:keepNext w:val="0"/>
              <w:widowControl w:val="0"/>
              <w:jc w:val="center"/>
              <w:rPr>
                <w:rFonts w:ascii="Calibri" w:hAnsi="Calibri" w:cs="Calibri"/>
                <w:color w:val="000000"/>
              </w:rPr>
            </w:pPr>
            <w:r w:rsidRPr="00001499">
              <w:t>2928%</w:t>
            </w:r>
          </w:p>
        </w:tc>
      </w:tr>
      <w:tr w:rsidR="009C29A2" w:rsidRPr="00001499" w14:paraId="74CF59F4" w14:textId="77777777" w:rsidTr="00D76B55">
        <w:tc>
          <w:tcPr>
            <w:tcW w:w="2043" w:type="pct"/>
          </w:tcPr>
          <w:p w14:paraId="594BA44E" w14:textId="4F2C987A" w:rsidR="009C29A2" w:rsidRPr="00001499" w:rsidRDefault="009C29A2" w:rsidP="00FC7A97">
            <w:pPr>
              <w:pStyle w:val="TableText0"/>
              <w:keepNext w:val="0"/>
              <w:widowControl w:val="0"/>
            </w:pPr>
            <w:r w:rsidRPr="00001499">
              <w:t xml:space="preserve">  Observed CFR (age20) </w:t>
            </w:r>
            <w:r w:rsidR="00C55C64">
              <w:rPr>
                <w:vertAlign w:val="superscript"/>
              </w:rPr>
              <w:t>c</w:t>
            </w:r>
          </w:p>
        </w:tc>
        <w:tc>
          <w:tcPr>
            <w:tcW w:w="742" w:type="pct"/>
            <w:tcBorders>
              <w:bottom w:val="single" w:sz="4" w:space="0" w:color="auto"/>
            </w:tcBorders>
            <w:shd w:val="solid" w:color="000000" w:fill="000000"/>
          </w:tcPr>
          <w:p w14:paraId="45EB242B" w14:textId="61885425"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64"/>
                <w14:textFill>
                  <w14:solidFill>
                    <w14:srgbClr w14:val="000000">
                      <w14:alpha w14:val="100000"/>
                    </w14:srgbClr>
                  </w14:solidFill>
                </w14:textFill>
              </w:rPr>
              <w:t>|</w:t>
            </w:r>
            <w:r w:rsidRPr="00D76B55">
              <w:rPr>
                <w:color w:val="000000"/>
                <w:fitText w:val="266" w:id="-1404292864"/>
                <w14:textFill>
                  <w14:solidFill>
                    <w14:srgbClr w14:val="000000">
                      <w14:alpha w14:val="100000"/>
                    </w14:srgbClr>
                  </w14:solidFill>
                </w14:textFill>
              </w:rPr>
              <w:t>|</w:t>
            </w:r>
          </w:p>
        </w:tc>
        <w:tc>
          <w:tcPr>
            <w:tcW w:w="742" w:type="pct"/>
          </w:tcPr>
          <w:p w14:paraId="68D76BAC" w14:textId="77777777" w:rsidR="009C29A2" w:rsidRPr="00001499" w:rsidRDefault="009C29A2" w:rsidP="00FC7A97">
            <w:pPr>
              <w:pStyle w:val="TableText0"/>
              <w:keepNext w:val="0"/>
              <w:widowControl w:val="0"/>
              <w:jc w:val="center"/>
              <w:rPr>
                <w:rFonts w:ascii="Calibri" w:hAnsi="Calibri" w:cs="Calibri"/>
                <w:color w:val="000000"/>
              </w:rPr>
            </w:pPr>
            <w:r w:rsidRPr="00001499">
              <w:t>0.000007</w:t>
            </w:r>
          </w:p>
        </w:tc>
        <w:tc>
          <w:tcPr>
            <w:tcW w:w="794" w:type="pct"/>
          </w:tcPr>
          <w:p w14:paraId="2B4A8E76" w14:textId="7F7E3428" w:rsidR="009C29A2" w:rsidRPr="00AF59C2"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863"/>
                <w14:textFill>
                  <w14:solidFill>
                    <w14:srgbClr w14:val="000000">
                      <w14:alpha w14:val="100000"/>
                    </w14:srgbClr>
                  </w14:solidFill>
                </w14:textFill>
              </w:rPr>
              <w:t>|||</w:t>
            </w:r>
            <w:r w:rsidR="00D76B55" w:rsidRPr="00D76B55">
              <w:rPr>
                <w:color w:val="000000"/>
                <w:spacing w:val="3"/>
                <w:shd w:val="solid" w:color="000000" w:fill="000000"/>
                <w:fitText w:val="332" w:id="-1404292863"/>
                <w14:textFill>
                  <w14:solidFill>
                    <w14:srgbClr w14:val="000000">
                      <w14:alpha w14:val="100000"/>
                    </w14:srgbClr>
                  </w14:solidFill>
                </w14:textFill>
              </w:rPr>
              <w:t>|</w:t>
            </w:r>
            <w:r w:rsidR="003E4039">
              <w:rPr>
                <w:vertAlign w:val="superscript"/>
              </w:rPr>
              <w:t>14</w:t>
            </w:r>
          </w:p>
        </w:tc>
        <w:tc>
          <w:tcPr>
            <w:tcW w:w="679" w:type="pct"/>
          </w:tcPr>
          <w:p w14:paraId="66480AB3" w14:textId="77777777" w:rsidR="009C29A2" w:rsidRPr="00001499" w:rsidRDefault="009C29A2" w:rsidP="00FC7A97">
            <w:pPr>
              <w:pStyle w:val="TableText0"/>
              <w:keepNext w:val="0"/>
              <w:widowControl w:val="0"/>
              <w:jc w:val="center"/>
              <w:rPr>
                <w:rFonts w:ascii="Calibri" w:hAnsi="Calibri" w:cs="Calibri"/>
                <w:color w:val="000000"/>
              </w:rPr>
            </w:pPr>
            <w:r w:rsidRPr="00001499">
              <w:t>1853%</w:t>
            </w:r>
          </w:p>
        </w:tc>
      </w:tr>
      <w:tr w:rsidR="009C29A2" w:rsidRPr="00001499" w14:paraId="1ABCE187" w14:textId="77777777" w:rsidTr="00D76B55">
        <w:tc>
          <w:tcPr>
            <w:tcW w:w="2043" w:type="pct"/>
          </w:tcPr>
          <w:p w14:paraId="51BAD92E" w14:textId="7CE24FAA" w:rsidR="009C29A2" w:rsidRPr="00001499" w:rsidRDefault="009C29A2" w:rsidP="00FC7A97">
            <w:pPr>
              <w:pStyle w:val="TableText0"/>
              <w:keepNext w:val="0"/>
              <w:widowControl w:val="0"/>
            </w:pPr>
            <w:r w:rsidRPr="00001499">
              <w:t xml:space="preserve">  Observed CFR (age64) </w:t>
            </w:r>
            <w:r w:rsidR="00C55C64">
              <w:rPr>
                <w:vertAlign w:val="superscript"/>
              </w:rPr>
              <w:t>c</w:t>
            </w:r>
          </w:p>
        </w:tc>
        <w:tc>
          <w:tcPr>
            <w:tcW w:w="742" w:type="pct"/>
            <w:tcBorders>
              <w:bottom w:val="single" w:sz="4" w:space="0" w:color="auto"/>
            </w:tcBorders>
            <w:shd w:val="solid" w:color="000000" w:fill="000000"/>
          </w:tcPr>
          <w:p w14:paraId="082A9726" w14:textId="184135F7"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62"/>
                <w14:textFill>
                  <w14:solidFill>
                    <w14:srgbClr w14:val="000000">
                      <w14:alpha w14:val="100000"/>
                    </w14:srgbClr>
                  </w14:solidFill>
                </w14:textFill>
              </w:rPr>
              <w:t>|</w:t>
            </w:r>
            <w:r w:rsidRPr="00D76B55">
              <w:rPr>
                <w:color w:val="000000"/>
                <w:fitText w:val="266" w:id="-1404292862"/>
                <w14:textFill>
                  <w14:solidFill>
                    <w14:srgbClr w14:val="000000">
                      <w14:alpha w14:val="100000"/>
                    </w14:srgbClr>
                  </w14:solidFill>
                </w14:textFill>
              </w:rPr>
              <w:t>|</w:t>
            </w:r>
          </w:p>
        </w:tc>
        <w:tc>
          <w:tcPr>
            <w:tcW w:w="742" w:type="pct"/>
          </w:tcPr>
          <w:p w14:paraId="64F553AF" w14:textId="77777777" w:rsidR="009C29A2" w:rsidRPr="00001499" w:rsidRDefault="009C29A2" w:rsidP="00FC7A97">
            <w:pPr>
              <w:pStyle w:val="TableText0"/>
              <w:keepNext w:val="0"/>
              <w:widowControl w:val="0"/>
              <w:jc w:val="center"/>
              <w:rPr>
                <w:rFonts w:ascii="Calibri" w:hAnsi="Calibri" w:cs="Calibri"/>
                <w:color w:val="000000"/>
              </w:rPr>
            </w:pPr>
            <w:r w:rsidRPr="00001499">
              <w:t>0.000079</w:t>
            </w:r>
          </w:p>
        </w:tc>
        <w:tc>
          <w:tcPr>
            <w:tcW w:w="794" w:type="pct"/>
          </w:tcPr>
          <w:p w14:paraId="32985A55" w14:textId="67D5466F" w:rsidR="009C29A2" w:rsidRPr="00AF59C2"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861"/>
                <w14:textFill>
                  <w14:solidFill>
                    <w14:srgbClr w14:val="000000">
                      <w14:alpha w14:val="100000"/>
                    </w14:srgbClr>
                  </w14:solidFill>
                </w14:textFill>
              </w:rPr>
              <w:t>|||</w:t>
            </w:r>
            <w:r w:rsidR="00D76B55" w:rsidRPr="00D76B55">
              <w:rPr>
                <w:color w:val="000000"/>
                <w:spacing w:val="3"/>
                <w:shd w:val="solid" w:color="000000" w:fill="000000"/>
                <w:fitText w:val="332" w:id="-1404292861"/>
                <w14:textFill>
                  <w14:solidFill>
                    <w14:srgbClr w14:val="000000">
                      <w14:alpha w14:val="100000"/>
                    </w14:srgbClr>
                  </w14:solidFill>
                </w14:textFill>
              </w:rPr>
              <w:t>|</w:t>
            </w:r>
            <w:r w:rsidR="003E4039">
              <w:rPr>
                <w:vertAlign w:val="superscript"/>
              </w:rPr>
              <w:t>11</w:t>
            </w:r>
          </w:p>
        </w:tc>
        <w:tc>
          <w:tcPr>
            <w:tcW w:w="679" w:type="pct"/>
          </w:tcPr>
          <w:p w14:paraId="19CE4F17" w14:textId="77777777" w:rsidR="009C29A2" w:rsidRPr="00001499" w:rsidRDefault="009C29A2" w:rsidP="00FC7A97">
            <w:pPr>
              <w:pStyle w:val="TableText0"/>
              <w:keepNext w:val="0"/>
              <w:widowControl w:val="0"/>
              <w:jc w:val="center"/>
              <w:rPr>
                <w:rFonts w:ascii="Calibri" w:hAnsi="Calibri" w:cs="Calibri"/>
                <w:color w:val="000000"/>
              </w:rPr>
            </w:pPr>
            <w:r w:rsidRPr="00001499">
              <w:t>-38%</w:t>
            </w:r>
          </w:p>
        </w:tc>
      </w:tr>
      <w:tr w:rsidR="009C29A2" w:rsidRPr="00001499" w14:paraId="6081571D" w14:textId="77777777" w:rsidTr="00D76B55">
        <w:tc>
          <w:tcPr>
            <w:tcW w:w="2043" w:type="pct"/>
          </w:tcPr>
          <w:p w14:paraId="5B24A60C" w14:textId="11173AAD" w:rsidR="009C29A2" w:rsidRPr="00001499" w:rsidRDefault="009C29A2" w:rsidP="00FC7A97">
            <w:pPr>
              <w:pStyle w:val="TableText0"/>
              <w:keepNext w:val="0"/>
              <w:widowControl w:val="0"/>
            </w:pPr>
            <w:r w:rsidRPr="00001499">
              <w:t xml:space="preserve">  Low rVE + Observed CFR (age64) </w:t>
            </w:r>
            <w:r w:rsidR="00C55C64">
              <w:rPr>
                <w:vertAlign w:val="superscript"/>
              </w:rPr>
              <w:t>c</w:t>
            </w:r>
          </w:p>
        </w:tc>
        <w:tc>
          <w:tcPr>
            <w:tcW w:w="742" w:type="pct"/>
            <w:shd w:val="solid" w:color="000000" w:fill="000000"/>
          </w:tcPr>
          <w:p w14:paraId="2803086E" w14:textId="71BA7B58"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60"/>
                <w14:textFill>
                  <w14:solidFill>
                    <w14:srgbClr w14:val="000000">
                      <w14:alpha w14:val="100000"/>
                    </w14:srgbClr>
                  </w14:solidFill>
                </w14:textFill>
              </w:rPr>
              <w:t>|</w:t>
            </w:r>
            <w:r w:rsidRPr="00D76B55">
              <w:rPr>
                <w:color w:val="000000"/>
                <w:fitText w:val="266" w:id="-1404292860"/>
                <w14:textFill>
                  <w14:solidFill>
                    <w14:srgbClr w14:val="000000">
                      <w14:alpha w14:val="100000"/>
                    </w14:srgbClr>
                  </w14:solidFill>
                </w14:textFill>
              </w:rPr>
              <w:t>|</w:t>
            </w:r>
          </w:p>
        </w:tc>
        <w:tc>
          <w:tcPr>
            <w:tcW w:w="742" w:type="pct"/>
          </w:tcPr>
          <w:p w14:paraId="17673749" w14:textId="77777777" w:rsidR="009C29A2" w:rsidRPr="00001499" w:rsidRDefault="009C29A2" w:rsidP="00FC7A97">
            <w:pPr>
              <w:pStyle w:val="TableText0"/>
              <w:keepNext w:val="0"/>
              <w:widowControl w:val="0"/>
              <w:jc w:val="center"/>
              <w:rPr>
                <w:rFonts w:ascii="Calibri" w:hAnsi="Calibri" w:cs="Calibri"/>
                <w:color w:val="000000"/>
              </w:rPr>
            </w:pPr>
            <w:r w:rsidRPr="00001499">
              <w:t>0.000053</w:t>
            </w:r>
          </w:p>
        </w:tc>
        <w:tc>
          <w:tcPr>
            <w:tcW w:w="794" w:type="pct"/>
          </w:tcPr>
          <w:p w14:paraId="6DC09E65" w14:textId="3372151D" w:rsidR="009C29A2" w:rsidRPr="00AF59C2"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9"/>
                <w14:textFill>
                  <w14:solidFill>
                    <w14:srgbClr w14:val="000000">
                      <w14:alpha w14:val="100000"/>
                    </w14:srgbClr>
                  </w14:solidFill>
                </w14:textFill>
              </w:rPr>
              <w:t>|</w:t>
            </w:r>
            <w:r w:rsidR="00D76B55" w:rsidRPr="00D76B55">
              <w:rPr>
                <w:color w:val="000000"/>
                <w:spacing w:val="1"/>
                <w:shd w:val="solid" w:color="000000" w:fill="000000"/>
                <w:fitText w:val="299" w:id="-1404292859"/>
                <w14:textFill>
                  <w14:solidFill>
                    <w14:srgbClr w14:val="000000">
                      <w14:alpha w14:val="100000"/>
                    </w14:srgbClr>
                  </w14:solidFill>
                </w14:textFill>
              </w:rPr>
              <w:t>|</w:t>
            </w:r>
            <w:r w:rsidR="003E4039">
              <w:rPr>
                <w:vertAlign w:val="superscript"/>
              </w:rPr>
              <w:t>2</w:t>
            </w:r>
          </w:p>
        </w:tc>
        <w:tc>
          <w:tcPr>
            <w:tcW w:w="679" w:type="pct"/>
          </w:tcPr>
          <w:p w14:paraId="11896F59" w14:textId="77777777" w:rsidR="009C29A2" w:rsidRPr="00001499" w:rsidRDefault="009C29A2" w:rsidP="00FC7A97">
            <w:pPr>
              <w:pStyle w:val="TableText0"/>
              <w:keepNext w:val="0"/>
              <w:widowControl w:val="0"/>
              <w:jc w:val="center"/>
              <w:rPr>
                <w:rFonts w:ascii="Calibri" w:hAnsi="Calibri" w:cs="Calibri"/>
                <w:color w:val="000000"/>
              </w:rPr>
            </w:pPr>
            <w:r w:rsidRPr="00001499">
              <w:t>59%</w:t>
            </w:r>
          </w:p>
        </w:tc>
      </w:tr>
      <w:tr w:rsidR="009C29A2" w:rsidRPr="00001499" w14:paraId="553F482F" w14:textId="77777777" w:rsidTr="00D76B55">
        <w:tc>
          <w:tcPr>
            <w:tcW w:w="2043" w:type="pct"/>
          </w:tcPr>
          <w:p w14:paraId="5CF7CCB3" w14:textId="77777777" w:rsidR="009C29A2" w:rsidRPr="00001499" w:rsidRDefault="009C29A2" w:rsidP="00FC7A97">
            <w:pPr>
              <w:pStyle w:val="TableText0"/>
              <w:keepNext w:val="0"/>
              <w:widowControl w:val="0"/>
              <w:rPr>
                <w:b/>
              </w:rPr>
            </w:pPr>
            <w:r w:rsidRPr="00001499">
              <w:rPr>
                <w:b/>
              </w:rPr>
              <w:t xml:space="preserve">High risk population </w:t>
            </w:r>
          </w:p>
        </w:tc>
        <w:tc>
          <w:tcPr>
            <w:tcW w:w="742" w:type="pct"/>
            <w:tcBorders>
              <w:bottom w:val="single" w:sz="4" w:space="0" w:color="auto"/>
            </w:tcBorders>
            <w:vAlign w:val="bottom"/>
          </w:tcPr>
          <w:p w14:paraId="2974CEB6" w14:textId="77777777" w:rsidR="009C29A2" w:rsidRPr="00001499" w:rsidRDefault="009C29A2" w:rsidP="00FC7A97">
            <w:pPr>
              <w:pStyle w:val="TableText0"/>
              <w:keepNext w:val="0"/>
              <w:widowControl w:val="0"/>
              <w:jc w:val="center"/>
              <w:rPr>
                <w:rFonts w:ascii="Calibri" w:hAnsi="Calibri" w:cs="Calibri"/>
                <w:b/>
                <w:color w:val="000000"/>
              </w:rPr>
            </w:pPr>
          </w:p>
        </w:tc>
        <w:tc>
          <w:tcPr>
            <w:tcW w:w="742" w:type="pct"/>
            <w:vAlign w:val="bottom"/>
          </w:tcPr>
          <w:p w14:paraId="012AF43D" w14:textId="77777777" w:rsidR="009C29A2" w:rsidRPr="00001499" w:rsidRDefault="009C29A2" w:rsidP="00FC7A97">
            <w:pPr>
              <w:pStyle w:val="TableText0"/>
              <w:keepNext w:val="0"/>
              <w:widowControl w:val="0"/>
              <w:jc w:val="center"/>
              <w:rPr>
                <w:rFonts w:ascii="Calibri" w:hAnsi="Calibri" w:cs="Calibri"/>
                <w:b/>
                <w:color w:val="000000"/>
              </w:rPr>
            </w:pPr>
          </w:p>
        </w:tc>
        <w:tc>
          <w:tcPr>
            <w:tcW w:w="794" w:type="pct"/>
            <w:vAlign w:val="bottom"/>
          </w:tcPr>
          <w:p w14:paraId="67E86CA6" w14:textId="77777777" w:rsidR="009C29A2" w:rsidRPr="00001499" w:rsidRDefault="009C29A2" w:rsidP="00FC7A97">
            <w:pPr>
              <w:pStyle w:val="TableText0"/>
              <w:keepNext w:val="0"/>
              <w:widowControl w:val="0"/>
              <w:jc w:val="center"/>
              <w:rPr>
                <w:rFonts w:ascii="Calibri" w:hAnsi="Calibri" w:cs="Calibri"/>
                <w:b/>
                <w:color w:val="000000"/>
              </w:rPr>
            </w:pPr>
          </w:p>
        </w:tc>
        <w:tc>
          <w:tcPr>
            <w:tcW w:w="679" w:type="pct"/>
          </w:tcPr>
          <w:p w14:paraId="5A9D07C0" w14:textId="77777777" w:rsidR="009C29A2" w:rsidRPr="00001499" w:rsidRDefault="009C29A2" w:rsidP="00FC7A97">
            <w:pPr>
              <w:pStyle w:val="TableText0"/>
              <w:keepNext w:val="0"/>
              <w:widowControl w:val="0"/>
              <w:jc w:val="center"/>
              <w:rPr>
                <w:rFonts w:ascii="Calibri" w:hAnsi="Calibri" w:cs="Calibri"/>
                <w:b/>
                <w:color w:val="000000"/>
              </w:rPr>
            </w:pPr>
          </w:p>
        </w:tc>
      </w:tr>
      <w:tr w:rsidR="009C29A2" w:rsidRPr="00001499" w14:paraId="2F105E01" w14:textId="77777777" w:rsidTr="00D76B55">
        <w:tc>
          <w:tcPr>
            <w:tcW w:w="2043" w:type="pct"/>
          </w:tcPr>
          <w:p w14:paraId="77C12171" w14:textId="77777777" w:rsidR="009C29A2" w:rsidRPr="00001499" w:rsidRDefault="009C29A2" w:rsidP="00FC7A97">
            <w:pPr>
              <w:pStyle w:val="TableText0"/>
              <w:keepNext w:val="0"/>
              <w:widowControl w:val="0"/>
              <w:rPr>
                <w:b/>
              </w:rPr>
            </w:pPr>
            <w:r w:rsidRPr="00001499">
              <w:rPr>
                <w:b/>
              </w:rPr>
              <w:t>Base case (2015-2019)</w:t>
            </w:r>
          </w:p>
        </w:tc>
        <w:tc>
          <w:tcPr>
            <w:tcW w:w="742" w:type="pct"/>
            <w:tcBorders>
              <w:bottom w:val="single" w:sz="4" w:space="0" w:color="auto"/>
            </w:tcBorders>
            <w:shd w:val="solid" w:color="000000" w:fill="000000"/>
          </w:tcPr>
          <w:p w14:paraId="472CDB3F" w14:textId="0D781BDF" w:rsidR="009C29A2" w:rsidRPr="00D76B55" w:rsidRDefault="00D76B55" w:rsidP="00FC7A97">
            <w:pPr>
              <w:pStyle w:val="TableText0"/>
              <w:keepNext w:val="0"/>
              <w:widowControl w:val="0"/>
              <w:jc w:val="center"/>
              <w:rPr>
                <w:rFonts w:ascii="Calibri" w:hAnsi="Calibri" w:cs="Calibri"/>
                <w:b/>
                <w:color w:val="000000"/>
              </w:rPr>
            </w:pPr>
            <w:r w:rsidRPr="00D76B55">
              <w:rPr>
                <w:b/>
                <w:color w:val="000000"/>
                <w:spacing w:val="152"/>
                <w:fitText w:val="244" w:id="-1404292858"/>
                <w14:textFill>
                  <w14:solidFill>
                    <w14:srgbClr w14:val="000000">
                      <w14:alpha w14:val="100000"/>
                    </w14:srgbClr>
                  </w14:solidFill>
                </w14:textFill>
              </w:rPr>
              <w:t>|</w:t>
            </w:r>
            <w:r w:rsidRPr="00D76B55">
              <w:rPr>
                <w:b/>
                <w:color w:val="000000"/>
                <w:fitText w:val="244" w:id="-1404292858"/>
                <w14:textFill>
                  <w14:solidFill>
                    <w14:srgbClr w14:val="000000">
                      <w14:alpha w14:val="100000"/>
                    </w14:srgbClr>
                  </w14:solidFill>
                </w14:textFill>
              </w:rPr>
              <w:t>|</w:t>
            </w:r>
          </w:p>
        </w:tc>
        <w:tc>
          <w:tcPr>
            <w:tcW w:w="742" w:type="pct"/>
          </w:tcPr>
          <w:p w14:paraId="1EE3C8A5" w14:textId="77777777" w:rsidR="009C29A2" w:rsidRPr="00001499" w:rsidRDefault="009C29A2" w:rsidP="00FC7A97">
            <w:pPr>
              <w:pStyle w:val="TableText0"/>
              <w:keepNext w:val="0"/>
              <w:widowControl w:val="0"/>
              <w:jc w:val="center"/>
              <w:rPr>
                <w:rFonts w:ascii="Calibri" w:hAnsi="Calibri" w:cs="Calibri"/>
                <w:b/>
                <w:color w:val="000000"/>
              </w:rPr>
            </w:pPr>
            <w:r w:rsidRPr="00001499">
              <w:rPr>
                <w:b/>
              </w:rPr>
              <w:t>0.000137</w:t>
            </w:r>
          </w:p>
        </w:tc>
        <w:tc>
          <w:tcPr>
            <w:tcW w:w="794" w:type="pct"/>
          </w:tcPr>
          <w:p w14:paraId="239523BB" w14:textId="648F3D2C" w:rsidR="009C29A2" w:rsidRPr="00AF59C2" w:rsidRDefault="009C29A2" w:rsidP="00FC7A97">
            <w:pPr>
              <w:pStyle w:val="TableText0"/>
              <w:keepNext w:val="0"/>
              <w:widowControl w:val="0"/>
              <w:jc w:val="center"/>
              <w:rPr>
                <w:rFonts w:ascii="Calibri" w:hAnsi="Calibri" w:cs="Calibri"/>
                <w:bCs w:val="0"/>
                <w:color w:val="000000"/>
                <w:vertAlign w:val="superscript"/>
              </w:rPr>
            </w:pPr>
            <w:r w:rsidRPr="00001499">
              <w:rPr>
                <w:b/>
              </w:rPr>
              <w:t>$</w:t>
            </w:r>
            <w:r w:rsidR="00D76B55" w:rsidRPr="00D76B55">
              <w:rPr>
                <w:b/>
                <w:color w:val="000000"/>
                <w:spacing w:val="174"/>
                <w:shd w:val="solid" w:color="000000" w:fill="000000"/>
                <w:fitText w:val="266" w:id="-1404292857"/>
                <w14:textFill>
                  <w14:solidFill>
                    <w14:srgbClr w14:val="000000">
                      <w14:alpha w14:val="100000"/>
                    </w14:srgbClr>
                  </w14:solidFill>
                </w14:textFill>
              </w:rPr>
              <w:t>|</w:t>
            </w:r>
            <w:r w:rsidR="00D76B55" w:rsidRPr="00D76B55">
              <w:rPr>
                <w:b/>
                <w:color w:val="000000"/>
                <w:spacing w:val="1"/>
                <w:shd w:val="solid" w:color="000000" w:fill="000000"/>
                <w:fitText w:val="266" w:id="-1404292857"/>
                <w14:textFill>
                  <w14:solidFill>
                    <w14:srgbClr w14:val="000000">
                      <w14:alpha w14:val="100000"/>
                    </w14:srgbClr>
                  </w14:solidFill>
                </w14:textFill>
              </w:rPr>
              <w:t>|</w:t>
            </w:r>
            <w:r w:rsidR="003E4039">
              <w:rPr>
                <w:bCs w:val="0"/>
                <w:vertAlign w:val="superscript"/>
              </w:rPr>
              <w:t>7</w:t>
            </w:r>
          </w:p>
        </w:tc>
        <w:tc>
          <w:tcPr>
            <w:tcW w:w="679" w:type="pct"/>
          </w:tcPr>
          <w:p w14:paraId="2B8882D8" w14:textId="77777777" w:rsidR="009C29A2" w:rsidRPr="00001499" w:rsidRDefault="009C29A2" w:rsidP="00FC7A97">
            <w:pPr>
              <w:pStyle w:val="TableText0"/>
              <w:keepNext w:val="0"/>
              <w:widowControl w:val="0"/>
              <w:jc w:val="center"/>
              <w:rPr>
                <w:rFonts w:ascii="Calibri" w:hAnsi="Calibri" w:cs="Calibri"/>
                <w:b/>
                <w:color w:val="000000"/>
              </w:rPr>
            </w:pPr>
            <w:r w:rsidRPr="00001499">
              <w:t>-17%</w:t>
            </w:r>
          </w:p>
        </w:tc>
      </w:tr>
      <w:tr w:rsidR="009C29A2" w:rsidRPr="00001499" w14:paraId="2D61F82E" w14:textId="77777777" w:rsidTr="00D76B55">
        <w:tc>
          <w:tcPr>
            <w:tcW w:w="2043" w:type="pct"/>
            <w:vAlign w:val="bottom"/>
          </w:tcPr>
          <w:p w14:paraId="21F3156C" w14:textId="77777777" w:rsidR="009C29A2" w:rsidRPr="00001499" w:rsidRDefault="009C29A2" w:rsidP="00FC7A97">
            <w:pPr>
              <w:pStyle w:val="TableText0"/>
              <w:keepNext w:val="0"/>
              <w:widowControl w:val="0"/>
            </w:pPr>
            <w:r w:rsidRPr="00001499">
              <w:t xml:space="preserve">  Season 2015</w:t>
            </w:r>
          </w:p>
        </w:tc>
        <w:tc>
          <w:tcPr>
            <w:tcW w:w="742" w:type="pct"/>
            <w:tcBorders>
              <w:bottom w:val="single" w:sz="4" w:space="0" w:color="auto"/>
            </w:tcBorders>
            <w:shd w:val="solid" w:color="000000" w:fill="000000"/>
          </w:tcPr>
          <w:p w14:paraId="05898789" w14:textId="526840BA"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6"/>
                <w14:textFill>
                  <w14:solidFill>
                    <w14:srgbClr w14:val="000000">
                      <w14:alpha w14:val="100000"/>
                    </w14:srgbClr>
                  </w14:solidFill>
                </w14:textFill>
              </w:rPr>
              <w:t>|</w:t>
            </w:r>
            <w:r w:rsidRPr="00D76B55">
              <w:rPr>
                <w:color w:val="000000"/>
                <w:fitText w:val="266" w:id="-1404292856"/>
                <w14:textFill>
                  <w14:solidFill>
                    <w14:srgbClr w14:val="000000">
                      <w14:alpha w14:val="100000"/>
                    </w14:srgbClr>
                  </w14:solidFill>
                </w14:textFill>
              </w:rPr>
              <w:t>|</w:t>
            </w:r>
          </w:p>
        </w:tc>
        <w:tc>
          <w:tcPr>
            <w:tcW w:w="742" w:type="pct"/>
          </w:tcPr>
          <w:p w14:paraId="08214832" w14:textId="77777777" w:rsidR="009C29A2" w:rsidRPr="00001499" w:rsidRDefault="009C29A2" w:rsidP="00FC7A97">
            <w:pPr>
              <w:pStyle w:val="TableText0"/>
              <w:keepNext w:val="0"/>
              <w:widowControl w:val="0"/>
              <w:jc w:val="center"/>
              <w:rPr>
                <w:rFonts w:ascii="Calibri" w:hAnsi="Calibri" w:cs="Calibri"/>
                <w:color w:val="000000"/>
              </w:rPr>
            </w:pPr>
            <w:r w:rsidRPr="00001499">
              <w:t>0.000098</w:t>
            </w:r>
          </w:p>
        </w:tc>
        <w:tc>
          <w:tcPr>
            <w:tcW w:w="794" w:type="pct"/>
          </w:tcPr>
          <w:p w14:paraId="7FDB6D31" w14:textId="08F556B7"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5"/>
                <w14:textFill>
                  <w14:solidFill>
                    <w14:srgbClr w14:val="000000">
                      <w14:alpha w14:val="100000"/>
                    </w14:srgbClr>
                  </w14:solidFill>
                </w14:textFill>
              </w:rPr>
              <w:t>|</w:t>
            </w:r>
            <w:r w:rsidR="00D76B55" w:rsidRPr="00D76B55">
              <w:rPr>
                <w:color w:val="000000"/>
                <w:spacing w:val="1"/>
                <w:shd w:val="solid" w:color="000000" w:fill="000000"/>
                <w:fitText w:val="299" w:id="-1404292855"/>
                <w14:textFill>
                  <w14:solidFill>
                    <w14:srgbClr w14:val="000000">
                      <w14:alpha w14:val="100000"/>
                    </w14:srgbClr>
                  </w14:solidFill>
                </w14:textFill>
              </w:rPr>
              <w:t>|</w:t>
            </w:r>
            <w:r w:rsidR="003E4039">
              <w:rPr>
                <w:vertAlign w:val="superscript"/>
              </w:rPr>
              <w:t>3</w:t>
            </w:r>
          </w:p>
        </w:tc>
        <w:tc>
          <w:tcPr>
            <w:tcW w:w="679" w:type="pct"/>
          </w:tcPr>
          <w:p w14:paraId="1FF8F880" w14:textId="77777777" w:rsidR="009C29A2" w:rsidRPr="00001499" w:rsidRDefault="009C29A2" w:rsidP="00FC7A97">
            <w:pPr>
              <w:pStyle w:val="TableText0"/>
              <w:keepNext w:val="0"/>
              <w:widowControl w:val="0"/>
              <w:jc w:val="center"/>
              <w:rPr>
                <w:rFonts w:ascii="Calibri" w:hAnsi="Calibri" w:cs="Calibri"/>
                <w:color w:val="000000"/>
              </w:rPr>
            </w:pPr>
            <w:r w:rsidRPr="00001499">
              <w:t>30%</w:t>
            </w:r>
          </w:p>
        </w:tc>
      </w:tr>
      <w:tr w:rsidR="009C29A2" w:rsidRPr="00001499" w14:paraId="426F8DF4" w14:textId="77777777" w:rsidTr="00D76B55">
        <w:tc>
          <w:tcPr>
            <w:tcW w:w="2043" w:type="pct"/>
            <w:vAlign w:val="bottom"/>
          </w:tcPr>
          <w:p w14:paraId="227AC099" w14:textId="77777777" w:rsidR="009C29A2" w:rsidRPr="00001499" w:rsidRDefault="009C29A2" w:rsidP="00FC7A97">
            <w:pPr>
              <w:pStyle w:val="TableText0"/>
              <w:keepNext w:val="0"/>
              <w:widowControl w:val="0"/>
            </w:pPr>
            <w:r w:rsidRPr="00001499">
              <w:t xml:space="preserve">  Season 2016</w:t>
            </w:r>
          </w:p>
        </w:tc>
        <w:tc>
          <w:tcPr>
            <w:tcW w:w="742" w:type="pct"/>
            <w:tcBorders>
              <w:bottom w:val="single" w:sz="4" w:space="0" w:color="auto"/>
            </w:tcBorders>
            <w:shd w:val="solid" w:color="000000" w:fill="000000"/>
          </w:tcPr>
          <w:p w14:paraId="5A3B76C9" w14:textId="3F30A300"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4"/>
                <w14:textFill>
                  <w14:solidFill>
                    <w14:srgbClr w14:val="000000">
                      <w14:alpha w14:val="100000"/>
                    </w14:srgbClr>
                  </w14:solidFill>
                </w14:textFill>
              </w:rPr>
              <w:t>|</w:t>
            </w:r>
            <w:r w:rsidRPr="00D76B55">
              <w:rPr>
                <w:color w:val="000000"/>
                <w:fitText w:val="266" w:id="-1404292854"/>
                <w14:textFill>
                  <w14:solidFill>
                    <w14:srgbClr w14:val="000000">
                      <w14:alpha w14:val="100000"/>
                    </w14:srgbClr>
                  </w14:solidFill>
                </w14:textFill>
              </w:rPr>
              <w:t>|</w:t>
            </w:r>
          </w:p>
        </w:tc>
        <w:tc>
          <w:tcPr>
            <w:tcW w:w="742" w:type="pct"/>
          </w:tcPr>
          <w:p w14:paraId="3648E89E" w14:textId="77777777" w:rsidR="009C29A2" w:rsidRPr="00001499" w:rsidRDefault="009C29A2" w:rsidP="00FC7A97">
            <w:pPr>
              <w:pStyle w:val="TableText0"/>
              <w:keepNext w:val="0"/>
              <w:widowControl w:val="0"/>
              <w:jc w:val="center"/>
              <w:rPr>
                <w:rFonts w:ascii="Calibri" w:hAnsi="Calibri" w:cs="Calibri"/>
                <w:color w:val="000000"/>
              </w:rPr>
            </w:pPr>
            <w:r w:rsidRPr="00001499">
              <w:t>0.000114</w:t>
            </w:r>
          </w:p>
        </w:tc>
        <w:tc>
          <w:tcPr>
            <w:tcW w:w="794" w:type="pct"/>
          </w:tcPr>
          <w:p w14:paraId="2610C8F2" w14:textId="0DBADA00"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3"/>
                <w14:textFill>
                  <w14:solidFill>
                    <w14:srgbClr w14:val="000000">
                      <w14:alpha w14:val="100000"/>
                    </w14:srgbClr>
                  </w14:solidFill>
                </w14:textFill>
              </w:rPr>
              <w:t>|</w:t>
            </w:r>
            <w:r w:rsidR="00D76B55" w:rsidRPr="00D76B55">
              <w:rPr>
                <w:color w:val="000000"/>
                <w:spacing w:val="1"/>
                <w:shd w:val="solid" w:color="000000" w:fill="000000"/>
                <w:fitText w:val="299" w:id="-1404292853"/>
                <w14:textFill>
                  <w14:solidFill>
                    <w14:srgbClr w14:val="000000">
                      <w14:alpha w14:val="100000"/>
                    </w14:srgbClr>
                  </w14:solidFill>
                </w14:textFill>
              </w:rPr>
              <w:t>|</w:t>
            </w:r>
            <w:r w:rsidR="003E4039">
              <w:rPr>
                <w:vertAlign w:val="superscript"/>
              </w:rPr>
              <w:t>1</w:t>
            </w:r>
          </w:p>
        </w:tc>
        <w:tc>
          <w:tcPr>
            <w:tcW w:w="679" w:type="pct"/>
          </w:tcPr>
          <w:p w14:paraId="6CF9B3B1" w14:textId="77777777" w:rsidR="009C29A2" w:rsidRPr="00001499" w:rsidRDefault="009C29A2" w:rsidP="00FC7A97">
            <w:pPr>
              <w:pStyle w:val="TableText0"/>
              <w:keepNext w:val="0"/>
              <w:widowControl w:val="0"/>
              <w:jc w:val="center"/>
              <w:rPr>
                <w:rFonts w:ascii="Calibri" w:hAnsi="Calibri" w:cs="Calibri"/>
                <w:color w:val="000000"/>
              </w:rPr>
            </w:pPr>
            <w:r w:rsidRPr="00001499">
              <w:t>6%</w:t>
            </w:r>
          </w:p>
        </w:tc>
      </w:tr>
      <w:tr w:rsidR="009C29A2" w:rsidRPr="00001499" w14:paraId="469E2D7E" w14:textId="77777777" w:rsidTr="00D76B55">
        <w:tc>
          <w:tcPr>
            <w:tcW w:w="2043" w:type="pct"/>
            <w:vAlign w:val="bottom"/>
          </w:tcPr>
          <w:p w14:paraId="4CA59ED5" w14:textId="77777777" w:rsidR="009C29A2" w:rsidRPr="00001499" w:rsidRDefault="009C29A2" w:rsidP="00FC7A97">
            <w:pPr>
              <w:pStyle w:val="TableText0"/>
              <w:keepNext w:val="0"/>
              <w:widowControl w:val="0"/>
            </w:pPr>
            <w:r w:rsidRPr="00001499">
              <w:t xml:space="preserve">  Season 2017</w:t>
            </w:r>
          </w:p>
        </w:tc>
        <w:tc>
          <w:tcPr>
            <w:tcW w:w="742" w:type="pct"/>
            <w:tcBorders>
              <w:bottom w:val="single" w:sz="4" w:space="0" w:color="auto"/>
            </w:tcBorders>
            <w:shd w:val="solid" w:color="000000" w:fill="000000"/>
          </w:tcPr>
          <w:p w14:paraId="08CB3F61" w14:textId="14BA8D14"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2"/>
                <w14:textFill>
                  <w14:solidFill>
                    <w14:srgbClr w14:val="000000">
                      <w14:alpha w14:val="100000"/>
                    </w14:srgbClr>
                  </w14:solidFill>
                </w14:textFill>
              </w:rPr>
              <w:t>|</w:t>
            </w:r>
            <w:r w:rsidRPr="00D76B55">
              <w:rPr>
                <w:color w:val="000000"/>
                <w:fitText w:val="266" w:id="-1404292852"/>
                <w14:textFill>
                  <w14:solidFill>
                    <w14:srgbClr w14:val="000000">
                      <w14:alpha w14:val="100000"/>
                    </w14:srgbClr>
                  </w14:solidFill>
                </w14:textFill>
              </w:rPr>
              <w:t>|</w:t>
            </w:r>
          </w:p>
        </w:tc>
        <w:tc>
          <w:tcPr>
            <w:tcW w:w="742" w:type="pct"/>
          </w:tcPr>
          <w:p w14:paraId="784B1239" w14:textId="77777777" w:rsidR="009C29A2" w:rsidRPr="00001499" w:rsidRDefault="009C29A2" w:rsidP="00FC7A97">
            <w:pPr>
              <w:pStyle w:val="TableText0"/>
              <w:keepNext w:val="0"/>
              <w:widowControl w:val="0"/>
              <w:jc w:val="center"/>
              <w:rPr>
                <w:rFonts w:ascii="Calibri" w:hAnsi="Calibri" w:cs="Calibri"/>
                <w:color w:val="000000"/>
              </w:rPr>
            </w:pPr>
            <w:r w:rsidRPr="00001499">
              <w:t>0.000256</w:t>
            </w:r>
          </w:p>
        </w:tc>
        <w:tc>
          <w:tcPr>
            <w:tcW w:w="794" w:type="pct"/>
          </w:tcPr>
          <w:p w14:paraId="7307186E" w14:textId="40DA6115"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1"/>
                <w14:textFill>
                  <w14:solidFill>
                    <w14:srgbClr w14:val="000000">
                      <w14:alpha w14:val="100000"/>
                    </w14:srgbClr>
                  </w14:solidFill>
                </w14:textFill>
              </w:rPr>
              <w:t>|</w:t>
            </w:r>
            <w:r w:rsidR="00D76B55" w:rsidRPr="00D76B55">
              <w:rPr>
                <w:color w:val="000000"/>
                <w:spacing w:val="1"/>
                <w:shd w:val="solid" w:color="000000" w:fill="000000"/>
                <w:fitText w:val="299" w:id="-1404292851"/>
                <w14:textFill>
                  <w14:solidFill>
                    <w14:srgbClr w14:val="000000">
                      <w14:alpha w14:val="100000"/>
                    </w14:srgbClr>
                  </w14:solidFill>
                </w14:textFill>
              </w:rPr>
              <w:t>|</w:t>
            </w:r>
            <w:r w:rsidR="003E4039">
              <w:rPr>
                <w:vertAlign w:val="superscript"/>
              </w:rPr>
              <w:t>4</w:t>
            </w:r>
          </w:p>
        </w:tc>
        <w:tc>
          <w:tcPr>
            <w:tcW w:w="679" w:type="pct"/>
          </w:tcPr>
          <w:p w14:paraId="72411A63" w14:textId="77777777" w:rsidR="009C29A2" w:rsidRPr="00001499" w:rsidRDefault="009C29A2" w:rsidP="00FC7A97">
            <w:pPr>
              <w:pStyle w:val="TableText0"/>
              <w:keepNext w:val="0"/>
              <w:widowControl w:val="0"/>
              <w:jc w:val="center"/>
              <w:rPr>
                <w:rFonts w:ascii="Calibri" w:hAnsi="Calibri" w:cs="Calibri"/>
                <w:color w:val="000000"/>
              </w:rPr>
            </w:pPr>
            <w:r w:rsidRPr="00001499">
              <w:t>-71%</w:t>
            </w:r>
          </w:p>
        </w:tc>
      </w:tr>
      <w:tr w:rsidR="009C29A2" w:rsidRPr="00001499" w14:paraId="7C137A40" w14:textId="77777777" w:rsidTr="00D76B55">
        <w:tc>
          <w:tcPr>
            <w:tcW w:w="2043" w:type="pct"/>
            <w:vAlign w:val="bottom"/>
          </w:tcPr>
          <w:p w14:paraId="3D441969" w14:textId="77777777" w:rsidR="009C29A2" w:rsidRPr="00001499" w:rsidRDefault="009C29A2" w:rsidP="00FC7A97">
            <w:pPr>
              <w:pStyle w:val="TableText0"/>
              <w:keepNext w:val="0"/>
              <w:widowControl w:val="0"/>
            </w:pPr>
            <w:r w:rsidRPr="00001499">
              <w:t xml:space="preserve">  Season 2018</w:t>
            </w:r>
          </w:p>
        </w:tc>
        <w:tc>
          <w:tcPr>
            <w:tcW w:w="742" w:type="pct"/>
            <w:tcBorders>
              <w:bottom w:val="single" w:sz="4" w:space="0" w:color="auto"/>
            </w:tcBorders>
            <w:shd w:val="solid" w:color="000000" w:fill="000000"/>
          </w:tcPr>
          <w:p w14:paraId="788F946D" w14:textId="31F144C4"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0"/>
                <w14:textFill>
                  <w14:solidFill>
                    <w14:srgbClr w14:val="000000">
                      <w14:alpha w14:val="100000"/>
                    </w14:srgbClr>
                  </w14:solidFill>
                </w14:textFill>
              </w:rPr>
              <w:t>|</w:t>
            </w:r>
            <w:r w:rsidRPr="00D76B55">
              <w:rPr>
                <w:color w:val="000000"/>
                <w:fitText w:val="266" w:id="-1404292850"/>
                <w14:textFill>
                  <w14:solidFill>
                    <w14:srgbClr w14:val="000000">
                      <w14:alpha w14:val="100000"/>
                    </w14:srgbClr>
                  </w14:solidFill>
                </w14:textFill>
              </w:rPr>
              <w:t>|</w:t>
            </w:r>
          </w:p>
        </w:tc>
        <w:tc>
          <w:tcPr>
            <w:tcW w:w="742" w:type="pct"/>
          </w:tcPr>
          <w:p w14:paraId="373E1E26" w14:textId="77777777" w:rsidR="009C29A2" w:rsidRPr="00001499" w:rsidRDefault="009C29A2" w:rsidP="00FC7A97">
            <w:pPr>
              <w:pStyle w:val="TableText0"/>
              <w:keepNext w:val="0"/>
              <w:widowControl w:val="0"/>
              <w:jc w:val="center"/>
              <w:rPr>
                <w:rFonts w:ascii="Calibri" w:hAnsi="Calibri" w:cs="Calibri"/>
                <w:color w:val="000000"/>
              </w:rPr>
            </w:pPr>
            <w:r w:rsidRPr="00001499">
              <w:t>0.000000</w:t>
            </w:r>
          </w:p>
        </w:tc>
        <w:tc>
          <w:tcPr>
            <w:tcW w:w="794" w:type="pct"/>
          </w:tcPr>
          <w:p w14:paraId="651757B7" w14:textId="4332B386" w:rsidR="009C29A2" w:rsidRPr="00001499" w:rsidRDefault="009C29A2" w:rsidP="00FC7A97">
            <w:pPr>
              <w:pStyle w:val="TableText0"/>
              <w:keepNext w:val="0"/>
              <w:widowControl w:val="0"/>
              <w:jc w:val="center"/>
              <w:rPr>
                <w:rFonts w:ascii="Calibri" w:hAnsi="Calibri" w:cs="Calibri"/>
                <w:color w:val="000000"/>
              </w:rPr>
            </w:pPr>
            <w:r w:rsidRPr="00001499">
              <w:t xml:space="preserve">Dominated </w:t>
            </w:r>
            <w:r w:rsidR="00C55C64">
              <w:rPr>
                <w:vertAlign w:val="superscript"/>
              </w:rPr>
              <w:t>b</w:t>
            </w:r>
          </w:p>
        </w:tc>
        <w:tc>
          <w:tcPr>
            <w:tcW w:w="679" w:type="pct"/>
          </w:tcPr>
          <w:p w14:paraId="4B8D055C" w14:textId="77777777" w:rsidR="009C29A2" w:rsidRPr="00001499" w:rsidRDefault="009C29A2" w:rsidP="00FC7A97">
            <w:pPr>
              <w:pStyle w:val="TableText0"/>
              <w:keepNext w:val="0"/>
              <w:widowControl w:val="0"/>
              <w:jc w:val="center"/>
              <w:rPr>
                <w:rFonts w:ascii="Calibri" w:hAnsi="Calibri" w:cs="Calibri"/>
                <w:color w:val="000000"/>
              </w:rPr>
            </w:pPr>
          </w:p>
        </w:tc>
      </w:tr>
      <w:tr w:rsidR="009C29A2" w:rsidRPr="00001499" w14:paraId="66BF6DC0" w14:textId="77777777" w:rsidTr="00D76B55">
        <w:tc>
          <w:tcPr>
            <w:tcW w:w="2043" w:type="pct"/>
            <w:vAlign w:val="bottom"/>
          </w:tcPr>
          <w:p w14:paraId="1245F5AB" w14:textId="77777777" w:rsidR="009C29A2" w:rsidRPr="00001499" w:rsidRDefault="009C29A2" w:rsidP="00FC7A97">
            <w:pPr>
              <w:pStyle w:val="TableText0"/>
              <w:keepNext w:val="0"/>
              <w:widowControl w:val="0"/>
            </w:pPr>
            <w:r w:rsidRPr="00001499">
              <w:t xml:space="preserve">  Season 2019</w:t>
            </w:r>
          </w:p>
        </w:tc>
        <w:tc>
          <w:tcPr>
            <w:tcW w:w="742" w:type="pct"/>
            <w:tcBorders>
              <w:bottom w:val="single" w:sz="4" w:space="0" w:color="auto"/>
            </w:tcBorders>
            <w:shd w:val="solid" w:color="000000" w:fill="000000"/>
          </w:tcPr>
          <w:p w14:paraId="20EE63E2" w14:textId="63554286"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49"/>
                <w14:textFill>
                  <w14:solidFill>
                    <w14:srgbClr w14:val="000000">
                      <w14:alpha w14:val="100000"/>
                    </w14:srgbClr>
                  </w14:solidFill>
                </w14:textFill>
              </w:rPr>
              <w:t>|</w:t>
            </w:r>
            <w:r w:rsidRPr="00D76B55">
              <w:rPr>
                <w:color w:val="000000"/>
                <w:fitText w:val="266" w:id="-1404292849"/>
                <w14:textFill>
                  <w14:solidFill>
                    <w14:srgbClr w14:val="000000">
                      <w14:alpha w14:val="100000"/>
                    </w14:srgbClr>
                  </w14:solidFill>
                </w14:textFill>
              </w:rPr>
              <w:t>|</w:t>
            </w:r>
          </w:p>
        </w:tc>
        <w:tc>
          <w:tcPr>
            <w:tcW w:w="742" w:type="pct"/>
          </w:tcPr>
          <w:p w14:paraId="747AA8DE" w14:textId="77777777" w:rsidR="009C29A2" w:rsidRPr="00001499" w:rsidRDefault="009C29A2" w:rsidP="00FC7A97">
            <w:pPr>
              <w:pStyle w:val="TableText0"/>
              <w:keepNext w:val="0"/>
              <w:widowControl w:val="0"/>
              <w:jc w:val="center"/>
              <w:rPr>
                <w:rFonts w:ascii="Calibri" w:hAnsi="Calibri" w:cs="Calibri"/>
                <w:color w:val="000000"/>
              </w:rPr>
            </w:pPr>
            <w:r w:rsidRPr="00001499">
              <w:t>0.000293</w:t>
            </w:r>
          </w:p>
        </w:tc>
        <w:tc>
          <w:tcPr>
            <w:tcW w:w="794" w:type="pct"/>
          </w:tcPr>
          <w:p w14:paraId="20AD4FB3" w14:textId="1DC9F4C2"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48"/>
                <w14:textFill>
                  <w14:solidFill>
                    <w14:srgbClr w14:val="000000">
                      <w14:alpha w14:val="100000"/>
                    </w14:srgbClr>
                  </w14:solidFill>
                </w14:textFill>
              </w:rPr>
              <w:t>|</w:t>
            </w:r>
            <w:r w:rsidR="00D76B55" w:rsidRPr="00D76B55">
              <w:rPr>
                <w:color w:val="000000"/>
                <w:spacing w:val="1"/>
                <w:shd w:val="solid" w:color="000000" w:fill="000000"/>
                <w:fitText w:val="299" w:id="-1404292848"/>
                <w14:textFill>
                  <w14:solidFill>
                    <w14:srgbClr w14:val="000000">
                      <w14:alpha w14:val="100000"/>
                    </w14:srgbClr>
                  </w14:solidFill>
                </w14:textFill>
              </w:rPr>
              <w:t>|</w:t>
            </w:r>
            <w:r w:rsidR="003E4039">
              <w:rPr>
                <w:vertAlign w:val="superscript"/>
              </w:rPr>
              <w:t>4</w:t>
            </w:r>
          </w:p>
        </w:tc>
        <w:tc>
          <w:tcPr>
            <w:tcW w:w="679" w:type="pct"/>
          </w:tcPr>
          <w:p w14:paraId="33D75407" w14:textId="77777777" w:rsidR="009C29A2" w:rsidRPr="00001499" w:rsidRDefault="009C29A2" w:rsidP="00FC7A97">
            <w:pPr>
              <w:pStyle w:val="TableText0"/>
              <w:keepNext w:val="0"/>
              <w:widowControl w:val="0"/>
              <w:jc w:val="center"/>
              <w:rPr>
                <w:rFonts w:ascii="Calibri" w:hAnsi="Calibri" w:cs="Calibri"/>
                <w:color w:val="000000"/>
              </w:rPr>
            </w:pPr>
            <w:r w:rsidRPr="00001499">
              <w:t>-78%</w:t>
            </w:r>
          </w:p>
        </w:tc>
      </w:tr>
      <w:tr w:rsidR="009C29A2" w:rsidRPr="00001499" w14:paraId="28CA3CA9" w14:textId="77777777" w:rsidTr="00D76B55">
        <w:tc>
          <w:tcPr>
            <w:tcW w:w="2043" w:type="pct"/>
          </w:tcPr>
          <w:p w14:paraId="58E25D74" w14:textId="0B1DE9C2" w:rsidR="009C29A2" w:rsidRPr="00001499" w:rsidRDefault="009C29A2" w:rsidP="00FC7A97">
            <w:pPr>
              <w:pStyle w:val="TableText0"/>
              <w:keepNext w:val="0"/>
              <w:widowControl w:val="0"/>
            </w:pPr>
            <w:r w:rsidRPr="00001499">
              <w:t xml:space="preserve">  Low rVE (age20) </w:t>
            </w:r>
            <w:r w:rsidR="00C55C64">
              <w:rPr>
                <w:vertAlign w:val="superscript"/>
              </w:rPr>
              <w:t>c</w:t>
            </w:r>
          </w:p>
        </w:tc>
        <w:tc>
          <w:tcPr>
            <w:tcW w:w="742" w:type="pct"/>
            <w:tcBorders>
              <w:bottom w:val="single" w:sz="4" w:space="0" w:color="auto"/>
            </w:tcBorders>
            <w:shd w:val="solid" w:color="000000" w:fill="000000"/>
          </w:tcPr>
          <w:p w14:paraId="7F280AE5" w14:textId="1CAD3B33"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64"/>
                <w14:textFill>
                  <w14:solidFill>
                    <w14:srgbClr w14:val="000000">
                      <w14:alpha w14:val="100000"/>
                    </w14:srgbClr>
                  </w14:solidFill>
                </w14:textFill>
              </w:rPr>
              <w:t>|</w:t>
            </w:r>
            <w:r w:rsidRPr="00D76B55">
              <w:rPr>
                <w:color w:val="000000"/>
                <w:fitText w:val="266" w:id="-1404292864"/>
                <w14:textFill>
                  <w14:solidFill>
                    <w14:srgbClr w14:val="000000">
                      <w14:alpha w14:val="100000"/>
                    </w14:srgbClr>
                  </w14:solidFill>
                </w14:textFill>
              </w:rPr>
              <w:t>|</w:t>
            </w:r>
          </w:p>
        </w:tc>
        <w:tc>
          <w:tcPr>
            <w:tcW w:w="742" w:type="pct"/>
          </w:tcPr>
          <w:p w14:paraId="3E36F8A4" w14:textId="77777777" w:rsidR="009C29A2" w:rsidRPr="00001499" w:rsidRDefault="009C29A2" w:rsidP="00FC7A97">
            <w:pPr>
              <w:pStyle w:val="TableText0"/>
              <w:keepNext w:val="0"/>
              <w:widowControl w:val="0"/>
              <w:jc w:val="center"/>
              <w:rPr>
                <w:rFonts w:ascii="Calibri" w:hAnsi="Calibri" w:cs="Calibri"/>
                <w:color w:val="000000"/>
              </w:rPr>
            </w:pPr>
            <w:r w:rsidRPr="00001499">
              <w:t>0.000061</w:t>
            </w:r>
          </w:p>
        </w:tc>
        <w:tc>
          <w:tcPr>
            <w:tcW w:w="794" w:type="pct"/>
          </w:tcPr>
          <w:p w14:paraId="5DED7262" w14:textId="6488DB60"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863"/>
                <w14:textFill>
                  <w14:solidFill>
                    <w14:srgbClr w14:val="000000">
                      <w14:alpha w14:val="100000"/>
                    </w14:srgbClr>
                  </w14:solidFill>
                </w14:textFill>
              </w:rPr>
              <w:t>|||</w:t>
            </w:r>
            <w:r w:rsidR="00D76B55" w:rsidRPr="00D76B55">
              <w:rPr>
                <w:color w:val="000000"/>
                <w:spacing w:val="3"/>
                <w:shd w:val="solid" w:color="000000" w:fill="000000"/>
                <w:fitText w:val="332" w:id="-1404292863"/>
                <w14:textFill>
                  <w14:solidFill>
                    <w14:srgbClr w14:val="000000">
                      <w14:alpha w14:val="100000"/>
                    </w14:srgbClr>
                  </w14:solidFill>
                </w14:textFill>
              </w:rPr>
              <w:t>|</w:t>
            </w:r>
            <w:r w:rsidR="003E4039">
              <w:rPr>
                <w:vertAlign w:val="superscript"/>
              </w:rPr>
              <w:t>10</w:t>
            </w:r>
          </w:p>
        </w:tc>
        <w:tc>
          <w:tcPr>
            <w:tcW w:w="679" w:type="pct"/>
          </w:tcPr>
          <w:p w14:paraId="794A0C63" w14:textId="77777777" w:rsidR="009C29A2" w:rsidRPr="00001499" w:rsidRDefault="009C29A2" w:rsidP="00FC7A97">
            <w:pPr>
              <w:pStyle w:val="TableText0"/>
              <w:keepNext w:val="0"/>
              <w:widowControl w:val="0"/>
              <w:jc w:val="center"/>
              <w:rPr>
                <w:rFonts w:ascii="Calibri" w:hAnsi="Calibri" w:cs="Calibri"/>
                <w:color w:val="000000"/>
              </w:rPr>
            </w:pPr>
            <w:r w:rsidRPr="00001499">
              <w:t>129%</w:t>
            </w:r>
          </w:p>
        </w:tc>
      </w:tr>
      <w:tr w:rsidR="009C29A2" w:rsidRPr="00001499" w14:paraId="6303D761" w14:textId="77777777" w:rsidTr="00D76B55">
        <w:tc>
          <w:tcPr>
            <w:tcW w:w="2043" w:type="pct"/>
          </w:tcPr>
          <w:p w14:paraId="7185DB42" w14:textId="159D754C" w:rsidR="009C29A2" w:rsidRPr="00001499" w:rsidRDefault="009C29A2" w:rsidP="00FC7A97">
            <w:pPr>
              <w:pStyle w:val="TableText0"/>
              <w:keepNext w:val="0"/>
              <w:widowControl w:val="0"/>
            </w:pPr>
            <w:r w:rsidRPr="00001499">
              <w:t xml:space="preserve">  High rVE (age20) </w:t>
            </w:r>
            <w:r w:rsidR="00C55C64">
              <w:rPr>
                <w:vertAlign w:val="superscript"/>
              </w:rPr>
              <w:t>c</w:t>
            </w:r>
          </w:p>
        </w:tc>
        <w:tc>
          <w:tcPr>
            <w:tcW w:w="742" w:type="pct"/>
            <w:tcBorders>
              <w:bottom w:val="single" w:sz="4" w:space="0" w:color="auto"/>
            </w:tcBorders>
            <w:shd w:val="solid" w:color="000000" w:fill="000000"/>
          </w:tcPr>
          <w:p w14:paraId="37397833" w14:textId="2A6ECBF5"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62"/>
                <w14:textFill>
                  <w14:solidFill>
                    <w14:srgbClr w14:val="000000">
                      <w14:alpha w14:val="100000"/>
                    </w14:srgbClr>
                  </w14:solidFill>
                </w14:textFill>
              </w:rPr>
              <w:t>|</w:t>
            </w:r>
            <w:r w:rsidRPr="00D76B55">
              <w:rPr>
                <w:color w:val="000000"/>
                <w:fitText w:val="266" w:id="-1404292862"/>
                <w14:textFill>
                  <w14:solidFill>
                    <w14:srgbClr w14:val="000000">
                      <w14:alpha w14:val="100000"/>
                    </w14:srgbClr>
                  </w14:solidFill>
                </w14:textFill>
              </w:rPr>
              <w:t>|</w:t>
            </w:r>
          </w:p>
        </w:tc>
        <w:tc>
          <w:tcPr>
            <w:tcW w:w="742" w:type="pct"/>
          </w:tcPr>
          <w:p w14:paraId="32C514DE" w14:textId="77777777" w:rsidR="009C29A2" w:rsidRPr="00001499" w:rsidRDefault="009C29A2" w:rsidP="00FC7A97">
            <w:pPr>
              <w:pStyle w:val="TableText0"/>
              <w:keepNext w:val="0"/>
              <w:widowControl w:val="0"/>
              <w:jc w:val="center"/>
              <w:rPr>
                <w:rFonts w:ascii="Calibri" w:hAnsi="Calibri" w:cs="Calibri"/>
                <w:color w:val="000000"/>
              </w:rPr>
            </w:pPr>
            <w:r w:rsidRPr="00001499">
              <w:t>0.000134</w:t>
            </w:r>
          </w:p>
        </w:tc>
        <w:tc>
          <w:tcPr>
            <w:tcW w:w="794" w:type="pct"/>
          </w:tcPr>
          <w:p w14:paraId="4DBE6868" w14:textId="7DFCFD80"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61"/>
                <w14:textFill>
                  <w14:solidFill>
                    <w14:srgbClr w14:val="000000">
                      <w14:alpha w14:val="100000"/>
                    </w14:srgbClr>
                  </w14:solidFill>
                </w14:textFill>
              </w:rPr>
              <w:t>|</w:t>
            </w:r>
            <w:r w:rsidR="00D76B55" w:rsidRPr="00D76B55">
              <w:rPr>
                <w:color w:val="000000"/>
                <w:spacing w:val="1"/>
                <w:shd w:val="solid" w:color="000000" w:fill="000000"/>
                <w:fitText w:val="299" w:id="-1404292861"/>
                <w14:textFill>
                  <w14:solidFill>
                    <w14:srgbClr w14:val="000000">
                      <w14:alpha w14:val="100000"/>
                    </w14:srgbClr>
                  </w14:solidFill>
                </w14:textFill>
              </w:rPr>
              <w:t>|</w:t>
            </w:r>
            <w:r w:rsidR="004E2653">
              <w:rPr>
                <w:vertAlign w:val="superscript"/>
              </w:rPr>
              <w:t>7</w:t>
            </w:r>
          </w:p>
        </w:tc>
        <w:tc>
          <w:tcPr>
            <w:tcW w:w="679" w:type="pct"/>
          </w:tcPr>
          <w:p w14:paraId="1CB83CDE" w14:textId="77777777" w:rsidR="009C29A2" w:rsidRPr="00001499" w:rsidRDefault="009C29A2" w:rsidP="00FC7A97">
            <w:pPr>
              <w:pStyle w:val="TableText0"/>
              <w:keepNext w:val="0"/>
              <w:widowControl w:val="0"/>
              <w:jc w:val="center"/>
              <w:rPr>
                <w:rFonts w:ascii="Calibri" w:hAnsi="Calibri" w:cs="Calibri"/>
                <w:color w:val="000000"/>
              </w:rPr>
            </w:pPr>
            <w:r w:rsidRPr="00001499">
              <w:t>-15%</w:t>
            </w:r>
          </w:p>
        </w:tc>
      </w:tr>
      <w:tr w:rsidR="009C29A2" w:rsidRPr="00001499" w14:paraId="5B001711" w14:textId="77777777" w:rsidTr="00D76B55">
        <w:tc>
          <w:tcPr>
            <w:tcW w:w="2043" w:type="pct"/>
          </w:tcPr>
          <w:p w14:paraId="256A9010" w14:textId="54A99277" w:rsidR="009C29A2" w:rsidRPr="00001499" w:rsidRDefault="009C29A2" w:rsidP="00FC7A97">
            <w:pPr>
              <w:pStyle w:val="TableText0"/>
              <w:keepNext w:val="0"/>
              <w:widowControl w:val="0"/>
            </w:pPr>
            <w:r w:rsidRPr="00001499">
              <w:t xml:space="preserve">  Low rVE + Observed CFR (age20) </w:t>
            </w:r>
            <w:r w:rsidR="00C55C64">
              <w:rPr>
                <w:vertAlign w:val="superscript"/>
              </w:rPr>
              <w:t>c</w:t>
            </w:r>
          </w:p>
        </w:tc>
        <w:tc>
          <w:tcPr>
            <w:tcW w:w="742" w:type="pct"/>
            <w:tcBorders>
              <w:bottom w:val="single" w:sz="4" w:space="0" w:color="auto"/>
            </w:tcBorders>
            <w:shd w:val="solid" w:color="000000" w:fill="000000"/>
          </w:tcPr>
          <w:p w14:paraId="042577E7" w14:textId="0D26D64A"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60"/>
                <w14:textFill>
                  <w14:solidFill>
                    <w14:srgbClr w14:val="000000">
                      <w14:alpha w14:val="100000"/>
                    </w14:srgbClr>
                  </w14:solidFill>
                </w14:textFill>
              </w:rPr>
              <w:t>|</w:t>
            </w:r>
            <w:r w:rsidRPr="00D76B55">
              <w:rPr>
                <w:color w:val="000000"/>
                <w:fitText w:val="266" w:id="-1404292860"/>
                <w14:textFill>
                  <w14:solidFill>
                    <w14:srgbClr w14:val="000000">
                      <w14:alpha w14:val="100000"/>
                    </w14:srgbClr>
                  </w14:solidFill>
                </w14:textFill>
              </w:rPr>
              <w:t>|</w:t>
            </w:r>
          </w:p>
        </w:tc>
        <w:tc>
          <w:tcPr>
            <w:tcW w:w="742" w:type="pct"/>
          </w:tcPr>
          <w:p w14:paraId="2C759456" w14:textId="77777777" w:rsidR="009C29A2" w:rsidRPr="00001499" w:rsidRDefault="009C29A2" w:rsidP="00FC7A97">
            <w:pPr>
              <w:pStyle w:val="TableText0"/>
              <w:keepNext w:val="0"/>
              <w:widowControl w:val="0"/>
              <w:jc w:val="center"/>
              <w:rPr>
                <w:rFonts w:ascii="Calibri" w:hAnsi="Calibri" w:cs="Calibri"/>
                <w:color w:val="000000"/>
              </w:rPr>
            </w:pPr>
            <w:r w:rsidRPr="00001499">
              <w:t>0.000061</w:t>
            </w:r>
          </w:p>
        </w:tc>
        <w:tc>
          <w:tcPr>
            <w:tcW w:w="794" w:type="pct"/>
          </w:tcPr>
          <w:p w14:paraId="35C882A8" w14:textId="430436AB"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859"/>
                <w14:textFill>
                  <w14:solidFill>
                    <w14:srgbClr w14:val="000000">
                      <w14:alpha w14:val="100000"/>
                    </w14:srgbClr>
                  </w14:solidFill>
                </w14:textFill>
              </w:rPr>
              <w:t>|||</w:t>
            </w:r>
            <w:r w:rsidR="00D76B55" w:rsidRPr="00D76B55">
              <w:rPr>
                <w:color w:val="000000"/>
                <w:spacing w:val="3"/>
                <w:shd w:val="solid" w:color="000000" w:fill="000000"/>
                <w:fitText w:val="332" w:id="-1404292859"/>
                <w14:textFill>
                  <w14:solidFill>
                    <w14:srgbClr w14:val="000000">
                      <w14:alpha w14:val="100000"/>
                    </w14:srgbClr>
                  </w14:solidFill>
                </w14:textFill>
              </w:rPr>
              <w:t>|</w:t>
            </w:r>
            <w:r w:rsidR="004E2653">
              <w:rPr>
                <w:vertAlign w:val="superscript"/>
              </w:rPr>
              <w:t>10</w:t>
            </w:r>
          </w:p>
        </w:tc>
        <w:tc>
          <w:tcPr>
            <w:tcW w:w="679" w:type="pct"/>
          </w:tcPr>
          <w:p w14:paraId="68493195" w14:textId="77777777" w:rsidR="009C29A2" w:rsidRPr="00001499" w:rsidRDefault="009C29A2" w:rsidP="00FC7A97">
            <w:pPr>
              <w:pStyle w:val="TableText0"/>
              <w:keepNext w:val="0"/>
              <w:widowControl w:val="0"/>
              <w:jc w:val="center"/>
              <w:rPr>
                <w:rFonts w:ascii="Calibri" w:hAnsi="Calibri" w:cs="Calibri"/>
                <w:color w:val="000000"/>
              </w:rPr>
            </w:pPr>
            <w:r w:rsidRPr="00001499">
              <w:t>129%</w:t>
            </w:r>
          </w:p>
        </w:tc>
      </w:tr>
      <w:tr w:rsidR="009C29A2" w:rsidRPr="00001499" w14:paraId="58F98462" w14:textId="77777777" w:rsidTr="00D76B55">
        <w:tc>
          <w:tcPr>
            <w:tcW w:w="2043" w:type="pct"/>
          </w:tcPr>
          <w:p w14:paraId="2D81BD45" w14:textId="0864BF5E" w:rsidR="009C29A2" w:rsidRPr="00001499" w:rsidRDefault="009C29A2" w:rsidP="00FC7A97">
            <w:pPr>
              <w:pStyle w:val="TableText0"/>
              <w:keepNext w:val="0"/>
              <w:widowControl w:val="0"/>
            </w:pPr>
            <w:r w:rsidRPr="00001499">
              <w:t xml:space="preserve">  Observed CFR (age20) </w:t>
            </w:r>
            <w:r w:rsidR="00C55C64">
              <w:rPr>
                <w:vertAlign w:val="superscript"/>
              </w:rPr>
              <w:t>c</w:t>
            </w:r>
          </w:p>
        </w:tc>
        <w:tc>
          <w:tcPr>
            <w:tcW w:w="742" w:type="pct"/>
            <w:tcBorders>
              <w:bottom w:val="single" w:sz="4" w:space="0" w:color="auto"/>
            </w:tcBorders>
            <w:shd w:val="solid" w:color="000000" w:fill="000000"/>
          </w:tcPr>
          <w:p w14:paraId="6546CE97" w14:textId="71475D6A"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8"/>
                <w14:textFill>
                  <w14:solidFill>
                    <w14:srgbClr w14:val="000000">
                      <w14:alpha w14:val="100000"/>
                    </w14:srgbClr>
                  </w14:solidFill>
                </w14:textFill>
              </w:rPr>
              <w:t>|</w:t>
            </w:r>
            <w:r w:rsidRPr="00D76B55">
              <w:rPr>
                <w:color w:val="000000"/>
                <w:fitText w:val="266" w:id="-1404292858"/>
                <w14:textFill>
                  <w14:solidFill>
                    <w14:srgbClr w14:val="000000">
                      <w14:alpha w14:val="100000"/>
                    </w14:srgbClr>
                  </w14:solidFill>
                </w14:textFill>
              </w:rPr>
              <w:t>|</w:t>
            </w:r>
          </w:p>
        </w:tc>
        <w:tc>
          <w:tcPr>
            <w:tcW w:w="742" w:type="pct"/>
          </w:tcPr>
          <w:p w14:paraId="68705E7B" w14:textId="77777777" w:rsidR="009C29A2" w:rsidRPr="00001499" w:rsidRDefault="009C29A2" w:rsidP="00FC7A97">
            <w:pPr>
              <w:pStyle w:val="TableText0"/>
              <w:keepNext w:val="0"/>
              <w:widowControl w:val="0"/>
              <w:jc w:val="center"/>
              <w:rPr>
                <w:rFonts w:ascii="Calibri" w:hAnsi="Calibri" w:cs="Calibri"/>
                <w:color w:val="000000"/>
              </w:rPr>
            </w:pPr>
            <w:r w:rsidRPr="00001499">
              <w:t>0.000024</w:t>
            </w:r>
          </w:p>
        </w:tc>
        <w:tc>
          <w:tcPr>
            <w:tcW w:w="794" w:type="pct"/>
          </w:tcPr>
          <w:p w14:paraId="39E5768A" w14:textId="63347742"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7"/>
                <w14:textFill>
                  <w14:solidFill>
                    <w14:srgbClr w14:val="000000">
                      <w14:alpha w14:val="100000"/>
                    </w14:srgbClr>
                  </w14:solidFill>
                </w14:textFill>
              </w:rPr>
              <w:t>|</w:t>
            </w:r>
            <w:r w:rsidR="00D76B55" w:rsidRPr="00D76B55">
              <w:rPr>
                <w:color w:val="000000"/>
                <w:spacing w:val="1"/>
                <w:shd w:val="solid" w:color="000000" w:fill="000000"/>
                <w:fitText w:val="299" w:id="-1404292857"/>
                <w14:textFill>
                  <w14:solidFill>
                    <w14:srgbClr w14:val="000000">
                      <w14:alpha w14:val="100000"/>
                    </w14:srgbClr>
                  </w14:solidFill>
                </w14:textFill>
              </w:rPr>
              <w:t>|</w:t>
            </w:r>
            <w:r w:rsidR="004E2653">
              <w:rPr>
                <w:vertAlign w:val="superscript"/>
              </w:rPr>
              <w:t>8</w:t>
            </w:r>
          </w:p>
        </w:tc>
        <w:tc>
          <w:tcPr>
            <w:tcW w:w="679" w:type="pct"/>
          </w:tcPr>
          <w:p w14:paraId="33016E84" w14:textId="77777777" w:rsidR="009C29A2" w:rsidRPr="00001499" w:rsidRDefault="009C29A2" w:rsidP="00FC7A97">
            <w:pPr>
              <w:pStyle w:val="TableText0"/>
              <w:keepNext w:val="0"/>
              <w:widowControl w:val="0"/>
              <w:jc w:val="center"/>
              <w:rPr>
                <w:rFonts w:ascii="Calibri" w:hAnsi="Calibri" w:cs="Calibri"/>
                <w:color w:val="000000"/>
              </w:rPr>
            </w:pPr>
            <w:r w:rsidRPr="00001499">
              <w:t>439%</w:t>
            </w:r>
          </w:p>
        </w:tc>
      </w:tr>
      <w:tr w:rsidR="009C29A2" w:rsidRPr="00001499" w14:paraId="48990379" w14:textId="77777777" w:rsidTr="00D76B55">
        <w:tc>
          <w:tcPr>
            <w:tcW w:w="2043" w:type="pct"/>
          </w:tcPr>
          <w:p w14:paraId="775899E9" w14:textId="1C0E2E5A" w:rsidR="009C29A2" w:rsidRPr="00001499" w:rsidRDefault="009C29A2" w:rsidP="00FC7A97">
            <w:pPr>
              <w:pStyle w:val="TableText0"/>
              <w:keepNext w:val="0"/>
              <w:widowControl w:val="0"/>
            </w:pPr>
            <w:r w:rsidRPr="00001499">
              <w:t xml:space="preserve">  Observed CFR (age64) </w:t>
            </w:r>
            <w:r w:rsidR="00C55C64">
              <w:rPr>
                <w:vertAlign w:val="superscript"/>
              </w:rPr>
              <w:t>c</w:t>
            </w:r>
          </w:p>
        </w:tc>
        <w:tc>
          <w:tcPr>
            <w:tcW w:w="742" w:type="pct"/>
            <w:tcBorders>
              <w:bottom w:val="single" w:sz="4" w:space="0" w:color="auto"/>
            </w:tcBorders>
            <w:shd w:val="solid" w:color="000000" w:fill="000000"/>
          </w:tcPr>
          <w:p w14:paraId="1D157895" w14:textId="7555A90D"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6"/>
                <w14:textFill>
                  <w14:solidFill>
                    <w14:srgbClr w14:val="000000">
                      <w14:alpha w14:val="100000"/>
                    </w14:srgbClr>
                  </w14:solidFill>
                </w14:textFill>
              </w:rPr>
              <w:t>|</w:t>
            </w:r>
            <w:r w:rsidRPr="00D76B55">
              <w:rPr>
                <w:color w:val="000000"/>
                <w:fitText w:val="266" w:id="-1404292856"/>
                <w14:textFill>
                  <w14:solidFill>
                    <w14:srgbClr w14:val="000000">
                      <w14:alpha w14:val="100000"/>
                    </w14:srgbClr>
                  </w14:solidFill>
                </w14:textFill>
              </w:rPr>
              <w:t>|</w:t>
            </w:r>
          </w:p>
        </w:tc>
        <w:tc>
          <w:tcPr>
            <w:tcW w:w="742" w:type="pct"/>
          </w:tcPr>
          <w:p w14:paraId="5BBFA632" w14:textId="77777777" w:rsidR="009C29A2" w:rsidRPr="00001499" w:rsidRDefault="009C29A2" w:rsidP="00FC7A97">
            <w:pPr>
              <w:pStyle w:val="TableText0"/>
              <w:keepNext w:val="0"/>
              <w:widowControl w:val="0"/>
              <w:jc w:val="center"/>
              <w:rPr>
                <w:rFonts w:ascii="Calibri" w:hAnsi="Calibri" w:cs="Calibri"/>
                <w:color w:val="000000"/>
              </w:rPr>
            </w:pPr>
            <w:r w:rsidRPr="00001499">
              <w:t>0.000072</w:t>
            </w:r>
          </w:p>
        </w:tc>
        <w:tc>
          <w:tcPr>
            <w:tcW w:w="794" w:type="pct"/>
          </w:tcPr>
          <w:p w14:paraId="6257C399" w14:textId="2A027E22"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5"/>
                <w14:textFill>
                  <w14:solidFill>
                    <w14:srgbClr w14:val="000000">
                      <w14:alpha w14:val="100000"/>
                    </w14:srgbClr>
                  </w14:solidFill>
                </w14:textFill>
              </w:rPr>
              <w:t>|</w:t>
            </w:r>
            <w:r w:rsidR="00D76B55" w:rsidRPr="00D76B55">
              <w:rPr>
                <w:color w:val="000000"/>
                <w:spacing w:val="1"/>
                <w:shd w:val="solid" w:color="000000" w:fill="000000"/>
                <w:fitText w:val="299" w:id="-1404292855"/>
                <w14:textFill>
                  <w14:solidFill>
                    <w14:srgbClr w14:val="000000">
                      <w14:alpha w14:val="100000"/>
                    </w14:srgbClr>
                  </w14:solidFill>
                </w14:textFill>
              </w:rPr>
              <w:t>|</w:t>
            </w:r>
            <w:r w:rsidR="004E2653">
              <w:rPr>
                <w:vertAlign w:val="superscript"/>
              </w:rPr>
              <w:t>3</w:t>
            </w:r>
          </w:p>
        </w:tc>
        <w:tc>
          <w:tcPr>
            <w:tcW w:w="679" w:type="pct"/>
          </w:tcPr>
          <w:p w14:paraId="5BF7B2F3" w14:textId="77777777" w:rsidR="009C29A2" w:rsidRPr="00001499" w:rsidRDefault="009C29A2" w:rsidP="00FC7A97">
            <w:pPr>
              <w:pStyle w:val="TableText0"/>
              <w:keepNext w:val="0"/>
              <w:widowControl w:val="0"/>
              <w:jc w:val="center"/>
              <w:rPr>
                <w:rFonts w:ascii="Calibri" w:hAnsi="Calibri" w:cs="Calibri"/>
                <w:color w:val="000000"/>
              </w:rPr>
            </w:pPr>
            <w:r w:rsidRPr="00001499">
              <w:t>42%</w:t>
            </w:r>
          </w:p>
        </w:tc>
      </w:tr>
      <w:tr w:rsidR="009C29A2" w:rsidRPr="00001499" w14:paraId="27EA9546" w14:textId="77777777" w:rsidTr="00D76B55">
        <w:tc>
          <w:tcPr>
            <w:tcW w:w="2043" w:type="pct"/>
          </w:tcPr>
          <w:p w14:paraId="312701B7" w14:textId="6714E4D2" w:rsidR="009C29A2" w:rsidRPr="00001499" w:rsidRDefault="009C29A2" w:rsidP="00FC7A97">
            <w:pPr>
              <w:pStyle w:val="TableText0"/>
              <w:keepNext w:val="0"/>
              <w:widowControl w:val="0"/>
            </w:pPr>
            <w:r w:rsidRPr="00001499">
              <w:t xml:space="preserve">  Low rVE + Observed CFR (age64) </w:t>
            </w:r>
            <w:r w:rsidR="00C55C64">
              <w:rPr>
                <w:vertAlign w:val="superscript"/>
              </w:rPr>
              <w:t>c</w:t>
            </w:r>
          </w:p>
        </w:tc>
        <w:tc>
          <w:tcPr>
            <w:tcW w:w="742" w:type="pct"/>
            <w:shd w:val="solid" w:color="000000" w:fill="000000"/>
          </w:tcPr>
          <w:p w14:paraId="40798B45" w14:textId="1BC39547" w:rsidR="009C29A2" w:rsidRPr="00D76B55" w:rsidRDefault="00D76B55" w:rsidP="00FC7A97">
            <w:pPr>
              <w:pStyle w:val="TableText0"/>
              <w:keepNext w:val="0"/>
              <w:widowControl w:val="0"/>
              <w:jc w:val="center"/>
              <w:rPr>
                <w:rFonts w:ascii="Calibri" w:hAnsi="Calibri" w:cs="Calibri"/>
                <w:color w:val="000000"/>
              </w:rPr>
            </w:pPr>
            <w:r w:rsidRPr="00D76B55">
              <w:rPr>
                <w:color w:val="000000"/>
                <w:spacing w:val="180"/>
                <w:fitText w:val="266" w:id="-1404292854"/>
                <w14:textFill>
                  <w14:solidFill>
                    <w14:srgbClr w14:val="000000">
                      <w14:alpha w14:val="100000"/>
                    </w14:srgbClr>
                  </w14:solidFill>
                </w14:textFill>
              </w:rPr>
              <w:t>|</w:t>
            </w:r>
            <w:r w:rsidRPr="00D76B55">
              <w:rPr>
                <w:color w:val="000000"/>
                <w:fitText w:val="266" w:id="-1404292854"/>
                <w14:textFill>
                  <w14:solidFill>
                    <w14:srgbClr w14:val="000000">
                      <w14:alpha w14:val="100000"/>
                    </w14:srgbClr>
                  </w14:solidFill>
                </w14:textFill>
              </w:rPr>
              <w:t>|</w:t>
            </w:r>
          </w:p>
        </w:tc>
        <w:tc>
          <w:tcPr>
            <w:tcW w:w="742" w:type="pct"/>
          </w:tcPr>
          <w:p w14:paraId="11E09BFA" w14:textId="77777777" w:rsidR="009C29A2" w:rsidRPr="00001499" w:rsidRDefault="009C29A2" w:rsidP="00FC7A97">
            <w:pPr>
              <w:pStyle w:val="TableText0"/>
              <w:keepNext w:val="0"/>
              <w:widowControl w:val="0"/>
              <w:jc w:val="center"/>
              <w:rPr>
                <w:rFonts w:ascii="Calibri" w:hAnsi="Calibri" w:cs="Calibri"/>
                <w:color w:val="000000"/>
              </w:rPr>
            </w:pPr>
            <w:r w:rsidRPr="00001499">
              <w:t>0.000048</w:t>
            </w:r>
          </w:p>
        </w:tc>
        <w:tc>
          <w:tcPr>
            <w:tcW w:w="794" w:type="pct"/>
          </w:tcPr>
          <w:p w14:paraId="70CC8B5A" w14:textId="41445E43" w:rsidR="009C29A2" w:rsidRPr="001D6304" w:rsidRDefault="009C29A2" w:rsidP="00FC7A97">
            <w:pPr>
              <w:pStyle w:val="TableText0"/>
              <w:keepNext w:val="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853"/>
                <w14:textFill>
                  <w14:solidFill>
                    <w14:srgbClr w14:val="000000">
                      <w14:alpha w14:val="100000"/>
                    </w14:srgbClr>
                  </w14:solidFill>
                </w14:textFill>
              </w:rPr>
              <w:t>|||</w:t>
            </w:r>
            <w:r w:rsidR="00D76B55" w:rsidRPr="00D76B55">
              <w:rPr>
                <w:color w:val="000000"/>
                <w:spacing w:val="3"/>
                <w:shd w:val="solid" w:color="000000" w:fill="000000"/>
                <w:fitText w:val="332" w:id="-1404292853"/>
                <w14:textFill>
                  <w14:solidFill>
                    <w14:srgbClr w14:val="000000">
                      <w14:alpha w14:val="100000"/>
                    </w14:srgbClr>
                  </w14:solidFill>
                </w14:textFill>
              </w:rPr>
              <w:t>|</w:t>
            </w:r>
            <w:r w:rsidR="004E2653">
              <w:rPr>
                <w:vertAlign w:val="superscript"/>
              </w:rPr>
              <w:t>10</w:t>
            </w:r>
          </w:p>
        </w:tc>
        <w:tc>
          <w:tcPr>
            <w:tcW w:w="679" w:type="pct"/>
          </w:tcPr>
          <w:p w14:paraId="720AEB1C" w14:textId="77777777" w:rsidR="009C29A2" w:rsidRPr="00001499" w:rsidRDefault="009C29A2" w:rsidP="00FC7A97">
            <w:pPr>
              <w:pStyle w:val="TableText0"/>
              <w:keepNext w:val="0"/>
              <w:widowControl w:val="0"/>
              <w:jc w:val="center"/>
              <w:rPr>
                <w:rFonts w:ascii="Calibri" w:hAnsi="Calibri" w:cs="Calibri"/>
                <w:color w:val="000000"/>
              </w:rPr>
            </w:pPr>
            <w:r w:rsidRPr="00001499">
              <w:t>149%</w:t>
            </w:r>
          </w:p>
        </w:tc>
      </w:tr>
      <w:tr w:rsidR="009C29A2" w:rsidRPr="00001499" w14:paraId="7DEF25F6" w14:textId="77777777" w:rsidTr="00D76B55">
        <w:tc>
          <w:tcPr>
            <w:tcW w:w="2043" w:type="pct"/>
          </w:tcPr>
          <w:p w14:paraId="6D6D5AE5" w14:textId="57265295" w:rsidR="009C29A2" w:rsidRPr="00001499" w:rsidRDefault="009C29A2" w:rsidP="00FC7A97">
            <w:pPr>
              <w:pStyle w:val="TableText0"/>
              <w:widowControl w:val="0"/>
            </w:pPr>
            <w:r w:rsidRPr="00001499">
              <w:rPr>
                <w:b/>
              </w:rPr>
              <w:lastRenderedPageBreak/>
              <w:t xml:space="preserve">Pregnant women </w:t>
            </w:r>
            <w:r w:rsidR="00C51060">
              <w:rPr>
                <w:b/>
              </w:rPr>
              <w:t xml:space="preserve">only </w:t>
            </w:r>
            <w:r w:rsidRPr="00001499">
              <w:rPr>
                <w:b/>
              </w:rPr>
              <w:t xml:space="preserve">population </w:t>
            </w:r>
          </w:p>
        </w:tc>
        <w:tc>
          <w:tcPr>
            <w:tcW w:w="742" w:type="pct"/>
            <w:tcBorders>
              <w:bottom w:val="single" w:sz="4" w:space="0" w:color="auto"/>
            </w:tcBorders>
            <w:vAlign w:val="bottom"/>
          </w:tcPr>
          <w:p w14:paraId="1744F370" w14:textId="77777777" w:rsidR="009C29A2" w:rsidRPr="00001499" w:rsidRDefault="009C29A2" w:rsidP="00FC7A97">
            <w:pPr>
              <w:pStyle w:val="TableText0"/>
              <w:widowControl w:val="0"/>
              <w:jc w:val="center"/>
            </w:pPr>
          </w:p>
        </w:tc>
        <w:tc>
          <w:tcPr>
            <w:tcW w:w="742" w:type="pct"/>
            <w:vAlign w:val="bottom"/>
          </w:tcPr>
          <w:p w14:paraId="4B3BC70F" w14:textId="77777777" w:rsidR="009C29A2" w:rsidRPr="00001499" w:rsidRDefault="009C29A2" w:rsidP="00FC7A97">
            <w:pPr>
              <w:pStyle w:val="TableText0"/>
              <w:widowControl w:val="0"/>
              <w:jc w:val="center"/>
            </w:pPr>
          </w:p>
        </w:tc>
        <w:tc>
          <w:tcPr>
            <w:tcW w:w="794" w:type="pct"/>
            <w:vAlign w:val="bottom"/>
          </w:tcPr>
          <w:p w14:paraId="4F506D34" w14:textId="77777777" w:rsidR="009C29A2" w:rsidRPr="00001499" w:rsidRDefault="009C29A2" w:rsidP="00FC7A97">
            <w:pPr>
              <w:pStyle w:val="TableText0"/>
              <w:widowControl w:val="0"/>
              <w:jc w:val="center"/>
            </w:pPr>
          </w:p>
        </w:tc>
        <w:tc>
          <w:tcPr>
            <w:tcW w:w="679" w:type="pct"/>
          </w:tcPr>
          <w:p w14:paraId="5B7A4D2A" w14:textId="77777777" w:rsidR="009C29A2" w:rsidRPr="00001499" w:rsidRDefault="009C29A2" w:rsidP="00FC7A97">
            <w:pPr>
              <w:pStyle w:val="TableText0"/>
              <w:widowControl w:val="0"/>
              <w:jc w:val="center"/>
              <w:rPr>
                <w:rFonts w:ascii="Calibri" w:hAnsi="Calibri" w:cs="Calibri"/>
                <w:color w:val="000000"/>
              </w:rPr>
            </w:pPr>
          </w:p>
        </w:tc>
      </w:tr>
      <w:tr w:rsidR="009C29A2" w:rsidRPr="00001499" w14:paraId="2E51A401" w14:textId="77777777" w:rsidTr="00D76B55">
        <w:tc>
          <w:tcPr>
            <w:tcW w:w="2043" w:type="pct"/>
          </w:tcPr>
          <w:p w14:paraId="5A90492C" w14:textId="77777777" w:rsidR="009C29A2" w:rsidRPr="00001499" w:rsidRDefault="009C29A2" w:rsidP="00FC7A97">
            <w:pPr>
              <w:pStyle w:val="TableText0"/>
              <w:widowControl w:val="0"/>
            </w:pPr>
            <w:r w:rsidRPr="00001499">
              <w:rPr>
                <w:b/>
              </w:rPr>
              <w:t>Base case (2015-2019)</w:t>
            </w:r>
          </w:p>
        </w:tc>
        <w:tc>
          <w:tcPr>
            <w:tcW w:w="742" w:type="pct"/>
            <w:tcBorders>
              <w:bottom w:val="single" w:sz="4" w:space="0" w:color="auto"/>
            </w:tcBorders>
            <w:shd w:val="solid" w:color="000000" w:fill="000000"/>
          </w:tcPr>
          <w:p w14:paraId="6C541218" w14:textId="003A659D" w:rsidR="009C29A2" w:rsidRPr="00D76B55" w:rsidRDefault="00D76B55" w:rsidP="00FC7A97">
            <w:pPr>
              <w:pStyle w:val="TableText0"/>
              <w:widowControl w:val="0"/>
              <w:jc w:val="center"/>
              <w:rPr>
                <w:b/>
              </w:rPr>
            </w:pPr>
            <w:r w:rsidRPr="00D76B55">
              <w:rPr>
                <w:b/>
                <w:color w:val="000000"/>
                <w:spacing w:val="152"/>
                <w:fitText w:val="244" w:id="-1404292852"/>
                <w14:textFill>
                  <w14:solidFill>
                    <w14:srgbClr w14:val="000000">
                      <w14:alpha w14:val="100000"/>
                    </w14:srgbClr>
                  </w14:solidFill>
                </w14:textFill>
              </w:rPr>
              <w:t>|</w:t>
            </w:r>
            <w:r w:rsidRPr="00D76B55">
              <w:rPr>
                <w:b/>
                <w:color w:val="000000"/>
                <w:fitText w:val="244" w:id="-1404292852"/>
                <w14:textFill>
                  <w14:solidFill>
                    <w14:srgbClr w14:val="000000">
                      <w14:alpha w14:val="100000"/>
                    </w14:srgbClr>
                  </w14:solidFill>
                </w14:textFill>
              </w:rPr>
              <w:t>|</w:t>
            </w:r>
          </w:p>
        </w:tc>
        <w:tc>
          <w:tcPr>
            <w:tcW w:w="742" w:type="pct"/>
          </w:tcPr>
          <w:p w14:paraId="70471F3F" w14:textId="77777777" w:rsidR="009C29A2" w:rsidRPr="00001499" w:rsidRDefault="009C29A2" w:rsidP="00FC7A97">
            <w:pPr>
              <w:pStyle w:val="TableText0"/>
              <w:widowControl w:val="0"/>
              <w:jc w:val="center"/>
              <w:rPr>
                <w:b/>
              </w:rPr>
            </w:pPr>
            <w:r w:rsidRPr="00001499">
              <w:rPr>
                <w:b/>
              </w:rPr>
              <w:t>0.000021</w:t>
            </w:r>
          </w:p>
        </w:tc>
        <w:tc>
          <w:tcPr>
            <w:tcW w:w="794" w:type="pct"/>
          </w:tcPr>
          <w:p w14:paraId="7386AFE4" w14:textId="5880D6DF" w:rsidR="009C29A2" w:rsidRPr="001D6304" w:rsidRDefault="009C29A2" w:rsidP="00FC7A97">
            <w:pPr>
              <w:pStyle w:val="TableText0"/>
              <w:widowControl w:val="0"/>
              <w:jc w:val="center"/>
              <w:rPr>
                <w:bCs w:val="0"/>
                <w:vertAlign w:val="superscript"/>
              </w:rPr>
            </w:pPr>
            <w:r w:rsidRPr="00001499">
              <w:rPr>
                <w:b/>
              </w:rPr>
              <w:t>$</w:t>
            </w:r>
            <w:r w:rsidR="00D76B55" w:rsidRPr="00D76B55">
              <w:rPr>
                <w:b/>
                <w:color w:val="000000"/>
                <w:spacing w:val="174"/>
                <w:shd w:val="solid" w:color="000000" w:fill="000000"/>
                <w:fitText w:val="266" w:id="-1404292851"/>
                <w14:textFill>
                  <w14:solidFill>
                    <w14:srgbClr w14:val="000000">
                      <w14:alpha w14:val="100000"/>
                    </w14:srgbClr>
                  </w14:solidFill>
                </w14:textFill>
              </w:rPr>
              <w:t>|</w:t>
            </w:r>
            <w:r w:rsidR="00D76B55" w:rsidRPr="00D76B55">
              <w:rPr>
                <w:b/>
                <w:color w:val="000000"/>
                <w:spacing w:val="1"/>
                <w:shd w:val="solid" w:color="000000" w:fill="000000"/>
                <w:fitText w:val="266" w:id="-1404292851"/>
                <w14:textFill>
                  <w14:solidFill>
                    <w14:srgbClr w14:val="000000">
                      <w14:alpha w14:val="100000"/>
                    </w14:srgbClr>
                  </w14:solidFill>
                </w14:textFill>
              </w:rPr>
              <w:t>|</w:t>
            </w:r>
            <w:r w:rsidR="004E2653">
              <w:rPr>
                <w:bCs w:val="0"/>
                <w:vertAlign w:val="superscript"/>
              </w:rPr>
              <w:t>8</w:t>
            </w:r>
          </w:p>
        </w:tc>
        <w:tc>
          <w:tcPr>
            <w:tcW w:w="679" w:type="pct"/>
          </w:tcPr>
          <w:p w14:paraId="1116AF59" w14:textId="77777777" w:rsidR="009C29A2" w:rsidRPr="00001499" w:rsidRDefault="009C29A2" w:rsidP="00FC7A97">
            <w:pPr>
              <w:pStyle w:val="TableText0"/>
              <w:widowControl w:val="0"/>
              <w:jc w:val="center"/>
              <w:rPr>
                <w:rFonts w:ascii="Calibri" w:hAnsi="Calibri" w:cs="Calibri"/>
                <w:color w:val="000000"/>
              </w:rPr>
            </w:pPr>
            <w:r w:rsidRPr="00001499">
              <w:t>391%</w:t>
            </w:r>
          </w:p>
        </w:tc>
      </w:tr>
      <w:tr w:rsidR="009C29A2" w:rsidRPr="00001499" w14:paraId="1486974B" w14:textId="77777777" w:rsidTr="00D76B55">
        <w:tc>
          <w:tcPr>
            <w:tcW w:w="2043" w:type="pct"/>
            <w:vAlign w:val="bottom"/>
          </w:tcPr>
          <w:p w14:paraId="0D0D7676" w14:textId="77777777" w:rsidR="009C29A2" w:rsidRPr="00001499" w:rsidRDefault="009C29A2" w:rsidP="00FC7A97">
            <w:pPr>
              <w:pStyle w:val="TableText0"/>
              <w:widowControl w:val="0"/>
            </w:pPr>
            <w:r w:rsidRPr="00001499">
              <w:t xml:space="preserve">  Season 2015</w:t>
            </w:r>
          </w:p>
        </w:tc>
        <w:tc>
          <w:tcPr>
            <w:tcW w:w="742" w:type="pct"/>
            <w:tcBorders>
              <w:bottom w:val="single" w:sz="4" w:space="0" w:color="auto"/>
            </w:tcBorders>
            <w:shd w:val="solid" w:color="000000" w:fill="000000"/>
          </w:tcPr>
          <w:p w14:paraId="588633E7" w14:textId="436B3002" w:rsidR="009C29A2" w:rsidRPr="00D76B55" w:rsidRDefault="00D76B55" w:rsidP="00FC7A97">
            <w:pPr>
              <w:pStyle w:val="TableText0"/>
              <w:widowControl w:val="0"/>
              <w:jc w:val="center"/>
            </w:pPr>
            <w:r w:rsidRPr="00D76B55">
              <w:rPr>
                <w:color w:val="000000"/>
                <w:spacing w:val="180"/>
                <w:fitText w:val="266" w:id="-1404292850"/>
                <w14:textFill>
                  <w14:solidFill>
                    <w14:srgbClr w14:val="000000">
                      <w14:alpha w14:val="100000"/>
                    </w14:srgbClr>
                  </w14:solidFill>
                </w14:textFill>
              </w:rPr>
              <w:t>|</w:t>
            </w:r>
            <w:r w:rsidRPr="00D76B55">
              <w:rPr>
                <w:color w:val="000000"/>
                <w:fitText w:val="266" w:id="-1404292850"/>
                <w14:textFill>
                  <w14:solidFill>
                    <w14:srgbClr w14:val="000000">
                      <w14:alpha w14:val="100000"/>
                    </w14:srgbClr>
                  </w14:solidFill>
                </w14:textFill>
              </w:rPr>
              <w:t>|</w:t>
            </w:r>
          </w:p>
        </w:tc>
        <w:tc>
          <w:tcPr>
            <w:tcW w:w="742" w:type="pct"/>
          </w:tcPr>
          <w:p w14:paraId="2F82171C" w14:textId="77777777" w:rsidR="009C29A2" w:rsidRPr="00001499" w:rsidRDefault="009C29A2" w:rsidP="00FC7A97">
            <w:pPr>
              <w:pStyle w:val="TableText0"/>
              <w:widowControl w:val="0"/>
              <w:jc w:val="center"/>
            </w:pPr>
            <w:r w:rsidRPr="00001499">
              <w:t>0.000016</w:t>
            </w:r>
          </w:p>
        </w:tc>
        <w:tc>
          <w:tcPr>
            <w:tcW w:w="794" w:type="pct"/>
          </w:tcPr>
          <w:p w14:paraId="2CBD601E" w14:textId="30DB9D03" w:rsidR="009C29A2" w:rsidRPr="001D6304" w:rsidRDefault="009C29A2" w:rsidP="00FC7A97">
            <w:pPr>
              <w:pStyle w:val="TableText0"/>
              <w:widowControl w:val="0"/>
              <w:jc w:val="center"/>
              <w:rPr>
                <w:vertAlign w:val="superscript"/>
              </w:rPr>
            </w:pPr>
            <w:r w:rsidRPr="00001499">
              <w:t>$</w:t>
            </w:r>
            <w:r w:rsidR="00D76B55" w:rsidRPr="00D76B55">
              <w:rPr>
                <w:color w:val="000000"/>
                <w:spacing w:val="53"/>
                <w:shd w:val="solid" w:color="000000" w:fill="000000"/>
                <w:fitText w:val="332" w:id="-1404292849"/>
                <w14:textFill>
                  <w14:solidFill>
                    <w14:srgbClr w14:val="000000">
                      <w14:alpha w14:val="100000"/>
                    </w14:srgbClr>
                  </w14:solidFill>
                </w14:textFill>
              </w:rPr>
              <w:t>|||</w:t>
            </w:r>
            <w:r w:rsidR="00D76B55" w:rsidRPr="00D76B55">
              <w:rPr>
                <w:color w:val="000000"/>
                <w:spacing w:val="3"/>
                <w:shd w:val="solid" w:color="000000" w:fill="000000"/>
                <w:fitText w:val="332" w:id="-1404292849"/>
                <w14:textFill>
                  <w14:solidFill>
                    <w14:srgbClr w14:val="000000">
                      <w14:alpha w14:val="100000"/>
                    </w14:srgbClr>
                  </w14:solidFill>
                </w14:textFill>
              </w:rPr>
              <w:t>|</w:t>
            </w:r>
            <w:r w:rsidR="004E2653">
              <w:rPr>
                <w:vertAlign w:val="superscript"/>
              </w:rPr>
              <w:t>12</w:t>
            </w:r>
          </w:p>
        </w:tc>
        <w:tc>
          <w:tcPr>
            <w:tcW w:w="679" w:type="pct"/>
          </w:tcPr>
          <w:p w14:paraId="781D3BA8" w14:textId="77777777" w:rsidR="009C29A2" w:rsidRPr="00001499" w:rsidRDefault="009C29A2" w:rsidP="00FC7A97">
            <w:pPr>
              <w:pStyle w:val="TableText0"/>
              <w:widowControl w:val="0"/>
              <w:jc w:val="center"/>
              <w:rPr>
                <w:rFonts w:ascii="Calibri" w:hAnsi="Calibri" w:cs="Calibri"/>
                <w:color w:val="000000"/>
              </w:rPr>
            </w:pPr>
            <w:r w:rsidRPr="00001499">
              <w:t>647%</w:t>
            </w:r>
          </w:p>
        </w:tc>
      </w:tr>
      <w:tr w:rsidR="009C29A2" w:rsidRPr="00001499" w14:paraId="1421C2D2" w14:textId="77777777" w:rsidTr="00D76B55">
        <w:tc>
          <w:tcPr>
            <w:tcW w:w="2043" w:type="pct"/>
            <w:vAlign w:val="bottom"/>
          </w:tcPr>
          <w:p w14:paraId="0A66C415" w14:textId="77777777" w:rsidR="009C29A2" w:rsidRPr="00001499" w:rsidRDefault="009C29A2" w:rsidP="00FC7A97">
            <w:pPr>
              <w:pStyle w:val="TableText0"/>
              <w:widowControl w:val="0"/>
            </w:pPr>
            <w:r w:rsidRPr="00001499">
              <w:t xml:space="preserve">  Season 2016</w:t>
            </w:r>
          </w:p>
        </w:tc>
        <w:tc>
          <w:tcPr>
            <w:tcW w:w="742" w:type="pct"/>
            <w:tcBorders>
              <w:bottom w:val="single" w:sz="4" w:space="0" w:color="auto"/>
            </w:tcBorders>
            <w:shd w:val="solid" w:color="000000" w:fill="000000"/>
          </w:tcPr>
          <w:p w14:paraId="237D1712" w14:textId="7E6876B8" w:rsidR="009C29A2" w:rsidRPr="00D76B55" w:rsidRDefault="00D76B55" w:rsidP="00FC7A97">
            <w:pPr>
              <w:pStyle w:val="TableText0"/>
              <w:widowControl w:val="0"/>
              <w:jc w:val="center"/>
            </w:pPr>
            <w:r w:rsidRPr="00D76B55">
              <w:rPr>
                <w:color w:val="000000"/>
                <w:spacing w:val="180"/>
                <w:fitText w:val="266" w:id="-1404292848"/>
                <w14:textFill>
                  <w14:solidFill>
                    <w14:srgbClr w14:val="000000">
                      <w14:alpha w14:val="100000"/>
                    </w14:srgbClr>
                  </w14:solidFill>
                </w14:textFill>
              </w:rPr>
              <w:t>|</w:t>
            </w:r>
            <w:r w:rsidRPr="00D76B55">
              <w:rPr>
                <w:color w:val="000000"/>
                <w:fitText w:val="266" w:id="-1404292848"/>
                <w14:textFill>
                  <w14:solidFill>
                    <w14:srgbClr w14:val="000000">
                      <w14:alpha w14:val="100000"/>
                    </w14:srgbClr>
                  </w14:solidFill>
                </w14:textFill>
              </w:rPr>
              <w:t>|</w:t>
            </w:r>
          </w:p>
        </w:tc>
        <w:tc>
          <w:tcPr>
            <w:tcW w:w="742" w:type="pct"/>
          </w:tcPr>
          <w:p w14:paraId="10EAE549" w14:textId="77777777" w:rsidR="009C29A2" w:rsidRPr="00001499" w:rsidRDefault="009C29A2" w:rsidP="00FC7A97">
            <w:pPr>
              <w:pStyle w:val="TableText0"/>
              <w:widowControl w:val="0"/>
              <w:jc w:val="center"/>
            </w:pPr>
            <w:r w:rsidRPr="00001499">
              <w:t>0.000016</w:t>
            </w:r>
          </w:p>
        </w:tc>
        <w:tc>
          <w:tcPr>
            <w:tcW w:w="794" w:type="pct"/>
          </w:tcPr>
          <w:p w14:paraId="1E6AC989" w14:textId="25A3D076" w:rsidR="009C29A2" w:rsidRPr="001D6304" w:rsidRDefault="009C29A2" w:rsidP="00FC7A97">
            <w:pPr>
              <w:pStyle w:val="TableText0"/>
              <w:widowControl w:val="0"/>
              <w:jc w:val="center"/>
              <w:rPr>
                <w:vertAlign w:val="superscript"/>
              </w:rPr>
            </w:pPr>
            <w:r w:rsidRPr="00001499">
              <w:t>$</w:t>
            </w:r>
            <w:r w:rsidR="00D76B55" w:rsidRPr="00D76B55">
              <w:rPr>
                <w:color w:val="000000"/>
                <w:spacing w:val="53"/>
                <w:shd w:val="solid" w:color="000000" w:fill="000000"/>
                <w:fitText w:val="332" w:id="-1404292864"/>
                <w14:textFill>
                  <w14:solidFill>
                    <w14:srgbClr w14:val="000000">
                      <w14:alpha w14:val="100000"/>
                    </w14:srgbClr>
                  </w14:solidFill>
                </w14:textFill>
              </w:rPr>
              <w:t>|||</w:t>
            </w:r>
            <w:r w:rsidR="00D76B55" w:rsidRPr="00D76B55">
              <w:rPr>
                <w:color w:val="000000"/>
                <w:spacing w:val="3"/>
                <w:shd w:val="solid" w:color="000000" w:fill="000000"/>
                <w:fitText w:val="332" w:id="-1404292864"/>
                <w14:textFill>
                  <w14:solidFill>
                    <w14:srgbClr w14:val="000000">
                      <w14:alpha w14:val="100000"/>
                    </w14:srgbClr>
                  </w14:solidFill>
                </w14:textFill>
              </w:rPr>
              <w:t>|</w:t>
            </w:r>
            <w:r w:rsidR="004E2653">
              <w:rPr>
                <w:vertAlign w:val="superscript"/>
              </w:rPr>
              <w:t>12</w:t>
            </w:r>
          </w:p>
        </w:tc>
        <w:tc>
          <w:tcPr>
            <w:tcW w:w="679" w:type="pct"/>
          </w:tcPr>
          <w:p w14:paraId="01C24019" w14:textId="77777777" w:rsidR="009C29A2" w:rsidRPr="00001499" w:rsidRDefault="009C29A2" w:rsidP="00FC7A97">
            <w:pPr>
              <w:pStyle w:val="TableText0"/>
              <w:widowControl w:val="0"/>
              <w:jc w:val="center"/>
              <w:rPr>
                <w:rFonts w:ascii="Calibri" w:hAnsi="Calibri" w:cs="Calibri"/>
                <w:color w:val="000000"/>
              </w:rPr>
            </w:pPr>
            <w:r w:rsidRPr="00001499">
              <w:t>628%</w:t>
            </w:r>
          </w:p>
        </w:tc>
      </w:tr>
      <w:tr w:rsidR="009C29A2" w:rsidRPr="00001499" w14:paraId="0AB498AA" w14:textId="77777777" w:rsidTr="00D76B55">
        <w:tc>
          <w:tcPr>
            <w:tcW w:w="2043" w:type="pct"/>
            <w:vAlign w:val="bottom"/>
          </w:tcPr>
          <w:p w14:paraId="6E3BAD8F" w14:textId="77777777" w:rsidR="009C29A2" w:rsidRPr="00001499" w:rsidRDefault="009C29A2" w:rsidP="00FC7A97">
            <w:pPr>
              <w:pStyle w:val="TableText0"/>
              <w:widowControl w:val="0"/>
            </w:pPr>
            <w:r w:rsidRPr="00001499">
              <w:t xml:space="preserve">  Season 2017</w:t>
            </w:r>
          </w:p>
        </w:tc>
        <w:tc>
          <w:tcPr>
            <w:tcW w:w="742" w:type="pct"/>
            <w:tcBorders>
              <w:bottom w:val="single" w:sz="4" w:space="0" w:color="auto"/>
            </w:tcBorders>
            <w:shd w:val="solid" w:color="000000" w:fill="000000"/>
          </w:tcPr>
          <w:p w14:paraId="027E2B6F" w14:textId="379BFE7B" w:rsidR="009C29A2" w:rsidRPr="00D76B55" w:rsidRDefault="00D76B55" w:rsidP="00FC7A97">
            <w:pPr>
              <w:pStyle w:val="TableText0"/>
              <w:widowControl w:val="0"/>
              <w:jc w:val="center"/>
              <w:rPr>
                <w:rFonts w:ascii="Calibri" w:hAnsi="Calibri" w:cs="Calibri"/>
                <w:color w:val="000000"/>
              </w:rPr>
            </w:pPr>
            <w:r w:rsidRPr="00D76B55">
              <w:rPr>
                <w:color w:val="000000"/>
                <w:spacing w:val="180"/>
                <w:fitText w:val="266" w:id="-1404292863"/>
                <w14:textFill>
                  <w14:solidFill>
                    <w14:srgbClr w14:val="000000">
                      <w14:alpha w14:val="100000"/>
                    </w14:srgbClr>
                  </w14:solidFill>
                </w14:textFill>
              </w:rPr>
              <w:t>|</w:t>
            </w:r>
            <w:r w:rsidRPr="00D76B55">
              <w:rPr>
                <w:color w:val="000000"/>
                <w:fitText w:val="266" w:id="-1404292863"/>
                <w14:textFill>
                  <w14:solidFill>
                    <w14:srgbClr w14:val="000000">
                      <w14:alpha w14:val="100000"/>
                    </w14:srgbClr>
                  </w14:solidFill>
                </w14:textFill>
              </w:rPr>
              <w:t>|</w:t>
            </w:r>
          </w:p>
        </w:tc>
        <w:tc>
          <w:tcPr>
            <w:tcW w:w="742" w:type="pct"/>
          </w:tcPr>
          <w:p w14:paraId="3D54E4C4" w14:textId="77777777" w:rsidR="009C29A2" w:rsidRPr="00001499" w:rsidRDefault="009C29A2" w:rsidP="00FC7A97">
            <w:pPr>
              <w:pStyle w:val="TableText0"/>
              <w:widowControl w:val="0"/>
              <w:jc w:val="center"/>
              <w:rPr>
                <w:rFonts w:ascii="Calibri" w:hAnsi="Calibri" w:cs="Calibri"/>
                <w:color w:val="000000"/>
              </w:rPr>
            </w:pPr>
            <w:r w:rsidRPr="00001499">
              <w:t>0.000034</w:t>
            </w:r>
          </w:p>
        </w:tc>
        <w:tc>
          <w:tcPr>
            <w:tcW w:w="794" w:type="pct"/>
          </w:tcPr>
          <w:p w14:paraId="7CD909D2" w14:textId="7883CA6B" w:rsidR="009C29A2" w:rsidRPr="001D6304" w:rsidRDefault="009C29A2" w:rsidP="00FC7A97">
            <w:pPr>
              <w:pStyle w:val="TableText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62"/>
                <w14:textFill>
                  <w14:solidFill>
                    <w14:srgbClr w14:val="000000">
                      <w14:alpha w14:val="100000"/>
                    </w14:srgbClr>
                  </w14:solidFill>
                </w14:textFill>
              </w:rPr>
              <w:t>|</w:t>
            </w:r>
            <w:r w:rsidR="00D76B55" w:rsidRPr="00D76B55">
              <w:rPr>
                <w:color w:val="000000"/>
                <w:spacing w:val="1"/>
                <w:shd w:val="solid" w:color="000000" w:fill="000000"/>
                <w:fitText w:val="299" w:id="-1404292862"/>
                <w14:textFill>
                  <w14:solidFill>
                    <w14:srgbClr w14:val="000000">
                      <w14:alpha w14:val="100000"/>
                    </w14:srgbClr>
                  </w14:solidFill>
                </w14:textFill>
              </w:rPr>
              <w:t>|</w:t>
            </w:r>
            <w:r w:rsidR="004E2653">
              <w:rPr>
                <w:vertAlign w:val="superscript"/>
              </w:rPr>
              <w:t>2</w:t>
            </w:r>
          </w:p>
        </w:tc>
        <w:tc>
          <w:tcPr>
            <w:tcW w:w="679" w:type="pct"/>
          </w:tcPr>
          <w:p w14:paraId="2D5AAD3C" w14:textId="77777777" w:rsidR="009C29A2" w:rsidRPr="00001499" w:rsidRDefault="009C29A2" w:rsidP="00FC7A97">
            <w:pPr>
              <w:pStyle w:val="TableText0"/>
              <w:widowControl w:val="0"/>
              <w:jc w:val="center"/>
              <w:rPr>
                <w:rFonts w:ascii="Calibri" w:hAnsi="Calibri" w:cs="Calibri"/>
                <w:color w:val="000000"/>
              </w:rPr>
            </w:pPr>
            <w:r w:rsidRPr="00001499">
              <w:t>102%</w:t>
            </w:r>
          </w:p>
        </w:tc>
      </w:tr>
      <w:tr w:rsidR="009C29A2" w:rsidRPr="00001499" w14:paraId="55BB86E3" w14:textId="77777777" w:rsidTr="00D76B55">
        <w:tc>
          <w:tcPr>
            <w:tcW w:w="2043" w:type="pct"/>
            <w:vAlign w:val="bottom"/>
          </w:tcPr>
          <w:p w14:paraId="4D515845" w14:textId="77777777" w:rsidR="009C29A2" w:rsidRPr="00001499" w:rsidRDefault="009C29A2" w:rsidP="00FC7A97">
            <w:pPr>
              <w:pStyle w:val="TableText0"/>
              <w:widowControl w:val="0"/>
            </w:pPr>
            <w:r w:rsidRPr="00001499">
              <w:t xml:space="preserve">  Season 2018</w:t>
            </w:r>
          </w:p>
        </w:tc>
        <w:tc>
          <w:tcPr>
            <w:tcW w:w="742" w:type="pct"/>
            <w:tcBorders>
              <w:bottom w:val="single" w:sz="4" w:space="0" w:color="auto"/>
            </w:tcBorders>
            <w:shd w:val="solid" w:color="000000" w:fill="000000"/>
          </w:tcPr>
          <w:p w14:paraId="44B436D8" w14:textId="5AF7C5B4" w:rsidR="009C29A2" w:rsidRPr="00D76B55" w:rsidRDefault="00D76B55" w:rsidP="00FC7A97">
            <w:pPr>
              <w:pStyle w:val="TableText0"/>
              <w:widowControl w:val="0"/>
              <w:jc w:val="center"/>
              <w:rPr>
                <w:rFonts w:ascii="Calibri" w:hAnsi="Calibri" w:cs="Calibri"/>
                <w:color w:val="000000"/>
              </w:rPr>
            </w:pPr>
            <w:r w:rsidRPr="00D76B55">
              <w:rPr>
                <w:color w:val="000000"/>
                <w:spacing w:val="180"/>
                <w:fitText w:val="266" w:id="-1404292861"/>
                <w14:textFill>
                  <w14:solidFill>
                    <w14:srgbClr w14:val="000000">
                      <w14:alpha w14:val="100000"/>
                    </w14:srgbClr>
                  </w14:solidFill>
                </w14:textFill>
              </w:rPr>
              <w:t>|</w:t>
            </w:r>
            <w:r w:rsidRPr="00D76B55">
              <w:rPr>
                <w:color w:val="000000"/>
                <w:fitText w:val="266" w:id="-1404292861"/>
                <w14:textFill>
                  <w14:solidFill>
                    <w14:srgbClr w14:val="000000">
                      <w14:alpha w14:val="100000"/>
                    </w14:srgbClr>
                  </w14:solidFill>
                </w14:textFill>
              </w:rPr>
              <w:t>|</w:t>
            </w:r>
          </w:p>
        </w:tc>
        <w:tc>
          <w:tcPr>
            <w:tcW w:w="742" w:type="pct"/>
          </w:tcPr>
          <w:p w14:paraId="50A8C5E6" w14:textId="77777777" w:rsidR="009C29A2" w:rsidRPr="00001499" w:rsidRDefault="009C29A2" w:rsidP="00FC7A97">
            <w:pPr>
              <w:pStyle w:val="TableText0"/>
              <w:widowControl w:val="0"/>
              <w:jc w:val="center"/>
              <w:rPr>
                <w:rFonts w:ascii="Calibri" w:hAnsi="Calibri" w:cs="Calibri"/>
                <w:color w:val="000000"/>
              </w:rPr>
            </w:pPr>
            <w:r w:rsidRPr="00001499">
              <w:t>0.000000</w:t>
            </w:r>
          </w:p>
        </w:tc>
        <w:tc>
          <w:tcPr>
            <w:tcW w:w="794" w:type="pct"/>
          </w:tcPr>
          <w:p w14:paraId="75BCE2B1" w14:textId="3547BFC3" w:rsidR="009C29A2" w:rsidRPr="00001499" w:rsidRDefault="009C29A2" w:rsidP="00FC7A97">
            <w:pPr>
              <w:pStyle w:val="TableText0"/>
              <w:widowControl w:val="0"/>
              <w:jc w:val="center"/>
              <w:rPr>
                <w:rFonts w:ascii="Calibri" w:hAnsi="Calibri" w:cs="Calibri"/>
                <w:color w:val="000000"/>
              </w:rPr>
            </w:pPr>
            <w:r w:rsidRPr="00001499">
              <w:t xml:space="preserve">Dominated </w:t>
            </w:r>
            <w:r w:rsidR="00C55C64">
              <w:rPr>
                <w:vertAlign w:val="superscript"/>
              </w:rPr>
              <w:t>b</w:t>
            </w:r>
          </w:p>
        </w:tc>
        <w:tc>
          <w:tcPr>
            <w:tcW w:w="679" w:type="pct"/>
          </w:tcPr>
          <w:p w14:paraId="6A518DD8" w14:textId="77777777" w:rsidR="009C29A2" w:rsidRPr="00001499" w:rsidRDefault="009C29A2" w:rsidP="00FC7A97">
            <w:pPr>
              <w:pStyle w:val="TableText0"/>
              <w:widowControl w:val="0"/>
              <w:jc w:val="center"/>
              <w:rPr>
                <w:rFonts w:ascii="Calibri" w:hAnsi="Calibri" w:cs="Calibri"/>
                <w:color w:val="000000"/>
              </w:rPr>
            </w:pPr>
          </w:p>
        </w:tc>
      </w:tr>
      <w:tr w:rsidR="009C29A2" w:rsidRPr="00001499" w14:paraId="20947572" w14:textId="77777777" w:rsidTr="00D76B55">
        <w:tc>
          <w:tcPr>
            <w:tcW w:w="2043" w:type="pct"/>
            <w:vAlign w:val="bottom"/>
          </w:tcPr>
          <w:p w14:paraId="16329021" w14:textId="77777777" w:rsidR="009C29A2" w:rsidRPr="00001499" w:rsidRDefault="009C29A2" w:rsidP="00FC7A97">
            <w:pPr>
              <w:pStyle w:val="TableText0"/>
              <w:widowControl w:val="0"/>
            </w:pPr>
            <w:r w:rsidRPr="00001499">
              <w:t xml:space="preserve">  Season 2019</w:t>
            </w:r>
          </w:p>
        </w:tc>
        <w:tc>
          <w:tcPr>
            <w:tcW w:w="742" w:type="pct"/>
            <w:tcBorders>
              <w:bottom w:val="single" w:sz="4" w:space="0" w:color="auto"/>
            </w:tcBorders>
            <w:shd w:val="solid" w:color="000000" w:fill="000000"/>
          </w:tcPr>
          <w:p w14:paraId="2CCFF76A" w14:textId="67DE7667" w:rsidR="009C29A2" w:rsidRPr="00D76B55" w:rsidRDefault="00D76B55" w:rsidP="00FC7A97">
            <w:pPr>
              <w:pStyle w:val="TableText0"/>
              <w:widowControl w:val="0"/>
              <w:jc w:val="center"/>
              <w:rPr>
                <w:rFonts w:ascii="Calibri" w:hAnsi="Calibri" w:cs="Calibri"/>
                <w:color w:val="000000"/>
              </w:rPr>
            </w:pPr>
            <w:r w:rsidRPr="00D76B55">
              <w:rPr>
                <w:color w:val="000000"/>
                <w:spacing w:val="180"/>
                <w:fitText w:val="266" w:id="-1404292860"/>
                <w14:textFill>
                  <w14:solidFill>
                    <w14:srgbClr w14:val="000000">
                      <w14:alpha w14:val="100000"/>
                    </w14:srgbClr>
                  </w14:solidFill>
                </w14:textFill>
              </w:rPr>
              <w:t>|</w:t>
            </w:r>
            <w:r w:rsidRPr="00D76B55">
              <w:rPr>
                <w:color w:val="000000"/>
                <w:fitText w:val="266" w:id="-1404292860"/>
                <w14:textFill>
                  <w14:solidFill>
                    <w14:srgbClr w14:val="000000">
                      <w14:alpha w14:val="100000"/>
                    </w14:srgbClr>
                  </w14:solidFill>
                </w14:textFill>
              </w:rPr>
              <w:t>|</w:t>
            </w:r>
          </w:p>
        </w:tc>
        <w:tc>
          <w:tcPr>
            <w:tcW w:w="742" w:type="pct"/>
          </w:tcPr>
          <w:p w14:paraId="4153648A" w14:textId="77777777" w:rsidR="009C29A2" w:rsidRPr="00001499" w:rsidRDefault="009C29A2" w:rsidP="00FC7A97">
            <w:pPr>
              <w:pStyle w:val="TableText0"/>
              <w:widowControl w:val="0"/>
              <w:jc w:val="center"/>
              <w:rPr>
                <w:rFonts w:ascii="Calibri" w:hAnsi="Calibri" w:cs="Calibri"/>
                <w:color w:val="000000"/>
              </w:rPr>
            </w:pPr>
            <w:r w:rsidRPr="00001499">
              <w:t>0.000053</w:t>
            </w:r>
          </w:p>
        </w:tc>
        <w:tc>
          <w:tcPr>
            <w:tcW w:w="794" w:type="pct"/>
          </w:tcPr>
          <w:p w14:paraId="3744E377" w14:textId="5E07B493" w:rsidR="009C29A2" w:rsidRPr="001D6304" w:rsidRDefault="009C29A2" w:rsidP="00FC7A97">
            <w:pPr>
              <w:pStyle w:val="TableText0"/>
              <w:widowControl w:val="0"/>
              <w:jc w:val="center"/>
              <w:rPr>
                <w:rFonts w:ascii="Calibri" w:hAnsi="Calibri" w:cs="Calibri"/>
                <w:color w:val="000000"/>
                <w:vertAlign w:val="superscript"/>
              </w:rPr>
            </w:pPr>
            <w:r w:rsidRPr="00001499">
              <w:t>$</w:t>
            </w:r>
            <w:r w:rsidR="00D76B55" w:rsidRPr="00D76B55">
              <w:rPr>
                <w:color w:val="000000"/>
                <w:spacing w:val="213"/>
                <w:shd w:val="solid" w:color="000000" w:fill="000000"/>
                <w:fitText w:val="299" w:id="-1404292859"/>
                <w14:textFill>
                  <w14:solidFill>
                    <w14:srgbClr w14:val="000000">
                      <w14:alpha w14:val="100000"/>
                    </w14:srgbClr>
                  </w14:solidFill>
                </w14:textFill>
              </w:rPr>
              <w:t>|</w:t>
            </w:r>
            <w:r w:rsidR="00D76B55" w:rsidRPr="00D76B55">
              <w:rPr>
                <w:color w:val="000000"/>
                <w:spacing w:val="1"/>
                <w:shd w:val="solid" w:color="000000" w:fill="000000"/>
                <w:fitText w:val="299" w:id="-1404292859"/>
                <w14:textFill>
                  <w14:solidFill>
                    <w14:srgbClr w14:val="000000">
                      <w14:alpha w14:val="100000"/>
                    </w14:srgbClr>
                  </w14:solidFill>
                </w14:textFill>
              </w:rPr>
              <w:t>|</w:t>
            </w:r>
            <w:r w:rsidR="004E2653">
              <w:rPr>
                <w:vertAlign w:val="superscript"/>
              </w:rPr>
              <w:t>4</w:t>
            </w:r>
          </w:p>
        </w:tc>
        <w:tc>
          <w:tcPr>
            <w:tcW w:w="679" w:type="pct"/>
          </w:tcPr>
          <w:p w14:paraId="68D72432" w14:textId="77777777" w:rsidR="009C29A2" w:rsidRPr="00001499" w:rsidRDefault="009C29A2" w:rsidP="00FC7A97">
            <w:pPr>
              <w:pStyle w:val="TableText0"/>
              <w:widowControl w:val="0"/>
              <w:jc w:val="center"/>
              <w:rPr>
                <w:rFonts w:ascii="Calibri" w:hAnsi="Calibri" w:cs="Calibri"/>
                <w:color w:val="000000"/>
              </w:rPr>
            </w:pPr>
            <w:r w:rsidRPr="00001499">
              <w:t>-59%</w:t>
            </w:r>
          </w:p>
        </w:tc>
      </w:tr>
      <w:tr w:rsidR="009C29A2" w:rsidRPr="00001499" w14:paraId="721A4801" w14:textId="77777777" w:rsidTr="00D76B55">
        <w:tc>
          <w:tcPr>
            <w:tcW w:w="2043" w:type="pct"/>
          </w:tcPr>
          <w:p w14:paraId="7A6A63BD" w14:textId="77777777" w:rsidR="009C29A2" w:rsidRPr="00001499" w:rsidRDefault="009C29A2" w:rsidP="00FC7A97">
            <w:pPr>
              <w:pStyle w:val="TableText0"/>
              <w:widowControl w:val="0"/>
            </w:pPr>
            <w:r w:rsidRPr="00001499">
              <w:t xml:space="preserve">  Low rVE</w:t>
            </w:r>
          </w:p>
        </w:tc>
        <w:tc>
          <w:tcPr>
            <w:tcW w:w="742" w:type="pct"/>
            <w:tcBorders>
              <w:bottom w:val="single" w:sz="4" w:space="0" w:color="auto"/>
            </w:tcBorders>
            <w:shd w:val="solid" w:color="000000" w:fill="000000"/>
          </w:tcPr>
          <w:p w14:paraId="5E8134E2" w14:textId="61FE1605" w:rsidR="009C29A2" w:rsidRPr="00D76B55" w:rsidRDefault="00D76B55" w:rsidP="00FC7A97">
            <w:pPr>
              <w:pStyle w:val="TableText0"/>
              <w:widowControl w:val="0"/>
              <w:jc w:val="center"/>
              <w:rPr>
                <w:rFonts w:ascii="Calibri" w:hAnsi="Calibri" w:cs="Calibri"/>
                <w:color w:val="000000"/>
              </w:rPr>
            </w:pPr>
            <w:r w:rsidRPr="00D76B55">
              <w:rPr>
                <w:color w:val="000000"/>
                <w:spacing w:val="180"/>
                <w:fitText w:val="266" w:id="-1404292858"/>
                <w14:textFill>
                  <w14:solidFill>
                    <w14:srgbClr w14:val="000000">
                      <w14:alpha w14:val="100000"/>
                    </w14:srgbClr>
                  </w14:solidFill>
                </w14:textFill>
              </w:rPr>
              <w:t>|</w:t>
            </w:r>
            <w:r w:rsidRPr="00D76B55">
              <w:rPr>
                <w:color w:val="000000"/>
                <w:fitText w:val="266" w:id="-1404292858"/>
                <w14:textFill>
                  <w14:solidFill>
                    <w14:srgbClr w14:val="000000">
                      <w14:alpha w14:val="100000"/>
                    </w14:srgbClr>
                  </w14:solidFill>
                </w14:textFill>
              </w:rPr>
              <w:t>|</w:t>
            </w:r>
          </w:p>
        </w:tc>
        <w:tc>
          <w:tcPr>
            <w:tcW w:w="742" w:type="pct"/>
          </w:tcPr>
          <w:p w14:paraId="1DD6993F" w14:textId="77777777" w:rsidR="009C29A2" w:rsidRPr="00001499" w:rsidRDefault="009C29A2" w:rsidP="00FC7A97">
            <w:pPr>
              <w:pStyle w:val="TableText0"/>
              <w:widowControl w:val="0"/>
              <w:jc w:val="center"/>
              <w:rPr>
                <w:rFonts w:ascii="Calibri" w:hAnsi="Calibri" w:cs="Calibri"/>
                <w:color w:val="000000"/>
              </w:rPr>
            </w:pPr>
            <w:r w:rsidRPr="00001499">
              <w:t>0.000014</w:t>
            </w:r>
          </w:p>
        </w:tc>
        <w:tc>
          <w:tcPr>
            <w:tcW w:w="794" w:type="pct"/>
          </w:tcPr>
          <w:p w14:paraId="4CC1C2E1" w14:textId="531D87AF" w:rsidR="009C29A2" w:rsidRPr="001D6304" w:rsidRDefault="009C29A2" w:rsidP="00FC7A97">
            <w:pPr>
              <w:pStyle w:val="TableText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608"/>
                <w14:textFill>
                  <w14:solidFill>
                    <w14:srgbClr w14:val="000000">
                      <w14:alpha w14:val="100000"/>
                    </w14:srgbClr>
                  </w14:solidFill>
                </w14:textFill>
              </w:rPr>
              <w:t>|||</w:t>
            </w:r>
            <w:r w:rsidR="00D76B55" w:rsidRPr="00D76B55">
              <w:rPr>
                <w:color w:val="000000"/>
                <w:spacing w:val="3"/>
                <w:shd w:val="solid" w:color="000000" w:fill="000000"/>
                <w:fitText w:val="332" w:id="-1404292608"/>
                <w14:textFill>
                  <w14:solidFill>
                    <w14:srgbClr w14:val="000000">
                      <w14:alpha w14:val="100000"/>
                    </w14:srgbClr>
                  </w14:solidFill>
                </w14:textFill>
              </w:rPr>
              <w:t>|</w:t>
            </w:r>
            <w:r w:rsidR="004E2653">
              <w:rPr>
                <w:vertAlign w:val="superscript"/>
              </w:rPr>
              <w:t>12</w:t>
            </w:r>
          </w:p>
        </w:tc>
        <w:tc>
          <w:tcPr>
            <w:tcW w:w="679" w:type="pct"/>
          </w:tcPr>
          <w:p w14:paraId="405E0608" w14:textId="77777777" w:rsidR="009C29A2" w:rsidRPr="00001499" w:rsidRDefault="009C29A2" w:rsidP="00FC7A97">
            <w:pPr>
              <w:pStyle w:val="TableText0"/>
              <w:widowControl w:val="0"/>
              <w:jc w:val="center"/>
              <w:rPr>
                <w:rFonts w:ascii="Calibri" w:hAnsi="Calibri" w:cs="Calibri"/>
                <w:color w:val="000000"/>
              </w:rPr>
            </w:pPr>
            <w:r w:rsidRPr="00001499">
              <w:t>756%</w:t>
            </w:r>
          </w:p>
        </w:tc>
      </w:tr>
      <w:tr w:rsidR="009C29A2" w:rsidRPr="00001499" w14:paraId="7C9EF7E1" w14:textId="77777777" w:rsidTr="00D76B55">
        <w:tc>
          <w:tcPr>
            <w:tcW w:w="2043" w:type="pct"/>
          </w:tcPr>
          <w:p w14:paraId="75494C2A" w14:textId="77777777" w:rsidR="009C29A2" w:rsidRPr="00001499" w:rsidRDefault="009C29A2" w:rsidP="00FC7A97">
            <w:pPr>
              <w:pStyle w:val="TableText0"/>
              <w:widowControl w:val="0"/>
            </w:pPr>
            <w:r w:rsidRPr="00001499">
              <w:t xml:space="preserve">  High rVE</w:t>
            </w:r>
          </w:p>
        </w:tc>
        <w:tc>
          <w:tcPr>
            <w:tcW w:w="742" w:type="pct"/>
            <w:tcBorders>
              <w:bottom w:val="single" w:sz="4" w:space="0" w:color="auto"/>
            </w:tcBorders>
            <w:shd w:val="solid" w:color="000000" w:fill="000000"/>
          </w:tcPr>
          <w:p w14:paraId="17FBE690" w14:textId="2911F286" w:rsidR="009C29A2" w:rsidRPr="00D76B55" w:rsidRDefault="00D76B55" w:rsidP="00FC7A97">
            <w:pPr>
              <w:pStyle w:val="TableText0"/>
              <w:widowControl w:val="0"/>
              <w:jc w:val="center"/>
              <w:rPr>
                <w:rFonts w:ascii="Calibri" w:hAnsi="Calibri" w:cs="Calibri"/>
                <w:color w:val="000000"/>
              </w:rPr>
            </w:pPr>
            <w:r w:rsidRPr="00D76B55">
              <w:rPr>
                <w:color w:val="000000"/>
                <w:spacing w:val="180"/>
                <w:fitText w:val="266" w:id="-1404292607"/>
                <w14:textFill>
                  <w14:solidFill>
                    <w14:srgbClr w14:val="000000">
                      <w14:alpha w14:val="100000"/>
                    </w14:srgbClr>
                  </w14:solidFill>
                </w14:textFill>
              </w:rPr>
              <w:t>|</w:t>
            </w:r>
            <w:r w:rsidRPr="00D76B55">
              <w:rPr>
                <w:color w:val="000000"/>
                <w:fitText w:val="266" w:id="-1404292607"/>
                <w14:textFill>
                  <w14:solidFill>
                    <w14:srgbClr w14:val="000000">
                      <w14:alpha w14:val="100000"/>
                    </w14:srgbClr>
                  </w14:solidFill>
                </w14:textFill>
              </w:rPr>
              <w:t>|</w:t>
            </w:r>
          </w:p>
        </w:tc>
        <w:tc>
          <w:tcPr>
            <w:tcW w:w="742" w:type="pct"/>
          </w:tcPr>
          <w:p w14:paraId="35C8ED2B" w14:textId="77777777" w:rsidR="009C29A2" w:rsidRPr="00001499" w:rsidRDefault="009C29A2" w:rsidP="00FC7A97">
            <w:pPr>
              <w:pStyle w:val="TableText0"/>
              <w:widowControl w:val="0"/>
              <w:jc w:val="center"/>
              <w:rPr>
                <w:rFonts w:ascii="Calibri" w:hAnsi="Calibri" w:cs="Calibri"/>
                <w:color w:val="000000"/>
              </w:rPr>
            </w:pPr>
            <w:r w:rsidRPr="00001499">
              <w:t>0.000031</w:t>
            </w:r>
          </w:p>
        </w:tc>
        <w:tc>
          <w:tcPr>
            <w:tcW w:w="794" w:type="pct"/>
          </w:tcPr>
          <w:p w14:paraId="783F4FB4" w14:textId="26737475" w:rsidR="009C29A2" w:rsidRPr="001D6304" w:rsidRDefault="009C29A2" w:rsidP="00FC7A97">
            <w:pPr>
              <w:pStyle w:val="TableText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606"/>
                <w14:textFill>
                  <w14:solidFill>
                    <w14:srgbClr w14:val="000000">
                      <w14:alpha w14:val="100000"/>
                    </w14:srgbClr>
                  </w14:solidFill>
                </w14:textFill>
              </w:rPr>
              <w:t>|||</w:t>
            </w:r>
            <w:r w:rsidR="00D76B55" w:rsidRPr="00D76B55">
              <w:rPr>
                <w:color w:val="000000"/>
                <w:spacing w:val="3"/>
                <w:shd w:val="solid" w:color="000000" w:fill="000000"/>
                <w:fitText w:val="332" w:id="-1404292606"/>
                <w14:textFill>
                  <w14:solidFill>
                    <w14:srgbClr w14:val="000000">
                      <w14:alpha w14:val="100000"/>
                    </w14:srgbClr>
                  </w14:solidFill>
                </w14:textFill>
              </w:rPr>
              <w:t>|</w:t>
            </w:r>
            <w:r w:rsidR="004E2653">
              <w:rPr>
                <w:vertAlign w:val="superscript"/>
              </w:rPr>
              <w:t>10</w:t>
            </w:r>
          </w:p>
        </w:tc>
        <w:tc>
          <w:tcPr>
            <w:tcW w:w="679" w:type="pct"/>
          </w:tcPr>
          <w:p w14:paraId="2FE1985D" w14:textId="77777777" w:rsidR="009C29A2" w:rsidRPr="00001499" w:rsidRDefault="009C29A2" w:rsidP="00FC7A97">
            <w:pPr>
              <w:pStyle w:val="TableText0"/>
              <w:widowControl w:val="0"/>
              <w:jc w:val="center"/>
              <w:rPr>
                <w:rFonts w:ascii="Calibri" w:hAnsi="Calibri" w:cs="Calibri"/>
                <w:color w:val="000000"/>
              </w:rPr>
            </w:pPr>
            <w:r w:rsidRPr="00001499">
              <w:t>138%</w:t>
            </w:r>
          </w:p>
        </w:tc>
      </w:tr>
      <w:tr w:rsidR="009C29A2" w:rsidRPr="00001499" w14:paraId="638EED11" w14:textId="77777777" w:rsidTr="00D76B55">
        <w:tc>
          <w:tcPr>
            <w:tcW w:w="2043" w:type="pct"/>
          </w:tcPr>
          <w:p w14:paraId="7998799B" w14:textId="77777777" w:rsidR="009C29A2" w:rsidRPr="00001499" w:rsidRDefault="009C29A2" w:rsidP="00FC7A97">
            <w:pPr>
              <w:pStyle w:val="TableText0"/>
              <w:widowControl w:val="0"/>
            </w:pPr>
            <w:r w:rsidRPr="00001499">
              <w:t xml:space="preserve">  Low rVE + Observed CFR</w:t>
            </w:r>
          </w:p>
        </w:tc>
        <w:tc>
          <w:tcPr>
            <w:tcW w:w="742" w:type="pct"/>
            <w:tcBorders>
              <w:bottom w:val="single" w:sz="4" w:space="0" w:color="auto"/>
            </w:tcBorders>
            <w:shd w:val="solid" w:color="000000" w:fill="000000"/>
          </w:tcPr>
          <w:p w14:paraId="697E2DB6" w14:textId="3C65D1F7" w:rsidR="009C29A2" w:rsidRPr="00D76B55" w:rsidRDefault="00D76B55" w:rsidP="00FC7A97">
            <w:pPr>
              <w:pStyle w:val="TableText0"/>
              <w:widowControl w:val="0"/>
              <w:jc w:val="center"/>
              <w:rPr>
                <w:rFonts w:ascii="Calibri" w:hAnsi="Calibri" w:cs="Calibri"/>
                <w:color w:val="000000"/>
              </w:rPr>
            </w:pPr>
            <w:r w:rsidRPr="00D76B55">
              <w:rPr>
                <w:color w:val="000000"/>
                <w:spacing w:val="180"/>
                <w:fitText w:val="266" w:id="-1404292605"/>
                <w14:textFill>
                  <w14:solidFill>
                    <w14:srgbClr w14:val="000000">
                      <w14:alpha w14:val="100000"/>
                    </w14:srgbClr>
                  </w14:solidFill>
                </w14:textFill>
              </w:rPr>
              <w:t>|</w:t>
            </w:r>
            <w:r w:rsidRPr="00D76B55">
              <w:rPr>
                <w:color w:val="000000"/>
                <w:fitText w:val="266" w:id="-1404292605"/>
                <w14:textFill>
                  <w14:solidFill>
                    <w14:srgbClr w14:val="000000">
                      <w14:alpha w14:val="100000"/>
                    </w14:srgbClr>
                  </w14:solidFill>
                </w14:textFill>
              </w:rPr>
              <w:t>|</w:t>
            </w:r>
          </w:p>
        </w:tc>
        <w:tc>
          <w:tcPr>
            <w:tcW w:w="742" w:type="pct"/>
          </w:tcPr>
          <w:p w14:paraId="28AC8971" w14:textId="77777777" w:rsidR="009C29A2" w:rsidRPr="00001499" w:rsidRDefault="009C29A2" w:rsidP="00FC7A97">
            <w:pPr>
              <w:pStyle w:val="TableText0"/>
              <w:widowControl w:val="0"/>
              <w:jc w:val="center"/>
              <w:rPr>
                <w:rFonts w:ascii="Calibri" w:hAnsi="Calibri" w:cs="Calibri"/>
                <w:color w:val="000000"/>
              </w:rPr>
            </w:pPr>
            <w:r w:rsidRPr="00001499">
              <w:t>0.000009</w:t>
            </w:r>
          </w:p>
        </w:tc>
        <w:tc>
          <w:tcPr>
            <w:tcW w:w="794" w:type="pct"/>
          </w:tcPr>
          <w:p w14:paraId="7E218438" w14:textId="433478F5" w:rsidR="009C29A2" w:rsidRPr="001D6304" w:rsidRDefault="009C29A2" w:rsidP="00FC7A97">
            <w:pPr>
              <w:pStyle w:val="TableText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604"/>
                <w14:textFill>
                  <w14:solidFill>
                    <w14:srgbClr w14:val="000000">
                      <w14:alpha w14:val="100000"/>
                    </w14:srgbClr>
                  </w14:solidFill>
                </w14:textFill>
              </w:rPr>
              <w:t>|||</w:t>
            </w:r>
            <w:r w:rsidR="00D76B55" w:rsidRPr="00D76B55">
              <w:rPr>
                <w:color w:val="000000"/>
                <w:spacing w:val="3"/>
                <w:shd w:val="solid" w:color="000000" w:fill="000000"/>
                <w:fitText w:val="332" w:id="-1404292604"/>
                <w14:textFill>
                  <w14:solidFill>
                    <w14:srgbClr w14:val="000000">
                      <w14:alpha w14:val="100000"/>
                    </w14:srgbClr>
                  </w14:solidFill>
                </w14:textFill>
              </w:rPr>
              <w:t>|</w:t>
            </w:r>
            <w:r w:rsidR="004E2653">
              <w:rPr>
                <w:vertAlign w:val="superscript"/>
              </w:rPr>
              <w:t>15</w:t>
            </w:r>
          </w:p>
        </w:tc>
        <w:tc>
          <w:tcPr>
            <w:tcW w:w="679" w:type="pct"/>
          </w:tcPr>
          <w:p w14:paraId="66DA662E" w14:textId="77777777" w:rsidR="009C29A2" w:rsidRPr="00001499" w:rsidRDefault="009C29A2" w:rsidP="00FC7A97">
            <w:pPr>
              <w:pStyle w:val="TableText0"/>
              <w:widowControl w:val="0"/>
              <w:jc w:val="center"/>
              <w:rPr>
                <w:rFonts w:ascii="Calibri" w:hAnsi="Calibri" w:cs="Calibri"/>
                <w:color w:val="000000"/>
              </w:rPr>
            </w:pPr>
            <w:r w:rsidRPr="00001499">
              <w:t>1295%</w:t>
            </w:r>
          </w:p>
        </w:tc>
      </w:tr>
      <w:tr w:rsidR="009C29A2" w:rsidRPr="00001499" w14:paraId="38B2A541" w14:textId="77777777" w:rsidTr="00D76B55">
        <w:tc>
          <w:tcPr>
            <w:tcW w:w="2043" w:type="pct"/>
          </w:tcPr>
          <w:p w14:paraId="7D2996C3" w14:textId="77777777" w:rsidR="009C29A2" w:rsidRPr="00001499" w:rsidRDefault="009C29A2" w:rsidP="00FC7A97">
            <w:pPr>
              <w:pStyle w:val="TableText0"/>
              <w:widowControl w:val="0"/>
            </w:pPr>
            <w:r w:rsidRPr="00001499">
              <w:t xml:space="preserve">  Observed CFR</w:t>
            </w:r>
          </w:p>
        </w:tc>
        <w:tc>
          <w:tcPr>
            <w:tcW w:w="742" w:type="pct"/>
            <w:shd w:val="solid" w:color="000000" w:fill="000000"/>
          </w:tcPr>
          <w:p w14:paraId="3F89C521" w14:textId="33589EA3" w:rsidR="009C29A2" w:rsidRPr="00D76B55" w:rsidRDefault="00D76B55" w:rsidP="00FC7A97">
            <w:pPr>
              <w:pStyle w:val="TableText0"/>
              <w:widowControl w:val="0"/>
              <w:jc w:val="center"/>
              <w:rPr>
                <w:rFonts w:ascii="Calibri" w:hAnsi="Calibri" w:cs="Calibri"/>
                <w:color w:val="000000"/>
              </w:rPr>
            </w:pPr>
            <w:r w:rsidRPr="00D76B55">
              <w:rPr>
                <w:color w:val="000000"/>
                <w:spacing w:val="180"/>
                <w:fitText w:val="266" w:id="-1404292603"/>
                <w14:textFill>
                  <w14:solidFill>
                    <w14:srgbClr w14:val="000000">
                      <w14:alpha w14:val="100000"/>
                    </w14:srgbClr>
                  </w14:solidFill>
                </w14:textFill>
              </w:rPr>
              <w:t>|</w:t>
            </w:r>
            <w:r w:rsidRPr="00D76B55">
              <w:rPr>
                <w:color w:val="000000"/>
                <w:fitText w:val="266" w:id="-1404292603"/>
                <w14:textFill>
                  <w14:solidFill>
                    <w14:srgbClr w14:val="000000">
                      <w14:alpha w14:val="100000"/>
                    </w14:srgbClr>
                  </w14:solidFill>
                </w14:textFill>
              </w:rPr>
              <w:t>|</w:t>
            </w:r>
          </w:p>
        </w:tc>
        <w:tc>
          <w:tcPr>
            <w:tcW w:w="742" w:type="pct"/>
          </w:tcPr>
          <w:p w14:paraId="235C5A6F" w14:textId="77777777" w:rsidR="009C29A2" w:rsidRPr="00001499" w:rsidRDefault="009C29A2" w:rsidP="00FC7A97">
            <w:pPr>
              <w:pStyle w:val="TableText0"/>
              <w:widowControl w:val="0"/>
              <w:jc w:val="center"/>
              <w:rPr>
                <w:rFonts w:ascii="Calibri" w:hAnsi="Calibri" w:cs="Calibri"/>
                <w:color w:val="000000"/>
              </w:rPr>
            </w:pPr>
            <w:r w:rsidRPr="00001499">
              <w:t>0.000013</w:t>
            </w:r>
          </w:p>
        </w:tc>
        <w:tc>
          <w:tcPr>
            <w:tcW w:w="794" w:type="pct"/>
          </w:tcPr>
          <w:p w14:paraId="290606D4" w14:textId="4110162E" w:rsidR="009C29A2" w:rsidRPr="001D6304" w:rsidRDefault="009C29A2" w:rsidP="00FC7A97">
            <w:pPr>
              <w:pStyle w:val="TableText0"/>
              <w:widowControl w:val="0"/>
              <w:jc w:val="center"/>
              <w:rPr>
                <w:rFonts w:ascii="Calibri" w:hAnsi="Calibri" w:cs="Calibri"/>
                <w:color w:val="000000"/>
                <w:vertAlign w:val="superscript"/>
              </w:rPr>
            </w:pPr>
            <w:r w:rsidRPr="00001499">
              <w:t>$</w:t>
            </w:r>
            <w:r w:rsidR="00D76B55" w:rsidRPr="00D76B55">
              <w:rPr>
                <w:color w:val="000000"/>
                <w:spacing w:val="53"/>
                <w:shd w:val="solid" w:color="000000" w:fill="000000"/>
                <w:fitText w:val="332" w:id="-1404292602"/>
                <w14:textFill>
                  <w14:solidFill>
                    <w14:srgbClr w14:val="000000">
                      <w14:alpha w14:val="100000"/>
                    </w14:srgbClr>
                  </w14:solidFill>
                </w14:textFill>
              </w:rPr>
              <w:t>|||</w:t>
            </w:r>
            <w:r w:rsidR="00D76B55" w:rsidRPr="00D76B55">
              <w:rPr>
                <w:color w:val="000000"/>
                <w:spacing w:val="3"/>
                <w:shd w:val="solid" w:color="000000" w:fill="000000"/>
                <w:fitText w:val="332" w:id="-1404292602"/>
                <w14:textFill>
                  <w14:solidFill>
                    <w14:srgbClr w14:val="000000">
                      <w14:alpha w14:val="100000"/>
                    </w14:srgbClr>
                  </w14:solidFill>
                </w14:textFill>
              </w:rPr>
              <w:t>|</w:t>
            </w:r>
            <w:r w:rsidR="004E2653">
              <w:rPr>
                <w:vertAlign w:val="superscript"/>
              </w:rPr>
              <w:t>12</w:t>
            </w:r>
          </w:p>
        </w:tc>
        <w:tc>
          <w:tcPr>
            <w:tcW w:w="679" w:type="pct"/>
          </w:tcPr>
          <w:p w14:paraId="6740B6D3" w14:textId="77777777" w:rsidR="009C29A2" w:rsidRPr="00001499" w:rsidRDefault="009C29A2" w:rsidP="00FC7A97">
            <w:pPr>
              <w:pStyle w:val="TableText0"/>
              <w:widowControl w:val="0"/>
              <w:jc w:val="center"/>
              <w:rPr>
                <w:rFonts w:ascii="Calibri" w:hAnsi="Calibri" w:cs="Calibri"/>
                <w:color w:val="000000"/>
              </w:rPr>
            </w:pPr>
            <w:r w:rsidRPr="00001499">
              <w:t>700%</w:t>
            </w:r>
          </w:p>
        </w:tc>
      </w:tr>
    </w:tbl>
    <w:p w14:paraId="387A77F8" w14:textId="77777777" w:rsidR="009C29A2" w:rsidRPr="00001499" w:rsidRDefault="009C29A2" w:rsidP="009C29A2">
      <w:pPr>
        <w:pStyle w:val="TableFigureFooter"/>
      </w:pPr>
      <w:r w:rsidRPr="00001499">
        <w:t>Source: Compiled during the evaluation based on results presented in the submission</w:t>
      </w:r>
    </w:p>
    <w:p w14:paraId="4D593843" w14:textId="77777777" w:rsidR="009C29A2" w:rsidRPr="00001499" w:rsidRDefault="009C29A2" w:rsidP="009C29A2">
      <w:pPr>
        <w:pStyle w:val="TableFigureFooter"/>
      </w:pPr>
      <w:r w:rsidRPr="00001499">
        <w:t>CFR = case fatality ratio; ICER = incremental cost-effectiveness ratio; NIP = National Immunisation Program; QALYs = quality-adjusted life years; rVE = relative vaccine effectiveness; QIVc = cell-based quadrivalent subunit influenza virus vaccine; QIVe = egg-based quadrivalent subunit influenza virus vaccine.</w:t>
      </w:r>
    </w:p>
    <w:p w14:paraId="72D05401" w14:textId="1C947A67" w:rsidR="009C29A2" w:rsidRPr="00001499" w:rsidRDefault="00C55C64" w:rsidP="009C29A2">
      <w:pPr>
        <w:pStyle w:val="TableFigureFooter"/>
      </w:pPr>
      <w:r>
        <w:rPr>
          <w:vertAlign w:val="superscript"/>
        </w:rPr>
        <w:t>a</w:t>
      </w:r>
      <w:r w:rsidR="009C29A2" w:rsidRPr="009B14A0">
        <w:t xml:space="preserve"> </w:t>
      </w:r>
      <w:r w:rsidR="009C29A2" w:rsidRPr="00001499">
        <w:t>Compared to base case of proposed NIP population (2015-2019)</w:t>
      </w:r>
    </w:p>
    <w:p w14:paraId="3D339942" w14:textId="07287DBD" w:rsidR="009C29A2" w:rsidRPr="00001499" w:rsidRDefault="00C55C64" w:rsidP="009C29A2">
      <w:pPr>
        <w:pStyle w:val="TableFigureFooter"/>
      </w:pPr>
      <w:r>
        <w:rPr>
          <w:vertAlign w:val="superscript"/>
        </w:rPr>
        <w:t>b</w:t>
      </w:r>
      <w:r w:rsidR="009C29A2" w:rsidRPr="00001499">
        <w:rPr>
          <w:vertAlign w:val="superscript"/>
        </w:rPr>
        <w:t xml:space="preserve"> </w:t>
      </w:r>
      <w:r w:rsidR="009C29A2" w:rsidRPr="00001499">
        <w:t>Dominated by QIVe (QIVc more expensive with less/same effectiveness)</w:t>
      </w:r>
    </w:p>
    <w:p w14:paraId="7F8B4C38" w14:textId="376C779B" w:rsidR="009C29A2" w:rsidRDefault="00C55C64" w:rsidP="009C29A2">
      <w:pPr>
        <w:pStyle w:val="TableFigureFooter"/>
      </w:pPr>
      <w:r>
        <w:rPr>
          <w:vertAlign w:val="superscript"/>
        </w:rPr>
        <w:t>c</w:t>
      </w:r>
      <w:r w:rsidR="009C29A2" w:rsidRPr="00001499">
        <w:rPr>
          <w:vertAlign w:val="superscript"/>
        </w:rPr>
        <w:t xml:space="preserve"> </w:t>
      </w:r>
      <w:r w:rsidR="009C29A2" w:rsidRPr="00001499">
        <w:t>Modelled cohort age</w:t>
      </w:r>
    </w:p>
    <w:p w14:paraId="51B01C1D" w14:textId="2C622A4C" w:rsidR="00C55C64" w:rsidRDefault="00C55C64" w:rsidP="009C29A2">
      <w:pPr>
        <w:pStyle w:val="TableFigureFooter"/>
        <w:rPr>
          <w:i/>
          <w:szCs w:val="18"/>
        </w:rPr>
      </w:pPr>
      <w:r w:rsidRPr="009A6D58">
        <w:rPr>
          <w:i/>
          <w:szCs w:val="18"/>
        </w:rPr>
        <w:t>The redacted values correspond to the following ranges:</w:t>
      </w:r>
    </w:p>
    <w:p w14:paraId="4CFD71D0" w14:textId="33B587D1" w:rsidR="00C55C64" w:rsidRDefault="00C55C64" w:rsidP="009C29A2">
      <w:pPr>
        <w:pStyle w:val="TableFigureFooter"/>
        <w:rPr>
          <w:i/>
          <w:iCs/>
          <w:szCs w:val="18"/>
        </w:rPr>
      </w:pPr>
      <w:r w:rsidRPr="001D6304">
        <w:rPr>
          <w:i/>
          <w:iCs/>
          <w:szCs w:val="18"/>
          <w:vertAlign w:val="superscript"/>
        </w:rPr>
        <w:t>1</w:t>
      </w:r>
      <w:r w:rsidRPr="001D6304">
        <w:rPr>
          <w:i/>
          <w:iCs/>
          <w:szCs w:val="18"/>
        </w:rPr>
        <w:t>$35,000 to &lt; $45,000</w:t>
      </w:r>
    </w:p>
    <w:p w14:paraId="562834E4" w14:textId="6B2F550D" w:rsidR="00C55C64" w:rsidRDefault="00C55C64" w:rsidP="009C29A2">
      <w:pPr>
        <w:pStyle w:val="TableFigureFooter"/>
        <w:rPr>
          <w:i/>
          <w:iCs/>
          <w:szCs w:val="18"/>
        </w:rPr>
      </w:pPr>
      <w:r>
        <w:rPr>
          <w:i/>
          <w:iCs/>
          <w:szCs w:val="18"/>
          <w:vertAlign w:val="superscript"/>
        </w:rPr>
        <w:t>2</w:t>
      </w:r>
      <w:r w:rsidRPr="00C55C64">
        <w:rPr>
          <w:i/>
          <w:iCs/>
          <w:szCs w:val="18"/>
        </w:rPr>
        <w:t>$55,000 to &lt; $75,000</w:t>
      </w:r>
    </w:p>
    <w:p w14:paraId="11DEB62E" w14:textId="096D3A29" w:rsidR="00C55C64" w:rsidRDefault="00C55C64" w:rsidP="009C29A2">
      <w:pPr>
        <w:pStyle w:val="TableFigureFooter"/>
        <w:rPr>
          <w:i/>
          <w:iCs/>
          <w:szCs w:val="18"/>
        </w:rPr>
      </w:pPr>
      <w:r>
        <w:rPr>
          <w:i/>
          <w:iCs/>
          <w:szCs w:val="18"/>
          <w:vertAlign w:val="superscript"/>
        </w:rPr>
        <w:t>3</w:t>
      </w:r>
      <w:r w:rsidRPr="00C55C64">
        <w:rPr>
          <w:i/>
          <w:iCs/>
          <w:szCs w:val="18"/>
        </w:rPr>
        <w:t>$45,000 to &lt; $55,000</w:t>
      </w:r>
    </w:p>
    <w:p w14:paraId="3E5CF6A9" w14:textId="63D49C3B" w:rsidR="009E1845" w:rsidRDefault="009E1845" w:rsidP="009C29A2">
      <w:pPr>
        <w:pStyle w:val="TableFigureFooter"/>
        <w:rPr>
          <w:i/>
          <w:iCs/>
          <w:szCs w:val="18"/>
        </w:rPr>
      </w:pPr>
      <w:r>
        <w:rPr>
          <w:i/>
          <w:iCs/>
          <w:szCs w:val="18"/>
          <w:vertAlign w:val="superscript"/>
        </w:rPr>
        <w:t>4</w:t>
      </w:r>
      <w:r w:rsidRPr="009E1845">
        <w:rPr>
          <w:i/>
          <w:iCs/>
          <w:szCs w:val="18"/>
        </w:rPr>
        <w:t>$5,000 to &lt; $15,000</w:t>
      </w:r>
    </w:p>
    <w:p w14:paraId="6E7A612B" w14:textId="477C7C53" w:rsidR="009E1845" w:rsidRDefault="009E1845" w:rsidP="009C29A2">
      <w:pPr>
        <w:pStyle w:val="TableFigureFooter"/>
        <w:rPr>
          <w:i/>
          <w:iCs/>
          <w:szCs w:val="18"/>
        </w:rPr>
      </w:pPr>
      <w:r>
        <w:rPr>
          <w:i/>
          <w:iCs/>
          <w:szCs w:val="18"/>
          <w:vertAlign w:val="superscript"/>
        </w:rPr>
        <w:t>5</w:t>
      </w:r>
      <w:r w:rsidRPr="009E1845">
        <w:rPr>
          <w:i/>
          <w:iCs/>
          <w:szCs w:val="18"/>
        </w:rPr>
        <w:t>$95,000 to &lt; $115,000</w:t>
      </w:r>
    </w:p>
    <w:p w14:paraId="0DBA5026" w14:textId="0CCDD8FD" w:rsidR="009E1845" w:rsidRDefault="009E1845" w:rsidP="009C29A2">
      <w:pPr>
        <w:pStyle w:val="TableFigureFooter"/>
        <w:rPr>
          <w:i/>
          <w:iCs/>
          <w:szCs w:val="18"/>
        </w:rPr>
      </w:pPr>
      <w:r>
        <w:rPr>
          <w:i/>
          <w:iCs/>
          <w:szCs w:val="18"/>
          <w:vertAlign w:val="superscript"/>
        </w:rPr>
        <w:t>6</w:t>
      </w:r>
      <w:r w:rsidRPr="009E1845">
        <w:rPr>
          <w:i/>
          <w:iCs/>
          <w:szCs w:val="18"/>
        </w:rPr>
        <w:t>$115,000 to &lt; $135,000</w:t>
      </w:r>
    </w:p>
    <w:p w14:paraId="500A19F5" w14:textId="3A6E30D6" w:rsidR="009E1845" w:rsidRDefault="009E1845" w:rsidP="009C29A2">
      <w:pPr>
        <w:pStyle w:val="TableFigureFooter"/>
        <w:rPr>
          <w:i/>
          <w:iCs/>
          <w:szCs w:val="18"/>
        </w:rPr>
      </w:pPr>
      <w:r>
        <w:rPr>
          <w:i/>
          <w:iCs/>
          <w:szCs w:val="18"/>
          <w:vertAlign w:val="superscript"/>
        </w:rPr>
        <w:t>7</w:t>
      </w:r>
      <w:r w:rsidRPr="009E1845">
        <w:rPr>
          <w:i/>
          <w:iCs/>
          <w:szCs w:val="18"/>
        </w:rPr>
        <w:t>$25,000 to &lt; $35,000</w:t>
      </w:r>
    </w:p>
    <w:p w14:paraId="3054591C" w14:textId="101C23EB" w:rsidR="009E1845" w:rsidRDefault="009E1845" w:rsidP="009C29A2">
      <w:pPr>
        <w:pStyle w:val="TableFigureFooter"/>
        <w:rPr>
          <w:i/>
          <w:iCs/>
          <w:szCs w:val="18"/>
        </w:rPr>
      </w:pPr>
      <w:r>
        <w:rPr>
          <w:i/>
          <w:iCs/>
          <w:szCs w:val="18"/>
          <w:vertAlign w:val="superscript"/>
        </w:rPr>
        <w:t>8</w:t>
      </w:r>
      <w:r w:rsidRPr="009E1845">
        <w:rPr>
          <w:i/>
          <w:iCs/>
          <w:szCs w:val="18"/>
        </w:rPr>
        <w:t>$155,000 to &lt; $255,000</w:t>
      </w:r>
    </w:p>
    <w:p w14:paraId="229AB2B5" w14:textId="581E5011" w:rsidR="009E1845" w:rsidRDefault="009E1845" w:rsidP="009C29A2">
      <w:pPr>
        <w:pStyle w:val="TableFigureFooter"/>
        <w:rPr>
          <w:i/>
          <w:iCs/>
          <w:szCs w:val="18"/>
        </w:rPr>
      </w:pPr>
      <w:r>
        <w:rPr>
          <w:i/>
          <w:iCs/>
          <w:szCs w:val="18"/>
          <w:vertAlign w:val="superscript"/>
        </w:rPr>
        <w:t>9</w:t>
      </w:r>
      <w:r w:rsidRPr="009E1845">
        <w:rPr>
          <w:i/>
          <w:iCs/>
          <w:szCs w:val="18"/>
        </w:rPr>
        <w:t>$355,000 to &lt; $455,000</w:t>
      </w:r>
    </w:p>
    <w:p w14:paraId="1DF286CD" w14:textId="3F61D945" w:rsidR="009E1845" w:rsidRDefault="009E1845" w:rsidP="009C29A2">
      <w:pPr>
        <w:pStyle w:val="TableFigureFooter"/>
        <w:rPr>
          <w:i/>
          <w:iCs/>
          <w:szCs w:val="18"/>
        </w:rPr>
      </w:pPr>
      <w:r>
        <w:rPr>
          <w:i/>
          <w:iCs/>
          <w:szCs w:val="18"/>
          <w:vertAlign w:val="superscript"/>
        </w:rPr>
        <w:t>10</w:t>
      </w:r>
      <w:r w:rsidRPr="009E1845">
        <w:rPr>
          <w:i/>
          <w:iCs/>
          <w:szCs w:val="18"/>
        </w:rPr>
        <w:t>$75,000 to &lt; $95,000</w:t>
      </w:r>
    </w:p>
    <w:p w14:paraId="27D9103F" w14:textId="17E86C0D" w:rsidR="009E1845" w:rsidRDefault="009E1845" w:rsidP="009C29A2">
      <w:pPr>
        <w:pStyle w:val="TableFigureFooter"/>
        <w:rPr>
          <w:i/>
          <w:iCs/>
          <w:szCs w:val="18"/>
        </w:rPr>
      </w:pPr>
      <w:r>
        <w:rPr>
          <w:i/>
          <w:iCs/>
          <w:szCs w:val="18"/>
          <w:vertAlign w:val="superscript"/>
        </w:rPr>
        <w:t>11</w:t>
      </w:r>
      <w:r w:rsidRPr="009E1845">
        <w:rPr>
          <w:i/>
          <w:iCs/>
          <w:szCs w:val="18"/>
        </w:rPr>
        <w:t>$15,000 to &lt; $25,000</w:t>
      </w:r>
    </w:p>
    <w:p w14:paraId="4A85DD41" w14:textId="0D7699AF" w:rsidR="009E1845" w:rsidRDefault="009E1845" w:rsidP="009C29A2">
      <w:pPr>
        <w:pStyle w:val="TableFigureFooter"/>
        <w:rPr>
          <w:i/>
          <w:iCs/>
          <w:szCs w:val="18"/>
        </w:rPr>
      </w:pPr>
      <w:r>
        <w:rPr>
          <w:i/>
          <w:iCs/>
          <w:szCs w:val="18"/>
          <w:vertAlign w:val="superscript"/>
        </w:rPr>
        <w:t>12</w:t>
      </w:r>
      <w:r w:rsidRPr="009E1845">
        <w:rPr>
          <w:i/>
          <w:iCs/>
          <w:szCs w:val="18"/>
        </w:rPr>
        <w:t>$255,000 to &lt; $355,000</w:t>
      </w:r>
    </w:p>
    <w:p w14:paraId="19F27B16" w14:textId="7879FA42" w:rsidR="003E4039" w:rsidRDefault="003E4039" w:rsidP="009C29A2">
      <w:pPr>
        <w:pStyle w:val="TableFigureFooter"/>
        <w:rPr>
          <w:i/>
          <w:iCs/>
          <w:szCs w:val="18"/>
        </w:rPr>
      </w:pPr>
      <w:r>
        <w:rPr>
          <w:i/>
          <w:iCs/>
          <w:szCs w:val="18"/>
          <w:vertAlign w:val="superscript"/>
        </w:rPr>
        <w:t>13</w:t>
      </w:r>
      <w:r w:rsidRPr="003E4039">
        <w:rPr>
          <w:i/>
          <w:iCs/>
          <w:szCs w:val="18"/>
        </w:rPr>
        <w:t>&gt; $1,055,000</w:t>
      </w:r>
    </w:p>
    <w:p w14:paraId="7A82B713" w14:textId="56EB9FA6" w:rsidR="003E4039" w:rsidRDefault="003E4039" w:rsidP="009C29A2">
      <w:pPr>
        <w:pStyle w:val="TableFigureFooter"/>
        <w:rPr>
          <w:i/>
          <w:iCs/>
          <w:szCs w:val="18"/>
        </w:rPr>
      </w:pPr>
      <w:r>
        <w:rPr>
          <w:i/>
          <w:iCs/>
          <w:szCs w:val="18"/>
          <w:vertAlign w:val="superscript"/>
        </w:rPr>
        <w:t>14</w:t>
      </w:r>
      <w:r w:rsidRPr="003E4039">
        <w:rPr>
          <w:i/>
          <w:iCs/>
          <w:szCs w:val="18"/>
        </w:rPr>
        <w:t>$655,000 to &lt; $755,000</w:t>
      </w:r>
    </w:p>
    <w:p w14:paraId="28589293" w14:textId="740E2DC4" w:rsidR="004E2653" w:rsidRPr="001D6304" w:rsidRDefault="004E2653" w:rsidP="009C29A2">
      <w:pPr>
        <w:pStyle w:val="TableFigureFooter"/>
        <w:rPr>
          <w:i/>
          <w:iCs/>
          <w:szCs w:val="18"/>
        </w:rPr>
      </w:pPr>
      <w:r>
        <w:rPr>
          <w:i/>
          <w:iCs/>
          <w:szCs w:val="18"/>
          <w:vertAlign w:val="superscript"/>
        </w:rPr>
        <w:t>15</w:t>
      </w:r>
      <w:r w:rsidRPr="004E2653">
        <w:rPr>
          <w:i/>
          <w:iCs/>
          <w:szCs w:val="18"/>
        </w:rPr>
        <w:t>$455,000 to &lt; $555,000</w:t>
      </w:r>
    </w:p>
    <w:p w14:paraId="5CCBC1CA" w14:textId="461E58F5" w:rsidR="00CF54D8" w:rsidRDefault="009C29A2" w:rsidP="00AA46C6">
      <w:pPr>
        <w:pStyle w:val="3-BodyText"/>
        <w:ind w:left="709"/>
      </w:pPr>
      <w:bookmarkStart w:id="77" w:name="_Ref96505545"/>
      <w:bookmarkStart w:id="78" w:name="_Toc22897646"/>
      <w:bookmarkStart w:id="79" w:name="_Toc22898858"/>
      <w:r w:rsidRPr="00001499">
        <w:t>Beyond these analyses, there were additional inputs that were uncertain but were not adequately reflected in the</w:t>
      </w:r>
      <w:r w:rsidR="00C4711D">
        <w:t xml:space="preserve"> submission’s economic</w:t>
      </w:r>
      <w:r w:rsidRPr="00001499">
        <w:t xml:space="preserve"> model and/or could not be easily tested in the model during the evaluation as a result of the structure of the model and presentation of the results (results generated age-by-age from TreeAge and outputs then adjusted in Excel). These inputs included: assumptions on vaccine coverage, calculation of notification rates for the Aboriginal and Torres Strait Islander and high risk populations </w:t>
      </w:r>
      <w:r w:rsidRPr="00001499">
        <w:rPr>
          <w:iCs/>
        </w:rPr>
        <w:t>with no</w:t>
      </w:r>
      <w:r w:rsidRPr="00001499">
        <w:t xml:space="preserve"> re-adjustment of rates of the general population </w:t>
      </w:r>
      <w:r w:rsidRPr="00001499">
        <w:rPr>
          <w:iCs/>
        </w:rPr>
        <w:t>to remove the risk associated with high-risk/Aboriginal and Torres Strait Islander/pregnant women populations</w:t>
      </w:r>
      <w:r w:rsidRPr="00001499">
        <w:t xml:space="preserve">, age-specific rates among those aged 2-4 years and matching of the Australian season predominant strains and rVE of QIVc. It is likely that a re-specified base case reflecting the appropriate and corrected input and data sources is required to better capture the ICER estimates of the proposed NIP population. This may include use of corrected (re-adjusted) transition probabilities (incidence, hospitalisation, and CFRs calculated from observed AIHW influenza-related mortality data), </w:t>
      </w:r>
      <w:r w:rsidRPr="00001499">
        <w:rPr>
          <w:iCs/>
        </w:rPr>
        <w:t>and</w:t>
      </w:r>
      <w:r w:rsidRPr="00001499">
        <w:t xml:space="preserve"> revisiting use of rVE values based on applicability of rVE.</w:t>
      </w:r>
      <w:bookmarkEnd w:id="77"/>
      <w:r w:rsidR="00CF54D8">
        <w:t xml:space="preserve"> </w:t>
      </w:r>
    </w:p>
    <w:p w14:paraId="0995179C" w14:textId="2F5CD2B2" w:rsidR="000E321A" w:rsidRPr="000E321A" w:rsidRDefault="000E321A" w:rsidP="00AA46C6">
      <w:pPr>
        <w:pStyle w:val="3-BodyText"/>
        <w:ind w:left="709"/>
      </w:pPr>
      <w:bookmarkStart w:id="80" w:name="_Hlk114497830"/>
      <w:r>
        <w:rPr>
          <w:iCs/>
        </w:rPr>
        <w:lastRenderedPageBreak/>
        <w:t>A</w:t>
      </w:r>
      <w:r w:rsidR="00EF1E9D">
        <w:rPr>
          <w:iCs/>
        </w:rPr>
        <w:t>n</w:t>
      </w:r>
      <w:r>
        <w:rPr>
          <w:iCs/>
        </w:rPr>
        <w:t xml:space="preserve"> </w:t>
      </w:r>
      <w:r w:rsidR="00EF1E9D">
        <w:rPr>
          <w:iCs/>
        </w:rPr>
        <w:t>updated</w:t>
      </w:r>
      <w:r>
        <w:rPr>
          <w:iCs/>
        </w:rPr>
        <w:t xml:space="preserve"> economic model was provided with the pre-PBAC </w:t>
      </w:r>
      <w:r w:rsidR="00B2139B">
        <w:rPr>
          <w:iCs/>
        </w:rPr>
        <w:t>R</w:t>
      </w:r>
      <w:r>
        <w:rPr>
          <w:iCs/>
        </w:rPr>
        <w:t>esponse.</w:t>
      </w:r>
      <w:r w:rsidR="00B2139B">
        <w:rPr>
          <w:iCs/>
        </w:rPr>
        <w:t xml:space="preserve"> The pre-PBAC Response</w:t>
      </w:r>
      <w:r>
        <w:rPr>
          <w:iCs/>
        </w:rPr>
        <w:t xml:space="preserve"> </w:t>
      </w:r>
      <w:r w:rsidR="00CF54D8">
        <w:rPr>
          <w:iCs/>
        </w:rPr>
        <w:t xml:space="preserve">stated </w:t>
      </w:r>
      <w:r>
        <w:rPr>
          <w:iCs/>
        </w:rPr>
        <w:t xml:space="preserve">that </w:t>
      </w:r>
      <w:r w:rsidR="00CF54D8">
        <w:rPr>
          <w:iCs/>
        </w:rPr>
        <w:t xml:space="preserve">the economic model </w:t>
      </w:r>
      <w:r>
        <w:rPr>
          <w:iCs/>
        </w:rPr>
        <w:t>included the following revisions:</w:t>
      </w:r>
    </w:p>
    <w:bookmarkEnd w:id="80"/>
    <w:p w14:paraId="1DF7F8FB" w14:textId="0549A2A0" w:rsidR="009C29A2" w:rsidRDefault="000E321A" w:rsidP="000E321A">
      <w:pPr>
        <w:pStyle w:val="3-BodyText"/>
        <w:numPr>
          <w:ilvl w:val="0"/>
          <w:numId w:val="42"/>
        </w:numPr>
        <w:ind w:left="1134"/>
      </w:pPr>
      <w:r>
        <w:rPr>
          <w:iCs/>
        </w:rPr>
        <w:t>a</w:t>
      </w:r>
      <w:r w:rsidR="00CF54D8">
        <w:rPr>
          <w:iCs/>
        </w:rPr>
        <w:t>djust</w:t>
      </w:r>
      <w:r>
        <w:rPr>
          <w:iCs/>
        </w:rPr>
        <w:t xml:space="preserve">ment of </w:t>
      </w:r>
      <w:r w:rsidR="00CF54D8">
        <w:rPr>
          <w:iCs/>
        </w:rPr>
        <w:t xml:space="preserve">hospitalisation rates for the high-risk population </w:t>
      </w:r>
      <w:r w:rsidR="00E33E66">
        <w:rPr>
          <w:iCs/>
        </w:rPr>
        <w:t xml:space="preserve">to remove </w:t>
      </w:r>
      <w:r w:rsidR="00CF54D8">
        <w:rPr>
          <w:iCs/>
        </w:rPr>
        <w:t xml:space="preserve">the risk associated with the </w:t>
      </w:r>
      <w:r w:rsidR="00CF54D8" w:rsidRPr="00001499">
        <w:t>Aboriginal and Torres Strait Islander population</w:t>
      </w:r>
      <w:r>
        <w:t>;</w:t>
      </w:r>
    </w:p>
    <w:p w14:paraId="6C65D336" w14:textId="6E96ADDA" w:rsidR="000E321A" w:rsidRDefault="000E321A" w:rsidP="000E321A">
      <w:pPr>
        <w:pStyle w:val="3-BodyText"/>
        <w:numPr>
          <w:ilvl w:val="0"/>
          <w:numId w:val="42"/>
        </w:numPr>
        <w:ind w:left="1134"/>
      </w:pPr>
      <w:r>
        <w:t xml:space="preserve">the inclusion of </w:t>
      </w:r>
      <w:r w:rsidRPr="00001499">
        <w:t>Aboriginal and Torres Strait Islander</w:t>
      </w:r>
      <w:r>
        <w:t xml:space="preserve"> specific life expectancy;</w:t>
      </w:r>
    </w:p>
    <w:p w14:paraId="488AEF79" w14:textId="666F968F" w:rsidR="000E321A" w:rsidRDefault="000E321A" w:rsidP="000E321A">
      <w:pPr>
        <w:pStyle w:val="3-BodyText"/>
        <w:numPr>
          <w:ilvl w:val="0"/>
          <w:numId w:val="42"/>
        </w:numPr>
        <w:ind w:left="1134"/>
      </w:pPr>
      <w:r>
        <w:t>exclusion of children aged 2 to 4 years; and</w:t>
      </w:r>
    </w:p>
    <w:p w14:paraId="44B4D927" w14:textId="1BC6F4FA" w:rsidR="000E321A" w:rsidRDefault="00B2139B" w:rsidP="00A43E64">
      <w:pPr>
        <w:pStyle w:val="3-BodyText"/>
        <w:numPr>
          <w:ilvl w:val="0"/>
          <w:numId w:val="42"/>
        </w:numPr>
        <w:ind w:left="1134"/>
      </w:pPr>
      <w:r>
        <w:t xml:space="preserve">A reduced </w:t>
      </w:r>
      <w:r w:rsidR="000E321A">
        <w:t xml:space="preserve">price of Flucelvax Quad </w:t>
      </w:r>
      <w:r>
        <w:t xml:space="preserve">at </w:t>
      </w:r>
      <w:r w:rsidR="000E321A">
        <w:t>$</w:t>
      </w:r>
      <w:r w:rsidR="00D76B55" w:rsidRPr="0020701F">
        <w:rPr>
          <w:color w:val="000000"/>
          <w:w w:val="15"/>
          <w:shd w:val="solid" w:color="000000" w:fill="000000"/>
          <w:fitText w:val="-20" w:id="-1404292601"/>
          <w14:textFill>
            <w14:solidFill>
              <w14:srgbClr w14:val="000000">
                <w14:alpha w14:val="100000"/>
              </w14:srgbClr>
            </w14:solidFill>
          </w14:textFill>
        </w:rPr>
        <w:t xml:space="preserve">|  </w:t>
      </w:r>
      <w:r w:rsidR="00D76B55" w:rsidRPr="0020701F">
        <w:rPr>
          <w:color w:val="000000"/>
          <w:spacing w:val="-69"/>
          <w:w w:val="15"/>
          <w:shd w:val="solid" w:color="000000" w:fill="000000"/>
          <w:fitText w:val="-20" w:id="-1404292601"/>
          <w14:textFill>
            <w14:solidFill>
              <w14:srgbClr w14:val="000000">
                <w14:alpha w14:val="100000"/>
              </w14:srgbClr>
            </w14:solidFill>
          </w14:textFill>
        </w:rPr>
        <w:t>|</w:t>
      </w:r>
      <w:r>
        <w:t xml:space="preserve"> per dose</w:t>
      </w:r>
      <w:r w:rsidR="000E321A">
        <w:t>.</w:t>
      </w:r>
    </w:p>
    <w:p w14:paraId="476DBC07" w14:textId="7240B2B4" w:rsidR="00E03734" w:rsidRDefault="00E03734" w:rsidP="00A43E64">
      <w:pPr>
        <w:pStyle w:val="3-BodyText"/>
        <w:numPr>
          <w:ilvl w:val="0"/>
          <w:numId w:val="0"/>
        </w:numPr>
        <w:ind w:left="709"/>
      </w:pPr>
      <w:r>
        <w:t xml:space="preserve">The results of the updated economic model provided in the pre-PBAC response are provided in </w:t>
      </w:r>
      <w:r>
        <w:fldChar w:fldCharType="begin" w:fldLock="1"/>
      </w:r>
      <w:r>
        <w:instrText xml:space="preserve"> REF _Ref114149962 \h </w:instrText>
      </w:r>
      <w:r>
        <w:fldChar w:fldCharType="separate"/>
      </w:r>
      <w:r w:rsidR="005C1FE9" w:rsidRPr="00E03734">
        <w:t xml:space="preserve">Table </w:t>
      </w:r>
      <w:r w:rsidR="005C1FE9">
        <w:rPr>
          <w:noProof/>
        </w:rPr>
        <w:t>17</w:t>
      </w:r>
      <w:r>
        <w:fldChar w:fldCharType="end"/>
      </w:r>
      <w:r>
        <w:t>.</w:t>
      </w:r>
      <w:r w:rsidR="00A43E64">
        <w:t xml:space="preserve"> The updated season-specific economic outcomes for the individual and the overall NIP populations are provided in </w:t>
      </w:r>
      <w:r w:rsidR="00A43E64">
        <w:fldChar w:fldCharType="begin" w:fldLock="1"/>
      </w:r>
      <w:r w:rsidR="00A43E64">
        <w:instrText xml:space="preserve"> REF _Ref114213120 \h </w:instrText>
      </w:r>
      <w:r w:rsidR="00A43E64">
        <w:fldChar w:fldCharType="separate"/>
      </w:r>
      <w:r w:rsidR="005C1FE9" w:rsidRPr="00A43E64">
        <w:rPr>
          <w:szCs w:val="22"/>
        </w:rPr>
        <w:t xml:space="preserve">Table </w:t>
      </w:r>
      <w:r w:rsidR="005C1FE9">
        <w:rPr>
          <w:noProof/>
        </w:rPr>
        <w:t>18</w:t>
      </w:r>
      <w:r w:rsidR="00A43E64">
        <w:fldChar w:fldCharType="end"/>
      </w:r>
      <w:r w:rsidR="00A43E64">
        <w:t>.</w:t>
      </w:r>
    </w:p>
    <w:p w14:paraId="5796798E" w14:textId="3CACDB56" w:rsidR="00E03734" w:rsidRDefault="00E03734" w:rsidP="00E03734">
      <w:pPr>
        <w:pStyle w:val="TableHeading0"/>
      </w:pPr>
      <w:bookmarkStart w:id="81" w:name="_Ref114149962"/>
      <w:bookmarkStart w:id="82" w:name="_Ref114149958"/>
      <w:r w:rsidRPr="00E03734">
        <w:rPr>
          <w:szCs w:val="24"/>
        </w:rPr>
        <w:t xml:space="preserve">Table </w:t>
      </w:r>
      <w:r w:rsidRPr="00E03734">
        <w:rPr>
          <w:szCs w:val="24"/>
        </w:rPr>
        <w:fldChar w:fldCharType="begin" w:fldLock="1"/>
      </w:r>
      <w:r w:rsidRPr="00E03734">
        <w:rPr>
          <w:szCs w:val="24"/>
        </w:rPr>
        <w:instrText xml:space="preserve"> SEQ Table \* ARABIC </w:instrText>
      </w:r>
      <w:r w:rsidRPr="00E03734">
        <w:rPr>
          <w:szCs w:val="24"/>
        </w:rPr>
        <w:fldChar w:fldCharType="separate"/>
      </w:r>
      <w:r w:rsidR="005C1FE9">
        <w:rPr>
          <w:noProof/>
          <w:szCs w:val="24"/>
        </w:rPr>
        <w:t>17</w:t>
      </w:r>
      <w:r w:rsidRPr="00E03734">
        <w:rPr>
          <w:szCs w:val="24"/>
        </w:rPr>
        <w:fldChar w:fldCharType="end"/>
      </w:r>
      <w:bookmarkEnd w:id="81"/>
      <w:r w:rsidRPr="00E03734">
        <w:t>:</w:t>
      </w:r>
      <w:r>
        <w:t xml:space="preserve"> Results of updated</w:t>
      </w:r>
      <w:r w:rsidRPr="00E03734">
        <w:t xml:space="preserve"> </w:t>
      </w:r>
      <w:r>
        <w:t>cost-effectiveness of QIVc compared to QIVe for the 2015 to 2019 scenario</w:t>
      </w:r>
      <w:bookmarkEnd w:id="82"/>
    </w:p>
    <w:tbl>
      <w:tblPr>
        <w:tblStyle w:val="TableGrid"/>
        <w:tblW w:w="0" w:type="auto"/>
        <w:tblLook w:val="04A0" w:firstRow="1" w:lastRow="0" w:firstColumn="1" w:lastColumn="0" w:noHBand="0" w:noVBand="1"/>
      </w:tblPr>
      <w:tblGrid>
        <w:gridCol w:w="2312"/>
        <w:gridCol w:w="1342"/>
        <w:gridCol w:w="1039"/>
        <w:gridCol w:w="1493"/>
        <w:gridCol w:w="1612"/>
        <w:gridCol w:w="1219"/>
      </w:tblGrid>
      <w:tr w:rsidR="00E03734" w14:paraId="52372487" w14:textId="77777777" w:rsidTr="00A43E64">
        <w:trPr>
          <w:trHeight w:val="119"/>
        </w:trPr>
        <w:tc>
          <w:tcPr>
            <w:tcW w:w="2312" w:type="dxa"/>
            <w:vMerge w:val="restart"/>
          </w:tcPr>
          <w:p w14:paraId="41C0EA7F" w14:textId="77777777" w:rsidR="00E03734" w:rsidRPr="00E03734" w:rsidRDefault="00E03734" w:rsidP="00E03734">
            <w:pPr>
              <w:pStyle w:val="TableText0"/>
              <w:widowControl w:val="0"/>
              <w:rPr>
                <w:b/>
                <w:bCs w:val="0"/>
              </w:rPr>
            </w:pPr>
            <w:r w:rsidRPr="00E03734">
              <w:rPr>
                <w:b/>
                <w:bCs w:val="0"/>
              </w:rPr>
              <w:t>Population</w:t>
            </w:r>
          </w:p>
        </w:tc>
        <w:tc>
          <w:tcPr>
            <w:tcW w:w="2381" w:type="dxa"/>
            <w:gridSpan w:val="2"/>
            <w:tcBorders>
              <w:right w:val="single" w:sz="4" w:space="0" w:color="auto"/>
            </w:tcBorders>
          </w:tcPr>
          <w:p w14:paraId="20F0E6C0" w14:textId="77777777" w:rsidR="00E03734" w:rsidRPr="00E03734" w:rsidRDefault="00E03734" w:rsidP="00E03734">
            <w:pPr>
              <w:pStyle w:val="TableText0"/>
              <w:widowControl w:val="0"/>
              <w:rPr>
                <w:b/>
                <w:bCs w:val="0"/>
              </w:rPr>
            </w:pPr>
            <w:r w:rsidRPr="00E03734">
              <w:rPr>
                <w:b/>
                <w:bCs w:val="0"/>
              </w:rPr>
              <w:t>Average vaccinated 2023-2028</w:t>
            </w:r>
          </w:p>
        </w:tc>
        <w:tc>
          <w:tcPr>
            <w:tcW w:w="1493" w:type="dxa"/>
            <w:tcBorders>
              <w:top w:val="single" w:sz="4" w:space="0" w:color="auto"/>
              <w:left w:val="single" w:sz="4" w:space="0" w:color="auto"/>
              <w:bottom w:val="nil"/>
              <w:right w:val="single" w:sz="4" w:space="0" w:color="auto"/>
            </w:tcBorders>
          </w:tcPr>
          <w:p w14:paraId="54D11AB5" w14:textId="77777777" w:rsidR="00E03734" w:rsidRPr="00E03734" w:rsidRDefault="00E03734" w:rsidP="00E03734">
            <w:pPr>
              <w:pStyle w:val="TableText0"/>
              <w:widowControl w:val="0"/>
              <w:rPr>
                <w:b/>
                <w:bCs w:val="0"/>
              </w:rPr>
            </w:pPr>
            <w:r w:rsidRPr="00E03734">
              <w:rPr>
                <w:b/>
                <w:bCs w:val="0"/>
              </w:rPr>
              <w:t>Incremental cost</w:t>
            </w:r>
          </w:p>
        </w:tc>
        <w:tc>
          <w:tcPr>
            <w:tcW w:w="1612" w:type="dxa"/>
            <w:tcBorders>
              <w:top w:val="single" w:sz="4" w:space="0" w:color="auto"/>
              <w:left w:val="single" w:sz="4" w:space="0" w:color="auto"/>
              <w:bottom w:val="nil"/>
              <w:right w:val="single" w:sz="4" w:space="0" w:color="auto"/>
            </w:tcBorders>
          </w:tcPr>
          <w:p w14:paraId="74FA6C1D" w14:textId="77777777" w:rsidR="00E03734" w:rsidRPr="00E03734" w:rsidRDefault="00E03734" w:rsidP="00E03734">
            <w:pPr>
              <w:pStyle w:val="TableText0"/>
              <w:widowControl w:val="0"/>
              <w:rPr>
                <w:b/>
                <w:bCs w:val="0"/>
              </w:rPr>
            </w:pPr>
            <w:r w:rsidRPr="00E03734">
              <w:rPr>
                <w:b/>
                <w:bCs w:val="0"/>
              </w:rPr>
              <w:t>Incremental QALY</w:t>
            </w:r>
          </w:p>
        </w:tc>
        <w:tc>
          <w:tcPr>
            <w:tcW w:w="1219" w:type="dxa"/>
            <w:tcBorders>
              <w:top w:val="single" w:sz="4" w:space="0" w:color="auto"/>
              <w:left w:val="single" w:sz="4" w:space="0" w:color="auto"/>
              <w:bottom w:val="nil"/>
              <w:right w:val="single" w:sz="4" w:space="0" w:color="auto"/>
            </w:tcBorders>
          </w:tcPr>
          <w:p w14:paraId="461296FC" w14:textId="77777777" w:rsidR="00E03734" w:rsidRPr="00E03734" w:rsidRDefault="00E03734" w:rsidP="00E03734">
            <w:pPr>
              <w:pStyle w:val="TableText0"/>
              <w:widowControl w:val="0"/>
              <w:rPr>
                <w:b/>
                <w:bCs w:val="0"/>
              </w:rPr>
            </w:pPr>
            <w:r w:rsidRPr="00E03734">
              <w:rPr>
                <w:b/>
                <w:bCs w:val="0"/>
              </w:rPr>
              <w:t>ICER ($/QALY)</w:t>
            </w:r>
          </w:p>
        </w:tc>
      </w:tr>
      <w:tr w:rsidR="00E03734" w14:paraId="727FC24A" w14:textId="77777777" w:rsidTr="00D76B55">
        <w:trPr>
          <w:trHeight w:val="118"/>
        </w:trPr>
        <w:tc>
          <w:tcPr>
            <w:tcW w:w="2312" w:type="dxa"/>
            <w:vMerge/>
          </w:tcPr>
          <w:p w14:paraId="288126DC" w14:textId="77777777" w:rsidR="00E03734" w:rsidRPr="00E33E66" w:rsidRDefault="00E03734" w:rsidP="00E33E66">
            <w:pPr>
              <w:pStyle w:val="TableText0"/>
              <w:widowControl w:val="0"/>
            </w:pPr>
          </w:p>
        </w:tc>
        <w:tc>
          <w:tcPr>
            <w:tcW w:w="1342" w:type="dxa"/>
          </w:tcPr>
          <w:p w14:paraId="7DBC9B43" w14:textId="77777777" w:rsidR="00E03734" w:rsidRPr="00EC0A50" w:rsidRDefault="00E03734" w:rsidP="00E33E66">
            <w:pPr>
              <w:pStyle w:val="TableText0"/>
              <w:widowControl w:val="0"/>
            </w:pPr>
            <w:r w:rsidRPr="00A43E64">
              <w:rPr>
                <w:b/>
                <w:bCs w:val="0"/>
              </w:rPr>
              <w:t>Number</w:t>
            </w:r>
          </w:p>
        </w:tc>
        <w:tc>
          <w:tcPr>
            <w:tcW w:w="1039" w:type="dxa"/>
            <w:tcBorders>
              <w:right w:val="single" w:sz="4" w:space="0" w:color="auto"/>
            </w:tcBorders>
          </w:tcPr>
          <w:p w14:paraId="479D5545" w14:textId="77777777" w:rsidR="00E03734" w:rsidRPr="00EC0A50" w:rsidRDefault="00E03734" w:rsidP="00E33E66">
            <w:pPr>
              <w:pStyle w:val="TableText0"/>
              <w:widowControl w:val="0"/>
            </w:pPr>
            <w:r w:rsidRPr="00A43E64">
              <w:rPr>
                <w:b/>
                <w:bCs w:val="0"/>
              </w:rPr>
              <w:t>%</w:t>
            </w:r>
          </w:p>
        </w:tc>
        <w:tc>
          <w:tcPr>
            <w:tcW w:w="1493" w:type="dxa"/>
            <w:tcBorders>
              <w:top w:val="nil"/>
              <w:left w:val="single" w:sz="4" w:space="0" w:color="auto"/>
              <w:bottom w:val="single" w:sz="4" w:space="0" w:color="auto"/>
              <w:right w:val="single" w:sz="4" w:space="0" w:color="auto"/>
            </w:tcBorders>
          </w:tcPr>
          <w:p w14:paraId="79DD22B0" w14:textId="77777777" w:rsidR="00E03734" w:rsidRPr="00EC0A50" w:rsidRDefault="00E03734" w:rsidP="00E33E66">
            <w:pPr>
              <w:pStyle w:val="TableText0"/>
              <w:widowControl w:val="0"/>
            </w:pPr>
          </w:p>
        </w:tc>
        <w:tc>
          <w:tcPr>
            <w:tcW w:w="1612" w:type="dxa"/>
            <w:tcBorders>
              <w:top w:val="nil"/>
              <w:left w:val="single" w:sz="4" w:space="0" w:color="auto"/>
              <w:bottom w:val="single" w:sz="4" w:space="0" w:color="auto"/>
              <w:right w:val="single" w:sz="4" w:space="0" w:color="auto"/>
            </w:tcBorders>
          </w:tcPr>
          <w:p w14:paraId="3388A5FC" w14:textId="77777777" w:rsidR="00E03734" w:rsidRPr="00EC0A50" w:rsidRDefault="00E03734" w:rsidP="00E33E66">
            <w:pPr>
              <w:pStyle w:val="TableText0"/>
              <w:widowControl w:val="0"/>
            </w:pPr>
          </w:p>
        </w:tc>
        <w:tc>
          <w:tcPr>
            <w:tcW w:w="1219" w:type="dxa"/>
            <w:tcBorders>
              <w:top w:val="nil"/>
              <w:left w:val="single" w:sz="4" w:space="0" w:color="auto"/>
              <w:bottom w:val="single" w:sz="4" w:space="0" w:color="auto"/>
              <w:right w:val="single" w:sz="4" w:space="0" w:color="auto"/>
            </w:tcBorders>
          </w:tcPr>
          <w:p w14:paraId="1C548BB1" w14:textId="77777777" w:rsidR="00E03734" w:rsidRPr="00EC0A50" w:rsidRDefault="00E03734" w:rsidP="00E33E66">
            <w:pPr>
              <w:pStyle w:val="TableText0"/>
              <w:widowControl w:val="0"/>
            </w:pPr>
          </w:p>
        </w:tc>
      </w:tr>
      <w:tr w:rsidR="00E03734" w14:paraId="701CCADE" w14:textId="77777777" w:rsidTr="00D76B55">
        <w:tc>
          <w:tcPr>
            <w:tcW w:w="2312" w:type="dxa"/>
          </w:tcPr>
          <w:p w14:paraId="2A4D8B8B" w14:textId="573534C6" w:rsidR="00E03734" w:rsidRPr="00E03734" w:rsidRDefault="00E03734" w:rsidP="00E03734">
            <w:pPr>
              <w:pStyle w:val="TableText0"/>
              <w:widowControl w:val="0"/>
            </w:pPr>
            <w:r>
              <w:t>High-risk</w:t>
            </w:r>
            <w:r w:rsidR="004E2653">
              <w:rPr>
                <w:vertAlign w:val="superscript"/>
              </w:rPr>
              <w:t>a</w:t>
            </w:r>
          </w:p>
        </w:tc>
        <w:tc>
          <w:tcPr>
            <w:tcW w:w="1342" w:type="dxa"/>
          </w:tcPr>
          <w:p w14:paraId="7BEF144E" w14:textId="3C201546" w:rsidR="00E03734" w:rsidRPr="001D6304" w:rsidRDefault="00D76B55" w:rsidP="00E03734">
            <w:pPr>
              <w:pStyle w:val="TableText0"/>
              <w:widowControl w:val="0"/>
              <w:rPr>
                <w:vertAlign w:val="superscript"/>
              </w:rPr>
            </w:pPr>
            <w:r w:rsidRPr="00D76B55">
              <w:rPr>
                <w:color w:val="000000"/>
                <w:spacing w:val="48"/>
                <w:shd w:val="solid" w:color="000000" w:fill="000000"/>
                <w:fitText w:val="498" w:id="-1404292600"/>
                <w14:textFill>
                  <w14:solidFill>
                    <w14:srgbClr w14:val="000000">
                      <w14:alpha w14:val="100000"/>
                    </w14:srgbClr>
                  </w14:solidFill>
                </w14:textFill>
              </w:rPr>
              <w:t>|||||</w:t>
            </w:r>
            <w:r w:rsidRPr="00D76B55">
              <w:rPr>
                <w:color w:val="000000"/>
                <w:spacing w:val="3"/>
                <w:shd w:val="solid" w:color="000000" w:fill="000000"/>
                <w:fitText w:val="498" w:id="-1404292600"/>
                <w14:textFill>
                  <w14:solidFill>
                    <w14:srgbClr w14:val="000000">
                      <w14:alpha w14:val="100000"/>
                    </w14:srgbClr>
                  </w14:solidFill>
                </w14:textFill>
              </w:rPr>
              <w:t>|</w:t>
            </w:r>
            <w:r w:rsidR="00D82DFC">
              <w:rPr>
                <w:vertAlign w:val="superscript"/>
              </w:rPr>
              <w:t>1</w:t>
            </w:r>
          </w:p>
        </w:tc>
        <w:tc>
          <w:tcPr>
            <w:tcW w:w="1039" w:type="dxa"/>
          </w:tcPr>
          <w:p w14:paraId="1DEAF91C" w14:textId="77777777" w:rsidR="00E03734" w:rsidRDefault="00E03734" w:rsidP="00E03734">
            <w:pPr>
              <w:pStyle w:val="TableText0"/>
              <w:widowControl w:val="0"/>
            </w:pPr>
            <w:r w:rsidRPr="00E03734">
              <w:t>84.8</w:t>
            </w:r>
          </w:p>
        </w:tc>
        <w:tc>
          <w:tcPr>
            <w:tcW w:w="1493" w:type="dxa"/>
            <w:tcBorders>
              <w:top w:val="single" w:sz="4" w:space="0" w:color="auto"/>
              <w:bottom w:val="single" w:sz="4" w:space="0" w:color="auto"/>
            </w:tcBorders>
            <w:shd w:val="solid" w:color="000000" w:fill="000000"/>
            <w:vAlign w:val="center"/>
          </w:tcPr>
          <w:p w14:paraId="5A637BEA" w14:textId="499EC1F4" w:rsidR="00E03734" w:rsidRPr="00D76B55" w:rsidRDefault="00D76B55" w:rsidP="00E03734">
            <w:pPr>
              <w:pStyle w:val="TableText0"/>
              <w:widowControl w:val="0"/>
            </w:pPr>
            <w:r w:rsidRPr="00D76B55">
              <w:rPr>
                <w:color w:val="000000"/>
                <w:spacing w:val="48"/>
                <w:fitText w:val="498" w:id="-1404292599"/>
                <w14:textFill>
                  <w14:solidFill>
                    <w14:srgbClr w14:val="000000">
                      <w14:alpha w14:val="100000"/>
                    </w14:srgbClr>
                  </w14:solidFill>
                </w14:textFill>
              </w:rPr>
              <w:t>|||||</w:t>
            </w:r>
            <w:r w:rsidRPr="00D76B55">
              <w:rPr>
                <w:color w:val="000000"/>
                <w:spacing w:val="3"/>
                <w:fitText w:val="498" w:id="-1404292599"/>
                <w14:textFill>
                  <w14:solidFill>
                    <w14:srgbClr w14:val="000000">
                      <w14:alpha w14:val="100000"/>
                    </w14:srgbClr>
                  </w14:solidFill>
                </w14:textFill>
              </w:rPr>
              <w:t>|</w:t>
            </w:r>
          </w:p>
        </w:tc>
        <w:tc>
          <w:tcPr>
            <w:tcW w:w="1612" w:type="dxa"/>
            <w:tcBorders>
              <w:top w:val="single" w:sz="4" w:space="0" w:color="auto"/>
            </w:tcBorders>
            <w:vAlign w:val="center"/>
          </w:tcPr>
          <w:p w14:paraId="3595AA8F" w14:textId="77777777" w:rsidR="00E03734" w:rsidRPr="00E03734" w:rsidRDefault="00E03734" w:rsidP="00E03734">
            <w:pPr>
              <w:pStyle w:val="TableText0"/>
              <w:widowControl w:val="0"/>
            </w:pPr>
            <w:r w:rsidRPr="00E03734">
              <w:t>0.000129</w:t>
            </w:r>
          </w:p>
        </w:tc>
        <w:tc>
          <w:tcPr>
            <w:tcW w:w="1219" w:type="dxa"/>
            <w:tcBorders>
              <w:top w:val="single" w:sz="4" w:space="0" w:color="auto"/>
            </w:tcBorders>
            <w:vAlign w:val="center"/>
          </w:tcPr>
          <w:p w14:paraId="49BCEEAA" w14:textId="31A74A66" w:rsidR="00E03734" w:rsidRPr="001D6304" w:rsidRDefault="00D76B55" w:rsidP="00E03734">
            <w:pPr>
              <w:pStyle w:val="TableText0"/>
              <w:widowControl w:val="0"/>
              <w:rPr>
                <w:vertAlign w:val="superscript"/>
              </w:rPr>
            </w:pPr>
            <w:r w:rsidRPr="00D76B55">
              <w:rPr>
                <w:color w:val="000000"/>
                <w:spacing w:val="48"/>
                <w:shd w:val="solid" w:color="000000" w:fill="000000"/>
                <w:fitText w:val="499" w:id="-1404292598"/>
                <w14:textFill>
                  <w14:solidFill>
                    <w14:srgbClr w14:val="000000">
                      <w14:alpha w14:val="100000"/>
                    </w14:srgbClr>
                  </w14:solidFill>
                </w14:textFill>
              </w:rPr>
              <w:t>|||||</w:t>
            </w:r>
            <w:r w:rsidRPr="00D76B55">
              <w:rPr>
                <w:color w:val="000000"/>
                <w:spacing w:val="4"/>
                <w:shd w:val="solid" w:color="000000" w:fill="000000"/>
                <w:fitText w:val="499" w:id="-1404292598"/>
                <w14:textFill>
                  <w14:solidFill>
                    <w14:srgbClr w14:val="000000">
                      <w14:alpha w14:val="100000"/>
                    </w14:srgbClr>
                  </w14:solidFill>
                </w14:textFill>
              </w:rPr>
              <w:t>|</w:t>
            </w:r>
            <w:r w:rsidR="00D82DFC" w:rsidRPr="001D6304">
              <w:rPr>
                <w:vertAlign w:val="superscript"/>
              </w:rPr>
              <w:t>2</w:t>
            </w:r>
          </w:p>
        </w:tc>
      </w:tr>
      <w:tr w:rsidR="00E03734" w14:paraId="0073ACA3" w14:textId="77777777" w:rsidTr="00D76B55">
        <w:tc>
          <w:tcPr>
            <w:tcW w:w="2312" w:type="dxa"/>
            <w:vAlign w:val="center"/>
          </w:tcPr>
          <w:p w14:paraId="1B9FA20F" w14:textId="2F366400" w:rsidR="00E03734" w:rsidRPr="00E03734" w:rsidRDefault="00E03734" w:rsidP="00E03734">
            <w:pPr>
              <w:pStyle w:val="TableText0"/>
              <w:widowControl w:val="0"/>
            </w:pPr>
            <w:r w:rsidRPr="00E03734">
              <w:t>ATSI</w:t>
            </w:r>
            <w:r w:rsidR="004E2653">
              <w:rPr>
                <w:vertAlign w:val="superscript"/>
              </w:rPr>
              <w:t>b</w:t>
            </w:r>
          </w:p>
        </w:tc>
        <w:tc>
          <w:tcPr>
            <w:tcW w:w="1342" w:type="dxa"/>
          </w:tcPr>
          <w:p w14:paraId="5618D338" w14:textId="40D5AB9D" w:rsidR="00E03734" w:rsidRPr="001D6304" w:rsidRDefault="00D76B55" w:rsidP="00E03734">
            <w:pPr>
              <w:pStyle w:val="TableText0"/>
              <w:widowControl w:val="0"/>
              <w:rPr>
                <w:vertAlign w:val="superscript"/>
              </w:rPr>
            </w:pPr>
            <w:r w:rsidRPr="00D76B55">
              <w:rPr>
                <w:color w:val="000000"/>
                <w:spacing w:val="48"/>
                <w:shd w:val="solid" w:color="000000" w:fill="000000"/>
                <w:fitText w:val="498" w:id="-1404292597"/>
                <w14:textFill>
                  <w14:solidFill>
                    <w14:srgbClr w14:val="000000">
                      <w14:alpha w14:val="100000"/>
                    </w14:srgbClr>
                  </w14:solidFill>
                </w14:textFill>
              </w:rPr>
              <w:t>|||||</w:t>
            </w:r>
            <w:r w:rsidRPr="00D76B55">
              <w:rPr>
                <w:color w:val="000000"/>
                <w:spacing w:val="3"/>
                <w:shd w:val="solid" w:color="000000" w:fill="000000"/>
                <w:fitText w:val="498" w:id="-1404292597"/>
                <w14:textFill>
                  <w14:solidFill>
                    <w14:srgbClr w14:val="000000">
                      <w14:alpha w14:val="100000"/>
                    </w14:srgbClr>
                  </w14:solidFill>
                </w14:textFill>
              </w:rPr>
              <w:t>|</w:t>
            </w:r>
            <w:r w:rsidR="00D82DFC">
              <w:rPr>
                <w:vertAlign w:val="superscript"/>
              </w:rPr>
              <w:t>3</w:t>
            </w:r>
          </w:p>
        </w:tc>
        <w:tc>
          <w:tcPr>
            <w:tcW w:w="1039" w:type="dxa"/>
          </w:tcPr>
          <w:p w14:paraId="116BE6E9" w14:textId="77777777" w:rsidR="00E03734" w:rsidRPr="00E03734" w:rsidRDefault="00E03734" w:rsidP="00E03734">
            <w:pPr>
              <w:pStyle w:val="TableText0"/>
              <w:widowControl w:val="0"/>
            </w:pPr>
            <w:r>
              <w:t>9.3</w:t>
            </w:r>
            <w:r w:rsidRPr="00610D38">
              <w:t xml:space="preserve"> </w:t>
            </w:r>
          </w:p>
        </w:tc>
        <w:tc>
          <w:tcPr>
            <w:tcW w:w="1493" w:type="dxa"/>
            <w:tcBorders>
              <w:bottom w:val="single" w:sz="4" w:space="0" w:color="auto"/>
            </w:tcBorders>
            <w:shd w:val="solid" w:color="000000" w:fill="000000"/>
            <w:vAlign w:val="center"/>
          </w:tcPr>
          <w:p w14:paraId="73862AC5" w14:textId="7EBA5DA8" w:rsidR="00E03734" w:rsidRPr="00D76B55" w:rsidRDefault="00D76B55" w:rsidP="00E03734">
            <w:pPr>
              <w:pStyle w:val="TableText0"/>
              <w:widowControl w:val="0"/>
            </w:pPr>
            <w:r w:rsidRPr="00D76B55">
              <w:rPr>
                <w:color w:val="000000"/>
                <w:spacing w:val="48"/>
                <w:fitText w:val="498" w:id="-1404292596"/>
                <w14:textFill>
                  <w14:solidFill>
                    <w14:srgbClr w14:val="000000">
                      <w14:alpha w14:val="100000"/>
                    </w14:srgbClr>
                  </w14:solidFill>
                </w14:textFill>
              </w:rPr>
              <w:t>|||||</w:t>
            </w:r>
            <w:r w:rsidRPr="00D76B55">
              <w:rPr>
                <w:color w:val="000000"/>
                <w:spacing w:val="3"/>
                <w:fitText w:val="498" w:id="-1404292596"/>
                <w14:textFill>
                  <w14:solidFill>
                    <w14:srgbClr w14:val="000000">
                      <w14:alpha w14:val="100000"/>
                    </w14:srgbClr>
                  </w14:solidFill>
                </w14:textFill>
              </w:rPr>
              <w:t>|</w:t>
            </w:r>
          </w:p>
        </w:tc>
        <w:tc>
          <w:tcPr>
            <w:tcW w:w="1612" w:type="dxa"/>
            <w:vAlign w:val="center"/>
          </w:tcPr>
          <w:p w14:paraId="7D23B542" w14:textId="77777777" w:rsidR="00E03734" w:rsidRDefault="00E03734" w:rsidP="00E03734">
            <w:pPr>
              <w:pStyle w:val="TableText0"/>
              <w:widowControl w:val="0"/>
            </w:pPr>
            <w:r w:rsidRPr="00E03734">
              <w:t>0.000072</w:t>
            </w:r>
          </w:p>
        </w:tc>
        <w:tc>
          <w:tcPr>
            <w:tcW w:w="1219" w:type="dxa"/>
            <w:vAlign w:val="center"/>
          </w:tcPr>
          <w:p w14:paraId="5DEDA22E" w14:textId="672E00E3" w:rsidR="00E03734" w:rsidRPr="001D6304" w:rsidRDefault="00D76B55" w:rsidP="00E03734">
            <w:pPr>
              <w:pStyle w:val="TableText0"/>
              <w:widowControl w:val="0"/>
              <w:rPr>
                <w:vertAlign w:val="superscript"/>
              </w:rPr>
            </w:pPr>
            <w:r w:rsidRPr="00D76B55">
              <w:rPr>
                <w:color w:val="000000"/>
                <w:spacing w:val="48"/>
                <w:shd w:val="solid" w:color="000000" w:fill="000000"/>
                <w:fitText w:val="499" w:id="-1404292595"/>
                <w14:textFill>
                  <w14:solidFill>
                    <w14:srgbClr w14:val="000000">
                      <w14:alpha w14:val="100000"/>
                    </w14:srgbClr>
                  </w14:solidFill>
                </w14:textFill>
              </w:rPr>
              <w:t>|||||</w:t>
            </w:r>
            <w:r w:rsidRPr="00D76B55">
              <w:rPr>
                <w:color w:val="000000"/>
                <w:spacing w:val="4"/>
                <w:shd w:val="solid" w:color="000000" w:fill="000000"/>
                <w:fitText w:val="499" w:id="-1404292595"/>
                <w14:textFill>
                  <w14:solidFill>
                    <w14:srgbClr w14:val="000000">
                      <w14:alpha w14:val="100000"/>
                    </w14:srgbClr>
                  </w14:solidFill>
                </w14:textFill>
              </w:rPr>
              <w:t>|</w:t>
            </w:r>
            <w:r w:rsidR="00D82DFC" w:rsidRPr="001D6304">
              <w:rPr>
                <w:vertAlign w:val="superscript"/>
              </w:rPr>
              <w:t>4</w:t>
            </w:r>
          </w:p>
        </w:tc>
      </w:tr>
      <w:tr w:rsidR="00E03734" w14:paraId="5F578C57" w14:textId="77777777" w:rsidTr="00D76B55">
        <w:tc>
          <w:tcPr>
            <w:tcW w:w="2312" w:type="dxa"/>
          </w:tcPr>
          <w:p w14:paraId="70B2883C" w14:textId="54A72632" w:rsidR="00E03734" w:rsidRDefault="00E03734" w:rsidP="00E03734">
            <w:pPr>
              <w:pStyle w:val="TableText0"/>
              <w:widowControl w:val="0"/>
            </w:pPr>
            <w:r>
              <w:t>Pregnant women</w:t>
            </w:r>
            <w:r w:rsidR="004E2653">
              <w:rPr>
                <w:vertAlign w:val="superscript"/>
              </w:rPr>
              <w:t>c</w:t>
            </w:r>
          </w:p>
        </w:tc>
        <w:tc>
          <w:tcPr>
            <w:tcW w:w="1342" w:type="dxa"/>
          </w:tcPr>
          <w:p w14:paraId="0C214749" w14:textId="01A75E5D" w:rsidR="00E03734" w:rsidRPr="001D6304" w:rsidRDefault="00D76B55" w:rsidP="00E03734">
            <w:pPr>
              <w:pStyle w:val="TableText0"/>
              <w:widowControl w:val="0"/>
              <w:rPr>
                <w:vertAlign w:val="superscript"/>
              </w:rPr>
            </w:pPr>
            <w:r w:rsidRPr="00D76B55">
              <w:rPr>
                <w:color w:val="000000"/>
                <w:spacing w:val="48"/>
                <w:shd w:val="solid" w:color="000000" w:fill="000000"/>
                <w:fitText w:val="498" w:id="-1404292594"/>
                <w14:textFill>
                  <w14:solidFill>
                    <w14:srgbClr w14:val="000000">
                      <w14:alpha w14:val="100000"/>
                    </w14:srgbClr>
                  </w14:solidFill>
                </w14:textFill>
              </w:rPr>
              <w:t>|||||</w:t>
            </w:r>
            <w:r w:rsidRPr="00D76B55">
              <w:rPr>
                <w:color w:val="000000"/>
                <w:spacing w:val="3"/>
                <w:shd w:val="solid" w:color="000000" w:fill="000000"/>
                <w:fitText w:val="498" w:id="-1404292594"/>
                <w14:textFill>
                  <w14:solidFill>
                    <w14:srgbClr w14:val="000000">
                      <w14:alpha w14:val="100000"/>
                    </w14:srgbClr>
                  </w14:solidFill>
                </w14:textFill>
              </w:rPr>
              <w:t>|</w:t>
            </w:r>
            <w:r w:rsidR="00D82DFC">
              <w:rPr>
                <w:vertAlign w:val="superscript"/>
              </w:rPr>
              <w:t>5</w:t>
            </w:r>
          </w:p>
        </w:tc>
        <w:tc>
          <w:tcPr>
            <w:tcW w:w="1039" w:type="dxa"/>
          </w:tcPr>
          <w:p w14:paraId="73B8604E" w14:textId="77777777" w:rsidR="00E03734" w:rsidRPr="00E03734" w:rsidRDefault="00E03734" w:rsidP="00E03734">
            <w:pPr>
              <w:pStyle w:val="TableText0"/>
              <w:widowControl w:val="0"/>
            </w:pPr>
            <w:r w:rsidRPr="00E03734">
              <w:t>5.9</w:t>
            </w:r>
          </w:p>
        </w:tc>
        <w:tc>
          <w:tcPr>
            <w:tcW w:w="1493" w:type="dxa"/>
            <w:tcBorders>
              <w:bottom w:val="single" w:sz="4" w:space="0" w:color="auto"/>
            </w:tcBorders>
            <w:shd w:val="solid" w:color="000000" w:fill="000000"/>
            <w:vAlign w:val="center"/>
          </w:tcPr>
          <w:p w14:paraId="035397A9" w14:textId="6C4ED58D" w:rsidR="00E03734" w:rsidRPr="00D76B55" w:rsidRDefault="00D76B55" w:rsidP="00E03734">
            <w:pPr>
              <w:pStyle w:val="TableText0"/>
              <w:widowControl w:val="0"/>
            </w:pPr>
            <w:r w:rsidRPr="00D76B55">
              <w:rPr>
                <w:color w:val="000000"/>
                <w:spacing w:val="48"/>
                <w:fitText w:val="498" w:id="-1404292593"/>
                <w14:textFill>
                  <w14:solidFill>
                    <w14:srgbClr w14:val="000000">
                      <w14:alpha w14:val="100000"/>
                    </w14:srgbClr>
                  </w14:solidFill>
                </w14:textFill>
              </w:rPr>
              <w:t>|||||</w:t>
            </w:r>
            <w:r w:rsidRPr="00D76B55">
              <w:rPr>
                <w:color w:val="000000"/>
                <w:spacing w:val="3"/>
                <w:fitText w:val="498" w:id="-1404292593"/>
                <w14:textFill>
                  <w14:solidFill>
                    <w14:srgbClr w14:val="000000">
                      <w14:alpha w14:val="100000"/>
                    </w14:srgbClr>
                  </w14:solidFill>
                </w14:textFill>
              </w:rPr>
              <w:t>|</w:t>
            </w:r>
          </w:p>
        </w:tc>
        <w:tc>
          <w:tcPr>
            <w:tcW w:w="1612" w:type="dxa"/>
            <w:vAlign w:val="center"/>
          </w:tcPr>
          <w:p w14:paraId="38EDE3AB" w14:textId="77777777" w:rsidR="00E03734" w:rsidRDefault="00E03734" w:rsidP="00E03734">
            <w:pPr>
              <w:pStyle w:val="TableText0"/>
              <w:widowControl w:val="0"/>
            </w:pPr>
            <w:r w:rsidRPr="00E03734">
              <w:t>0.000075</w:t>
            </w:r>
          </w:p>
        </w:tc>
        <w:tc>
          <w:tcPr>
            <w:tcW w:w="1219" w:type="dxa"/>
            <w:vAlign w:val="center"/>
          </w:tcPr>
          <w:p w14:paraId="1943F696" w14:textId="26EF6B3E" w:rsidR="00E03734" w:rsidRPr="001D6304" w:rsidRDefault="00D76B55" w:rsidP="00E03734">
            <w:pPr>
              <w:pStyle w:val="TableText0"/>
              <w:widowControl w:val="0"/>
              <w:rPr>
                <w:vertAlign w:val="superscript"/>
              </w:rPr>
            </w:pPr>
            <w:r w:rsidRPr="00D76B55">
              <w:rPr>
                <w:color w:val="000000"/>
                <w:spacing w:val="48"/>
                <w:shd w:val="solid" w:color="000000" w:fill="000000"/>
                <w:fitText w:val="499" w:id="-1404292592"/>
                <w14:textFill>
                  <w14:solidFill>
                    <w14:srgbClr w14:val="000000">
                      <w14:alpha w14:val="100000"/>
                    </w14:srgbClr>
                  </w14:solidFill>
                </w14:textFill>
              </w:rPr>
              <w:t>|||||</w:t>
            </w:r>
            <w:r w:rsidRPr="00D76B55">
              <w:rPr>
                <w:color w:val="000000"/>
                <w:spacing w:val="4"/>
                <w:shd w:val="solid" w:color="000000" w:fill="000000"/>
                <w:fitText w:val="499" w:id="-1404292592"/>
                <w14:textFill>
                  <w14:solidFill>
                    <w14:srgbClr w14:val="000000">
                      <w14:alpha w14:val="100000"/>
                    </w14:srgbClr>
                  </w14:solidFill>
                </w14:textFill>
              </w:rPr>
              <w:t>|</w:t>
            </w:r>
            <w:r w:rsidR="00D82DFC" w:rsidRPr="001D6304">
              <w:rPr>
                <w:vertAlign w:val="superscript"/>
              </w:rPr>
              <w:t>2</w:t>
            </w:r>
          </w:p>
        </w:tc>
      </w:tr>
      <w:tr w:rsidR="00E03734" w14:paraId="5B9E9183" w14:textId="77777777" w:rsidTr="00D76B55">
        <w:tc>
          <w:tcPr>
            <w:tcW w:w="2312" w:type="dxa"/>
          </w:tcPr>
          <w:p w14:paraId="3CAFDA1F" w14:textId="77777777" w:rsidR="00E03734" w:rsidRDefault="00E03734" w:rsidP="00E03734">
            <w:pPr>
              <w:pStyle w:val="TableText0"/>
              <w:widowControl w:val="0"/>
            </w:pPr>
            <w:r>
              <w:t>Groups above combined (NIP)</w:t>
            </w:r>
          </w:p>
        </w:tc>
        <w:tc>
          <w:tcPr>
            <w:tcW w:w="1342" w:type="dxa"/>
          </w:tcPr>
          <w:p w14:paraId="414F9C0C" w14:textId="07E80CBA" w:rsidR="00E03734" w:rsidRPr="001D6304" w:rsidRDefault="00D76B55" w:rsidP="00E03734">
            <w:pPr>
              <w:pStyle w:val="TableText0"/>
              <w:widowControl w:val="0"/>
              <w:rPr>
                <w:vertAlign w:val="superscript"/>
              </w:rPr>
            </w:pPr>
            <w:r w:rsidRPr="00D76B55">
              <w:rPr>
                <w:color w:val="000000"/>
                <w:spacing w:val="48"/>
                <w:shd w:val="solid" w:color="000000" w:fill="000000"/>
                <w:fitText w:val="498" w:id="-1404292608"/>
                <w14:textFill>
                  <w14:solidFill>
                    <w14:srgbClr w14:val="000000">
                      <w14:alpha w14:val="100000"/>
                    </w14:srgbClr>
                  </w14:solidFill>
                </w14:textFill>
              </w:rPr>
              <w:t>|||||</w:t>
            </w:r>
            <w:r w:rsidRPr="00D76B55">
              <w:rPr>
                <w:color w:val="000000"/>
                <w:spacing w:val="3"/>
                <w:shd w:val="solid" w:color="000000" w:fill="000000"/>
                <w:fitText w:val="498" w:id="-1404292608"/>
                <w14:textFill>
                  <w14:solidFill>
                    <w14:srgbClr w14:val="000000">
                      <w14:alpha w14:val="100000"/>
                    </w14:srgbClr>
                  </w14:solidFill>
                </w14:textFill>
              </w:rPr>
              <w:t>|</w:t>
            </w:r>
            <w:r w:rsidR="00D82DFC" w:rsidRPr="001D6304">
              <w:rPr>
                <w:vertAlign w:val="superscript"/>
              </w:rPr>
              <w:t>1</w:t>
            </w:r>
          </w:p>
        </w:tc>
        <w:tc>
          <w:tcPr>
            <w:tcW w:w="1039" w:type="dxa"/>
          </w:tcPr>
          <w:p w14:paraId="26224876" w14:textId="77777777" w:rsidR="00E03734" w:rsidRPr="00E03734" w:rsidRDefault="00E03734" w:rsidP="00E03734">
            <w:pPr>
              <w:pStyle w:val="TableText0"/>
              <w:widowControl w:val="0"/>
            </w:pPr>
            <w:r w:rsidRPr="00E03734">
              <w:t>100</w:t>
            </w:r>
          </w:p>
        </w:tc>
        <w:tc>
          <w:tcPr>
            <w:tcW w:w="1493" w:type="dxa"/>
            <w:shd w:val="solid" w:color="000000" w:fill="000000"/>
          </w:tcPr>
          <w:p w14:paraId="0C429104" w14:textId="4799122B" w:rsidR="00E03734" w:rsidRPr="00D76B55" w:rsidRDefault="00D76B55" w:rsidP="00E03734">
            <w:pPr>
              <w:pStyle w:val="TableText0"/>
              <w:widowControl w:val="0"/>
            </w:pPr>
            <w:r w:rsidRPr="00D76B55">
              <w:rPr>
                <w:color w:val="000000"/>
                <w:spacing w:val="48"/>
                <w:fitText w:val="498" w:id="-1404292607"/>
                <w14:textFill>
                  <w14:solidFill>
                    <w14:srgbClr w14:val="000000">
                      <w14:alpha w14:val="100000"/>
                    </w14:srgbClr>
                  </w14:solidFill>
                </w14:textFill>
              </w:rPr>
              <w:t>|||||</w:t>
            </w:r>
            <w:r w:rsidRPr="00D76B55">
              <w:rPr>
                <w:color w:val="000000"/>
                <w:spacing w:val="3"/>
                <w:fitText w:val="498" w:id="-1404292607"/>
                <w14:textFill>
                  <w14:solidFill>
                    <w14:srgbClr w14:val="000000">
                      <w14:alpha w14:val="100000"/>
                    </w14:srgbClr>
                  </w14:solidFill>
                </w14:textFill>
              </w:rPr>
              <w:t>|</w:t>
            </w:r>
          </w:p>
        </w:tc>
        <w:tc>
          <w:tcPr>
            <w:tcW w:w="1612" w:type="dxa"/>
          </w:tcPr>
          <w:p w14:paraId="70C1F821" w14:textId="77777777" w:rsidR="00E03734" w:rsidRDefault="00E03734" w:rsidP="00E03734">
            <w:pPr>
              <w:pStyle w:val="TableText0"/>
              <w:widowControl w:val="0"/>
            </w:pPr>
            <w:r w:rsidRPr="00E03734">
              <w:t>0.000120</w:t>
            </w:r>
          </w:p>
        </w:tc>
        <w:tc>
          <w:tcPr>
            <w:tcW w:w="1219" w:type="dxa"/>
          </w:tcPr>
          <w:p w14:paraId="5C58F43C" w14:textId="500F29D3" w:rsidR="00E03734" w:rsidRPr="001D6304" w:rsidRDefault="00D76B55" w:rsidP="00E03734">
            <w:pPr>
              <w:pStyle w:val="TableText0"/>
              <w:widowControl w:val="0"/>
              <w:rPr>
                <w:vertAlign w:val="superscript"/>
              </w:rPr>
            </w:pPr>
            <w:r w:rsidRPr="00D76B55">
              <w:rPr>
                <w:color w:val="000000"/>
                <w:spacing w:val="48"/>
                <w:shd w:val="solid" w:color="000000" w:fill="000000"/>
                <w:fitText w:val="499" w:id="-1404292606"/>
                <w14:textFill>
                  <w14:solidFill>
                    <w14:srgbClr w14:val="000000">
                      <w14:alpha w14:val="100000"/>
                    </w14:srgbClr>
                  </w14:solidFill>
                </w14:textFill>
              </w:rPr>
              <w:t>|||||</w:t>
            </w:r>
            <w:r w:rsidRPr="00D76B55">
              <w:rPr>
                <w:color w:val="000000"/>
                <w:spacing w:val="4"/>
                <w:shd w:val="solid" w:color="000000" w:fill="000000"/>
                <w:fitText w:val="499" w:id="-1404292606"/>
                <w14:textFill>
                  <w14:solidFill>
                    <w14:srgbClr w14:val="000000">
                      <w14:alpha w14:val="100000"/>
                    </w14:srgbClr>
                  </w14:solidFill>
                </w14:textFill>
              </w:rPr>
              <w:t>|</w:t>
            </w:r>
            <w:r w:rsidR="00D82DFC" w:rsidRPr="001D6304">
              <w:rPr>
                <w:vertAlign w:val="superscript"/>
              </w:rPr>
              <w:t>2</w:t>
            </w:r>
          </w:p>
        </w:tc>
      </w:tr>
    </w:tbl>
    <w:p w14:paraId="0EC7C3EB" w14:textId="2B712FF8" w:rsidR="00A43E64" w:rsidRDefault="00A43E64" w:rsidP="00A43E64">
      <w:pPr>
        <w:pStyle w:val="TableFigureFooter"/>
      </w:pPr>
      <w:r w:rsidRPr="00E03734">
        <w:t>Source: Pre-PBAC Response (p1)</w:t>
      </w:r>
    </w:p>
    <w:p w14:paraId="6D41481F" w14:textId="304A14D6" w:rsidR="00E03734" w:rsidRDefault="004E2653" w:rsidP="00E03734">
      <w:pPr>
        <w:pStyle w:val="TableFigureFooter"/>
      </w:pPr>
      <w:r>
        <w:rPr>
          <w:vertAlign w:val="superscript"/>
        </w:rPr>
        <w:t>a</w:t>
      </w:r>
      <w:r w:rsidR="00E03734">
        <w:t xml:space="preserve"> High-risk population </w:t>
      </w:r>
      <w:r w:rsidR="00E03734" w:rsidRPr="001B70C9">
        <w:t>aged ≥</w:t>
      </w:r>
      <w:r w:rsidR="00E03734">
        <w:t xml:space="preserve">5 </w:t>
      </w:r>
      <w:r w:rsidR="00E03734" w:rsidRPr="001B70C9">
        <w:t>years to &lt;65 years</w:t>
      </w:r>
      <w:r w:rsidR="00E03734">
        <w:t>, using Medicine Insight proportions</w:t>
      </w:r>
    </w:p>
    <w:p w14:paraId="7C78BEED" w14:textId="250E241F" w:rsidR="00E03734" w:rsidRPr="00A7729F" w:rsidRDefault="004E2653" w:rsidP="00E03734">
      <w:pPr>
        <w:pStyle w:val="TableFigureFooter"/>
      </w:pPr>
      <w:r>
        <w:rPr>
          <w:vertAlign w:val="superscript"/>
        </w:rPr>
        <w:t>b</w:t>
      </w:r>
      <w:r w:rsidR="00E03734">
        <w:t xml:space="preserve"> ATSI population </w:t>
      </w:r>
      <w:r w:rsidR="00E03734" w:rsidRPr="001B70C9">
        <w:t>aged ≥</w:t>
      </w:r>
      <w:r w:rsidR="00E03734">
        <w:t xml:space="preserve">5 </w:t>
      </w:r>
      <w:r w:rsidR="00E03734" w:rsidRPr="001B70C9">
        <w:t>years to &lt;65 years</w:t>
      </w:r>
    </w:p>
    <w:p w14:paraId="3F417911" w14:textId="2A8C6C97" w:rsidR="00E03734" w:rsidRDefault="004E2653" w:rsidP="00E03734">
      <w:pPr>
        <w:pStyle w:val="TableFigureFooter"/>
      </w:pPr>
      <w:r>
        <w:rPr>
          <w:vertAlign w:val="superscript"/>
        </w:rPr>
        <w:t>c</w:t>
      </w:r>
      <w:r w:rsidR="00E03734">
        <w:t xml:space="preserve"> Pregnant women, including impact on newborns.</w:t>
      </w:r>
    </w:p>
    <w:p w14:paraId="28E8F57D" w14:textId="7974EED5" w:rsidR="004E2653" w:rsidRDefault="004E2653" w:rsidP="00E03734">
      <w:pPr>
        <w:pStyle w:val="TableFigureFooter"/>
        <w:rPr>
          <w:i/>
          <w:iCs/>
        </w:rPr>
      </w:pPr>
      <w:r w:rsidRPr="001D6304">
        <w:rPr>
          <w:i/>
          <w:iCs/>
        </w:rPr>
        <w:t>The redacted values correspond to the following ranges:</w:t>
      </w:r>
    </w:p>
    <w:p w14:paraId="15FB5C1D" w14:textId="4F64FA84" w:rsidR="00D82DFC" w:rsidRDefault="00D82DFC" w:rsidP="00E03734">
      <w:pPr>
        <w:pStyle w:val="TableFigureFooter"/>
        <w:rPr>
          <w:i/>
          <w:iCs/>
        </w:rPr>
      </w:pPr>
      <w:r>
        <w:rPr>
          <w:i/>
          <w:iCs/>
          <w:vertAlign w:val="superscript"/>
        </w:rPr>
        <w:t>1</w:t>
      </w:r>
      <w:r w:rsidRPr="00D82DFC">
        <w:rPr>
          <w:i/>
          <w:iCs/>
        </w:rPr>
        <w:t>2,000,000 to &lt; 3,000,000</w:t>
      </w:r>
    </w:p>
    <w:p w14:paraId="7CA66E0E" w14:textId="0ABF5B48" w:rsidR="004E2653" w:rsidRDefault="00D82DFC" w:rsidP="00E03734">
      <w:pPr>
        <w:pStyle w:val="TableFigureFooter"/>
        <w:rPr>
          <w:i/>
          <w:iCs/>
        </w:rPr>
      </w:pPr>
      <w:r>
        <w:rPr>
          <w:i/>
          <w:iCs/>
          <w:vertAlign w:val="superscript"/>
        </w:rPr>
        <w:t>2</w:t>
      </w:r>
      <w:r w:rsidR="007849BE" w:rsidRPr="007849BE">
        <w:rPr>
          <w:i/>
          <w:iCs/>
        </w:rPr>
        <w:t>$25,000 to &lt; $35,000</w:t>
      </w:r>
    </w:p>
    <w:p w14:paraId="6A1D9240" w14:textId="2F28C62C" w:rsidR="00D82DFC" w:rsidRDefault="00D82DFC" w:rsidP="00E03734">
      <w:pPr>
        <w:pStyle w:val="TableFigureFooter"/>
        <w:rPr>
          <w:i/>
          <w:iCs/>
        </w:rPr>
      </w:pPr>
      <w:r>
        <w:rPr>
          <w:i/>
          <w:iCs/>
          <w:vertAlign w:val="superscript"/>
        </w:rPr>
        <w:t>3</w:t>
      </w:r>
      <w:r w:rsidRPr="00D82DFC">
        <w:rPr>
          <w:i/>
          <w:iCs/>
        </w:rPr>
        <w:t>200,000 to &lt; 300,000</w:t>
      </w:r>
    </w:p>
    <w:p w14:paraId="08EDCBE5" w14:textId="5179456B" w:rsidR="007849BE" w:rsidRDefault="00D82DFC" w:rsidP="00E03734">
      <w:pPr>
        <w:pStyle w:val="TableFigureFooter"/>
        <w:rPr>
          <w:i/>
          <w:iCs/>
        </w:rPr>
      </w:pPr>
      <w:r>
        <w:rPr>
          <w:i/>
          <w:iCs/>
          <w:vertAlign w:val="superscript"/>
        </w:rPr>
        <w:t>4</w:t>
      </w:r>
      <w:r w:rsidR="007849BE" w:rsidRPr="007849BE">
        <w:rPr>
          <w:i/>
          <w:iCs/>
        </w:rPr>
        <w:t>$35,000 to &lt; $45,000</w:t>
      </w:r>
    </w:p>
    <w:p w14:paraId="346904DF" w14:textId="5518610B" w:rsidR="00D82DFC" w:rsidRPr="001D6304" w:rsidRDefault="00D82DFC" w:rsidP="00E03734">
      <w:pPr>
        <w:pStyle w:val="TableFigureFooter"/>
        <w:rPr>
          <w:i/>
          <w:iCs/>
        </w:rPr>
      </w:pPr>
      <w:r>
        <w:rPr>
          <w:i/>
          <w:iCs/>
          <w:vertAlign w:val="superscript"/>
        </w:rPr>
        <w:t>5</w:t>
      </w:r>
      <w:r w:rsidRPr="00D82DFC">
        <w:rPr>
          <w:i/>
          <w:iCs/>
        </w:rPr>
        <w:t>100,000 to &lt; 200,000</w:t>
      </w:r>
    </w:p>
    <w:p w14:paraId="0328425E" w14:textId="7C074273" w:rsidR="00A43E64" w:rsidRPr="00A43E64" w:rsidRDefault="00A43E64" w:rsidP="00A43E64">
      <w:pPr>
        <w:pStyle w:val="TableHeading0"/>
      </w:pPr>
      <w:bookmarkStart w:id="83" w:name="_Ref114213120"/>
      <w:r w:rsidRPr="00A43E64">
        <w:t xml:space="preserve">Table </w:t>
      </w:r>
      <w:fldSimple w:instr=" SEQ Table \* ARABIC " w:fldLock="1">
        <w:r w:rsidR="005C1FE9">
          <w:rPr>
            <w:noProof/>
          </w:rPr>
          <w:t>18</w:t>
        </w:r>
      </w:fldSimple>
      <w:bookmarkEnd w:id="83"/>
      <w:r w:rsidRPr="00E03734">
        <w:t>:</w:t>
      </w:r>
      <w:r>
        <w:t xml:space="preserve"> Updated season and population-specific cost-effectiveness of the proposed QIVc program compared to QIVe</w:t>
      </w:r>
    </w:p>
    <w:tbl>
      <w:tblPr>
        <w:tblStyle w:val="newstyle16"/>
        <w:tblW w:w="5000" w:type="pct"/>
        <w:tblLook w:val="04A0" w:firstRow="1" w:lastRow="0" w:firstColumn="1" w:lastColumn="0" w:noHBand="0" w:noVBand="1"/>
      </w:tblPr>
      <w:tblGrid>
        <w:gridCol w:w="1801"/>
        <w:gridCol w:w="1637"/>
        <w:gridCol w:w="1585"/>
        <w:gridCol w:w="1803"/>
        <w:gridCol w:w="2191"/>
      </w:tblGrid>
      <w:tr w:rsidR="00A43E64" w:rsidRPr="00A43E64" w14:paraId="3B55E3A3" w14:textId="77777777" w:rsidTr="00D76B55">
        <w:trPr>
          <w:trHeight w:val="227"/>
        </w:trPr>
        <w:tc>
          <w:tcPr>
            <w:tcW w:w="998" w:type="pct"/>
            <w:shd w:val="clear" w:color="auto" w:fill="auto"/>
            <w:hideMark/>
          </w:tcPr>
          <w:p w14:paraId="3A86D36F" w14:textId="77777777" w:rsidR="00A43E64" w:rsidRPr="00A43E64" w:rsidRDefault="00A43E64" w:rsidP="00B40A81">
            <w:pPr>
              <w:jc w:val="center"/>
              <w:rPr>
                <w:rFonts w:ascii="Arial Narrow" w:hAnsi="Arial Narrow" w:cs="Calibri"/>
                <w:b/>
                <w:bCs/>
                <w:color w:val="000000"/>
              </w:rPr>
            </w:pPr>
            <w:r w:rsidRPr="00A43E64">
              <w:rPr>
                <w:rFonts w:ascii="Arial Narrow" w:hAnsi="Arial Narrow" w:cs="Calibri"/>
                <w:b/>
                <w:bCs/>
                <w:color w:val="000000"/>
              </w:rPr>
              <w:t>Population</w:t>
            </w:r>
          </w:p>
        </w:tc>
        <w:tc>
          <w:tcPr>
            <w:tcW w:w="907" w:type="pct"/>
            <w:shd w:val="clear" w:color="auto" w:fill="auto"/>
            <w:hideMark/>
          </w:tcPr>
          <w:p w14:paraId="616A2782" w14:textId="77777777" w:rsidR="00A43E64" w:rsidRPr="00A43E64" w:rsidRDefault="00A43E64" w:rsidP="00B40A81">
            <w:pPr>
              <w:jc w:val="center"/>
              <w:rPr>
                <w:rFonts w:ascii="Arial Narrow" w:hAnsi="Arial Narrow" w:cs="Calibri"/>
                <w:b/>
                <w:bCs/>
                <w:color w:val="000000"/>
              </w:rPr>
            </w:pPr>
            <w:r w:rsidRPr="00A43E64">
              <w:rPr>
                <w:rFonts w:ascii="Arial Narrow" w:hAnsi="Arial Narrow" w:cs="Calibri"/>
                <w:b/>
                <w:bCs/>
                <w:color w:val="000000"/>
              </w:rPr>
              <w:t>Season</w:t>
            </w:r>
          </w:p>
        </w:tc>
        <w:tc>
          <w:tcPr>
            <w:tcW w:w="879" w:type="pct"/>
            <w:tcBorders>
              <w:bottom w:val="single" w:sz="4" w:space="0" w:color="auto"/>
            </w:tcBorders>
            <w:shd w:val="clear" w:color="auto" w:fill="auto"/>
            <w:hideMark/>
          </w:tcPr>
          <w:p w14:paraId="407AA36F" w14:textId="77777777" w:rsidR="00A43E64" w:rsidRPr="00A43E64" w:rsidRDefault="00A43E64" w:rsidP="00B40A81">
            <w:pPr>
              <w:jc w:val="center"/>
              <w:rPr>
                <w:rFonts w:ascii="Arial Narrow" w:hAnsi="Arial Narrow" w:cs="Calibri"/>
                <w:b/>
                <w:bCs/>
                <w:color w:val="000000"/>
              </w:rPr>
            </w:pPr>
            <w:r w:rsidRPr="00A43E64">
              <w:rPr>
                <w:rFonts w:ascii="Arial Narrow" w:hAnsi="Arial Narrow" w:cs="Calibri"/>
                <w:b/>
                <w:bCs/>
                <w:color w:val="000000"/>
              </w:rPr>
              <w:t>Incremental cost</w:t>
            </w:r>
          </w:p>
        </w:tc>
        <w:tc>
          <w:tcPr>
            <w:tcW w:w="1000" w:type="pct"/>
            <w:shd w:val="clear" w:color="auto" w:fill="auto"/>
            <w:hideMark/>
          </w:tcPr>
          <w:p w14:paraId="3BDCA0CE" w14:textId="77777777" w:rsidR="00A43E64" w:rsidRPr="00A43E64" w:rsidRDefault="00A43E64" w:rsidP="00B40A81">
            <w:pPr>
              <w:jc w:val="center"/>
              <w:rPr>
                <w:rFonts w:ascii="Arial Narrow" w:hAnsi="Arial Narrow" w:cs="Calibri"/>
                <w:b/>
                <w:bCs/>
                <w:color w:val="000000"/>
              </w:rPr>
            </w:pPr>
            <w:r w:rsidRPr="00A43E64">
              <w:rPr>
                <w:rFonts w:ascii="Arial Narrow" w:hAnsi="Arial Narrow" w:cs="Calibri"/>
                <w:b/>
                <w:bCs/>
                <w:color w:val="000000"/>
              </w:rPr>
              <w:t>Incremental QALY</w:t>
            </w:r>
          </w:p>
        </w:tc>
        <w:tc>
          <w:tcPr>
            <w:tcW w:w="1215" w:type="pct"/>
            <w:shd w:val="clear" w:color="auto" w:fill="auto"/>
            <w:hideMark/>
          </w:tcPr>
          <w:p w14:paraId="1A11E39E" w14:textId="77777777" w:rsidR="00A43E64" w:rsidRPr="00A43E64" w:rsidRDefault="00A43E64" w:rsidP="00B40A81">
            <w:pPr>
              <w:jc w:val="center"/>
              <w:rPr>
                <w:rFonts w:ascii="Arial Narrow" w:hAnsi="Arial Narrow" w:cs="Calibri"/>
                <w:b/>
                <w:bCs/>
                <w:color w:val="000000"/>
              </w:rPr>
            </w:pPr>
            <w:r w:rsidRPr="00A43E64">
              <w:rPr>
                <w:rFonts w:ascii="Arial Narrow" w:hAnsi="Arial Narrow" w:cs="Calibri"/>
                <w:b/>
                <w:bCs/>
                <w:color w:val="000000"/>
              </w:rPr>
              <w:t>ICER ($/QALY)</w:t>
            </w:r>
          </w:p>
        </w:tc>
      </w:tr>
      <w:tr w:rsidR="00A43E64" w:rsidRPr="00A43E64" w14:paraId="59B50C5F" w14:textId="77777777" w:rsidTr="00D76B55">
        <w:trPr>
          <w:trHeight w:val="227"/>
        </w:trPr>
        <w:tc>
          <w:tcPr>
            <w:tcW w:w="998" w:type="pct"/>
            <w:vMerge w:val="restart"/>
            <w:hideMark/>
          </w:tcPr>
          <w:p w14:paraId="690AC9BE" w14:textId="77777777" w:rsidR="00A43E64" w:rsidRPr="00A43E64" w:rsidRDefault="00A43E64" w:rsidP="00B40A81">
            <w:pPr>
              <w:pStyle w:val="TableTextcentred"/>
              <w:jc w:val="left"/>
              <w:rPr>
                <w:rFonts w:ascii="Arial Narrow" w:hAnsi="Arial Narrow" w:cs="Calibri"/>
                <w:color w:val="000000"/>
                <w:sz w:val="20"/>
                <w:szCs w:val="20"/>
              </w:rPr>
            </w:pPr>
            <w:r w:rsidRPr="00A43E64">
              <w:rPr>
                <w:rFonts w:ascii="Arial Narrow" w:hAnsi="Arial Narrow" w:cs="Calibri"/>
                <w:color w:val="000000"/>
                <w:sz w:val="20"/>
                <w:szCs w:val="20"/>
              </w:rPr>
              <w:t>ATSI</w:t>
            </w:r>
          </w:p>
        </w:tc>
        <w:tc>
          <w:tcPr>
            <w:tcW w:w="907" w:type="pct"/>
            <w:hideMark/>
          </w:tcPr>
          <w:p w14:paraId="5DEA5C95"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2015</w:t>
            </w:r>
          </w:p>
        </w:tc>
        <w:tc>
          <w:tcPr>
            <w:tcW w:w="879" w:type="pct"/>
            <w:tcBorders>
              <w:bottom w:val="single" w:sz="4" w:space="0" w:color="auto"/>
            </w:tcBorders>
            <w:shd w:val="solid" w:color="000000" w:fill="000000"/>
            <w:vAlign w:val="center"/>
            <w:hideMark/>
          </w:tcPr>
          <w:p w14:paraId="02EEA2D0" w14:textId="48F580E6"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5"/>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5"/>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5"/>
                <w14:textFill>
                  <w14:solidFill>
                    <w14:srgbClr w14:val="000000">
                      <w14:alpha w14:val="100000"/>
                    </w14:srgbClr>
                  </w14:solidFill>
                </w14:textFill>
              </w:rPr>
              <w:t xml:space="preserve">　</w:t>
            </w:r>
          </w:p>
        </w:tc>
        <w:tc>
          <w:tcPr>
            <w:tcW w:w="1000" w:type="pct"/>
            <w:vAlign w:val="center"/>
            <w:hideMark/>
          </w:tcPr>
          <w:p w14:paraId="17E8C182"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0.000036</w:t>
            </w:r>
          </w:p>
        </w:tc>
        <w:tc>
          <w:tcPr>
            <w:tcW w:w="1215" w:type="pct"/>
            <w:vAlign w:val="center"/>
            <w:hideMark/>
          </w:tcPr>
          <w:p w14:paraId="575457B1" w14:textId="58783C1B"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1</w:t>
            </w:r>
          </w:p>
        </w:tc>
      </w:tr>
      <w:tr w:rsidR="00A43E64" w:rsidRPr="00A43E64" w14:paraId="38E57249" w14:textId="77777777" w:rsidTr="00D76B55">
        <w:trPr>
          <w:trHeight w:val="227"/>
        </w:trPr>
        <w:tc>
          <w:tcPr>
            <w:tcW w:w="998" w:type="pct"/>
            <w:vMerge/>
          </w:tcPr>
          <w:p w14:paraId="11A88802"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097672FF"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2016</w:t>
            </w:r>
          </w:p>
        </w:tc>
        <w:tc>
          <w:tcPr>
            <w:tcW w:w="879" w:type="pct"/>
            <w:tcBorders>
              <w:bottom w:val="single" w:sz="4" w:space="0" w:color="auto"/>
            </w:tcBorders>
            <w:shd w:val="solid" w:color="000000" w:fill="000000"/>
            <w:vAlign w:val="center"/>
            <w:hideMark/>
          </w:tcPr>
          <w:p w14:paraId="202651F1" w14:textId="5E8CCE4F"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4"/>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4"/>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4"/>
                <w14:textFill>
                  <w14:solidFill>
                    <w14:srgbClr w14:val="000000">
                      <w14:alpha w14:val="100000"/>
                    </w14:srgbClr>
                  </w14:solidFill>
                </w14:textFill>
              </w:rPr>
              <w:t xml:space="preserve">　</w:t>
            </w:r>
          </w:p>
        </w:tc>
        <w:tc>
          <w:tcPr>
            <w:tcW w:w="1000" w:type="pct"/>
            <w:vAlign w:val="center"/>
            <w:hideMark/>
          </w:tcPr>
          <w:p w14:paraId="792251F4"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0.000053</w:t>
            </w:r>
          </w:p>
        </w:tc>
        <w:tc>
          <w:tcPr>
            <w:tcW w:w="1215" w:type="pct"/>
            <w:vAlign w:val="center"/>
            <w:hideMark/>
          </w:tcPr>
          <w:p w14:paraId="34AF01D1" w14:textId="4F84F348"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2</w:t>
            </w:r>
          </w:p>
        </w:tc>
      </w:tr>
      <w:tr w:rsidR="00A43E64" w:rsidRPr="00A43E64" w14:paraId="3ADF750D" w14:textId="77777777" w:rsidTr="00D76B55">
        <w:trPr>
          <w:trHeight w:val="227"/>
        </w:trPr>
        <w:tc>
          <w:tcPr>
            <w:tcW w:w="998" w:type="pct"/>
            <w:vMerge/>
          </w:tcPr>
          <w:p w14:paraId="555E3FAC"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1BBD8B91"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2017</w:t>
            </w:r>
          </w:p>
        </w:tc>
        <w:tc>
          <w:tcPr>
            <w:tcW w:w="879" w:type="pct"/>
            <w:tcBorders>
              <w:bottom w:val="single" w:sz="4" w:space="0" w:color="auto"/>
            </w:tcBorders>
            <w:shd w:val="solid" w:color="000000" w:fill="000000"/>
            <w:vAlign w:val="center"/>
            <w:hideMark/>
          </w:tcPr>
          <w:p w14:paraId="51A00A99" w14:textId="2833E906"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3"/>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3"/>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3"/>
                <w14:textFill>
                  <w14:solidFill>
                    <w14:srgbClr w14:val="000000">
                      <w14:alpha w14:val="100000"/>
                    </w14:srgbClr>
                  </w14:solidFill>
                </w14:textFill>
              </w:rPr>
              <w:t xml:space="preserve">　</w:t>
            </w:r>
          </w:p>
        </w:tc>
        <w:tc>
          <w:tcPr>
            <w:tcW w:w="1000" w:type="pct"/>
            <w:vAlign w:val="center"/>
            <w:hideMark/>
          </w:tcPr>
          <w:p w14:paraId="03C37005"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0.000132</w:t>
            </w:r>
          </w:p>
        </w:tc>
        <w:tc>
          <w:tcPr>
            <w:tcW w:w="1215" w:type="pct"/>
            <w:vAlign w:val="center"/>
            <w:hideMark/>
          </w:tcPr>
          <w:p w14:paraId="7BAD1A86" w14:textId="6AC2158B"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3</w:t>
            </w:r>
          </w:p>
        </w:tc>
      </w:tr>
      <w:tr w:rsidR="00A43E64" w:rsidRPr="00A43E64" w14:paraId="0FC4728A" w14:textId="77777777" w:rsidTr="00D76B55">
        <w:trPr>
          <w:trHeight w:val="227"/>
        </w:trPr>
        <w:tc>
          <w:tcPr>
            <w:tcW w:w="998" w:type="pct"/>
            <w:vMerge/>
          </w:tcPr>
          <w:p w14:paraId="299A3CA1"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1D14BC37"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2018</w:t>
            </w:r>
          </w:p>
        </w:tc>
        <w:tc>
          <w:tcPr>
            <w:tcW w:w="879" w:type="pct"/>
            <w:tcBorders>
              <w:bottom w:val="single" w:sz="4" w:space="0" w:color="auto"/>
            </w:tcBorders>
            <w:shd w:val="solid" w:color="000000" w:fill="000000"/>
            <w:vAlign w:val="center"/>
            <w:hideMark/>
          </w:tcPr>
          <w:p w14:paraId="3F8547A6" w14:textId="763D3BED"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2"/>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2"/>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2"/>
                <w14:textFill>
                  <w14:solidFill>
                    <w14:srgbClr w14:val="000000">
                      <w14:alpha w14:val="100000"/>
                    </w14:srgbClr>
                  </w14:solidFill>
                </w14:textFill>
              </w:rPr>
              <w:t xml:space="preserve">　</w:t>
            </w:r>
          </w:p>
        </w:tc>
        <w:tc>
          <w:tcPr>
            <w:tcW w:w="1000" w:type="pct"/>
            <w:vAlign w:val="center"/>
            <w:hideMark/>
          </w:tcPr>
          <w:p w14:paraId="771A7196"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0.000000</w:t>
            </w:r>
          </w:p>
        </w:tc>
        <w:tc>
          <w:tcPr>
            <w:tcW w:w="1215" w:type="pct"/>
            <w:vAlign w:val="center"/>
            <w:hideMark/>
          </w:tcPr>
          <w:p w14:paraId="4C846FDE"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Dominated</w:t>
            </w:r>
          </w:p>
        </w:tc>
      </w:tr>
      <w:tr w:rsidR="00A43E64" w:rsidRPr="00A43E64" w14:paraId="22977FD2" w14:textId="77777777" w:rsidTr="00D76B55">
        <w:trPr>
          <w:trHeight w:val="227"/>
        </w:trPr>
        <w:tc>
          <w:tcPr>
            <w:tcW w:w="998" w:type="pct"/>
            <w:vMerge/>
          </w:tcPr>
          <w:p w14:paraId="7E6AD845"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63F7BB7C"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2019</w:t>
            </w:r>
          </w:p>
        </w:tc>
        <w:tc>
          <w:tcPr>
            <w:tcW w:w="879" w:type="pct"/>
            <w:tcBorders>
              <w:bottom w:val="single" w:sz="4" w:space="0" w:color="auto"/>
            </w:tcBorders>
            <w:shd w:val="solid" w:color="000000" w:fill="000000"/>
            <w:vAlign w:val="center"/>
            <w:hideMark/>
          </w:tcPr>
          <w:p w14:paraId="31E07DF5" w14:textId="64A2722D"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1"/>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1"/>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1"/>
                <w14:textFill>
                  <w14:solidFill>
                    <w14:srgbClr w14:val="000000">
                      <w14:alpha w14:val="100000"/>
                    </w14:srgbClr>
                  </w14:solidFill>
                </w14:textFill>
              </w:rPr>
              <w:t xml:space="preserve">　</w:t>
            </w:r>
          </w:p>
        </w:tc>
        <w:tc>
          <w:tcPr>
            <w:tcW w:w="1000" w:type="pct"/>
            <w:vAlign w:val="center"/>
            <w:hideMark/>
          </w:tcPr>
          <w:p w14:paraId="0C4CE7CA"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0.000171</w:t>
            </w:r>
          </w:p>
        </w:tc>
        <w:tc>
          <w:tcPr>
            <w:tcW w:w="1215" w:type="pct"/>
            <w:vAlign w:val="center"/>
            <w:hideMark/>
          </w:tcPr>
          <w:p w14:paraId="7D64E44E" w14:textId="225CF1AD"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4</w:t>
            </w:r>
          </w:p>
        </w:tc>
      </w:tr>
      <w:tr w:rsidR="00A43E64" w:rsidRPr="00A43E64" w14:paraId="31E5D011" w14:textId="77777777" w:rsidTr="00D76B55">
        <w:trPr>
          <w:trHeight w:val="227"/>
        </w:trPr>
        <w:tc>
          <w:tcPr>
            <w:tcW w:w="998" w:type="pct"/>
            <w:vMerge/>
          </w:tcPr>
          <w:p w14:paraId="290F5BF4"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4D47701D"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2015 to 2019</w:t>
            </w:r>
          </w:p>
        </w:tc>
        <w:tc>
          <w:tcPr>
            <w:tcW w:w="879" w:type="pct"/>
            <w:tcBorders>
              <w:bottom w:val="single" w:sz="4" w:space="0" w:color="auto"/>
            </w:tcBorders>
            <w:shd w:val="solid" w:color="000000" w:fill="000000"/>
            <w:vAlign w:val="center"/>
            <w:hideMark/>
          </w:tcPr>
          <w:p w14:paraId="48A4E585" w14:textId="45928687"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0"/>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0"/>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0"/>
                <w14:textFill>
                  <w14:solidFill>
                    <w14:srgbClr w14:val="000000">
                      <w14:alpha w14:val="100000"/>
                    </w14:srgbClr>
                  </w14:solidFill>
                </w14:textFill>
              </w:rPr>
              <w:t xml:space="preserve">　</w:t>
            </w:r>
          </w:p>
        </w:tc>
        <w:tc>
          <w:tcPr>
            <w:tcW w:w="1000" w:type="pct"/>
            <w:vAlign w:val="center"/>
            <w:hideMark/>
          </w:tcPr>
          <w:p w14:paraId="7906091D"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0.000072</w:t>
            </w:r>
          </w:p>
        </w:tc>
        <w:tc>
          <w:tcPr>
            <w:tcW w:w="1215" w:type="pct"/>
            <w:vAlign w:val="center"/>
            <w:hideMark/>
          </w:tcPr>
          <w:p w14:paraId="779889A7" w14:textId="140B5212"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5</w:t>
            </w:r>
          </w:p>
        </w:tc>
      </w:tr>
      <w:tr w:rsidR="00A43E64" w:rsidRPr="00A43E64" w14:paraId="14B46C95" w14:textId="77777777" w:rsidTr="00D76B55">
        <w:trPr>
          <w:trHeight w:val="227"/>
        </w:trPr>
        <w:tc>
          <w:tcPr>
            <w:tcW w:w="998" w:type="pct"/>
            <w:vMerge w:val="restart"/>
            <w:hideMark/>
          </w:tcPr>
          <w:p w14:paraId="586BF484" w14:textId="682EA097" w:rsidR="00A43E64" w:rsidRPr="00A43E64" w:rsidRDefault="00A43E64" w:rsidP="00B40A81">
            <w:pPr>
              <w:pStyle w:val="TableTextcentred"/>
              <w:jc w:val="left"/>
              <w:rPr>
                <w:rFonts w:ascii="Arial Narrow" w:hAnsi="Arial Narrow" w:cs="Calibri"/>
                <w:color w:val="000000"/>
                <w:sz w:val="20"/>
                <w:szCs w:val="20"/>
              </w:rPr>
            </w:pPr>
            <w:r w:rsidRPr="00A43E64">
              <w:rPr>
                <w:rFonts w:ascii="Arial Narrow" w:hAnsi="Arial Narrow" w:cs="Calibri"/>
                <w:color w:val="000000"/>
                <w:sz w:val="20"/>
                <w:szCs w:val="20"/>
              </w:rPr>
              <w:t>High-risk</w:t>
            </w:r>
            <w:r w:rsidR="00D82DFC">
              <w:rPr>
                <w:rFonts w:ascii="Arial Narrow" w:hAnsi="Arial Narrow" w:cs="Calibri"/>
                <w:color w:val="000000"/>
                <w:sz w:val="20"/>
                <w:szCs w:val="20"/>
                <w:vertAlign w:val="superscript"/>
              </w:rPr>
              <w:t>a</w:t>
            </w:r>
          </w:p>
        </w:tc>
        <w:tc>
          <w:tcPr>
            <w:tcW w:w="907" w:type="pct"/>
            <w:hideMark/>
          </w:tcPr>
          <w:p w14:paraId="40904BB6"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2015</w:t>
            </w:r>
          </w:p>
        </w:tc>
        <w:tc>
          <w:tcPr>
            <w:tcW w:w="879" w:type="pct"/>
            <w:tcBorders>
              <w:bottom w:val="single" w:sz="4" w:space="0" w:color="auto"/>
            </w:tcBorders>
            <w:shd w:val="solid" w:color="000000" w:fill="000000"/>
            <w:vAlign w:val="center"/>
            <w:hideMark/>
          </w:tcPr>
          <w:p w14:paraId="7AB56433" w14:textId="58294311"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599"/>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599"/>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599"/>
                <w14:textFill>
                  <w14:solidFill>
                    <w14:srgbClr w14:val="000000">
                      <w14:alpha w14:val="100000"/>
                    </w14:srgbClr>
                  </w14:solidFill>
                </w14:textFill>
              </w:rPr>
              <w:t xml:space="preserve">　</w:t>
            </w:r>
          </w:p>
        </w:tc>
        <w:tc>
          <w:tcPr>
            <w:tcW w:w="1000" w:type="pct"/>
            <w:vAlign w:val="center"/>
            <w:hideMark/>
          </w:tcPr>
          <w:p w14:paraId="1BD1E5A0"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0.000093</w:t>
            </w:r>
          </w:p>
        </w:tc>
        <w:tc>
          <w:tcPr>
            <w:tcW w:w="1215" w:type="pct"/>
            <w:vAlign w:val="center"/>
            <w:hideMark/>
          </w:tcPr>
          <w:p w14:paraId="5E62F095" w14:textId="4EDA0733"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5</w:t>
            </w:r>
          </w:p>
        </w:tc>
      </w:tr>
      <w:tr w:rsidR="00A43E64" w:rsidRPr="00A43E64" w14:paraId="70701395" w14:textId="77777777" w:rsidTr="00D76B55">
        <w:trPr>
          <w:trHeight w:val="227"/>
        </w:trPr>
        <w:tc>
          <w:tcPr>
            <w:tcW w:w="998" w:type="pct"/>
            <w:vMerge/>
          </w:tcPr>
          <w:p w14:paraId="68B64B8B"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347D1546"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2016</w:t>
            </w:r>
          </w:p>
        </w:tc>
        <w:tc>
          <w:tcPr>
            <w:tcW w:w="879" w:type="pct"/>
            <w:tcBorders>
              <w:bottom w:val="single" w:sz="4" w:space="0" w:color="auto"/>
            </w:tcBorders>
            <w:shd w:val="solid" w:color="000000" w:fill="000000"/>
            <w:vAlign w:val="center"/>
            <w:hideMark/>
          </w:tcPr>
          <w:p w14:paraId="3DA5E8FC" w14:textId="0F9479A9"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598"/>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598"/>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598"/>
                <w14:textFill>
                  <w14:solidFill>
                    <w14:srgbClr w14:val="000000">
                      <w14:alpha w14:val="100000"/>
                    </w14:srgbClr>
                  </w14:solidFill>
                </w14:textFill>
              </w:rPr>
              <w:t xml:space="preserve">　</w:t>
            </w:r>
          </w:p>
        </w:tc>
        <w:tc>
          <w:tcPr>
            <w:tcW w:w="1000" w:type="pct"/>
            <w:vAlign w:val="center"/>
            <w:hideMark/>
          </w:tcPr>
          <w:p w14:paraId="20E7DB1F"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0.000108</w:t>
            </w:r>
          </w:p>
        </w:tc>
        <w:tc>
          <w:tcPr>
            <w:tcW w:w="1215" w:type="pct"/>
            <w:vAlign w:val="center"/>
            <w:hideMark/>
          </w:tcPr>
          <w:p w14:paraId="79CE0A5A" w14:textId="14486EA7"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6</w:t>
            </w:r>
          </w:p>
        </w:tc>
      </w:tr>
      <w:tr w:rsidR="00A43E64" w:rsidRPr="00A43E64" w14:paraId="02C54CB4" w14:textId="77777777" w:rsidTr="00D76B55">
        <w:trPr>
          <w:trHeight w:val="227"/>
        </w:trPr>
        <w:tc>
          <w:tcPr>
            <w:tcW w:w="998" w:type="pct"/>
            <w:vMerge/>
          </w:tcPr>
          <w:p w14:paraId="16AC22C2"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64BE280B"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2017</w:t>
            </w:r>
          </w:p>
        </w:tc>
        <w:tc>
          <w:tcPr>
            <w:tcW w:w="879" w:type="pct"/>
            <w:tcBorders>
              <w:bottom w:val="single" w:sz="4" w:space="0" w:color="auto"/>
            </w:tcBorders>
            <w:shd w:val="solid" w:color="000000" w:fill="000000"/>
            <w:vAlign w:val="center"/>
            <w:hideMark/>
          </w:tcPr>
          <w:p w14:paraId="6E131758" w14:textId="65D7122B"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597"/>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597"/>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597"/>
                <w14:textFill>
                  <w14:solidFill>
                    <w14:srgbClr w14:val="000000">
                      <w14:alpha w14:val="100000"/>
                    </w14:srgbClr>
                  </w14:solidFill>
                </w14:textFill>
              </w:rPr>
              <w:t xml:space="preserve">　</w:t>
            </w:r>
          </w:p>
        </w:tc>
        <w:tc>
          <w:tcPr>
            <w:tcW w:w="1000" w:type="pct"/>
            <w:vAlign w:val="center"/>
            <w:hideMark/>
          </w:tcPr>
          <w:p w14:paraId="6D7373A4"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0.000241</w:t>
            </w:r>
          </w:p>
        </w:tc>
        <w:tc>
          <w:tcPr>
            <w:tcW w:w="1215" w:type="pct"/>
            <w:vAlign w:val="center"/>
            <w:hideMark/>
          </w:tcPr>
          <w:p w14:paraId="01285158" w14:textId="069EDB9F"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3</w:t>
            </w:r>
          </w:p>
        </w:tc>
      </w:tr>
      <w:tr w:rsidR="00A43E64" w:rsidRPr="00A43E64" w14:paraId="223418A7" w14:textId="77777777" w:rsidTr="00D76B55">
        <w:trPr>
          <w:trHeight w:val="227"/>
        </w:trPr>
        <w:tc>
          <w:tcPr>
            <w:tcW w:w="998" w:type="pct"/>
            <w:vMerge/>
          </w:tcPr>
          <w:p w14:paraId="661C3D8D"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64723D59"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2018</w:t>
            </w:r>
          </w:p>
        </w:tc>
        <w:tc>
          <w:tcPr>
            <w:tcW w:w="879" w:type="pct"/>
            <w:tcBorders>
              <w:bottom w:val="single" w:sz="4" w:space="0" w:color="auto"/>
            </w:tcBorders>
            <w:shd w:val="solid" w:color="000000" w:fill="000000"/>
            <w:vAlign w:val="center"/>
            <w:hideMark/>
          </w:tcPr>
          <w:p w14:paraId="0DA858E0" w14:textId="0E0A25E1"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596"/>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596"/>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596"/>
                <w14:textFill>
                  <w14:solidFill>
                    <w14:srgbClr w14:val="000000">
                      <w14:alpha w14:val="100000"/>
                    </w14:srgbClr>
                  </w14:solidFill>
                </w14:textFill>
              </w:rPr>
              <w:t xml:space="preserve">　</w:t>
            </w:r>
          </w:p>
        </w:tc>
        <w:tc>
          <w:tcPr>
            <w:tcW w:w="1000" w:type="pct"/>
            <w:vAlign w:val="center"/>
            <w:hideMark/>
          </w:tcPr>
          <w:p w14:paraId="0E663F2D"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0.000000</w:t>
            </w:r>
          </w:p>
        </w:tc>
        <w:tc>
          <w:tcPr>
            <w:tcW w:w="1215" w:type="pct"/>
            <w:vAlign w:val="center"/>
            <w:hideMark/>
          </w:tcPr>
          <w:p w14:paraId="039264DD"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Dominated</w:t>
            </w:r>
          </w:p>
        </w:tc>
      </w:tr>
      <w:tr w:rsidR="00A43E64" w:rsidRPr="00A43E64" w14:paraId="40B8CD42" w14:textId="77777777" w:rsidTr="00D76B55">
        <w:trPr>
          <w:trHeight w:val="227"/>
        </w:trPr>
        <w:tc>
          <w:tcPr>
            <w:tcW w:w="998" w:type="pct"/>
            <w:vMerge/>
          </w:tcPr>
          <w:p w14:paraId="43A27225"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4A01C71D"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2019</w:t>
            </w:r>
          </w:p>
        </w:tc>
        <w:tc>
          <w:tcPr>
            <w:tcW w:w="879" w:type="pct"/>
            <w:tcBorders>
              <w:bottom w:val="single" w:sz="4" w:space="0" w:color="auto"/>
            </w:tcBorders>
            <w:shd w:val="solid" w:color="000000" w:fill="000000"/>
            <w:vAlign w:val="center"/>
            <w:hideMark/>
          </w:tcPr>
          <w:p w14:paraId="41407CED" w14:textId="656551FA"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595"/>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595"/>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595"/>
                <w14:textFill>
                  <w14:solidFill>
                    <w14:srgbClr w14:val="000000">
                      <w14:alpha w14:val="100000"/>
                    </w14:srgbClr>
                  </w14:solidFill>
                </w14:textFill>
              </w:rPr>
              <w:t xml:space="preserve">　</w:t>
            </w:r>
          </w:p>
        </w:tc>
        <w:tc>
          <w:tcPr>
            <w:tcW w:w="1000" w:type="pct"/>
            <w:vAlign w:val="center"/>
            <w:hideMark/>
          </w:tcPr>
          <w:p w14:paraId="62055E52"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0.000273</w:t>
            </w:r>
          </w:p>
        </w:tc>
        <w:tc>
          <w:tcPr>
            <w:tcW w:w="1215" w:type="pct"/>
            <w:vAlign w:val="center"/>
            <w:hideMark/>
          </w:tcPr>
          <w:p w14:paraId="030061E9" w14:textId="04074A0A"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3</w:t>
            </w:r>
          </w:p>
        </w:tc>
      </w:tr>
      <w:tr w:rsidR="00A43E64" w:rsidRPr="00A43E64" w14:paraId="3BE807FB" w14:textId="77777777" w:rsidTr="00D76B55">
        <w:trPr>
          <w:trHeight w:val="227"/>
        </w:trPr>
        <w:tc>
          <w:tcPr>
            <w:tcW w:w="998" w:type="pct"/>
            <w:vMerge/>
          </w:tcPr>
          <w:p w14:paraId="0CA73DDD"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06FD0C73"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2015 to 2019</w:t>
            </w:r>
          </w:p>
        </w:tc>
        <w:tc>
          <w:tcPr>
            <w:tcW w:w="879" w:type="pct"/>
            <w:tcBorders>
              <w:bottom w:val="single" w:sz="4" w:space="0" w:color="auto"/>
            </w:tcBorders>
            <w:shd w:val="solid" w:color="000000" w:fill="000000"/>
            <w:vAlign w:val="center"/>
            <w:hideMark/>
          </w:tcPr>
          <w:p w14:paraId="34D33DFE" w14:textId="125DA9A1"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594"/>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594"/>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594"/>
                <w14:textFill>
                  <w14:solidFill>
                    <w14:srgbClr w14:val="000000">
                      <w14:alpha w14:val="100000"/>
                    </w14:srgbClr>
                  </w14:solidFill>
                </w14:textFill>
              </w:rPr>
              <w:t xml:space="preserve">　</w:t>
            </w:r>
          </w:p>
        </w:tc>
        <w:tc>
          <w:tcPr>
            <w:tcW w:w="1000" w:type="pct"/>
            <w:vAlign w:val="center"/>
            <w:hideMark/>
          </w:tcPr>
          <w:p w14:paraId="26FE052D"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0.000129</w:t>
            </w:r>
          </w:p>
        </w:tc>
        <w:tc>
          <w:tcPr>
            <w:tcW w:w="1215" w:type="pct"/>
            <w:vAlign w:val="center"/>
            <w:hideMark/>
          </w:tcPr>
          <w:p w14:paraId="7A196942" w14:textId="4273016B"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6</w:t>
            </w:r>
          </w:p>
        </w:tc>
      </w:tr>
      <w:tr w:rsidR="00A43E64" w:rsidRPr="00A43E64" w14:paraId="10F18E2D" w14:textId="77777777" w:rsidTr="00D76B55">
        <w:trPr>
          <w:trHeight w:val="227"/>
        </w:trPr>
        <w:tc>
          <w:tcPr>
            <w:tcW w:w="998" w:type="pct"/>
            <w:vMerge w:val="restart"/>
            <w:hideMark/>
          </w:tcPr>
          <w:p w14:paraId="4F86FD87" w14:textId="77777777" w:rsidR="00A43E64" w:rsidRPr="00A43E64" w:rsidRDefault="00A43E64" w:rsidP="00B40A81">
            <w:pPr>
              <w:pStyle w:val="TableTextcentred"/>
              <w:jc w:val="left"/>
              <w:rPr>
                <w:rFonts w:ascii="Arial Narrow" w:hAnsi="Arial Narrow" w:cs="Calibri"/>
                <w:color w:val="000000"/>
                <w:sz w:val="20"/>
                <w:szCs w:val="20"/>
              </w:rPr>
            </w:pPr>
            <w:r w:rsidRPr="00A43E64">
              <w:rPr>
                <w:rFonts w:ascii="Arial Narrow" w:hAnsi="Arial Narrow" w:cs="Calibri"/>
                <w:color w:val="000000"/>
                <w:sz w:val="20"/>
                <w:szCs w:val="20"/>
              </w:rPr>
              <w:t>Pregnant women (including newborns)</w:t>
            </w:r>
          </w:p>
        </w:tc>
        <w:tc>
          <w:tcPr>
            <w:tcW w:w="907" w:type="pct"/>
            <w:hideMark/>
          </w:tcPr>
          <w:p w14:paraId="08B8F99D"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2015</w:t>
            </w:r>
          </w:p>
        </w:tc>
        <w:tc>
          <w:tcPr>
            <w:tcW w:w="879" w:type="pct"/>
            <w:tcBorders>
              <w:bottom w:val="single" w:sz="4" w:space="0" w:color="auto"/>
            </w:tcBorders>
            <w:shd w:val="solid" w:color="000000" w:fill="000000"/>
            <w:vAlign w:val="center"/>
            <w:hideMark/>
          </w:tcPr>
          <w:p w14:paraId="3B4CC025" w14:textId="18350936"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593"/>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593"/>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593"/>
                <w14:textFill>
                  <w14:solidFill>
                    <w14:srgbClr w14:val="000000">
                      <w14:alpha w14:val="100000"/>
                    </w14:srgbClr>
                  </w14:solidFill>
                </w14:textFill>
              </w:rPr>
              <w:t xml:space="preserve">　</w:t>
            </w:r>
          </w:p>
        </w:tc>
        <w:tc>
          <w:tcPr>
            <w:tcW w:w="1000" w:type="pct"/>
            <w:vAlign w:val="center"/>
            <w:hideMark/>
          </w:tcPr>
          <w:p w14:paraId="0A74298E"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0.000066</w:t>
            </w:r>
          </w:p>
        </w:tc>
        <w:tc>
          <w:tcPr>
            <w:tcW w:w="1215" w:type="pct"/>
            <w:vAlign w:val="center"/>
            <w:hideMark/>
          </w:tcPr>
          <w:p w14:paraId="256AE575" w14:textId="003A4131"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5</w:t>
            </w:r>
          </w:p>
        </w:tc>
      </w:tr>
      <w:tr w:rsidR="00A43E64" w:rsidRPr="00A43E64" w14:paraId="09888B13" w14:textId="77777777" w:rsidTr="00D76B55">
        <w:trPr>
          <w:trHeight w:val="227"/>
        </w:trPr>
        <w:tc>
          <w:tcPr>
            <w:tcW w:w="998" w:type="pct"/>
            <w:vMerge/>
          </w:tcPr>
          <w:p w14:paraId="1DE81191"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6AF6AA82"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2016</w:t>
            </w:r>
          </w:p>
        </w:tc>
        <w:tc>
          <w:tcPr>
            <w:tcW w:w="879" w:type="pct"/>
            <w:tcBorders>
              <w:bottom w:val="single" w:sz="4" w:space="0" w:color="auto"/>
            </w:tcBorders>
            <w:shd w:val="solid" w:color="000000" w:fill="000000"/>
            <w:vAlign w:val="center"/>
            <w:hideMark/>
          </w:tcPr>
          <w:p w14:paraId="13F83E55" w14:textId="74F67B7E"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592"/>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592"/>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592"/>
                <w14:textFill>
                  <w14:solidFill>
                    <w14:srgbClr w14:val="000000">
                      <w14:alpha w14:val="100000"/>
                    </w14:srgbClr>
                  </w14:solidFill>
                </w14:textFill>
              </w:rPr>
              <w:t xml:space="preserve">　</w:t>
            </w:r>
          </w:p>
        </w:tc>
        <w:tc>
          <w:tcPr>
            <w:tcW w:w="1000" w:type="pct"/>
            <w:vAlign w:val="center"/>
            <w:hideMark/>
          </w:tcPr>
          <w:p w14:paraId="357BF528"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0.000064</w:t>
            </w:r>
          </w:p>
        </w:tc>
        <w:tc>
          <w:tcPr>
            <w:tcW w:w="1215" w:type="pct"/>
            <w:vAlign w:val="center"/>
            <w:hideMark/>
          </w:tcPr>
          <w:p w14:paraId="6F78D4CC" w14:textId="4FF90D2C"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5</w:t>
            </w:r>
          </w:p>
        </w:tc>
      </w:tr>
      <w:tr w:rsidR="00A43E64" w:rsidRPr="00A43E64" w14:paraId="161861E0" w14:textId="77777777" w:rsidTr="00D76B55">
        <w:trPr>
          <w:trHeight w:val="227"/>
        </w:trPr>
        <w:tc>
          <w:tcPr>
            <w:tcW w:w="998" w:type="pct"/>
            <w:vMerge/>
          </w:tcPr>
          <w:p w14:paraId="564C2035"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417C75F5"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2017</w:t>
            </w:r>
          </w:p>
        </w:tc>
        <w:tc>
          <w:tcPr>
            <w:tcW w:w="879" w:type="pct"/>
            <w:tcBorders>
              <w:bottom w:val="single" w:sz="4" w:space="0" w:color="auto"/>
            </w:tcBorders>
            <w:shd w:val="solid" w:color="000000" w:fill="000000"/>
            <w:vAlign w:val="center"/>
            <w:hideMark/>
          </w:tcPr>
          <w:p w14:paraId="5EC616A3" w14:textId="6FE415FD"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8"/>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8"/>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8"/>
                <w14:textFill>
                  <w14:solidFill>
                    <w14:srgbClr w14:val="000000">
                      <w14:alpha w14:val="100000"/>
                    </w14:srgbClr>
                  </w14:solidFill>
                </w14:textFill>
              </w:rPr>
              <w:t xml:space="preserve">　</w:t>
            </w:r>
          </w:p>
        </w:tc>
        <w:tc>
          <w:tcPr>
            <w:tcW w:w="1000" w:type="pct"/>
            <w:vAlign w:val="center"/>
            <w:hideMark/>
          </w:tcPr>
          <w:p w14:paraId="705F54DC"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0.000127</w:t>
            </w:r>
          </w:p>
        </w:tc>
        <w:tc>
          <w:tcPr>
            <w:tcW w:w="1215" w:type="pct"/>
            <w:vAlign w:val="center"/>
            <w:hideMark/>
          </w:tcPr>
          <w:p w14:paraId="14478079" w14:textId="04B8AEF5"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4</w:t>
            </w:r>
          </w:p>
        </w:tc>
      </w:tr>
      <w:tr w:rsidR="00A43E64" w:rsidRPr="00A43E64" w14:paraId="3FBD29BA" w14:textId="77777777" w:rsidTr="00D76B55">
        <w:trPr>
          <w:trHeight w:val="227"/>
        </w:trPr>
        <w:tc>
          <w:tcPr>
            <w:tcW w:w="998" w:type="pct"/>
            <w:vMerge/>
          </w:tcPr>
          <w:p w14:paraId="406F7F87"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107C3DE1"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2018</w:t>
            </w:r>
          </w:p>
        </w:tc>
        <w:tc>
          <w:tcPr>
            <w:tcW w:w="879" w:type="pct"/>
            <w:tcBorders>
              <w:bottom w:val="single" w:sz="4" w:space="0" w:color="auto"/>
            </w:tcBorders>
            <w:shd w:val="solid" w:color="000000" w:fill="000000"/>
            <w:vAlign w:val="center"/>
            <w:hideMark/>
          </w:tcPr>
          <w:p w14:paraId="095EA06E" w14:textId="18777CDB"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7"/>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7"/>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7"/>
                <w14:textFill>
                  <w14:solidFill>
                    <w14:srgbClr w14:val="000000">
                      <w14:alpha w14:val="100000"/>
                    </w14:srgbClr>
                  </w14:solidFill>
                </w14:textFill>
              </w:rPr>
              <w:t xml:space="preserve">　</w:t>
            </w:r>
          </w:p>
        </w:tc>
        <w:tc>
          <w:tcPr>
            <w:tcW w:w="1000" w:type="pct"/>
            <w:vAlign w:val="center"/>
            <w:hideMark/>
          </w:tcPr>
          <w:p w14:paraId="0E3D5E93"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0.000000</w:t>
            </w:r>
          </w:p>
        </w:tc>
        <w:tc>
          <w:tcPr>
            <w:tcW w:w="1215" w:type="pct"/>
            <w:vAlign w:val="center"/>
            <w:hideMark/>
          </w:tcPr>
          <w:p w14:paraId="6361F33C"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Dominated</w:t>
            </w:r>
          </w:p>
        </w:tc>
      </w:tr>
      <w:tr w:rsidR="00A43E64" w:rsidRPr="00A43E64" w14:paraId="04DD8D07" w14:textId="77777777" w:rsidTr="00D76B55">
        <w:trPr>
          <w:trHeight w:val="227"/>
        </w:trPr>
        <w:tc>
          <w:tcPr>
            <w:tcW w:w="998" w:type="pct"/>
            <w:vMerge/>
          </w:tcPr>
          <w:p w14:paraId="56F691BF"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4C4229AC"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2019</w:t>
            </w:r>
          </w:p>
        </w:tc>
        <w:tc>
          <w:tcPr>
            <w:tcW w:w="879" w:type="pct"/>
            <w:tcBorders>
              <w:bottom w:val="single" w:sz="4" w:space="0" w:color="auto"/>
            </w:tcBorders>
            <w:shd w:val="solid" w:color="000000" w:fill="000000"/>
            <w:vAlign w:val="center"/>
            <w:hideMark/>
          </w:tcPr>
          <w:p w14:paraId="21458ACC" w14:textId="7A910672"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6"/>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6"/>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6"/>
                <w14:textFill>
                  <w14:solidFill>
                    <w14:srgbClr w14:val="000000">
                      <w14:alpha w14:val="100000"/>
                    </w14:srgbClr>
                  </w14:solidFill>
                </w14:textFill>
              </w:rPr>
              <w:t xml:space="preserve">　</w:t>
            </w:r>
          </w:p>
        </w:tc>
        <w:tc>
          <w:tcPr>
            <w:tcW w:w="1000" w:type="pct"/>
            <w:vAlign w:val="center"/>
            <w:hideMark/>
          </w:tcPr>
          <w:p w14:paraId="03EA6963"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0.000167</w:t>
            </w:r>
          </w:p>
        </w:tc>
        <w:tc>
          <w:tcPr>
            <w:tcW w:w="1215" w:type="pct"/>
            <w:vAlign w:val="center"/>
            <w:hideMark/>
          </w:tcPr>
          <w:p w14:paraId="52D9B40F"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Dominant</w:t>
            </w:r>
          </w:p>
        </w:tc>
      </w:tr>
      <w:tr w:rsidR="00A43E64" w:rsidRPr="00A43E64" w14:paraId="21B804E9" w14:textId="77777777" w:rsidTr="00D76B55">
        <w:trPr>
          <w:trHeight w:val="227"/>
        </w:trPr>
        <w:tc>
          <w:tcPr>
            <w:tcW w:w="998" w:type="pct"/>
            <w:vMerge/>
          </w:tcPr>
          <w:p w14:paraId="4277F665" w14:textId="77777777" w:rsidR="00A43E64" w:rsidRPr="00A43E64" w:rsidRDefault="00A43E64" w:rsidP="00B40A81">
            <w:pPr>
              <w:pStyle w:val="TableTextcentred"/>
              <w:jc w:val="left"/>
              <w:rPr>
                <w:rFonts w:ascii="Arial Narrow" w:hAnsi="Arial Narrow" w:cs="Calibri"/>
                <w:color w:val="000000"/>
                <w:sz w:val="20"/>
                <w:szCs w:val="20"/>
              </w:rPr>
            </w:pPr>
          </w:p>
        </w:tc>
        <w:tc>
          <w:tcPr>
            <w:tcW w:w="907" w:type="pct"/>
            <w:hideMark/>
          </w:tcPr>
          <w:p w14:paraId="0F346B05"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2015 to 2019</w:t>
            </w:r>
          </w:p>
        </w:tc>
        <w:tc>
          <w:tcPr>
            <w:tcW w:w="879" w:type="pct"/>
            <w:tcBorders>
              <w:bottom w:val="single" w:sz="4" w:space="0" w:color="auto"/>
            </w:tcBorders>
            <w:shd w:val="solid" w:color="000000" w:fill="000000"/>
            <w:vAlign w:val="center"/>
            <w:hideMark/>
          </w:tcPr>
          <w:p w14:paraId="68FA48A0" w14:textId="35416052"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5"/>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5"/>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5"/>
                <w14:textFill>
                  <w14:solidFill>
                    <w14:srgbClr w14:val="000000">
                      <w14:alpha w14:val="100000"/>
                    </w14:srgbClr>
                  </w14:solidFill>
                </w14:textFill>
              </w:rPr>
              <w:t xml:space="preserve">　</w:t>
            </w:r>
          </w:p>
        </w:tc>
        <w:tc>
          <w:tcPr>
            <w:tcW w:w="1000" w:type="pct"/>
            <w:vAlign w:val="center"/>
            <w:hideMark/>
          </w:tcPr>
          <w:p w14:paraId="64C10999"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0.000075</w:t>
            </w:r>
          </w:p>
        </w:tc>
        <w:tc>
          <w:tcPr>
            <w:tcW w:w="1215" w:type="pct"/>
            <w:vAlign w:val="center"/>
            <w:hideMark/>
          </w:tcPr>
          <w:p w14:paraId="5C9A2CDD" w14:textId="12EBC1F5"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6</w:t>
            </w:r>
          </w:p>
        </w:tc>
      </w:tr>
      <w:tr w:rsidR="00A43E64" w:rsidRPr="00A43E64" w14:paraId="73EC01F7" w14:textId="77777777" w:rsidTr="00D76B55">
        <w:trPr>
          <w:trHeight w:val="227"/>
        </w:trPr>
        <w:tc>
          <w:tcPr>
            <w:tcW w:w="998" w:type="pct"/>
            <w:vMerge w:val="restart"/>
            <w:hideMark/>
          </w:tcPr>
          <w:p w14:paraId="2BA12454" w14:textId="77777777" w:rsidR="00A43E64" w:rsidRPr="00A43E64" w:rsidRDefault="00A43E64" w:rsidP="00B40A81">
            <w:pPr>
              <w:pStyle w:val="TableTextcentred"/>
              <w:jc w:val="left"/>
              <w:rPr>
                <w:rFonts w:ascii="Arial Narrow" w:hAnsi="Arial Narrow" w:cs="Calibri"/>
                <w:color w:val="000000"/>
                <w:sz w:val="20"/>
                <w:szCs w:val="20"/>
              </w:rPr>
            </w:pPr>
            <w:r w:rsidRPr="00A43E64">
              <w:rPr>
                <w:rFonts w:ascii="Arial Narrow" w:hAnsi="Arial Narrow" w:cs="Calibri"/>
                <w:color w:val="000000"/>
                <w:sz w:val="20"/>
                <w:szCs w:val="20"/>
              </w:rPr>
              <w:t>NIP</w:t>
            </w:r>
          </w:p>
        </w:tc>
        <w:tc>
          <w:tcPr>
            <w:tcW w:w="907" w:type="pct"/>
            <w:hideMark/>
          </w:tcPr>
          <w:p w14:paraId="5FFB8181"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2015</w:t>
            </w:r>
          </w:p>
        </w:tc>
        <w:tc>
          <w:tcPr>
            <w:tcW w:w="879" w:type="pct"/>
            <w:tcBorders>
              <w:bottom w:val="single" w:sz="4" w:space="0" w:color="auto"/>
            </w:tcBorders>
            <w:shd w:val="solid" w:color="000000" w:fill="000000"/>
            <w:vAlign w:val="center"/>
            <w:hideMark/>
          </w:tcPr>
          <w:p w14:paraId="4EA42DA5" w14:textId="564D8CB3"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4"/>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4"/>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4"/>
                <w14:textFill>
                  <w14:solidFill>
                    <w14:srgbClr w14:val="000000">
                      <w14:alpha w14:val="100000"/>
                    </w14:srgbClr>
                  </w14:solidFill>
                </w14:textFill>
              </w:rPr>
              <w:t xml:space="preserve">　</w:t>
            </w:r>
          </w:p>
        </w:tc>
        <w:tc>
          <w:tcPr>
            <w:tcW w:w="1000" w:type="pct"/>
            <w:vAlign w:val="center"/>
            <w:hideMark/>
          </w:tcPr>
          <w:p w14:paraId="0B77EF7B"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0.000086</w:t>
            </w:r>
          </w:p>
        </w:tc>
        <w:tc>
          <w:tcPr>
            <w:tcW w:w="1215" w:type="pct"/>
            <w:vAlign w:val="center"/>
            <w:hideMark/>
          </w:tcPr>
          <w:p w14:paraId="132B01AD" w14:textId="4C5F151A"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5</w:t>
            </w:r>
          </w:p>
        </w:tc>
      </w:tr>
      <w:tr w:rsidR="00A43E64" w:rsidRPr="00A43E64" w14:paraId="4ADA9EDF" w14:textId="77777777" w:rsidTr="00D76B55">
        <w:trPr>
          <w:trHeight w:val="227"/>
        </w:trPr>
        <w:tc>
          <w:tcPr>
            <w:tcW w:w="998" w:type="pct"/>
            <w:vMerge/>
          </w:tcPr>
          <w:p w14:paraId="401462CE" w14:textId="77777777" w:rsidR="00A43E64" w:rsidRPr="00A43E64" w:rsidRDefault="00A43E64" w:rsidP="00B40A81">
            <w:pPr>
              <w:pStyle w:val="TableTextcentred"/>
              <w:rPr>
                <w:rFonts w:ascii="Arial Narrow" w:hAnsi="Arial Narrow" w:cs="Calibri"/>
                <w:color w:val="000000"/>
                <w:sz w:val="20"/>
                <w:szCs w:val="20"/>
              </w:rPr>
            </w:pPr>
          </w:p>
        </w:tc>
        <w:tc>
          <w:tcPr>
            <w:tcW w:w="907" w:type="pct"/>
            <w:hideMark/>
          </w:tcPr>
          <w:p w14:paraId="691F5F43"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2016</w:t>
            </w:r>
          </w:p>
        </w:tc>
        <w:tc>
          <w:tcPr>
            <w:tcW w:w="879" w:type="pct"/>
            <w:tcBorders>
              <w:bottom w:val="single" w:sz="4" w:space="0" w:color="auto"/>
            </w:tcBorders>
            <w:shd w:val="solid" w:color="000000" w:fill="000000"/>
            <w:vAlign w:val="center"/>
            <w:hideMark/>
          </w:tcPr>
          <w:p w14:paraId="739672CA" w14:textId="24BC93FC"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3"/>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3"/>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3"/>
                <w14:textFill>
                  <w14:solidFill>
                    <w14:srgbClr w14:val="000000">
                      <w14:alpha w14:val="100000"/>
                    </w14:srgbClr>
                  </w14:solidFill>
                </w14:textFill>
              </w:rPr>
              <w:t xml:space="preserve">　</w:t>
            </w:r>
          </w:p>
        </w:tc>
        <w:tc>
          <w:tcPr>
            <w:tcW w:w="1000" w:type="pct"/>
            <w:vAlign w:val="center"/>
            <w:hideMark/>
          </w:tcPr>
          <w:p w14:paraId="6DBEAD56"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0.000100</w:t>
            </w:r>
          </w:p>
        </w:tc>
        <w:tc>
          <w:tcPr>
            <w:tcW w:w="1215" w:type="pct"/>
            <w:vAlign w:val="center"/>
            <w:hideMark/>
          </w:tcPr>
          <w:p w14:paraId="470CA31E" w14:textId="56B036B9"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6</w:t>
            </w:r>
          </w:p>
        </w:tc>
      </w:tr>
      <w:tr w:rsidR="00A43E64" w:rsidRPr="00A43E64" w14:paraId="778820D8" w14:textId="77777777" w:rsidTr="00D76B55">
        <w:trPr>
          <w:trHeight w:val="227"/>
        </w:trPr>
        <w:tc>
          <w:tcPr>
            <w:tcW w:w="998" w:type="pct"/>
            <w:vMerge/>
          </w:tcPr>
          <w:p w14:paraId="400DBD35" w14:textId="77777777" w:rsidR="00A43E64" w:rsidRPr="00A43E64" w:rsidRDefault="00A43E64" w:rsidP="00B40A81">
            <w:pPr>
              <w:pStyle w:val="TableTextcentred"/>
              <w:rPr>
                <w:rFonts w:ascii="Arial Narrow" w:hAnsi="Arial Narrow" w:cs="Calibri"/>
                <w:color w:val="000000"/>
                <w:sz w:val="20"/>
                <w:szCs w:val="20"/>
              </w:rPr>
            </w:pPr>
          </w:p>
        </w:tc>
        <w:tc>
          <w:tcPr>
            <w:tcW w:w="907" w:type="pct"/>
            <w:hideMark/>
          </w:tcPr>
          <w:p w14:paraId="6A207F2E"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2017</w:t>
            </w:r>
          </w:p>
        </w:tc>
        <w:tc>
          <w:tcPr>
            <w:tcW w:w="879" w:type="pct"/>
            <w:tcBorders>
              <w:bottom w:val="single" w:sz="4" w:space="0" w:color="auto"/>
            </w:tcBorders>
            <w:shd w:val="solid" w:color="000000" w:fill="000000"/>
            <w:vAlign w:val="center"/>
            <w:hideMark/>
          </w:tcPr>
          <w:p w14:paraId="7BBBFB3F" w14:textId="7404CA6F"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2"/>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2"/>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2"/>
                <w14:textFill>
                  <w14:solidFill>
                    <w14:srgbClr w14:val="000000">
                      <w14:alpha w14:val="100000"/>
                    </w14:srgbClr>
                  </w14:solidFill>
                </w14:textFill>
              </w:rPr>
              <w:t xml:space="preserve">　</w:t>
            </w:r>
          </w:p>
        </w:tc>
        <w:tc>
          <w:tcPr>
            <w:tcW w:w="1000" w:type="pct"/>
            <w:vAlign w:val="center"/>
            <w:hideMark/>
          </w:tcPr>
          <w:p w14:paraId="75A2A388"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0.000224</w:t>
            </w:r>
          </w:p>
        </w:tc>
        <w:tc>
          <w:tcPr>
            <w:tcW w:w="1215" w:type="pct"/>
            <w:vAlign w:val="center"/>
            <w:hideMark/>
          </w:tcPr>
          <w:p w14:paraId="7B689E26" w14:textId="6CADC5C2"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3</w:t>
            </w:r>
          </w:p>
        </w:tc>
      </w:tr>
      <w:tr w:rsidR="00A43E64" w:rsidRPr="00A43E64" w14:paraId="0740ACF2" w14:textId="77777777" w:rsidTr="00D76B55">
        <w:trPr>
          <w:trHeight w:val="227"/>
        </w:trPr>
        <w:tc>
          <w:tcPr>
            <w:tcW w:w="998" w:type="pct"/>
            <w:vMerge/>
          </w:tcPr>
          <w:p w14:paraId="3C610737" w14:textId="77777777" w:rsidR="00A43E64" w:rsidRPr="00A43E64" w:rsidRDefault="00A43E64" w:rsidP="00B40A81">
            <w:pPr>
              <w:pStyle w:val="TableTextcentred"/>
              <w:rPr>
                <w:rFonts w:ascii="Arial Narrow" w:hAnsi="Arial Narrow" w:cs="Calibri"/>
                <w:color w:val="000000"/>
                <w:sz w:val="20"/>
                <w:szCs w:val="20"/>
              </w:rPr>
            </w:pPr>
          </w:p>
        </w:tc>
        <w:tc>
          <w:tcPr>
            <w:tcW w:w="907" w:type="pct"/>
            <w:hideMark/>
          </w:tcPr>
          <w:p w14:paraId="715E8F7C"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2018</w:t>
            </w:r>
          </w:p>
        </w:tc>
        <w:tc>
          <w:tcPr>
            <w:tcW w:w="879" w:type="pct"/>
            <w:tcBorders>
              <w:bottom w:val="single" w:sz="4" w:space="0" w:color="auto"/>
            </w:tcBorders>
            <w:shd w:val="solid" w:color="000000" w:fill="000000"/>
            <w:vAlign w:val="center"/>
            <w:hideMark/>
          </w:tcPr>
          <w:p w14:paraId="53B38553" w14:textId="4305F086"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1"/>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1"/>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1"/>
                <w14:textFill>
                  <w14:solidFill>
                    <w14:srgbClr w14:val="000000">
                      <w14:alpha w14:val="100000"/>
                    </w14:srgbClr>
                  </w14:solidFill>
                </w14:textFill>
              </w:rPr>
              <w:t xml:space="preserve">　</w:t>
            </w:r>
          </w:p>
        </w:tc>
        <w:tc>
          <w:tcPr>
            <w:tcW w:w="1000" w:type="pct"/>
            <w:vAlign w:val="center"/>
            <w:hideMark/>
          </w:tcPr>
          <w:p w14:paraId="290EB5F8"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0.000000</w:t>
            </w:r>
          </w:p>
        </w:tc>
        <w:tc>
          <w:tcPr>
            <w:tcW w:w="1215" w:type="pct"/>
            <w:vAlign w:val="center"/>
            <w:hideMark/>
          </w:tcPr>
          <w:p w14:paraId="3467A564"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Dominated</w:t>
            </w:r>
          </w:p>
        </w:tc>
      </w:tr>
      <w:tr w:rsidR="00A43E64" w:rsidRPr="00A43E64" w14:paraId="79F1B562" w14:textId="77777777" w:rsidTr="00D76B55">
        <w:trPr>
          <w:trHeight w:val="227"/>
        </w:trPr>
        <w:tc>
          <w:tcPr>
            <w:tcW w:w="998" w:type="pct"/>
            <w:vMerge/>
          </w:tcPr>
          <w:p w14:paraId="57377B8E" w14:textId="77777777" w:rsidR="00A43E64" w:rsidRPr="00A43E64" w:rsidRDefault="00A43E64" w:rsidP="00B40A81">
            <w:pPr>
              <w:pStyle w:val="TableTextcentred"/>
              <w:rPr>
                <w:rFonts w:ascii="Arial Narrow" w:hAnsi="Arial Narrow" w:cs="Calibri"/>
                <w:color w:val="000000"/>
                <w:sz w:val="20"/>
                <w:szCs w:val="20"/>
              </w:rPr>
            </w:pPr>
          </w:p>
        </w:tc>
        <w:tc>
          <w:tcPr>
            <w:tcW w:w="907" w:type="pct"/>
            <w:hideMark/>
          </w:tcPr>
          <w:p w14:paraId="068BE6E8"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2019</w:t>
            </w:r>
          </w:p>
        </w:tc>
        <w:tc>
          <w:tcPr>
            <w:tcW w:w="879" w:type="pct"/>
            <w:tcBorders>
              <w:bottom w:val="single" w:sz="4" w:space="0" w:color="auto"/>
            </w:tcBorders>
            <w:shd w:val="solid" w:color="000000" w:fill="000000"/>
            <w:vAlign w:val="center"/>
            <w:hideMark/>
          </w:tcPr>
          <w:p w14:paraId="40261079" w14:textId="785683FA"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600"/>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600"/>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600"/>
                <w14:textFill>
                  <w14:solidFill>
                    <w14:srgbClr w14:val="000000">
                      <w14:alpha w14:val="100000"/>
                    </w14:srgbClr>
                  </w14:solidFill>
                </w14:textFill>
              </w:rPr>
              <w:t xml:space="preserve">　</w:t>
            </w:r>
          </w:p>
        </w:tc>
        <w:tc>
          <w:tcPr>
            <w:tcW w:w="1000" w:type="pct"/>
            <w:vAlign w:val="center"/>
            <w:hideMark/>
          </w:tcPr>
          <w:p w14:paraId="0F52C2A8"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0.000257</w:t>
            </w:r>
          </w:p>
        </w:tc>
        <w:tc>
          <w:tcPr>
            <w:tcW w:w="1215" w:type="pct"/>
            <w:vAlign w:val="center"/>
            <w:hideMark/>
          </w:tcPr>
          <w:p w14:paraId="7502728E" w14:textId="5746199C"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3</w:t>
            </w:r>
          </w:p>
        </w:tc>
      </w:tr>
      <w:tr w:rsidR="00A43E64" w:rsidRPr="00A43E64" w14:paraId="2DBEA6AA" w14:textId="77777777" w:rsidTr="00D76B55">
        <w:trPr>
          <w:trHeight w:val="227"/>
        </w:trPr>
        <w:tc>
          <w:tcPr>
            <w:tcW w:w="998" w:type="pct"/>
            <w:vMerge/>
          </w:tcPr>
          <w:p w14:paraId="48C85DEC" w14:textId="77777777" w:rsidR="00A43E64" w:rsidRPr="00A43E64" w:rsidRDefault="00A43E64" w:rsidP="00B40A81">
            <w:pPr>
              <w:pStyle w:val="TableTextcentred"/>
              <w:rPr>
                <w:rFonts w:ascii="Arial Narrow" w:hAnsi="Arial Narrow" w:cs="Calibri"/>
                <w:color w:val="000000"/>
                <w:sz w:val="20"/>
                <w:szCs w:val="20"/>
              </w:rPr>
            </w:pPr>
          </w:p>
        </w:tc>
        <w:tc>
          <w:tcPr>
            <w:tcW w:w="907" w:type="pct"/>
            <w:hideMark/>
          </w:tcPr>
          <w:p w14:paraId="49C8012C"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2015 to 2019</w:t>
            </w:r>
          </w:p>
        </w:tc>
        <w:tc>
          <w:tcPr>
            <w:tcW w:w="879" w:type="pct"/>
            <w:shd w:val="solid" w:color="000000" w:fill="000000"/>
            <w:vAlign w:val="center"/>
            <w:hideMark/>
          </w:tcPr>
          <w:p w14:paraId="18E1D80B" w14:textId="7AC9C475" w:rsidR="00A43E64" w:rsidRPr="00D76B55" w:rsidRDefault="00D76B55" w:rsidP="00B40A81">
            <w:pPr>
              <w:pStyle w:val="TableTextcentred"/>
              <w:rPr>
                <w:rFonts w:ascii="Arial Narrow" w:hAnsi="Arial Narrow" w:cs="Calibri"/>
                <w:color w:val="000000"/>
                <w:sz w:val="20"/>
                <w:szCs w:val="20"/>
              </w:rPr>
            </w:pPr>
            <w:r w:rsidRPr="00D76B55">
              <w:rPr>
                <w:rFonts w:ascii="Arial Narrow" w:hAnsi="Arial Narrow" w:cs="Calibri" w:hint="eastAsia"/>
                <w:color w:val="000000"/>
                <w:w w:val="32"/>
                <w:sz w:val="20"/>
                <w:szCs w:val="20"/>
                <w:fitText w:val="144" w:id="-1404292599"/>
                <w14:textFill>
                  <w14:solidFill>
                    <w14:srgbClr w14:val="000000">
                      <w14:alpha w14:val="100000"/>
                    </w14:srgbClr>
                  </w14:solidFill>
                </w14:textFill>
              </w:rPr>
              <w:t xml:space="preserve">　</w:t>
            </w:r>
            <w:r w:rsidRPr="00D76B55">
              <w:rPr>
                <w:rFonts w:ascii="Arial Narrow" w:hAnsi="Arial Narrow" w:cs="Calibri"/>
                <w:color w:val="000000"/>
                <w:w w:val="32"/>
                <w:sz w:val="20"/>
                <w:szCs w:val="20"/>
                <w:fitText w:val="144" w:id="-1404292599"/>
                <w14:textFill>
                  <w14:solidFill>
                    <w14:srgbClr w14:val="000000">
                      <w14:alpha w14:val="100000"/>
                    </w14:srgbClr>
                  </w14:solidFill>
                </w14:textFill>
              </w:rPr>
              <w:t>|</w:t>
            </w:r>
            <w:r w:rsidRPr="00D76B55">
              <w:rPr>
                <w:rFonts w:ascii="Arial Narrow" w:hAnsi="Arial Narrow" w:cs="Calibri" w:hint="eastAsia"/>
                <w:color w:val="000000"/>
                <w:w w:val="32"/>
                <w:sz w:val="20"/>
                <w:szCs w:val="20"/>
                <w:fitText w:val="144" w:id="-1404292599"/>
                <w14:textFill>
                  <w14:solidFill>
                    <w14:srgbClr w14:val="000000">
                      <w14:alpha w14:val="100000"/>
                    </w14:srgbClr>
                  </w14:solidFill>
                </w14:textFill>
              </w:rPr>
              <w:t xml:space="preserve">　</w:t>
            </w:r>
          </w:p>
        </w:tc>
        <w:tc>
          <w:tcPr>
            <w:tcW w:w="1000" w:type="pct"/>
            <w:vAlign w:val="center"/>
            <w:hideMark/>
          </w:tcPr>
          <w:p w14:paraId="2B29D66B" w14:textId="77777777" w:rsidR="00A43E64" w:rsidRPr="00A43E64" w:rsidRDefault="00A43E64" w:rsidP="00B40A81">
            <w:pPr>
              <w:pStyle w:val="TableTextcentred"/>
              <w:rPr>
                <w:rFonts w:ascii="Arial Narrow" w:hAnsi="Arial Narrow" w:cs="Calibri"/>
                <w:color w:val="000000"/>
                <w:sz w:val="20"/>
                <w:szCs w:val="20"/>
              </w:rPr>
            </w:pPr>
            <w:r w:rsidRPr="00A43E64">
              <w:rPr>
                <w:rFonts w:ascii="Arial Narrow" w:hAnsi="Arial Narrow" w:cs="Calibri"/>
                <w:color w:val="000000"/>
                <w:sz w:val="20"/>
                <w:szCs w:val="20"/>
              </w:rPr>
              <w:t>0.000120</w:t>
            </w:r>
          </w:p>
        </w:tc>
        <w:tc>
          <w:tcPr>
            <w:tcW w:w="1215" w:type="pct"/>
            <w:vAlign w:val="center"/>
            <w:hideMark/>
          </w:tcPr>
          <w:p w14:paraId="7F139817" w14:textId="16184937" w:rsidR="00A43E64" w:rsidRPr="001D6304" w:rsidRDefault="00D76B55" w:rsidP="00B40A81">
            <w:pPr>
              <w:pStyle w:val="TableTextcentred"/>
              <w:rPr>
                <w:rFonts w:ascii="Arial Narrow" w:hAnsi="Arial Narrow" w:cs="Calibri"/>
                <w:color w:val="000000"/>
                <w:sz w:val="20"/>
                <w:szCs w:val="20"/>
                <w:vertAlign w:val="superscript"/>
              </w:rPr>
            </w:pPr>
            <w:r w:rsidRPr="00D76B55">
              <w:rPr>
                <w:rFonts w:ascii="Arial Narrow" w:hAnsi="Arial Narrow" w:cs="Calibri"/>
                <w:color w:val="000000"/>
                <w:sz w:val="20"/>
                <w:szCs w:val="20"/>
                <w:shd w:val="solid" w:color="000000" w:fill="000000"/>
                <w14:textFill>
                  <w14:solidFill>
                    <w14:srgbClr w14:val="000000">
                      <w14:alpha w14:val="100000"/>
                    </w14:srgbClr>
                  </w14:solidFill>
                </w14:textFill>
              </w:rPr>
              <w:t>|</w:t>
            </w:r>
            <w:r w:rsidR="00C26341">
              <w:rPr>
                <w:rFonts w:ascii="Arial Narrow" w:hAnsi="Arial Narrow" w:cs="Calibri"/>
                <w:color w:val="000000"/>
                <w:sz w:val="20"/>
                <w:szCs w:val="20"/>
                <w:vertAlign w:val="superscript"/>
              </w:rPr>
              <w:t>6</w:t>
            </w:r>
          </w:p>
        </w:tc>
      </w:tr>
    </w:tbl>
    <w:p w14:paraId="29DA67B6" w14:textId="5FD3A27C" w:rsidR="00A43E64" w:rsidRDefault="00A43E64" w:rsidP="00A43E64">
      <w:pPr>
        <w:pStyle w:val="TableFigureFooter"/>
        <w:rPr>
          <w:rFonts w:eastAsia="Calibri"/>
        </w:rPr>
      </w:pPr>
      <w:r>
        <w:rPr>
          <w:rFonts w:eastAsia="Calibri"/>
        </w:rPr>
        <w:t>Source: Pre-PBAC Response (p6)</w:t>
      </w:r>
    </w:p>
    <w:p w14:paraId="069196C8" w14:textId="550D62E3" w:rsidR="00A43E64" w:rsidRPr="00113AB0" w:rsidRDefault="00D82DFC" w:rsidP="00A43E64">
      <w:pPr>
        <w:pStyle w:val="TableFigureFooter"/>
      </w:pPr>
      <w:r>
        <w:rPr>
          <w:vertAlign w:val="superscript"/>
        </w:rPr>
        <w:t>a</w:t>
      </w:r>
      <w:r w:rsidR="00A43E64">
        <w:t xml:space="preserve"> High-risk population using Medicine Insight proportions.</w:t>
      </w:r>
    </w:p>
    <w:p w14:paraId="3A2DB550" w14:textId="40A11EF2" w:rsidR="00A43E64" w:rsidRDefault="00D82DFC" w:rsidP="00A43E64">
      <w:pPr>
        <w:pStyle w:val="TableFigureFooter"/>
        <w:rPr>
          <w:rFonts w:eastAsia="Calibri"/>
          <w:i/>
          <w:iCs/>
        </w:rPr>
      </w:pPr>
      <w:r w:rsidRPr="001D6304">
        <w:rPr>
          <w:rFonts w:eastAsia="Calibri"/>
          <w:i/>
          <w:iCs/>
        </w:rPr>
        <w:t>The redacted values correspond to the following ranges:</w:t>
      </w:r>
    </w:p>
    <w:p w14:paraId="002D114D" w14:textId="71012DC1" w:rsidR="00D82DFC" w:rsidRDefault="00C26341" w:rsidP="00A43E64">
      <w:pPr>
        <w:pStyle w:val="TableFigureFooter"/>
        <w:rPr>
          <w:rFonts w:eastAsia="Calibri"/>
          <w:i/>
          <w:iCs/>
        </w:rPr>
      </w:pPr>
      <w:r>
        <w:rPr>
          <w:rFonts w:eastAsia="Calibri"/>
          <w:i/>
          <w:iCs/>
          <w:vertAlign w:val="superscript"/>
        </w:rPr>
        <w:t>1</w:t>
      </w:r>
      <w:r w:rsidRPr="00C26341">
        <w:rPr>
          <w:rFonts w:eastAsia="Calibri"/>
          <w:i/>
          <w:iCs/>
        </w:rPr>
        <w:t>$95,000 to &lt; $115,000</w:t>
      </w:r>
    </w:p>
    <w:p w14:paraId="554527DE" w14:textId="1901E136" w:rsidR="00C26341" w:rsidRDefault="00C26341" w:rsidP="00A43E64">
      <w:pPr>
        <w:pStyle w:val="TableFigureFooter"/>
        <w:rPr>
          <w:rFonts w:eastAsia="Calibri"/>
          <w:i/>
          <w:iCs/>
        </w:rPr>
      </w:pPr>
      <w:r>
        <w:rPr>
          <w:rFonts w:eastAsia="Calibri"/>
          <w:i/>
          <w:iCs/>
          <w:vertAlign w:val="superscript"/>
        </w:rPr>
        <w:t>2</w:t>
      </w:r>
      <w:r w:rsidRPr="00C26341">
        <w:rPr>
          <w:rFonts w:eastAsia="Calibri"/>
          <w:i/>
          <w:iCs/>
        </w:rPr>
        <w:t>$55,000 to &lt; $75,000</w:t>
      </w:r>
    </w:p>
    <w:p w14:paraId="7829852B" w14:textId="1273ABF4" w:rsidR="00C26341" w:rsidRDefault="00C26341" w:rsidP="00A43E64">
      <w:pPr>
        <w:pStyle w:val="TableFigureFooter"/>
        <w:rPr>
          <w:rFonts w:eastAsia="Calibri"/>
          <w:i/>
          <w:iCs/>
        </w:rPr>
      </w:pPr>
      <w:r>
        <w:rPr>
          <w:rFonts w:eastAsia="Calibri"/>
          <w:i/>
          <w:iCs/>
          <w:vertAlign w:val="superscript"/>
        </w:rPr>
        <w:t>3</w:t>
      </w:r>
      <w:r w:rsidRPr="00C26341">
        <w:rPr>
          <w:rFonts w:eastAsia="Calibri"/>
          <w:i/>
          <w:iCs/>
        </w:rPr>
        <w:t>$5,000 to &lt; $15,000</w:t>
      </w:r>
    </w:p>
    <w:p w14:paraId="7A986835" w14:textId="495CAB44" w:rsidR="00C26341" w:rsidRDefault="00C26341" w:rsidP="00A43E64">
      <w:pPr>
        <w:pStyle w:val="TableFigureFooter"/>
        <w:rPr>
          <w:rFonts w:eastAsia="Calibri"/>
          <w:i/>
          <w:iCs/>
        </w:rPr>
      </w:pPr>
      <w:r>
        <w:rPr>
          <w:rFonts w:eastAsia="Calibri"/>
          <w:i/>
          <w:iCs/>
          <w:vertAlign w:val="superscript"/>
        </w:rPr>
        <w:t>4</w:t>
      </w:r>
      <w:r w:rsidRPr="00C26341">
        <w:rPr>
          <w:rFonts w:eastAsia="Calibri"/>
          <w:i/>
          <w:iCs/>
        </w:rPr>
        <w:t>$0 to &lt; $5,000</w:t>
      </w:r>
    </w:p>
    <w:p w14:paraId="03232859" w14:textId="5F03D62A" w:rsidR="00C26341" w:rsidRDefault="00C26341" w:rsidP="00A43E64">
      <w:pPr>
        <w:pStyle w:val="TableFigureFooter"/>
        <w:rPr>
          <w:rFonts w:eastAsia="Calibri"/>
          <w:i/>
          <w:iCs/>
        </w:rPr>
      </w:pPr>
      <w:r>
        <w:rPr>
          <w:rFonts w:eastAsia="Calibri"/>
          <w:i/>
          <w:iCs/>
          <w:vertAlign w:val="superscript"/>
        </w:rPr>
        <w:t>5</w:t>
      </w:r>
      <w:r w:rsidRPr="00C26341">
        <w:rPr>
          <w:rFonts w:eastAsia="Calibri"/>
          <w:i/>
          <w:iCs/>
        </w:rPr>
        <w:t>$35,000 to &lt; $45,000</w:t>
      </w:r>
    </w:p>
    <w:p w14:paraId="313BE918" w14:textId="6CF116EE" w:rsidR="00C26341" w:rsidRPr="001D6304" w:rsidRDefault="00C26341" w:rsidP="00A43E64">
      <w:pPr>
        <w:pStyle w:val="TableFigureFooter"/>
        <w:rPr>
          <w:rFonts w:eastAsia="Calibri"/>
          <w:i/>
          <w:iCs/>
        </w:rPr>
      </w:pPr>
      <w:r>
        <w:rPr>
          <w:rFonts w:eastAsia="Calibri"/>
          <w:i/>
          <w:iCs/>
          <w:vertAlign w:val="superscript"/>
        </w:rPr>
        <w:t>6</w:t>
      </w:r>
      <w:r w:rsidRPr="00C26341">
        <w:rPr>
          <w:rFonts w:eastAsia="Calibri"/>
          <w:i/>
          <w:iCs/>
        </w:rPr>
        <w:t>$25,000 to &lt; $35,000</w:t>
      </w:r>
    </w:p>
    <w:p w14:paraId="208E4D53" w14:textId="77777777" w:rsidR="00A43E64" w:rsidRPr="00E03734" w:rsidRDefault="00A43E64" w:rsidP="00A43E64">
      <w:pPr>
        <w:pStyle w:val="TableHeading0"/>
      </w:pPr>
    </w:p>
    <w:p w14:paraId="4D1779BE" w14:textId="518D3747" w:rsidR="009C29A2" w:rsidRPr="00001499" w:rsidRDefault="009C29A2" w:rsidP="00474E6F">
      <w:pPr>
        <w:pStyle w:val="4-SubsectionHeading"/>
        <w:widowControl w:val="0"/>
      </w:pPr>
      <w:bookmarkStart w:id="84" w:name="_Toc93410959"/>
      <w:r w:rsidRPr="00001499">
        <w:t>Vaccine cost/patient/year</w:t>
      </w:r>
      <w:bookmarkEnd w:id="78"/>
      <w:bookmarkEnd w:id="79"/>
      <w:bookmarkEnd w:id="84"/>
    </w:p>
    <w:p w14:paraId="18A64F95" w14:textId="0AD86239" w:rsidR="009C29A2" w:rsidRPr="00001499" w:rsidRDefault="00E03734" w:rsidP="00474E6F">
      <w:pPr>
        <w:pStyle w:val="TableHeading0"/>
        <w:rPr>
          <w:rStyle w:val="CommentReference"/>
          <w:b/>
          <w:szCs w:val="24"/>
        </w:rPr>
      </w:pPr>
      <w:r w:rsidRPr="00E03734">
        <w:rPr>
          <w:szCs w:val="24"/>
        </w:rPr>
        <w:t xml:space="preserve">Table </w:t>
      </w:r>
      <w:r w:rsidRPr="00F544CE">
        <w:rPr>
          <w:szCs w:val="24"/>
        </w:rPr>
        <w:fldChar w:fldCharType="begin" w:fldLock="1"/>
      </w:r>
      <w:r w:rsidRPr="00F544CE">
        <w:rPr>
          <w:szCs w:val="24"/>
        </w:rPr>
        <w:instrText xml:space="preserve"> SEQ Table \* ARABIC </w:instrText>
      </w:r>
      <w:r w:rsidRPr="00F544CE">
        <w:rPr>
          <w:szCs w:val="24"/>
        </w:rPr>
        <w:fldChar w:fldCharType="separate"/>
      </w:r>
      <w:r w:rsidR="005C1FE9">
        <w:rPr>
          <w:noProof/>
          <w:szCs w:val="24"/>
        </w:rPr>
        <w:t>19</w:t>
      </w:r>
      <w:r w:rsidRPr="00F544CE">
        <w:rPr>
          <w:szCs w:val="24"/>
        </w:rPr>
        <w:fldChar w:fldCharType="end"/>
      </w:r>
      <w:r w:rsidR="009C29A2" w:rsidRPr="00001499">
        <w:rPr>
          <w:rStyle w:val="CommentReference"/>
          <w:b/>
          <w:szCs w:val="24"/>
        </w:rPr>
        <w:t>: Drug cost per patient for QIVc and QIVe</w:t>
      </w:r>
      <w:r w:rsidR="00431CC7">
        <w:rPr>
          <w:rStyle w:val="CommentReference"/>
          <w:b/>
          <w:szCs w:val="24"/>
        </w:rPr>
        <w:t xml:space="preserve"> (as </w:t>
      </w:r>
      <w:r w:rsidR="00307843">
        <w:rPr>
          <w:rStyle w:val="CommentReference"/>
          <w:b/>
          <w:szCs w:val="24"/>
        </w:rPr>
        <w:t>proposed</w:t>
      </w:r>
      <w:r w:rsidR="00431CC7">
        <w:rPr>
          <w:rStyle w:val="CommentReference"/>
          <w:b/>
          <w:szCs w:val="24"/>
        </w:rPr>
        <w:t xml:space="preserve"> in the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Drug cost per patient for QIVc and QIVe (as proposed in the submission)"/>
      </w:tblPr>
      <w:tblGrid>
        <w:gridCol w:w="1502"/>
        <w:gridCol w:w="1503"/>
        <w:gridCol w:w="1503"/>
        <w:gridCol w:w="1503"/>
        <w:gridCol w:w="1503"/>
        <w:gridCol w:w="1503"/>
      </w:tblGrid>
      <w:tr w:rsidR="009C29A2" w:rsidRPr="00001499" w14:paraId="1CB98B7F" w14:textId="77777777" w:rsidTr="00FC7A97">
        <w:trPr>
          <w:cantSplit/>
          <w:tblHeader/>
          <w:jc w:val="center"/>
        </w:trPr>
        <w:tc>
          <w:tcPr>
            <w:tcW w:w="1502" w:type="dxa"/>
            <w:shd w:val="clear" w:color="auto" w:fill="auto"/>
            <w:vAlign w:val="center"/>
          </w:tcPr>
          <w:p w14:paraId="3F47CDA3" w14:textId="77777777" w:rsidR="009C29A2" w:rsidRPr="00001499" w:rsidRDefault="009C29A2" w:rsidP="00404917">
            <w:pPr>
              <w:pStyle w:val="In-tableHeading"/>
              <w:widowControl w:val="0"/>
              <w:jc w:val="center"/>
              <w:rPr>
                <w:lang w:val="en-AU"/>
              </w:rPr>
            </w:pPr>
          </w:p>
        </w:tc>
        <w:tc>
          <w:tcPr>
            <w:tcW w:w="1503" w:type="dxa"/>
            <w:shd w:val="clear" w:color="auto" w:fill="auto"/>
            <w:vAlign w:val="center"/>
          </w:tcPr>
          <w:p w14:paraId="40A8BD22" w14:textId="77777777" w:rsidR="009C29A2" w:rsidRPr="00001499" w:rsidRDefault="009C29A2" w:rsidP="00404917">
            <w:pPr>
              <w:pStyle w:val="In-tableHeading"/>
              <w:widowControl w:val="0"/>
              <w:jc w:val="center"/>
              <w:rPr>
                <w:lang w:val="en-AU"/>
              </w:rPr>
            </w:pPr>
            <w:r w:rsidRPr="00001499">
              <w:rPr>
                <w:lang w:val="en-AU"/>
              </w:rPr>
              <w:t>QIVc / QIVe</w:t>
            </w:r>
          </w:p>
          <w:p w14:paraId="246C8FCE" w14:textId="77777777" w:rsidR="009C29A2" w:rsidRPr="00001499" w:rsidRDefault="009C29A2" w:rsidP="00404917">
            <w:pPr>
              <w:pStyle w:val="In-tableHeading"/>
              <w:widowControl w:val="0"/>
              <w:jc w:val="center"/>
              <w:rPr>
                <w:lang w:val="en-AU"/>
              </w:rPr>
            </w:pPr>
            <w:r w:rsidRPr="00001499">
              <w:rPr>
                <w:lang w:val="en-AU"/>
              </w:rPr>
              <w:t>Recommended dose and frequency</w:t>
            </w:r>
          </w:p>
        </w:tc>
        <w:tc>
          <w:tcPr>
            <w:tcW w:w="1503" w:type="dxa"/>
            <w:shd w:val="clear" w:color="auto" w:fill="auto"/>
            <w:vAlign w:val="center"/>
          </w:tcPr>
          <w:p w14:paraId="73D58C21" w14:textId="77777777" w:rsidR="009C29A2" w:rsidRPr="00001499" w:rsidRDefault="009C29A2" w:rsidP="00404917">
            <w:pPr>
              <w:pStyle w:val="In-tableHeading"/>
              <w:widowControl w:val="0"/>
              <w:jc w:val="center"/>
              <w:rPr>
                <w:lang w:val="en-AU"/>
              </w:rPr>
            </w:pPr>
            <w:r w:rsidRPr="00001499">
              <w:rPr>
                <w:lang w:val="en-AU"/>
              </w:rPr>
              <w:t>QIVc</w:t>
            </w:r>
          </w:p>
          <w:p w14:paraId="626DB3F7" w14:textId="77777777" w:rsidR="009C29A2" w:rsidRPr="00001499" w:rsidRDefault="009C29A2" w:rsidP="00404917">
            <w:pPr>
              <w:pStyle w:val="In-tableHeading"/>
              <w:widowControl w:val="0"/>
              <w:jc w:val="center"/>
              <w:rPr>
                <w:lang w:val="en-AU"/>
              </w:rPr>
            </w:pPr>
            <w:r w:rsidRPr="00001499">
              <w:rPr>
                <w:lang w:val="en-AU"/>
              </w:rPr>
              <w:t>Model</w:t>
            </w:r>
          </w:p>
        </w:tc>
        <w:tc>
          <w:tcPr>
            <w:tcW w:w="1503" w:type="dxa"/>
            <w:shd w:val="clear" w:color="auto" w:fill="auto"/>
            <w:vAlign w:val="center"/>
          </w:tcPr>
          <w:p w14:paraId="259DECD0" w14:textId="77777777" w:rsidR="009C29A2" w:rsidRPr="00001499" w:rsidRDefault="009C29A2" w:rsidP="00404917">
            <w:pPr>
              <w:pStyle w:val="In-tableHeading"/>
              <w:widowControl w:val="0"/>
              <w:jc w:val="center"/>
              <w:rPr>
                <w:lang w:val="en-AU"/>
              </w:rPr>
            </w:pPr>
            <w:r w:rsidRPr="00001499">
              <w:rPr>
                <w:lang w:val="en-AU"/>
              </w:rPr>
              <w:t>QIVc</w:t>
            </w:r>
          </w:p>
          <w:p w14:paraId="3692B87C" w14:textId="77777777" w:rsidR="009C29A2" w:rsidRPr="00001499" w:rsidRDefault="009C29A2" w:rsidP="00404917">
            <w:pPr>
              <w:pStyle w:val="In-tableHeading"/>
              <w:widowControl w:val="0"/>
              <w:jc w:val="center"/>
              <w:rPr>
                <w:lang w:val="en-AU"/>
              </w:rPr>
            </w:pPr>
            <w:r w:rsidRPr="00001499">
              <w:rPr>
                <w:lang w:val="en-AU"/>
              </w:rPr>
              <w:t>Financial estimates</w:t>
            </w:r>
          </w:p>
        </w:tc>
        <w:tc>
          <w:tcPr>
            <w:tcW w:w="1503" w:type="dxa"/>
            <w:vAlign w:val="center"/>
          </w:tcPr>
          <w:p w14:paraId="35BC4D7B" w14:textId="77777777" w:rsidR="009C29A2" w:rsidRPr="00001499" w:rsidRDefault="009C29A2" w:rsidP="00404917">
            <w:pPr>
              <w:pStyle w:val="In-tableHeading"/>
              <w:widowControl w:val="0"/>
              <w:jc w:val="center"/>
              <w:rPr>
                <w:lang w:val="en-AU"/>
              </w:rPr>
            </w:pPr>
            <w:r w:rsidRPr="00001499">
              <w:rPr>
                <w:lang w:val="en-AU"/>
              </w:rPr>
              <w:t>QIVe</w:t>
            </w:r>
          </w:p>
          <w:p w14:paraId="13F538C2" w14:textId="77777777" w:rsidR="009C29A2" w:rsidRPr="00001499" w:rsidRDefault="009C29A2" w:rsidP="00404917">
            <w:pPr>
              <w:pStyle w:val="In-tableHeading"/>
              <w:widowControl w:val="0"/>
              <w:jc w:val="center"/>
              <w:rPr>
                <w:lang w:val="en-AU"/>
              </w:rPr>
            </w:pPr>
            <w:r w:rsidRPr="00001499">
              <w:rPr>
                <w:lang w:val="en-AU"/>
              </w:rPr>
              <w:t>Model</w:t>
            </w:r>
          </w:p>
        </w:tc>
        <w:tc>
          <w:tcPr>
            <w:tcW w:w="1503" w:type="dxa"/>
            <w:vAlign w:val="center"/>
          </w:tcPr>
          <w:p w14:paraId="418F327C" w14:textId="77777777" w:rsidR="009C29A2" w:rsidRPr="00001499" w:rsidRDefault="009C29A2" w:rsidP="00404917">
            <w:pPr>
              <w:pStyle w:val="In-tableHeading"/>
              <w:widowControl w:val="0"/>
              <w:jc w:val="center"/>
              <w:rPr>
                <w:lang w:val="en-AU"/>
              </w:rPr>
            </w:pPr>
            <w:r w:rsidRPr="00001499">
              <w:rPr>
                <w:lang w:val="en-AU"/>
              </w:rPr>
              <w:t>QIVe</w:t>
            </w:r>
          </w:p>
          <w:p w14:paraId="2D9087E1" w14:textId="77777777" w:rsidR="009C29A2" w:rsidRPr="00001499" w:rsidRDefault="009C29A2" w:rsidP="00404917">
            <w:pPr>
              <w:pStyle w:val="In-tableHeading"/>
              <w:widowControl w:val="0"/>
              <w:jc w:val="center"/>
              <w:rPr>
                <w:lang w:val="en-AU"/>
              </w:rPr>
            </w:pPr>
            <w:r w:rsidRPr="00001499">
              <w:rPr>
                <w:lang w:val="en-AU"/>
              </w:rPr>
              <w:t>Financial estimates</w:t>
            </w:r>
          </w:p>
        </w:tc>
      </w:tr>
      <w:tr w:rsidR="009C29A2" w:rsidRPr="00001499" w14:paraId="7317D4C2" w14:textId="77777777" w:rsidTr="00FC7A97">
        <w:trPr>
          <w:cantSplit/>
          <w:jc w:val="center"/>
        </w:trPr>
        <w:tc>
          <w:tcPr>
            <w:tcW w:w="1502" w:type="dxa"/>
            <w:shd w:val="clear" w:color="auto" w:fill="auto"/>
            <w:vAlign w:val="center"/>
          </w:tcPr>
          <w:p w14:paraId="152948ED" w14:textId="77777777" w:rsidR="009C29A2" w:rsidRPr="00001499" w:rsidRDefault="009C29A2" w:rsidP="00404917">
            <w:pPr>
              <w:pStyle w:val="TableText0"/>
              <w:widowControl w:val="0"/>
            </w:pPr>
            <w:r w:rsidRPr="00001499">
              <w:t>Dose</w:t>
            </w:r>
          </w:p>
        </w:tc>
        <w:tc>
          <w:tcPr>
            <w:tcW w:w="1503" w:type="dxa"/>
            <w:shd w:val="clear" w:color="auto" w:fill="auto"/>
            <w:vAlign w:val="center"/>
          </w:tcPr>
          <w:p w14:paraId="6BDF7201" w14:textId="77777777" w:rsidR="009C29A2" w:rsidRPr="00001499" w:rsidRDefault="009C29A2" w:rsidP="00404917">
            <w:pPr>
              <w:pStyle w:val="TableText0"/>
              <w:widowControl w:val="0"/>
              <w:jc w:val="center"/>
              <w:rPr>
                <w:bCs w:val="0"/>
                <w:vertAlign w:val="superscript"/>
              </w:rPr>
            </w:pPr>
            <w:r w:rsidRPr="00001499">
              <w:rPr>
                <w:bCs w:val="0"/>
              </w:rPr>
              <w:t xml:space="preserve">1 dose </w:t>
            </w:r>
            <w:r w:rsidRPr="00001499">
              <w:rPr>
                <w:bCs w:val="0"/>
                <w:vertAlign w:val="superscript"/>
              </w:rPr>
              <w:t>1</w:t>
            </w:r>
          </w:p>
        </w:tc>
        <w:tc>
          <w:tcPr>
            <w:tcW w:w="1503" w:type="dxa"/>
            <w:shd w:val="clear" w:color="auto" w:fill="auto"/>
            <w:vAlign w:val="center"/>
          </w:tcPr>
          <w:p w14:paraId="76257C42" w14:textId="77777777" w:rsidR="009C29A2" w:rsidRPr="00001499" w:rsidRDefault="009C29A2" w:rsidP="00404917">
            <w:pPr>
              <w:pStyle w:val="TableText0"/>
              <w:widowControl w:val="0"/>
              <w:jc w:val="center"/>
              <w:rPr>
                <w:bCs w:val="0"/>
              </w:rPr>
            </w:pPr>
            <w:r w:rsidRPr="00001499">
              <w:rPr>
                <w:bCs w:val="0"/>
              </w:rPr>
              <w:t xml:space="preserve">1 dose </w:t>
            </w:r>
          </w:p>
          <w:p w14:paraId="171CDF66" w14:textId="77777777" w:rsidR="009C29A2" w:rsidRPr="00001499" w:rsidRDefault="009C29A2" w:rsidP="00404917">
            <w:pPr>
              <w:pStyle w:val="TableText0"/>
              <w:widowControl w:val="0"/>
              <w:jc w:val="center"/>
              <w:rPr>
                <w:bCs w:val="0"/>
              </w:rPr>
            </w:pPr>
            <w:r w:rsidRPr="00001499">
              <w:rPr>
                <w:bCs w:val="0"/>
              </w:rPr>
              <w:t xml:space="preserve">[1.17 for children </w:t>
            </w:r>
            <w:r w:rsidRPr="00001499">
              <w:rPr>
                <w:bCs w:val="0"/>
              </w:rPr>
              <w:br/>
              <w:t>2-4 years]</w:t>
            </w:r>
          </w:p>
        </w:tc>
        <w:tc>
          <w:tcPr>
            <w:tcW w:w="1503" w:type="dxa"/>
            <w:shd w:val="clear" w:color="auto" w:fill="auto"/>
            <w:vAlign w:val="center"/>
          </w:tcPr>
          <w:p w14:paraId="49B3036D" w14:textId="77777777" w:rsidR="009C29A2" w:rsidRPr="00001499" w:rsidRDefault="009C29A2" w:rsidP="00404917">
            <w:pPr>
              <w:pStyle w:val="TableText0"/>
              <w:widowControl w:val="0"/>
              <w:jc w:val="center"/>
              <w:rPr>
                <w:bCs w:val="0"/>
              </w:rPr>
            </w:pPr>
            <w:r w:rsidRPr="00001499">
              <w:rPr>
                <w:bCs w:val="0"/>
              </w:rPr>
              <w:t xml:space="preserve">1 dose </w:t>
            </w:r>
          </w:p>
          <w:p w14:paraId="73974F5A" w14:textId="77777777" w:rsidR="009C29A2" w:rsidRPr="00001499" w:rsidRDefault="009C29A2" w:rsidP="00404917">
            <w:pPr>
              <w:pStyle w:val="TableText0"/>
              <w:widowControl w:val="0"/>
              <w:jc w:val="center"/>
              <w:rPr>
                <w:bCs w:val="0"/>
              </w:rPr>
            </w:pPr>
            <w:r w:rsidRPr="00001499">
              <w:rPr>
                <w:bCs w:val="0"/>
              </w:rPr>
              <w:t xml:space="preserve">[1.17 for children </w:t>
            </w:r>
            <w:r w:rsidRPr="00001499">
              <w:rPr>
                <w:bCs w:val="0"/>
              </w:rPr>
              <w:br/>
              <w:t>2-4 years]</w:t>
            </w:r>
          </w:p>
        </w:tc>
        <w:tc>
          <w:tcPr>
            <w:tcW w:w="1503" w:type="dxa"/>
            <w:vAlign w:val="center"/>
          </w:tcPr>
          <w:p w14:paraId="0ECC18F9" w14:textId="77777777" w:rsidR="009C29A2" w:rsidRPr="00001499" w:rsidRDefault="009C29A2" w:rsidP="00404917">
            <w:pPr>
              <w:pStyle w:val="TableText0"/>
              <w:widowControl w:val="0"/>
              <w:jc w:val="center"/>
              <w:rPr>
                <w:bCs w:val="0"/>
              </w:rPr>
            </w:pPr>
            <w:r w:rsidRPr="00001499">
              <w:rPr>
                <w:bCs w:val="0"/>
              </w:rPr>
              <w:t xml:space="preserve">1 dose </w:t>
            </w:r>
          </w:p>
          <w:p w14:paraId="46E6C3E0" w14:textId="77777777" w:rsidR="009C29A2" w:rsidRPr="00001499" w:rsidRDefault="009C29A2" w:rsidP="00404917">
            <w:pPr>
              <w:pStyle w:val="TableText0"/>
              <w:widowControl w:val="0"/>
              <w:jc w:val="center"/>
              <w:rPr>
                <w:bCs w:val="0"/>
              </w:rPr>
            </w:pPr>
            <w:r w:rsidRPr="00001499">
              <w:rPr>
                <w:bCs w:val="0"/>
              </w:rPr>
              <w:t>[1.17 for children 2-4 years]</w:t>
            </w:r>
          </w:p>
        </w:tc>
        <w:tc>
          <w:tcPr>
            <w:tcW w:w="1503" w:type="dxa"/>
            <w:vAlign w:val="center"/>
          </w:tcPr>
          <w:p w14:paraId="1DF543CA" w14:textId="77777777" w:rsidR="009C29A2" w:rsidRPr="00001499" w:rsidRDefault="009C29A2" w:rsidP="00404917">
            <w:pPr>
              <w:pStyle w:val="TableText0"/>
              <w:widowControl w:val="0"/>
              <w:jc w:val="center"/>
              <w:rPr>
                <w:bCs w:val="0"/>
              </w:rPr>
            </w:pPr>
            <w:r w:rsidRPr="00001499">
              <w:rPr>
                <w:bCs w:val="0"/>
              </w:rPr>
              <w:t xml:space="preserve">1 dose </w:t>
            </w:r>
          </w:p>
          <w:p w14:paraId="653666EF" w14:textId="77777777" w:rsidR="009C29A2" w:rsidRPr="00001499" w:rsidRDefault="009C29A2" w:rsidP="00404917">
            <w:pPr>
              <w:pStyle w:val="TableText0"/>
              <w:widowControl w:val="0"/>
              <w:jc w:val="center"/>
              <w:rPr>
                <w:bCs w:val="0"/>
              </w:rPr>
            </w:pPr>
            <w:r w:rsidRPr="00001499">
              <w:rPr>
                <w:bCs w:val="0"/>
              </w:rPr>
              <w:t>[1.17 for children 2-4 years]</w:t>
            </w:r>
          </w:p>
        </w:tc>
      </w:tr>
      <w:tr w:rsidR="009C29A2" w:rsidRPr="00001499" w14:paraId="6EDC31CA" w14:textId="77777777" w:rsidTr="00FC7A97">
        <w:trPr>
          <w:cantSplit/>
          <w:jc w:val="center"/>
        </w:trPr>
        <w:tc>
          <w:tcPr>
            <w:tcW w:w="1502" w:type="dxa"/>
            <w:shd w:val="clear" w:color="auto" w:fill="auto"/>
            <w:vAlign w:val="center"/>
          </w:tcPr>
          <w:p w14:paraId="744A12EE" w14:textId="77777777" w:rsidR="009C29A2" w:rsidRPr="00001499" w:rsidRDefault="009C29A2" w:rsidP="00404917">
            <w:pPr>
              <w:pStyle w:val="TableText0"/>
              <w:widowControl w:val="0"/>
            </w:pPr>
            <w:r w:rsidRPr="00001499">
              <w:t>Frequency</w:t>
            </w:r>
          </w:p>
        </w:tc>
        <w:tc>
          <w:tcPr>
            <w:tcW w:w="1503" w:type="dxa"/>
            <w:shd w:val="clear" w:color="auto" w:fill="auto"/>
            <w:vAlign w:val="center"/>
          </w:tcPr>
          <w:p w14:paraId="58C5296C" w14:textId="77777777" w:rsidR="009C29A2" w:rsidRPr="00001499" w:rsidRDefault="009C29A2" w:rsidP="00404917">
            <w:pPr>
              <w:pStyle w:val="TableText0"/>
              <w:widowControl w:val="0"/>
              <w:jc w:val="center"/>
              <w:rPr>
                <w:bCs w:val="0"/>
              </w:rPr>
            </w:pPr>
            <w:r w:rsidRPr="00001499">
              <w:rPr>
                <w:bCs w:val="0"/>
              </w:rPr>
              <w:t xml:space="preserve">Once a year </w:t>
            </w:r>
            <w:r w:rsidRPr="00001499">
              <w:rPr>
                <w:bCs w:val="0"/>
                <w:vertAlign w:val="superscript"/>
              </w:rPr>
              <w:t>1</w:t>
            </w:r>
          </w:p>
        </w:tc>
        <w:tc>
          <w:tcPr>
            <w:tcW w:w="1503" w:type="dxa"/>
            <w:shd w:val="clear" w:color="auto" w:fill="auto"/>
            <w:vAlign w:val="center"/>
          </w:tcPr>
          <w:p w14:paraId="1ED302E8" w14:textId="77777777" w:rsidR="009C29A2" w:rsidRPr="00001499" w:rsidRDefault="009C29A2" w:rsidP="00404917">
            <w:pPr>
              <w:pStyle w:val="TableText0"/>
              <w:widowControl w:val="0"/>
              <w:jc w:val="center"/>
              <w:rPr>
                <w:bCs w:val="0"/>
              </w:rPr>
            </w:pPr>
            <w:r w:rsidRPr="00001499">
              <w:rPr>
                <w:bCs w:val="0"/>
              </w:rPr>
              <w:t>Once a year</w:t>
            </w:r>
          </w:p>
        </w:tc>
        <w:tc>
          <w:tcPr>
            <w:tcW w:w="1503" w:type="dxa"/>
            <w:shd w:val="clear" w:color="auto" w:fill="auto"/>
            <w:vAlign w:val="center"/>
          </w:tcPr>
          <w:p w14:paraId="20233CA0" w14:textId="77777777" w:rsidR="009C29A2" w:rsidRPr="00001499" w:rsidRDefault="009C29A2" w:rsidP="00404917">
            <w:pPr>
              <w:pStyle w:val="TableText0"/>
              <w:widowControl w:val="0"/>
              <w:jc w:val="center"/>
              <w:rPr>
                <w:bCs w:val="0"/>
              </w:rPr>
            </w:pPr>
            <w:r w:rsidRPr="00001499">
              <w:rPr>
                <w:bCs w:val="0"/>
              </w:rPr>
              <w:t>Once a year</w:t>
            </w:r>
          </w:p>
        </w:tc>
        <w:tc>
          <w:tcPr>
            <w:tcW w:w="1503" w:type="dxa"/>
            <w:vAlign w:val="center"/>
          </w:tcPr>
          <w:p w14:paraId="02D97E66" w14:textId="77777777" w:rsidR="009C29A2" w:rsidRPr="00001499" w:rsidRDefault="009C29A2" w:rsidP="00404917">
            <w:pPr>
              <w:pStyle w:val="TableText0"/>
              <w:widowControl w:val="0"/>
              <w:jc w:val="center"/>
              <w:rPr>
                <w:bCs w:val="0"/>
              </w:rPr>
            </w:pPr>
            <w:r w:rsidRPr="00001499">
              <w:rPr>
                <w:bCs w:val="0"/>
              </w:rPr>
              <w:t>Once a year</w:t>
            </w:r>
          </w:p>
        </w:tc>
        <w:tc>
          <w:tcPr>
            <w:tcW w:w="1503" w:type="dxa"/>
            <w:vAlign w:val="center"/>
          </w:tcPr>
          <w:p w14:paraId="6CD2D256" w14:textId="77777777" w:rsidR="009C29A2" w:rsidRPr="00001499" w:rsidRDefault="009C29A2" w:rsidP="00404917">
            <w:pPr>
              <w:pStyle w:val="TableText0"/>
              <w:widowControl w:val="0"/>
              <w:jc w:val="center"/>
              <w:rPr>
                <w:bCs w:val="0"/>
              </w:rPr>
            </w:pPr>
            <w:r w:rsidRPr="00001499">
              <w:rPr>
                <w:bCs w:val="0"/>
              </w:rPr>
              <w:t>Once a year</w:t>
            </w:r>
          </w:p>
        </w:tc>
      </w:tr>
      <w:tr w:rsidR="009C29A2" w:rsidRPr="00001499" w14:paraId="4FBC3097" w14:textId="77777777" w:rsidTr="00FC7A97">
        <w:trPr>
          <w:cantSplit/>
          <w:jc w:val="center"/>
        </w:trPr>
        <w:tc>
          <w:tcPr>
            <w:tcW w:w="1502" w:type="dxa"/>
            <w:shd w:val="clear" w:color="auto" w:fill="auto"/>
            <w:vAlign w:val="center"/>
          </w:tcPr>
          <w:p w14:paraId="106F0F97" w14:textId="77777777" w:rsidR="009C29A2" w:rsidRPr="00001499" w:rsidRDefault="009C29A2" w:rsidP="00404917">
            <w:pPr>
              <w:pStyle w:val="TableText0"/>
              <w:widowControl w:val="0"/>
            </w:pPr>
            <w:r w:rsidRPr="00001499">
              <w:t>Cost/patient/year</w:t>
            </w:r>
          </w:p>
        </w:tc>
        <w:tc>
          <w:tcPr>
            <w:tcW w:w="1503" w:type="dxa"/>
            <w:shd w:val="clear" w:color="auto" w:fill="auto"/>
            <w:vAlign w:val="center"/>
          </w:tcPr>
          <w:p w14:paraId="0FB5DB6A" w14:textId="361F21A8" w:rsidR="009C29A2" w:rsidRPr="00001499" w:rsidRDefault="009C29A2" w:rsidP="00404917">
            <w:pPr>
              <w:pStyle w:val="TableText0"/>
              <w:widowControl w:val="0"/>
              <w:jc w:val="center"/>
              <w:rPr>
                <w:bCs w:val="0"/>
              </w:rPr>
            </w:pPr>
            <w:r w:rsidRPr="00001499">
              <w:rPr>
                <w:bCs w:val="0"/>
              </w:rPr>
              <w:t>$</w:t>
            </w:r>
            <w:r w:rsidR="00D76B55" w:rsidRPr="00D76B55">
              <w:rPr>
                <w:bCs w:val="0"/>
                <w:color w:val="000000"/>
                <w:spacing w:val="69"/>
                <w:shd w:val="solid" w:color="000000" w:fill="000000"/>
                <w:fitText w:val="155" w:id="-1404292598"/>
                <w14:textFill>
                  <w14:solidFill>
                    <w14:srgbClr w14:val="000000">
                      <w14:alpha w14:val="100000"/>
                    </w14:srgbClr>
                  </w14:solidFill>
                </w14:textFill>
              </w:rPr>
              <w:t>|</w:t>
            </w:r>
            <w:r w:rsidR="00D76B55" w:rsidRPr="00D76B55">
              <w:rPr>
                <w:bCs w:val="0"/>
                <w:color w:val="000000"/>
                <w:spacing w:val="1"/>
                <w:shd w:val="solid" w:color="000000" w:fill="000000"/>
                <w:fitText w:val="155" w:id="-1404292598"/>
                <w14:textFill>
                  <w14:solidFill>
                    <w14:srgbClr w14:val="000000">
                      <w14:alpha w14:val="100000"/>
                    </w14:srgbClr>
                  </w14:solidFill>
                </w14:textFill>
              </w:rPr>
              <w:t>|</w:t>
            </w:r>
          </w:p>
        </w:tc>
        <w:tc>
          <w:tcPr>
            <w:tcW w:w="1503" w:type="dxa"/>
            <w:shd w:val="clear" w:color="auto" w:fill="auto"/>
            <w:vAlign w:val="center"/>
          </w:tcPr>
          <w:p w14:paraId="4EAF36E4" w14:textId="69A41FF3" w:rsidR="009C29A2" w:rsidRPr="00001499" w:rsidRDefault="009C29A2" w:rsidP="00404917">
            <w:pPr>
              <w:pStyle w:val="TableText0"/>
              <w:widowControl w:val="0"/>
              <w:jc w:val="center"/>
              <w:rPr>
                <w:bCs w:val="0"/>
              </w:rPr>
            </w:pPr>
            <w:r w:rsidRPr="00001499">
              <w:rPr>
                <w:bCs w:val="0"/>
              </w:rPr>
              <w:t>$</w:t>
            </w:r>
            <w:r w:rsidR="00D76B55" w:rsidRPr="00D76B55">
              <w:rPr>
                <w:bCs w:val="0"/>
                <w:color w:val="000000"/>
                <w:spacing w:val="69"/>
                <w:shd w:val="solid" w:color="000000" w:fill="000000"/>
                <w:fitText w:val="155" w:id="-1404292597"/>
                <w14:textFill>
                  <w14:solidFill>
                    <w14:srgbClr w14:val="000000">
                      <w14:alpha w14:val="100000"/>
                    </w14:srgbClr>
                  </w14:solidFill>
                </w14:textFill>
              </w:rPr>
              <w:t>|</w:t>
            </w:r>
            <w:r w:rsidR="00D76B55" w:rsidRPr="00D76B55">
              <w:rPr>
                <w:bCs w:val="0"/>
                <w:color w:val="000000"/>
                <w:spacing w:val="1"/>
                <w:shd w:val="solid" w:color="000000" w:fill="000000"/>
                <w:fitText w:val="155" w:id="-1404292597"/>
                <w14:textFill>
                  <w14:solidFill>
                    <w14:srgbClr w14:val="000000">
                      <w14:alpha w14:val="100000"/>
                    </w14:srgbClr>
                  </w14:solidFill>
                </w14:textFill>
              </w:rPr>
              <w:t>|</w:t>
            </w:r>
          </w:p>
          <w:p w14:paraId="32D9AA50" w14:textId="29E2EA82" w:rsidR="009C29A2" w:rsidRPr="00001499" w:rsidRDefault="009C29A2" w:rsidP="00404917">
            <w:pPr>
              <w:pStyle w:val="TableText0"/>
              <w:widowControl w:val="0"/>
              <w:jc w:val="center"/>
              <w:rPr>
                <w:bCs w:val="0"/>
              </w:rPr>
            </w:pPr>
            <w:r w:rsidRPr="00001499">
              <w:rPr>
                <w:bCs w:val="0"/>
              </w:rPr>
              <w:t>[$</w:t>
            </w:r>
            <w:r w:rsidR="00D76B55" w:rsidRPr="00D76B55">
              <w:rPr>
                <w:bCs w:val="0"/>
                <w:color w:val="000000"/>
                <w:spacing w:val="213"/>
                <w:shd w:val="solid" w:color="000000" w:fill="000000"/>
                <w:fitText w:val="299" w:id="-1404292596"/>
                <w14:textFill>
                  <w14:solidFill>
                    <w14:srgbClr w14:val="000000">
                      <w14:alpha w14:val="100000"/>
                    </w14:srgbClr>
                  </w14:solidFill>
                </w14:textFill>
              </w:rPr>
              <w:t>|</w:t>
            </w:r>
            <w:r w:rsidR="00D76B55" w:rsidRPr="00D76B55">
              <w:rPr>
                <w:bCs w:val="0"/>
                <w:color w:val="000000"/>
                <w:spacing w:val="1"/>
                <w:shd w:val="solid" w:color="000000" w:fill="000000"/>
                <w:fitText w:val="299" w:id="-1404292596"/>
                <w14:textFill>
                  <w14:solidFill>
                    <w14:srgbClr w14:val="000000">
                      <w14:alpha w14:val="100000"/>
                    </w14:srgbClr>
                  </w14:solidFill>
                </w14:textFill>
              </w:rPr>
              <w:t>|</w:t>
            </w:r>
            <w:r w:rsidRPr="00001499">
              <w:rPr>
                <w:bCs w:val="0"/>
              </w:rPr>
              <w:t xml:space="preserve"> for children 2-4 years]</w:t>
            </w:r>
          </w:p>
        </w:tc>
        <w:tc>
          <w:tcPr>
            <w:tcW w:w="1503" w:type="dxa"/>
            <w:shd w:val="clear" w:color="auto" w:fill="auto"/>
            <w:vAlign w:val="center"/>
          </w:tcPr>
          <w:p w14:paraId="63677E9A" w14:textId="0FB1ED52" w:rsidR="009C29A2" w:rsidRPr="00001499" w:rsidRDefault="009C29A2" w:rsidP="00404917">
            <w:pPr>
              <w:pStyle w:val="TableText0"/>
              <w:widowControl w:val="0"/>
              <w:jc w:val="center"/>
              <w:rPr>
                <w:bCs w:val="0"/>
              </w:rPr>
            </w:pPr>
            <w:r w:rsidRPr="00001499">
              <w:rPr>
                <w:bCs w:val="0"/>
              </w:rPr>
              <w:t>$</w:t>
            </w:r>
            <w:r w:rsidR="00D76B55" w:rsidRPr="00D76B55">
              <w:rPr>
                <w:bCs w:val="0"/>
                <w:color w:val="000000"/>
                <w:spacing w:val="69"/>
                <w:shd w:val="solid" w:color="000000" w:fill="000000"/>
                <w:fitText w:val="155" w:id="-1404292595"/>
                <w14:textFill>
                  <w14:solidFill>
                    <w14:srgbClr w14:val="000000">
                      <w14:alpha w14:val="100000"/>
                    </w14:srgbClr>
                  </w14:solidFill>
                </w14:textFill>
              </w:rPr>
              <w:t>|</w:t>
            </w:r>
            <w:r w:rsidR="00D76B55" w:rsidRPr="00D76B55">
              <w:rPr>
                <w:bCs w:val="0"/>
                <w:color w:val="000000"/>
                <w:spacing w:val="1"/>
                <w:shd w:val="solid" w:color="000000" w:fill="000000"/>
                <w:fitText w:val="155" w:id="-1404292595"/>
                <w14:textFill>
                  <w14:solidFill>
                    <w14:srgbClr w14:val="000000">
                      <w14:alpha w14:val="100000"/>
                    </w14:srgbClr>
                  </w14:solidFill>
                </w14:textFill>
              </w:rPr>
              <w:t>|</w:t>
            </w:r>
          </w:p>
          <w:p w14:paraId="1470B4FC" w14:textId="7950F6AE" w:rsidR="009C29A2" w:rsidRPr="00001499" w:rsidRDefault="009C29A2" w:rsidP="00404917">
            <w:pPr>
              <w:pStyle w:val="TableText0"/>
              <w:widowControl w:val="0"/>
              <w:jc w:val="center"/>
              <w:rPr>
                <w:bCs w:val="0"/>
              </w:rPr>
            </w:pPr>
            <w:r w:rsidRPr="00001499">
              <w:rPr>
                <w:bCs w:val="0"/>
              </w:rPr>
              <w:t>[$</w:t>
            </w:r>
            <w:r w:rsidR="00D76B55" w:rsidRPr="00D76B55">
              <w:rPr>
                <w:bCs w:val="0"/>
                <w:color w:val="000000"/>
                <w:spacing w:val="213"/>
                <w:shd w:val="solid" w:color="000000" w:fill="000000"/>
                <w:fitText w:val="299" w:id="-1404292594"/>
                <w14:textFill>
                  <w14:solidFill>
                    <w14:srgbClr w14:val="000000">
                      <w14:alpha w14:val="100000"/>
                    </w14:srgbClr>
                  </w14:solidFill>
                </w14:textFill>
              </w:rPr>
              <w:t>|</w:t>
            </w:r>
            <w:r w:rsidR="00D76B55" w:rsidRPr="00D76B55">
              <w:rPr>
                <w:bCs w:val="0"/>
                <w:color w:val="000000"/>
                <w:spacing w:val="1"/>
                <w:shd w:val="solid" w:color="000000" w:fill="000000"/>
                <w:fitText w:val="299" w:id="-1404292594"/>
                <w14:textFill>
                  <w14:solidFill>
                    <w14:srgbClr w14:val="000000">
                      <w14:alpha w14:val="100000"/>
                    </w14:srgbClr>
                  </w14:solidFill>
                </w14:textFill>
              </w:rPr>
              <w:t>|</w:t>
            </w:r>
            <w:r w:rsidRPr="00001499">
              <w:rPr>
                <w:bCs w:val="0"/>
              </w:rPr>
              <w:t xml:space="preserve"> for children 2-4 years]</w:t>
            </w:r>
          </w:p>
        </w:tc>
        <w:tc>
          <w:tcPr>
            <w:tcW w:w="1503" w:type="dxa"/>
            <w:vAlign w:val="center"/>
          </w:tcPr>
          <w:p w14:paraId="42DBF59F" w14:textId="16C67B67" w:rsidR="009C29A2" w:rsidRPr="00001499" w:rsidRDefault="009C29A2" w:rsidP="00404917">
            <w:pPr>
              <w:pStyle w:val="TableText0"/>
              <w:widowControl w:val="0"/>
              <w:jc w:val="center"/>
              <w:rPr>
                <w:vertAlign w:val="superscript"/>
              </w:rPr>
            </w:pPr>
            <w:r w:rsidRPr="00001499">
              <w:rPr>
                <w:bCs w:val="0"/>
              </w:rPr>
              <w:t>$</w:t>
            </w:r>
            <w:r w:rsidR="00D76B55" w:rsidRPr="00D76B55">
              <w:rPr>
                <w:bCs w:val="0"/>
                <w:color w:val="000000"/>
                <w:spacing w:val="102"/>
                <w:shd w:val="solid" w:color="000000" w:fill="000000"/>
                <w:fitText w:val="188" w:id="-1404292593"/>
                <w14:textFill>
                  <w14:solidFill>
                    <w14:srgbClr w14:val="000000">
                      <w14:alpha w14:val="100000"/>
                    </w14:srgbClr>
                  </w14:solidFill>
                </w14:textFill>
              </w:rPr>
              <w:t>|</w:t>
            </w:r>
            <w:r w:rsidR="00D76B55" w:rsidRPr="00D76B55">
              <w:rPr>
                <w:bCs w:val="0"/>
                <w:color w:val="000000"/>
                <w:spacing w:val="1"/>
                <w:shd w:val="solid" w:color="000000" w:fill="000000"/>
                <w:fitText w:val="188" w:id="-1404292593"/>
                <w14:textFill>
                  <w14:solidFill>
                    <w14:srgbClr w14:val="000000">
                      <w14:alpha w14:val="100000"/>
                    </w14:srgbClr>
                  </w14:solidFill>
                </w14:textFill>
              </w:rPr>
              <w:t>|</w:t>
            </w:r>
            <w:r w:rsidRPr="00001499">
              <w:rPr>
                <w:bCs w:val="0"/>
                <w:vertAlign w:val="superscript"/>
              </w:rPr>
              <w:t>2</w:t>
            </w:r>
          </w:p>
          <w:p w14:paraId="0B6AB8F2" w14:textId="490640B8" w:rsidR="009C29A2" w:rsidRPr="00001499" w:rsidRDefault="009C29A2" w:rsidP="00404917">
            <w:pPr>
              <w:pStyle w:val="TableText0"/>
              <w:widowControl w:val="0"/>
              <w:jc w:val="center"/>
              <w:rPr>
                <w:bCs w:val="0"/>
              </w:rPr>
            </w:pPr>
            <w:r w:rsidRPr="00001499">
              <w:rPr>
                <w:bCs w:val="0"/>
              </w:rPr>
              <w:t>[$</w:t>
            </w:r>
            <w:r w:rsidR="00D76B55" w:rsidRPr="00D76B55">
              <w:rPr>
                <w:bCs w:val="0"/>
                <w:color w:val="000000"/>
                <w:spacing w:val="213"/>
                <w:shd w:val="solid" w:color="000000" w:fill="000000"/>
                <w:fitText w:val="299" w:id="-1404292592"/>
                <w14:textFill>
                  <w14:solidFill>
                    <w14:srgbClr w14:val="000000">
                      <w14:alpha w14:val="100000"/>
                    </w14:srgbClr>
                  </w14:solidFill>
                </w14:textFill>
              </w:rPr>
              <w:t>|</w:t>
            </w:r>
            <w:r w:rsidR="00D76B55" w:rsidRPr="00D76B55">
              <w:rPr>
                <w:bCs w:val="0"/>
                <w:color w:val="000000"/>
                <w:spacing w:val="1"/>
                <w:shd w:val="solid" w:color="000000" w:fill="000000"/>
                <w:fitText w:val="299" w:id="-1404292592"/>
                <w14:textFill>
                  <w14:solidFill>
                    <w14:srgbClr w14:val="000000">
                      <w14:alpha w14:val="100000"/>
                    </w14:srgbClr>
                  </w14:solidFill>
                </w14:textFill>
              </w:rPr>
              <w:t>|</w:t>
            </w:r>
            <w:r w:rsidRPr="00001499">
              <w:rPr>
                <w:bCs w:val="0"/>
              </w:rPr>
              <w:t xml:space="preserve"> for children </w:t>
            </w:r>
            <w:r w:rsidRPr="00001499">
              <w:rPr>
                <w:bCs w:val="0"/>
              </w:rPr>
              <w:br/>
              <w:t>2-4 years]</w:t>
            </w:r>
          </w:p>
        </w:tc>
        <w:tc>
          <w:tcPr>
            <w:tcW w:w="1503" w:type="dxa"/>
            <w:vAlign w:val="center"/>
          </w:tcPr>
          <w:p w14:paraId="1845C9C6" w14:textId="3E01BA30" w:rsidR="009C29A2" w:rsidRPr="00001499" w:rsidRDefault="009C29A2" w:rsidP="00404917">
            <w:pPr>
              <w:pStyle w:val="TableText0"/>
              <w:widowControl w:val="0"/>
              <w:jc w:val="center"/>
              <w:rPr>
                <w:bCs w:val="0"/>
              </w:rPr>
            </w:pPr>
            <w:r w:rsidRPr="00001499">
              <w:rPr>
                <w:bCs w:val="0"/>
              </w:rPr>
              <w:t>$</w:t>
            </w:r>
            <w:r w:rsidR="00D76B55" w:rsidRPr="00D76B55">
              <w:rPr>
                <w:bCs w:val="0"/>
                <w:color w:val="000000"/>
                <w:spacing w:val="103"/>
                <w:shd w:val="solid" w:color="000000" w:fill="000000"/>
                <w:fitText w:val="189" w:id="-1404292608"/>
                <w14:textFill>
                  <w14:solidFill>
                    <w14:srgbClr w14:val="000000">
                      <w14:alpha w14:val="100000"/>
                    </w14:srgbClr>
                  </w14:solidFill>
                </w14:textFill>
              </w:rPr>
              <w:t>|</w:t>
            </w:r>
            <w:r w:rsidR="00D76B55" w:rsidRPr="00D76B55">
              <w:rPr>
                <w:bCs w:val="0"/>
                <w:color w:val="000000"/>
                <w:spacing w:val="1"/>
                <w:shd w:val="solid" w:color="000000" w:fill="000000"/>
                <w:fitText w:val="189" w:id="-1404292608"/>
                <w14:textFill>
                  <w14:solidFill>
                    <w14:srgbClr w14:val="000000">
                      <w14:alpha w14:val="100000"/>
                    </w14:srgbClr>
                  </w14:solidFill>
                </w14:textFill>
              </w:rPr>
              <w:t>|</w:t>
            </w:r>
            <w:r w:rsidRPr="00001499">
              <w:rPr>
                <w:bCs w:val="0"/>
                <w:vertAlign w:val="superscript"/>
              </w:rPr>
              <w:t>2</w:t>
            </w:r>
          </w:p>
          <w:p w14:paraId="485A6AB3" w14:textId="54B7348D" w:rsidR="009C29A2" w:rsidRPr="00001499" w:rsidRDefault="009C29A2" w:rsidP="00404917">
            <w:pPr>
              <w:pStyle w:val="TableText0"/>
              <w:widowControl w:val="0"/>
              <w:jc w:val="center"/>
              <w:rPr>
                <w:bCs w:val="0"/>
              </w:rPr>
            </w:pPr>
            <w:r w:rsidRPr="00001499">
              <w:rPr>
                <w:bCs w:val="0"/>
              </w:rPr>
              <w:t>[$</w:t>
            </w:r>
            <w:r w:rsidR="00D76B55" w:rsidRPr="00D76B55">
              <w:rPr>
                <w:bCs w:val="0"/>
                <w:color w:val="000000"/>
                <w:spacing w:val="213"/>
                <w:shd w:val="solid" w:color="000000" w:fill="000000"/>
                <w:fitText w:val="299" w:id="-1404292607"/>
                <w14:textFill>
                  <w14:solidFill>
                    <w14:srgbClr w14:val="000000">
                      <w14:alpha w14:val="100000"/>
                    </w14:srgbClr>
                  </w14:solidFill>
                </w14:textFill>
              </w:rPr>
              <w:t>|</w:t>
            </w:r>
            <w:r w:rsidR="00D76B55" w:rsidRPr="00D76B55">
              <w:rPr>
                <w:bCs w:val="0"/>
                <w:color w:val="000000"/>
                <w:spacing w:val="1"/>
                <w:shd w:val="solid" w:color="000000" w:fill="000000"/>
                <w:fitText w:val="299" w:id="-1404292607"/>
                <w14:textFill>
                  <w14:solidFill>
                    <w14:srgbClr w14:val="000000">
                      <w14:alpha w14:val="100000"/>
                    </w14:srgbClr>
                  </w14:solidFill>
                </w14:textFill>
              </w:rPr>
              <w:t>|</w:t>
            </w:r>
            <w:r w:rsidRPr="00001499">
              <w:rPr>
                <w:bCs w:val="0"/>
              </w:rPr>
              <w:t xml:space="preserve"> for children </w:t>
            </w:r>
            <w:r w:rsidRPr="00001499">
              <w:rPr>
                <w:bCs w:val="0"/>
              </w:rPr>
              <w:br/>
              <w:t>2-4 years]</w:t>
            </w:r>
          </w:p>
        </w:tc>
      </w:tr>
    </w:tbl>
    <w:p w14:paraId="01A0E95A" w14:textId="77777777" w:rsidR="009C29A2" w:rsidRPr="00001499" w:rsidRDefault="009C29A2" w:rsidP="009C29A2">
      <w:pPr>
        <w:pStyle w:val="TableFigureFooter"/>
      </w:pPr>
      <w:r w:rsidRPr="00001499">
        <w:t>Source: Table 3.6.3, p181 of the submission</w:t>
      </w:r>
    </w:p>
    <w:p w14:paraId="1524C2AB" w14:textId="515C024B" w:rsidR="009C29A2" w:rsidRPr="00001499" w:rsidRDefault="009C29A2" w:rsidP="009C29A2">
      <w:pPr>
        <w:pStyle w:val="TableFigureFooter"/>
      </w:pPr>
      <w:r w:rsidRPr="00001499">
        <w:t>The cost of vaccine administration has not been included in the table above. This cost ranges from $</w:t>
      </w:r>
      <w:r w:rsidR="00D76B55" w:rsidRPr="00D76B55">
        <w:rPr>
          <w:color w:val="000000"/>
          <w:spacing w:val="42"/>
          <w:shd w:val="solid" w:color="000000" w:fill="000000"/>
          <w:fitText w:val="443" w:id="-1404292606"/>
          <w14:textFill>
            <w14:solidFill>
              <w14:srgbClr w14:val="000000">
                <w14:alpha w14:val="100000"/>
              </w14:srgbClr>
            </w14:solidFill>
          </w14:textFill>
        </w:rPr>
        <w:t>|||||</w:t>
      </w:r>
      <w:r w:rsidR="00D76B55" w:rsidRPr="00D76B55">
        <w:rPr>
          <w:color w:val="000000"/>
          <w:spacing w:val="4"/>
          <w:shd w:val="solid" w:color="000000" w:fill="000000"/>
          <w:fitText w:val="443" w:id="-1404292606"/>
          <w14:textFill>
            <w14:solidFill>
              <w14:srgbClr w14:val="000000">
                <w14:alpha w14:val="100000"/>
              </w14:srgbClr>
            </w14:solidFill>
          </w14:textFill>
        </w:rPr>
        <w:t>|</w:t>
      </w:r>
      <w:r w:rsidRPr="00001499">
        <w:t xml:space="preserve"> to $</w:t>
      </w:r>
      <w:r w:rsidR="00D76B55" w:rsidRPr="00D76B55">
        <w:rPr>
          <w:color w:val="000000"/>
          <w:spacing w:val="42"/>
          <w:shd w:val="solid" w:color="000000" w:fill="000000"/>
          <w:fitText w:val="443" w:id="-1404292605"/>
          <w14:textFill>
            <w14:solidFill>
              <w14:srgbClr w14:val="000000">
                <w14:alpha w14:val="100000"/>
              </w14:srgbClr>
            </w14:solidFill>
          </w14:textFill>
        </w:rPr>
        <w:t>|||||</w:t>
      </w:r>
      <w:r w:rsidR="00D76B55" w:rsidRPr="00D76B55">
        <w:rPr>
          <w:color w:val="000000"/>
          <w:spacing w:val="4"/>
          <w:shd w:val="solid" w:color="000000" w:fill="000000"/>
          <w:fitText w:val="443" w:id="-1404292605"/>
          <w14:textFill>
            <w14:solidFill>
              <w14:srgbClr w14:val="000000">
                <w14:alpha w14:val="100000"/>
              </w14:srgbClr>
            </w14:solidFill>
          </w14:textFill>
        </w:rPr>
        <w:t>|</w:t>
      </w:r>
      <w:r w:rsidRPr="00001499">
        <w:t xml:space="preserve"> depending on the vaccinated population. </w:t>
      </w:r>
    </w:p>
    <w:p w14:paraId="3E4CCA9A" w14:textId="77777777" w:rsidR="009C29A2" w:rsidRPr="007A3FA9" w:rsidRDefault="009C29A2" w:rsidP="009C29A2">
      <w:pPr>
        <w:pStyle w:val="TableFigureFooter"/>
        <w:rPr>
          <w:szCs w:val="18"/>
        </w:rPr>
      </w:pPr>
      <w:r w:rsidRPr="00D413CD">
        <w:rPr>
          <w:bCs/>
          <w:szCs w:val="18"/>
        </w:rPr>
        <w:t>1</w:t>
      </w:r>
      <w:r w:rsidRPr="003B5611">
        <w:rPr>
          <w:bCs/>
          <w:szCs w:val="18"/>
        </w:rPr>
        <w:t xml:space="preserve"> Dose recommendation from the product information indicate that children less than 9 years of age who have not been previously vaccinated against influenza, should receive a second dose (as funded under NIP).</w:t>
      </w:r>
    </w:p>
    <w:p w14:paraId="230548EE" w14:textId="77777777" w:rsidR="009C29A2" w:rsidRDefault="009C29A2" w:rsidP="009C29A2">
      <w:pPr>
        <w:pStyle w:val="TableFigureFooter"/>
      </w:pPr>
      <w:r w:rsidRPr="00D413CD">
        <w:rPr>
          <w:bCs/>
          <w:szCs w:val="18"/>
        </w:rPr>
        <w:t>2</w:t>
      </w:r>
      <w:r w:rsidRPr="003B5611">
        <w:rPr>
          <w:bCs/>
          <w:szCs w:val="18"/>
          <w:vertAlign w:val="superscript"/>
        </w:rPr>
        <w:t xml:space="preserve"> </w:t>
      </w:r>
      <w:r w:rsidRPr="003B5611">
        <w:rPr>
          <w:szCs w:val="18"/>
        </w:rPr>
        <w:t>Based on</w:t>
      </w:r>
      <w:r w:rsidRPr="00001499">
        <w:t xml:space="preserve"> current NIP price of Afluria Quad, a Seqirus product. Note that this is Commercial-In-Confidence information. </w:t>
      </w:r>
    </w:p>
    <w:p w14:paraId="6539F188" w14:textId="44663067" w:rsidR="00431CC7" w:rsidRPr="00D413CD" w:rsidRDefault="00E03734" w:rsidP="001A4BCC">
      <w:pPr>
        <w:pStyle w:val="3-BodyText"/>
        <w:ind w:left="709"/>
      </w:pPr>
      <w:r>
        <w:t xml:space="preserve">The pre-PBAC response proposed </w:t>
      </w:r>
      <w:r w:rsidR="003B5611">
        <w:t>a reduced price of</w:t>
      </w:r>
      <w:r>
        <w:t xml:space="preserve"> $</w:t>
      </w:r>
      <w:r w:rsidR="00D76B55" w:rsidRPr="00D76B55">
        <w:rPr>
          <w:color w:val="000000"/>
          <w:w w:val="53"/>
          <w:shd w:val="solid" w:color="000000" w:fill="000000"/>
          <w:fitText w:val="645" w:id="-1404292604"/>
          <w14:textFill>
            <w14:solidFill>
              <w14:srgbClr w14:val="000000">
                <w14:alpha w14:val="100000"/>
              </w14:srgbClr>
            </w14:solidFill>
          </w14:textFill>
        </w:rPr>
        <w:t>|||||  ||||</w:t>
      </w:r>
      <w:r w:rsidR="00D76B55" w:rsidRPr="00D76B55">
        <w:rPr>
          <w:color w:val="000000"/>
          <w:spacing w:val="2"/>
          <w:w w:val="53"/>
          <w:shd w:val="solid" w:color="000000" w:fill="000000"/>
          <w:fitText w:val="645" w:id="-1404292604"/>
          <w14:textFill>
            <w14:solidFill>
              <w14:srgbClr w14:val="000000">
                <w14:alpha w14:val="100000"/>
              </w14:srgbClr>
            </w14:solidFill>
          </w14:textFill>
        </w:rPr>
        <w:t>|</w:t>
      </w:r>
      <w:r>
        <w:t xml:space="preserve"> per dose.</w:t>
      </w:r>
    </w:p>
    <w:p w14:paraId="1CCB9F7D" w14:textId="77777777" w:rsidR="009C29A2" w:rsidRPr="00001499" w:rsidRDefault="009C29A2" w:rsidP="009C29A2">
      <w:pPr>
        <w:pStyle w:val="4-SubsectionHeading"/>
      </w:pPr>
      <w:bookmarkStart w:id="85" w:name="_Toc22897647"/>
      <w:bookmarkStart w:id="86" w:name="_Toc22898859"/>
      <w:bookmarkStart w:id="87" w:name="_Toc93410960"/>
      <w:r w:rsidRPr="00001499">
        <w:t>Estimated PBS usage &amp; financial implications</w:t>
      </w:r>
      <w:bookmarkEnd w:id="85"/>
      <w:bookmarkEnd w:id="86"/>
      <w:bookmarkEnd w:id="87"/>
    </w:p>
    <w:p w14:paraId="4AB24DC2" w14:textId="49E418A4" w:rsidR="009C29A2" w:rsidRPr="00001499" w:rsidRDefault="009C29A2" w:rsidP="00AA46C6">
      <w:pPr>
        <w:pStyle w:val="3-BodyText"/>
        <w:ind w:left="709"/>
        <w:rPr>
          <w:b/>
          <w:bCs/>
          <w:iCs/>
          <w:sz w:val="28"/>
          <w:szCs w:val="28"/>
        </w:rPr>
      </w:pPr>
      <w:r w:rsidRPr="00001499">
        <w:t>This submission was not considered by DUSC</w:t>
      </w:r>
      <w:r w:rsidRPr="00001499">
        <w:rPr>
          <w:color w:val="0070C0"/>
        </w:rPr>
        <w:t xml:space="preserve">. </w:t>
      </w:r>
      <w:r w:rsidRPr="00001499">
        <w:t xml:space="preserve">The submission employed an epidemiological approach to estimate the financial implication from complete substitution of QIVe with QIVc in each of the proposed populations for NIP funding. </w:t>
      </w:r>
      <w:r w:rsidRPr="00001499">
        <w:rPr>
          <w:iCs/>
        </w:rPr>
        <w:t xml:space="preserve">Therefore, a substitution rate of 100% </w:t>
      </w:r>
      <w:r w:rsidR="00C84A18">
        <w:rPr>
          <w:iCs/>
        </w:rPr>
        <w:t>wa</w:t>
      </w:r>
      <w:r w:rsidRPr="00001499">
        <w:rPr>
          <w:iCs/>
        </w:rPr>
        <w:t xml:space="preserve">s assumed for the estimated number of patients being vaccinated (coverage) in each population group. </w:t>
      </w:r>
      <w:r w:rsidRPr="00001499">
        <w:t>Complete product substitution is unlikely. QIVc could instead take a market share of the existing QIVe market.</w:t>
      </w:r>
      <w:r w:rsidRPr="00001499">
        <w:rPr>
          <w:b/>
          <w:bCs/>
          <w:sz w:val="28"/>
          <w:szCs w:val="28"/>
        </w:rPr>
        <w:t xml:space="preserve"> </w:t>
      </w:r>
      <w:r w:rsidRPr="00001499">
        <w:rPr>
          <w:rFonts w:ascii="Calibri" w:hAnsi="Calibri"/>
        </w:rPr>
        <w:t>ATAGI considered that QIVe will also likely remain available.</w:t>
      </w:r>
    </w:p>
    <w:p w14:paraId="355DF307" w14:textId="0C87E157" w:rsidR="009C29A2" w:rsidRPr="00001499" w:rsidRDefault="009C29A2" w:rsidP="00AA46C6">
      <w:pPr>
        <w:pStyle w:val="3-BodyText"/>
        <w:ind w:left="709"/>
      </w:pPr>
      <w:r w:rsidRPr="00001499">
        <w:t xml:space="preserve">The </w:t>
      </w:r>
      <w:r w:rsidR="00C84A18">
        <w:t xml:space="preserve">key inputs for estimating the financial implications are summarised in </w:t>
      </w:r>
      <w:r w:rsidRPr="00001499">
        <w:fldChar w:fldCharType="begin" w:fldLock="1"/>
      </w:r>
      <w:r w:rsidRPr="00001499">
        <w:instrText xml:space="preserve"> REF _Ref93355007 \h </w:instrText>
      </w:r>
      <w:r w:rsidRPr="00001499">
        <w:fldChar w:fldCharType="separate"/>
      </w:r>
      <w:r w:rsidR="005C1FE9" w:rsidRPr="00001499">
        <w:t xml:space="preserve">Table </w:t>
      </w:r>
      <w:r w:rsidR="005C1FE9">
        <w:rPr>
          <w:noProof/>
        </w:rPr>
        <w:t>20</w:t>
      </w:r>
      <w:r w:rsidRPr="00001499">
        <w:fldChar w:fldCharType="end"/>
      </w:r>
      <w:r w:rsidRPr="00001499">
        <w:t xml:space="preserve">. </w:t>
      </w:r>
    </w:p>
    <w:p w14:paraId="70412E6E" w14:textId="4C8F05F0" w:rsidR="009C29A2" w:rsidRPr="00001499" w:rsidRDefault="009C29A2" w:rsidP="00474E6F">
      <w:pPr>
        <w:pStyle w:val="TableHeading0"/>
        <w:rPr>
          <w:rStyle w:val="CommentReference"/>
          <w:b/>
        </w:rPr>
      </w:pPr>
      <w:bookmarkStart w:id="88" w:name="_Ref93355007"/>
      <w:r w:rsidRPr="00001499">
        <w:lastRenderedPageBreak/>
        <w:t xml:space="preserve">Table </w:t>
      </w:r>
      <w:fldSimple w:instr=" SEQ Table \* ARABIC " w:fldLock="1">
        <w:r w:rsidR="005C1FE9">
          <w:rPr>
            <w:noProof/>
          </w:rPr>
          <w:t>20</w:t>
        </w:r>
      </w:fldSimple>
      <w:bookmarkEnd w:id="88"/>
      <w:r w:rsidRPr="00001499">
        <w:rPr>
          <w:rStyle w:val="CommentReference"/>
          <w:b/>
        </w:rPr>
        <w:t>: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0: Key inputs for financial estimates"/>
      </w:tblPr>
      <w:tblGrid>
        <w:gridCol w:w="2405"/>
        <w:gridCol w:w="2182"/>
        <w:gridCol w:w="4430"/>
      </w:tblGrid>
      <w:tr w:rsidR="009C29A2" w:rsidRPr="00001499" w14:paraId="68D890DF" w14:textId="77777777" w:rsidTr="00FC7A97">
        <w:trPr>
          <w:cantSplit/>
          <w:trHeight w:val="290"/>
          <w:tblHeader/>
        </w:trPr>
        <w:tc>
          <w:tcPr>
            <w:tcW w:w="2405" w:type="dxa"/>
            <w:vAlign w:val="center"/>
          </w:tcPr>
          <w:p w14:paraId="0F9F1877" w14:textId="77777777" w:rsidR="009C29A2" w:rsidRPr="00001499" w:rsidRDefault="009C29A2" w:rsidP="00474E6F">
            <w:pPr>
              <w:pStyle w:val="TableText0"/>
              <w:widowControl w:val="0"/>
              <w:rPr>
                <w:b/>
                <w:bCs w:val="0"/>
              </w:rPr>
            </w:pPr>
            <w:r w:rsidRPr="00001499">
              <w:rPr>
                <w:b/>
                <w:bCs w:val="0"/>
              </w:rPr>
              <w:t>Parameter</w:t>
            </w:r>
          </w:p>
        </w:tc>
        <w:tc>
          <w:tcPr>
            <w:tcW w:w="2182" w:type="dxa"/>
            <w:vAlign w:val="center"/>
          </w:tcPr>
          <w:p w14:paraId="657A5349" w14:textId="77777777" w:rsidR="009C29A2" w:rsidRPr="00001499" w:rsidRDefault="009C29A2" w:rsidP="00474E6F">
            <w:pPr>
              <w:pStyle w:val="TableText0"/>
              <w:widowControl w:val="0"/>
              <w:rPr>
                <w:b/>
                <w:bCs w:val="0"/>
              </w:rPr>
            </w:pPr>
            <w:r w:rsidRPr="00001499">
              <w:rPr>
                <w:b/>
                <w:bCs w:val="0"/>
              </w:rPr>
              <w:t>Source</w:t>
            </w:r>
          </w:p>
        </w:tc>
        <w:tc>
          <w:tcPr>
            <w:tcW w:w="0" w:type="auto"/>
            <w:vAlign w:val="center"/>
          </w:tcPr>
          <w:p w14:paraId="20DA115B" w14:textId="77777777" w:rsidR="009C29A2" w:rsidRPr="00001499" w:rsidRDefault="009C29A2" w:rsidP="00474E6F">
            <w:pPr>
              <w:pStyle w:val="TableText0"/>
              <w:widowControl w:val="0"/>
              <w:rPr>
                <w:b/>
                <w:bCs w:val="0"/>
              </w:rPr>
            </w:pPr>
            <w:r w:rsidRPr="00001499">
              <w:rPr>
                <w:b/>
                <w:bCs w:val="0"/>
              </w:rPr>
              <w:t>Comments</w:t>
            </w:r>
          </w:p>
        </w:tc>
      </w:tr>
      <w:tr w:rsidR="009C29A2" w:rsidRPr="00001499" w14:paraId="7F79905F" w14:textId="77777777" w:rsidTr="00FC7A97">
        <w:trPr>
          <w:cantSplit/>
        </w:trPr>
        <w:tc>
          <w:tcPr>
            <w:tcW w:w="2405" w:type="dxa"/>
          </w:tcPr>
          <w:p w14:paraId="573A996C" w14:textId="77777777" w:rsidR="009C29A2" w:rsidRPr="00001499" w:rsidRDefault="009C29A2" w:rsidP="00474E6F">
            <w:pPr>
              <w:pStyle w:val="TableText0"/>
              <w:widowControl w:val="0"/>
            </w:pPr>
            <w:r w:rsidRPr="00001499">
              <w:t>Population of children 2-4 years</w:t>
            </w:r>
          </w:p>
        </w:tc>
        <w:tc>
          <w:tcPr>
            <w:tcW w:w="2182" w:type="dxa"/>
          </w:tcPr>
          <w:p w14:paraId="7E1C98FA" w14:textId="77777777" w:rsidR="009C29A2" w:rsidRPr="00001499" w:rsidRDefault="009C29A2" w:rsidP="00474E6F">
            <w:pPr>
              <w:pStyle w:val="TableText0"/>
              <w:widowControl w:val="0"/>
            </w:pPr>
            <w:r w:rsidRPr="00001499">
              <w:t>ABS Projected population data series B.</w:t>
            </w:r>
          </w:p>
        </w:tc>
        <w:tc>
          <w:tcPr>
            <w:tcW w:w="0" w:type="auto"/>
          </w:tcPr>
          <w:p w14:paraId="2A25995F" w14:textId="25E3A985" w:rsidR="009C29A2" w:rsidRPr="00001499" w:rsidRDefault="009C29A2" w:rsidP="00474E6F">
            <w:pPr>
              <w:pStyle w:val="TableText0"/>
              <w:widowControl w:val="0"/>
            </w:pPr>
            <w:r w:rsidRPr="00001499">
              <w:t>The source of this data is unclear. The numbers are similar but do not match those found at Population Projections, Australia, 2017-2066 [website</w:t>
            </w:r>
            <w:r w:rsidRPr="00001499">
              <w:rPr>
                <w:vertAlign w:val="superscript"/>
              </w:rPr>
              <w:t>1</w:t>
            </w:r>
            <w:r w:rsidRPr="00001499">
              <w:t>].</w:t>
            </w:r>
          </w:p>
        </w:tc>
      </w:tr>
      <w:tr w:rsidR="009C29A2" w:rsidRPr="00001499" w14:paraId="3112A34E" w14:textId="77777777" w:rsidTr="00FC7A97">
        <w:trPr>
          <w:cantSplit/>
        </w:trPr>
        <w:tc>
          <w:tcPr>
            <w:tcW w:w="2405" w:type="dxa"/>
          </w:tcPr>
          <w:p w14:paraId="75A49BEC" w14:textId="77777777" w:rsidR="009C29A2" w:rsidRPr="00001499" w:rsidRDefault="009C29A2" w:rsidP="00474E6F">
            <w:pPr>
              <w:pStyle w:val="TableText0"/>
              <w:widowControl w:val="0"/>
            </w:pPr>
            <w:r w:rsidRPr="00001499">
              <w:t>Aboriginal and Torres Strait Islander</w:t>
            </w:r>
            <w:r w:rsidRPr="00001499" w:rsidDel="00AE5256">
              <w:t xml:space="preserve"> </w:t>
            </w:r>
            <w:r w:rsidRPr="00001499">
              <w:t>population 5-14 years</w:t>
            </w:r>
          </w:p>
        </w:tc>
        <w:tc>
          <w:tcPr>
            <w:tcW w:w="2182" w:type="dxa"/>
            <w:vMerge w:val="restart"/>
          </w:tcPr>
          <w:p w14:paraId="46FEA00D" w14:textId="77777777" w:rsidR="009C29A2" w:rsidRPr="00001499" w:rsidRDefault="009C29A2" w:rsidP="00474E6F">
            <w:pPr>
              <w:pStyle w:val="TableText0"/>
              <w:widowControl w:val="0"/>
            </w:pPr>
            <w:r w:rsidRPr="00001499">
              <w:t>Projected population, Aboriginal and Torres Strait Islander Australians, Australia, state and territories, 2016 to 2031 [website</w:t>
            </w:r>
            <w:r w:rsidRPr="00001499">
              <w:rPr>
                <w:vertAlign w:val="superscript"/>
              </w:rPr>
              <w:t>2</w:t>
            </w:r>
            <w:r w:rsidRPr="00001499">
              <w:t xml:space="preserve"> - accessed 7/6/21].</w:t>
            </w:r>
          </w:p>
          <w:p w14:paraId="314EDB2E" w14:textId="77777777" w:rsidR="009C29A2" w:rsidRPr="00001499" w:rsidRDefault="009C29A2" w:rsidP="00474E6F">
            <w:pPr>
              <w:pStyle w:val="TableText0"/>
              <w:widowControl w:val="0"/>
            </w:pPr>
          </w:p>
        </w:tc>
        <w:tc>
          <w:tcPr>
            <w:tcW w:w="0" w:type="auto"/>
            <w:vMerge w:val="restart"/>
          </w:tcPr>
          <w:p w14:paraId="393B3FFD" w14:textId="77777777" w:rsidR="009C29A2" w:rsidRPr="00001499" w:rsidRDefault="009C29A2" w:rsidP="00474E6F">
            <w:pPr>
              <w:pStyle w:val="TableText0"/>
              <w:widowControl w:val="0"/>
            </w:pPr>
            <w:r w:rsidRPr="00001499">
              <w:t xml:space="preserve">The source found in the link is in a different format (age bands with 5 years) than those presented in submission (age bands with 1 year). The numbers are similar but do not match. </w:t>
            </w:r>
          </w:p>
        </w:tc>
      </w:tr>
      <w:tr w:rsidR="009C29A2" w:rsidRPr="00001499" w14:paraId="38BEFEA0" w14:textId="77777777" w:rsidTr="00FC7A97">
        <w:trPr>
          <w:cantSplit/>
        </w:trPr>
        <w:tc>
          <w:tcPr>
            <w:tcW w:w="2405" w:type="dxa"/>
          </w:tcPr>
          <w:p w14:paraId="330FAB5F" w14:textId="77777777" w:rsidR="009C29A2" w:rsidRPr="00001499" w:rsidRDefault="009C29A2" w:rsidP="00474E6F">
            <w:pPr>
              <w:pStyle w:val="TableText0"/>
              <w:widowControl w:val="0"/>
            </w:pPr>
            <w:r w:rsidRPr="00001499">
              <w:t>Aboriginal and Torres Strait Islander</w:t>
            </w:r>
            <w:r w:rsidRPr="00001499" w:rsidDel="00AE5256">
              <w:t xml:space="preserve"> </w:t>
            </w:r>
            <w:r w:rsidRPr="00001499">
              <w:t>population 15-49 years</w:t>
            </w:r>
          </w:p>
        </w:tc>
        <w:tc>
          <w:tcPr>
            <w:tcW w:w="2182" w:type="dxa"/>
            <w:vMerge/>
          </w:tcPr>
          <w:p w14:paraId="7B2E32A6" w14:textId="77777777" w:rsidR="009C29A2" w:rsidRPr="00001499" w:rsidRDefault="009C29A2" w:rsidP="00474E6F">
            <w:pPr>
              <w:pStyle w:val="TableText0"/>
              <w:widowControl w:val="0"/>
            </w:pPr>
          </w:p>
        </w:tc>
        <w:tc>
          <w:tcPr>
            <w:tcW w:w="0" w:type="auto"/>
            <w:vMerge/>
          </w:tcPr>
          <w:p w14:paraId="365A1406" w14:textId="77777777" w:rsidR="009C29A2" w:rsidRPr="00001499" w:rsidRDefault="009C29A2" w:rsidP="00474E6F">
            <w:pPr>
              <w:pStyle w:val="TableText0"/>
              <w:widowControl w:val="0"/>
            </w:pPr>
          </w:p>
        </w:tc>
      </w:tr>
      <w:tr w:rsidR="009C29A2" w:rsidRPr="00001499" w14:paraId="6CC80736" w14:textId="77777777" w:rsidTr="00FC7A97">
        <w:trPr>
          <w:cantSplit/>
        </w:trPr>
        <w:tc>
          <w:tcPr>
            <w:tcW w:w="2405" w:type="dxa"/>
          </w:tcPr>
          <w:p w14:paraId="123B0ECE" w14:textId="77777777" w:rsidR="009C29A2" w:rsidRPr="00001499" w:rsidRDefault="009C29A2" w:rsidP="00474E6F">
            <w:pPr>
              <w:pStyle w:val="TableText0"/>
              <w:widowControl w:val="0"/>
            </w:pPr>
            <w:r w:rsidRPr="00001499">
              <w:t>Aboriginal and Torres Strait Islander</w:t>
            </w:r>
            <w:r w:rsidRPr="00001499" w:rsidDel="00AE5256">
              <w:t xml:space="preserve"> </w:t>
            </w:r>
            <w:r w:rsidRPr="00001499">
              <w:t>population 50-64 years</w:t>
            </w:r>
          </w:p>
        </w:tc>
        <w:tc>
          <w:tcPr>
            <w:tcW w:w="2182" w:type="dxa"/>
            <w:vMerge/>
          </w:tcPr>
          <w:p w14:paraId="7EB39DAB" w14:textId="77777777" w:rsidR="009C29A2" w:rsidRPr="00001499" w:rsidRDefault="009C29A2" w:rsidP="00474E6F">
            <w:pPr>
              <w:pStyle w:val="TableText0"/>
              <w:widowControl w:val="0"/>
            </w:pPr>
          </w:p>
        </w:tc>
        <w:tc>
          <w:tcPr>
            <w:tcW w:w="0" w:type="auto"/>
            <w:vMerge/>
          </w:tcPr>
          <w:p w14:paraId="4BB4A919" w14:textId="77777777" w:rsidR="009C29A2" w:rsidRPr="00001499" w:rsidRDefault="009C29A2" w:rsidP="00474E6F">
            <w:pPr>
              <w:pStyle w:val="TableText0"/>
              <w:widowControl w:val="0"/>
            </w:pPr>
          </w:p>
        </w:tc>
      </w:tr>
      <w:tr w:rsidR="009C29A2" w:rsidRPr="00001499" w14:paraId="4CB9B5E8" w14:textId="77777777" w:rsidTr="00FC7A97">
        <w:trPr>
          <w:cantSplit/>
        </w:trPr>
        <w:tc>
          <w:tcPr>
            <w:tcW w:w="2405" w:type="dxa"/>
          </w:tcPr>
          <w:p w14:paraId="50C9885E" w14:textId="77777777" w:rsidR="009C29A2" w:rsidRPr="00001499" w:rsidRDefault="009C29A2" w:rsidP="00FC7A97">
            <w:pPr>
              <w:pStyle w:val="TableText0"/>
              <w:keepNext w:val="0"/>
              <w:widowControl w:val="0"/>
            </w:pPr>
            <w:r w:rsidRPr="00001499">
              <w:t>Population with increased risk aged 5-17 years</w:t>
            </w:r>
          </w:p>
        </w:tc>
        <w:tc>
          <w:tcPr>
            <w:tcW w:w="2182" w:type="dxa"/>
          </w:tcPr>
          <w:p w14:paraId="5E8171C3" w14:textId="77777777" w:rsidR="009C29A2" w:rsidRPr="00001499" w:rsidRDefault="009C29A2" w:rsidP="00FC7A97">
            <w:pPr>
              <w:pStyle w:val="TableText0"/>
              <w:keepNext w:val="0"/>
              <w:widowControl w:val="0"/>
            </w:pPr>
            <w:r w:rsidRPr="00001499">
              <w:t>Estimated based on ABS numbers by age multiplied by the prevalence of medical conditions associated with increased risk of severe influenza from the National Health Survey 2011-12.</w:t>
            </w:r>
          </w:p>
        </w:tc>
        <w:tc>
          <w:tcPr>
            <w:tcW w:w="0" w:type="auto"/>
          </w:tcPr>
          <w:p w14:paraId="26F62A19" w14:textId="77777777" w:rsidR="009C29A2" w:rsidRPr="00001499" w:rsidRDefault="009C29A2" w:rsidP="00FC7A97">
            <w:pPr>
              <w:pStyle w:val="TableText0"/>
              <w:keepNext w:val="0"/>
              <w:widowControl w:val="0"/>
            </w:pPr>
            <w:r w:rsidRPr="00001499">
              <w:t>The ABS source is unclear. The formulae used do not reduce the population size by the Aboriginal and Torres Strait Islander population in this age group, nor by the number of mothers aged 15-17.</w:t>
            </w:r>
          </w:p>
        </w:tc>
      </w:tr>
      <w:tr w:rsidR="009C29A2" w:rsidRPr="00001499" w14:paraId="3445653D" w14:textId="77777777" w:rsidTr="00FC7A97">
        <w:trPr>
          <w:cantSplit/>
        </w:trPr>
        <w:tc>
          <w:tcPr>
            <w:tcW w:w="2405" w:type="dxa"/>
          </w:tcPr>
          <w:p w14:paraId="0B84614C" w14:textId="77777777" w:rsidR="009C29A2" w:rsidRPr="00001499" w:rsidRDefault="009C29A2" w:rsidP="00FC7A97">
            <w:pPr>
              <w:pStyle w:val="TableText0"/>
              <w:keepNext w:val="0"/>
              <w:widowControl w:val="0"/>
            </w:pPr>
            <w:r w:rsidRPr="00001499">
              <w:t>Population with increased risk aged 18-64 years</w:t>
            </w:r>
          </w:p>
        </w:tc>
        <w:tc>
          <w:tcPr>
            <w:tcW w:w="2182" w:type="dxa"/>
          </w:tcPr>
          <w:p w14:paraId="7095562E" w14:textId="77777777" w:rsidR="009C29A2" w:rsidRPr="00001499" w:rsidRDefault="009C29A2" w:rsidP="00FC7A97">
            <w:pPr>
              <w:pStyle w:val="TableText0"/>
              <w:keepNext w:val="0"/>
              <w:widowControl w:val="0"/>
            </w:pPr>
            <w:r w:rsidRPr="00001499">
              <w:t>Estimated based on ABS numbers by age multiplied by the prevalence of medical conditions associated with increased risk of severe influenza from MedicineInsight 2014.</w:t>
            </w:r>
          </w:p>
        </w:tc>
        <w:tc>
          <w:tcPr>
            <w:tcW w:w="0" w:type="auto"/>
          </w:tcPr>
          <w:p w14:paraId="2C181E0B" w14:textId="78449957" w:rsidR="009C29A2" w:rsidRPr="00001499" w:rsidRDefault="009C29A2" w:rsidP="00FC7A97">
            <w:pPr>
              <w:pStyle w:val="TableText0"/>
              <w:keepNext w:val="0"/>
              <w:widowControl w:val="0"/>
            </w:pPr>
            <w:r w:rsidRPr="00001499">
              <w:t>The ABS source is unclear. ATAGI had indicated that estimates from the National Health Survey may be an underestimate while those from MedicineInsight were likely to be an overestimate as it reflected those who were already attending GPs. Prevalence of medical conditions associated with increased risk of severe influenza is higher than National Health Survey estimates by approximately 15-20% depending on the age based on MedicineInsight data (Table 3.4.16 in the submission). The age bands in Table 3.4.16 (25-49) do not match the bands used in the Section 4 spreadsheet (35-49) and the proportion high risk differs (23.5% in Table 3.4.16 vs 26.4% in Section 4 spreadsheet). The formulae used do not reduce the population size by the Aboriginal and Torres Strait Islander population in this age group, nor by the number of mothers aged 18-64.</w:t>
            </w:r>
          </w:p>
        </w:tc>
      </w:tr>
      <w:tr w:rsidR="009C29A2" w:rsidRPr="00001499" w14:paraId="39AED175" w14:textId="77777777" w:rsidTr="00FC7A97">
        <w:trPr>
          <w:cantSplit/>
        </w:trPr>
        <w:tc>
          <w:tcPr>
            <w:tcW w:w="2405" w:type="dxa"/>
          </w:tcPr>
          <w:p w14:paraId="65499572" w14:textId="77777777" w:rsidR="009C29A2" w:rsidRPr="00001499" w:rsidRDefault="009C29A2" w:rsidP="00FC7A97">
            <w:pPr>
              <w:pStyle w:val="TableText0"/>
              <w:keepNext w:val="0"/>
              <w:widowControl w:val="0"/>
            </w:pPr>
            <w:r w:rsidRPr="00001499">
              <w:t>Population of pregnant women</w:t>
            </w:r>
          </w:p>
        </w:tc>
        <w:tc>
          <w:tcPr>
            <w:tcW w:w="2182" w:type="dxa"/>
          </w:tcPr>
          <w:p w14:paraId="52F730C5" w14:textId="77777777" w:rsidR="009C29A2" w:rsidRPr="00001499" w:rsidRDefault="009C29A2" w:rsidP="00FC7A97">
            <w:pPr>
              <w:pStyle w:val="TableText0"/>
              <w:keepNext w:val="0"/>
              <w:widowControl w:val="0"/>
            </w:pPr>
            <w:r w:rsidRPr="00001499">
              <w:t>Estimated based on the female population aged 15 to 44 years and projected pregnancy rates based on AIHW Australia's mothers and babies data visualisations. AIHW 29-6-2020 [website</w:t>
            </w:r>
            <w:r w:rsidRPr="00001499">
              <w:rPr>
                <w:vertAlign w:val="superscript"/>
              </w:rPr>
              <w:t>3</w:t>
            </w:r>
            <w:r w:rsidRPr="00001499">
              <w:t xml:space="preserve">] </w:t>
            </w:r>
          </w:p>
        </w:tc>
        <w:tc>
          <w:tcPr>
            <w:tcW w:w="0" w:type="auto"/>
          </w:tcPr>
          <w:p w14:paraId="7016E728" w14:textId="77777777" w:rsidR="009C29A2" w:rsidRPr="00001499" w:rsidRDefault="009C29A2" w:rsidP="00FC7A97">
            <w:pPr>
              <w:pStyle w:val="TableText0"/>
              <w:keepNext w:val="0"/>
              <w:widowControl w:val="0"/>
            </w:pPr>
            <w:r w:rsidRPr="00001499">
              <w:t>The ABS source is unclear. The pregnancy data could be updated to the 2019 data tables. This would reduce the projected pregnancy rates by 0.11-0.16%. The submission used the TREND function in Excel with data from 2008-2018 to project the rates for 2023-2028.</w:t>
            </w:r>
            <w:r w:rsidRPr="00001499">
              <w:rPr>
                <w:rFonts w:ascii="Calibri" w:eastAsia="Times New Roman" w:hAnsi="Calibri" w:cs="Arial"/>
                <w:bCs w:val="0"/>
                <w:sz w:val="24"/>
              </w:rPr>
              <w:t xml:space="preserve"> </w:t>
            </w:r>
            <w:r w:rsidRPr="00001499">
              <w:t>Other functional forms could also be tested as this assumption could influence numbers projected. The formulae used do not reduce the population size by the Aboriginal and Torres Strait Islander population in this age group.</w:t>
            </w:r>
          </w:p>
        </w:tc>
      </w:tr>
      <w:tr w:rsidR="009C29A2" w:rsidRPr="00001499" w14:paraId="6D6798D5" w14:textId="77777777" w:rsidTr="00FC7A97">
        <w:trPr>
          <w:cantSplit/>
        </w:trPr>
        <w:tc>
          <w:tcPr>
            <w:tcW w:w="2405" w:type="dxa"/>
          </w:tcPr>
          <w:p w14:paraId="02A64CF3" w14:textId="77777777" w:rsidR="009C29A2" w:rsidRPr="00001499" w:rsidRDefault="009C29A2" w:rsidP="00FC7A97">
            <w:pPr>
              <w:pStyle w:val="TableText0"/>
              <w:keepNext w:val="0"/>
              <w:widowControl w:val="0"/>
            </w:pPr>
            <w:r w:rsidRPr="00001499">
              <w:t>Vaccine coverage for all children aged 2-4 years</w:t>
            </w:r>
          </w:p>
        </w:tc>
        <w:tc>
          <w:tcPr>
            <w:tcW w:w="2182" w:type="dxa"/>
          </w:tcPr>
          <w:p w14:paraId="40E2B8C7" w14:textId="77777777" w:rsidR="009C29A2" w:rsidRPr="00001499" w:rsidRDefault="009C29A2" w:rsidP="00FC7A97">
            <w:pPr>
              <w:pStyle w:val="TableText0"/>
              <w:keepNext w:val="0"/>
              <w:widowControl w:val="0"/>
            </w:pPr>
            <w:r w:rsidRPr="00001499">
              <w:t>Beard et al. 2020, 2021/previous ATAGI advice QIV PSD, July 2019 (50%)</w:t>
            </w:r>
          </w:p>
        </w:tc>
        <w:tc>
          <w:tcPr>
            <w:tcW w:w="0" w:type="auto"/>
          </w:tcPr>
          <w:p w14:paraId="54D79478" w14:textId="77777777" w:rsidR="009C29A2" w:rsidRPr="00001499" w:rsidRDefault="009C29A2" w:rsidP="00FC7A97">
            <w:pPr>
              <w:pStyle w:val="TableText0"/>
              <w:keepNext w:val="0"/>
              <w:widowControl w:val="0"/>
            </w:pPr>
            <w:r w:rsidRPr="00001499">
              <w:t>According to ATAGI pre-submission advice to PBAC, coverage in newly eligible (healthy) children would be 30% in 2020, increasing to 50% in 2025. This would mean that the submission figures are overestimated for 2023-24. If the trend continues to increase from 2026-28, then 50% might be an underestimate.</w:t>
            </w:r>
          </w:p>
        </w:tc>
      </w:tr>
      <w:tr w:rsidR="009C29A2" w:rsidRPr="00001499" w14:paraId="158A544D" w14:textId="77777777" w:rsidTr="00FC7A97">
        <w:trPr>
          <w:cantSplit/>
        </w:trPr>
        <w:tc>
          <w:tcPr>
            <w:tcW w:w="2405" w:type="dxa"/>
          </w:tcPr>
          <w:p w14:paraId="3A5F0A08" w14:textId="77777777" w:rsidR="009C29A2" w:rsidRPr="00001499" w:rsidRDefault="009C29A2" w:rsidP="00FC7A97">
            <w:pPr>
              <w:pStyle w:val="TableText0"/>
              <w:keepNext w:val="0"/>
              <w:widowControl w:val="0"/>
            </w:pPr>
            <w:r w:rsidRPr="00001499">
              <w:lastRenderedPageBreak/>
              <w:t>Vaccine coverage for Aboriginal and Torres Strait Islander population aged 5-14 years</w:t>
            </w:r>
          </w:p>
        </w:tc>
        <w:tc>
          <w:tcPr>
            <w:tcW w:w="2182" w:type="dxa"/>
          </w:tcPr>
          <w:p w14:paraId="6B10A90C" w14:textId="77777777" w:rsidR="009C29A2" w:rsidRPr="00001499" w:rsidRDefault="009C29A2" w:rsidP="00FC7A97">
            <w:pPr>
              <w:widowControl w:val="0"/>
            </w:pPr>
            <w:r w:rsidRPr="00001499">
              <w:rPr>
                <w:rFonts w:ascii="Arial Narrow" w:eastAsiaTheme="majorEastAsia" w:hAnsi="Arial Narrow" w:cstheme="majorBidi"/>
                <w:bCs/>
                <w:sz w:val="20"/>
              </w:rPr>
              <w:t>An average uptake of 34.5% was used based on the ATAGI advice considering that uptake in this group would likely range between uptake in the 6 month to &lt;5 year olds (40%) and the uptake in 15 to &lt;50 year olds (29%)</w:t>
            </w:r>
          </w:p>
        </w:tc>
        <w:tc>
          <w:tcPr>
            <w:tcW w:w="0" w:type="auto"/>
          </w:tcPr>
          <w:p w14:paraId="793230E2" w14:textId="77777777" w:rsidR="009C29A2" w:rsidRPr="00001499" w:rsidRDefault="009C29A2" w:rsidP="00FC7A97">
            <w:pPr>
              <w:pStyle w:val="TableText0"/>
              <w:keepNext w:val="0"/>
              <w:widowControl w:val="0"/>
            </w:pPr>
            <w:r w:rsidRPr="00001499">
              <w:t>This appears to be reasonable.</w:t>
            </w:r>
          </w:p>
        </w:tc>
      </w:tr>
      <w:tr w:rsidR="009C29A2" w:rsidRPr="00001499" w14:paraId="41FABD46" w14:textId="77777777" w:rsidTr="00FC7A97">
        <w:trPr>
          <w:cantSplit/>
        </w:trPr>
        <w:tc>
          <w:tcPr>
            <w:tcW w:w="2405" w:type="dxa"/>
          </w:tcPr>
          <w:p w14:paraId="76D0CDBC" w14:textId="77777777" w:rsidR="009C29A2" w:rsidRPr="00001499" w:rsidRDefault="009C29A2" w:rsidP="00FC7A97">
            <w:pPr>
              <w:pStyle w:val="TableText0"/>
              <w:keepNext w:val="0"/>
              <w:widowControl w:val="0"/>
            </w:pPr>
            <w:r w:rsidRPr="00001499">
              <w:t>Vaccine coverage for Aboriginal and Torres Strait Islander population aged 15-49 and 50-64 years</w:t>
            </w:r>
          </w:p>
        </w:tc>
        <w:tc>
          <w:tcPr>
            <w:tcW w:w="2182" w:type="dxa"/>
          </w:tcPr>
          <w:p w14:paraId="4371953D" w14:textId="77777777" w:rsidR="009C29A2" w:rsidRPr="00001499" w:rsidRDefault="009C29A2" w:rsidP="00FC7A97">
            <w:pPr>
              <w:pStyle w:val="TableText0"/>
              <w:keepNext w:val="0"/>
              <w:widowControl w:val="0"/>
            </w:pPr>
            <w:r w:rsidRPr="00001499">
              <w:t xml:space="preserve">Beard et al. 2020 </w:t>
            </w:r>
          </w:p>
          <w:p w14:paraId="77772D62" w14:textId="77777777" w:rsidR="009C29A2" w:rsidRPr="00001499" w:rsidRDefault="009C29A2" w:rsidP="00FC7A97">
            <w:pPr>
              <w:pStyle w:val="TableText0"/>
              <w:keepNext w:val="0"/>
              <w:widowControl w:val="0"/>
            </w:pPr>
            <w:r w:rsidRPr="00001499">
              <w:t>15-49 (29%)</w:t>
            </w:r>
          </w:p>
          <w:p w14:paraId="3214FBD8" w14:textId="77777777" w:rsidR="009C29A2" w:rsidRPr="00001499" w:rsidRDefault="009C29A2" w:rsidP="00FC7A97">
            <w:pPr>
              <w:pStyle w:val="TableText0"/>
              <w:keepNext w:val="0"/>
              <w:widowControl w:val="0"/>
            </w:pPr>
            <w:r w:rsidRPr="00001499">
              <w:t>50-64 (52%)</w:t>
            </w:r>
          </w:p>
        </w:tc>
        <w:tc>
          <w:tcPr>
            <w:tcW w:w="0" w:type="auto"/>
          </w:tcPr>
          <w:p w14:paraId="6A0E4F07" w14:textId="77777777" w:rsidR="009C29A2" w:rsidRPr="00001499" w:rsidRDefault="009C29A2" w:rsidP="00FC7A97">
            <w:pPr>
              <w:pStyle w:val="TableText0"/>
              <w:keepNext w:val="0"/>
              <w:widowControl w:val="0"/>
            </w:pPr>
            <w:r w:rsidRPr="00001499">
              <w:t xml:space="preserve">Minor discrepancy with the value presented in Beard et al for the 15-49 age group, which </w:t>
            </w:r>
            <w:r w:rsidRPr="00001499" w:rsidDel="00380207">
              <w:t xml:space="preserve">was </w:t>
            </w:r>
            <w:r w:rsidRPr="00001499">
              <w:t>28.9%</w:t>
            </w:r>
          </w:p>
        </w:tc>
      </w:tr>
      <w:tr w:rsidR="009C29A2" w:rsidRPr="00001499" w14:paraId="6E288E9C" w14:textId="77777777" w:rsidTr="00FC7A97">
        <w:trPr>
          <w:cantSplit/>
        </w:trPr>
        <w:tc>
          <w:tcPr>
            <w:tcW w:w="2405" w:type="dxa"/>
          </w:tcPr>
          <w:p w14:paraId="4B3BF853" w14:textId="77777777" w:rsidR="009C29A2" w:rsidRPr="00001499" w:rsidRDefault="009C29A2" w:rsidP="00FC7A97">
            <w:pPr>
              <w:pStyle w:val="TableText0"/>
              <w:keepNext w:val="0"/>
              <w:widowControl w:val="0"/>
            </w:pPr>
            <w:r w:rsidRPr="00001499">
              <w:t>Vaccine coverage for children (&lt;16 years) with increased risk conditions</w:t>
            </w:r>
          </w:p>
        </w:tc>
        <w:tc>
          <w:tcPr>
            <w:tcW w:w="2182" w:type="dxa"/>
          </w:tcPr>
          <w:p w14:paraId="56B27672" w14:textId="77777777" w:rsidR="009C29A2" w:rsidRPr="00001499" w:rsidRDefault="009C29A2" w:rsidP="00FC7A97">
            <w:pPr>
              <w:pStyle w:val="TableText0"/>
              <w:keepNext w:val="0"/>
              <w:widowControl w:val="0"/>
            </w:pPr>
            <w:r w:rsidRPr="00001499">
              <w:t>FluCAN annual reports 2018 (42%)</w:t>
            </w:r>
          </w:p>
        </w:tc>
        <w:tc>
          <w:tcPr>
            <w:tcW w:w="0" w:type="auto"/>
          </w:tcPr>
          <w:p w14:paraId="45D4EF74" w14:textId="09AD0DE5" w:rsidR="009C29A2" w:rsidRPr="00001499" w:rsidRDefault="009C29A2" w:rsidP="00FC7A97">
            <w:pPr>
              <w:pStyle w:val="TableText0"/>
              <w:widowControl w:val="0"/>
            </w:pPr>
            <w:r w:rsidRPr="00001499">
              <w:t xml:space="preserve">This may be an overestimate. ATAGI stated that: ‘Uptake was observed to fluctuate over time in children with medical comorbidities, ranging from 16% to 42%. An estimate of 45% is proposed in the base case analysis, based on FluCAN annual report (2018). ATAGI considered that an estimate of 42% may be more reasonable, though the increase observed in 2018 compared to the previous year (24%) may have been due to the introduction of state-funded vaccinations in children aged 6 months to &lt;5 years’. </w:t>
            </w:r>
          </w:p>
          <w:p w14:paraId="14F31CEB" w14:textId="77777777" w:rsidR="009C29A2" w:rsidRPr="00001499" w:rsidRDefault="009C29A2" w:rsidP="00FC7A97">
            <w:pPr>
              <w:pStyle w:val="TableText0"/>
              <w:widowControl w:val="0"/>
            </w:pPr>
          </w:p>
          <w:p w14:paraId="4DA92CCD" w14:textId="77777777" w:rsidR="009C29A2" w:rsidRPr="00001499" w:rsidRDefault="009C29A2" w:rsidP="00FC7A97">
            <w:pPr>
              <w:pStyle w:val="TableText0"/>
              <w:widowControl w:val="0"/>
            </w:pPr>
            <w:r w:rsidRPr="00001499">
              <w:t xml:space="preserve">While ATAGI stated that 42% would be more reasonable than 45%, it is on the high end of the reported range in recent years. The higher rate in recent years may be driven by changes in children aged 6 months to &lt;5 years, and only those aged &gt;2 years are eligible in this proposal.  </w:t>
            </w:r>
          </w:p>
        </w:tc>
      </w:tr>
      <w:tr w:rsidR="009C29A2" w:rsidRPr="00001499" w14:paraId="49C2DF44" w14:textId="77777777" w:rsidTr="00FC7A97">
        <w:trPr>
          <w:cantSplit/>
        </w:trPr>
        <w:tc>
          <w:tcPr>
            <w:tcW w:w="2405" w:type="dxa"/>
          </w:tcPr>
          <w:p w14:paraId="24F3E438" w14:textId="77777777" w:rsidR="009C29A2" w:rsidRPr="00001499" w:rsidRDefault="009C29A2" w:rsidP="00FC7A97">
            <w:pPr>
              <w:pStyle w:val="TableText0"/>
              <w:keepNext w:val="0"/>
              <w:widowControl w:val="0"/>
            </w:pPr>
            <w:r w:rsidRPr="00001499">
              <w:t>Vaccine coverage for ages 16-64 years with increased risk conditions</w:t>
            </w:r>
          </w:p>
        </w:tc>
        <w:tc>
          <w:tcPr>
            <w:tcW w:w="2182" w:type="dxa"/>
          </w:tcPr>
          <w:p w14:paraId="3B870166" w14:textId="29EB2B49" w:rsidR="009C29A2" w:rsidRPr="00001499" w:rsidRDefault="009C29A2" w:rsidP="00FC7A97">
            <w:pPr>
              <w:pStyle w:val="TableText0"/>
              <w:keepNext w:val="0"/>
              <w:widowControl w:val="0"/>
            </w:pPr>
            <w:r w:rsidRPr="00001499">
              <w:t>ATAGI advice based on FluCAN annual reports (51%)</w:t>
            </w:r>
          </w:p>
        </w:tc>
        <w:tc>
          <w:tcPr>
            <w:tcW w:w="0" w:type="auto"/>
          </w:tcPr>
          <w:p w14:paraId="454D83B7" w14:textId="77777777" w:rsidR="009C29A2" w:rsidRPr="00001499" w:rsidRDefault="009C29A2" w:rsidP="00FC7A97">
            <w:pPr>
              <w:pStyle w:val="TableText0"/>
              <w:keepNext w:val="0"/>
              <w:widowControl w:val="0"/>
            </w:pPr>
            <w:r w:rsidRPr="00001499">
              <w:t xml:space="preserve">The approach of taking the average from 2015-18 is different to the approach taken to determine vaccine coverage for children (&lt;16 years) with increased risk conditions. </w:t>
            </w:r>
          </w:p>
        </w:tc>
      </w:tr>
      <w:tr w:rsidR="009C29A2" w:rsidRPr="00001499" w14:paraId="6F0CDC3C" w14:textId="77777777" w:rsidTr="00FC7A97">
        <w:trPr>
          <w:cantSplit/>
        </w:trPr>
        <w:tc>
          <w:tcPr>
            <w:tcW w:w="2405" w:type="dxa"/>
          </w:tcPr>
          <w:p w14:paraId="53FC2119" w14:textId="77777777" w:rsidR="009C29A2" w:rsidRPr="00001499" w:rsidRDefault="009C29A2" w:rsidP="00FC7A97">
            <w:pPr>
              <w:pStyle w:val="TableText0"/>
              <w:keepNext w:val="0"/>
              <w:widowControl w:val="0"/>
            </w:pPr>
            <w:r w:rsidRPr="00001499">
              <w:t>Vaccine coverage for pregnant women</w:t>
            </w:r>
          </w:p>
        </w:tc>
        <w:tc>
          <w:tcPr>
            <w:tcW w:w="2182" w:type="dxa"/>
          </w:tcPr>
          <w:p w14:paraId="0A8E9D6B" w14:textId="77777777" w:rsidR="009C29A2" w:rsidRPr="00001499" w:rsidRDefault="009C29A2" w:rsidP="00FC7A97">
            <w:pPr>
              <w:pStyle w:val="TableText0"/>
              <w:keepNext w:val="0"/>
              <w:widowControl w:val="0"/>
            </w:pPr>
            <w:r w:rsidRPr="00001499">
              <w:t>Kaufman et al. 2020 (43%)</w:t>
            </w:r>
          </w:p>
        </w:tc>
        <w:tc>
          <w:tcPr>
            <w:tcW w:w="0" w:type="auto"/>
          </w:tcPr>
          <w:p w14:paraId="1C39C37A" w14:textId="4EFAB1E7" w:rsidR="009C29A2" w:rsidRPr="00001499" w:rsidRDefault="009C29A2" w:rsidP="00FC7A97">
            <w:pPr>
              <w:pStyle w:val="TableText0"/>
              <w:keepNext w:val="0"/>
              <w:widowControl w:val="0"/>
            </w:pPr>
            <w:r w:rsidRPr="00001499">
              <w:t>This estimate appears to be uncertain as uptake could range between 38.9% and 60% based on other sources (including Victorian Perinatal Data Collection, 2015−2017) considered by ATAGI. Alternate estimates were not presented in the submission, nor included in the sensitivity analyses.</w:t>
            </w:r>
          </w:p>
        </w:tc>
      </w:tr>
      <w:tr w:rsidR="009C29A2" w:rsidRPr="00001499" w14:paraId="15467BBE" w14:textId="77777777" w:rsidTr="00FC7A97">
        <w:trPr>
          <w:cantSplit/>
        </w:trPr>
        <w:tc>
          <w:tcPr>
            <w:tcW w:w="2405" w:type="dxa"/>
          </w:tcPr>
          <w:p w14:paraId="5B69DD7C" w14:textId="77777777" w:rsidR="009C29A2" w:rsidRPr="00001499" w:rsidRDefault="009C29A2" w:rsidP="00FC7A97">
            <w:pPr>
              <w:pStyle w:val="TableText0"/>
              <w:keepNext w:val="0"/>
              <w:widowControl w:val="0"/>
            </w:pPr>
            <w:r w:rsidRPr="00001499">
              <w:t>Additional doses needed for children 2-4 years</w:t>
            </w:r>
          </w:p>
        </w:tc>
        <w:tc>
          <w:tcPr>
            <w:tcW w:w="2182" w:type="dxa"/>
          </w:tcPr>
          <w:p w14:paraId="0762C946" w14:textId="77777777" w:rsidR="009C29A2" w:rsidRPr="00001499" w:rsidRDefault="009C29A2" w:rsidP="00FC7A97">
            <w:pPr>
              <w:pStyle w:val="TableText0"/>
              <w:keepNext w:val="0"/>
              <w:widowControl w:val="0"/>
            </w:pPr>
            <w:r w:rsidRPr="00001499">
              <w:t>The cohort aged 2 to 4 years will receive an average of 1.17 doses, as described in Section 3.6.1 (based on 1.5 doses for cohort aged 24-35 months and 1 dose for those aged 36 to 59 months, i.e. (1.5+1+1)/3=1.17).</w:t>
            </w:r>
          </w:p>
        </w:tc>
        <w:tc>
          <w:tcPr>
            <w:tcW w:w="0" w:type="auto"/>
          </w:tcPr>
          <w:p w14:paraId="73D03321" w14:textId="77777777" w:rsidR="009C29A2" w:rsidRPr="00001499" w:rsidRDefault="009C29A2" w:rsidP="00FC7A97">
            <w:pPr>
              <w:pStyle w:val="TableText0"/>
              <w:keepNext w:val="0"/>
              <w:widowControl w:val="0"/>
            </w:pPr>
            <w:bookmarkStart w:id="89" w:name="_Hlk89861105"/>
            <w:r w:rsidRPr="00001499">
              <w:t xml:space="preserve">While this may be consistent with that applied in the economic model, this may underestimate the number of doses needed for those aged 2. Age-specific ABS data were presented in the submission and could be used for these calculations (e.g. children aged 2 * 1.5 doses + children aged 3-4). </w:t>
            </w:r>
            <w:bookmarkEnd w:id="89"/>
          </w:p>
        </w:tc>
      </w:tr>
    </w:tbl>
    <w:p w14:paraId="4C05DA26" w14:textId="77777777" w:rsidR="009C29A2" w:rsidRPr="00001499" w:rsidRDefault="009C29A2" w:rsidP="009C29A2">
      <w:pPr>
        <w:pStyle w:val="TableFigureFooter"/>
      </w:pPr>
      <w:r w:rsidRPr="00001499">
        <w:t>Source: Compiled during the evaluation based on information presented in Section 4.1.1 and 4.1.2 of the submission</w:t>
      </w:r>
    </w:p>
    <w:p w14:paraId="178ED181" w14:textId="77777777" w:rsidR="009C29A2" w:rsidRPr="00001499" w:rsidRDefault="009C29A2" w:rsidP="009C29A2">
      <w:pPr>
        <w:pStyle w:val="TableFigureFooter"/>
      </w:pPr>
      <w:r w:rsidRPr="00001499">
        <w:t xml:space="preserve">ABS = Australian Bureau of Statistics; ATAGI = Australian Technical Advisory Group on Immunisation </w:t>
      </w:r>
    </w:p>
    <w:p w14:paraId="5D07F257" w14:textId="27D20AF4" w:rsidR="009C29A2" w:rsidRPr="00001499" w:rsidRDefault="009C29A2" w:rsidP="00AA46C6">
      <w:pPr>
        <w:pStyle w:val="3-BodyText"/>
        <w:ind w:left="709"/>
      </w:pPr>
      <w:bookmarkStart w:id="90" w:name="_Hlk93474866"/>
      <w:r w:rsidRPr="00001499">
        <w:lastRenderedPageBreak/>
        <w:t>The submission estimated potential cost savings from changes in GP visits and hospitalisations</w:t>
      </w:r>
      <w:r w:rsidR="00EF028B" w:rsidRPr="00001499">
        <w:t xml:space="preserve"> prevented resulting from QIVc. I</w:t>
      </w:r>
      <w:r w:rsidRPr="00001499">
        <w:t xml:space="preserve">n the context of demand </w:t>
      </w:r>
      <w:r w:rsidRPr="00001499">
        <w:rPr>
          <w:iCs/>
        </w:rPr>
        <w:t>surpassing</w:t>
      </w:r>
      <w:r w:rsidRPr="00001499">
        <w:t xml:space="preserve"> the supply for these services, any marginal changes in utilisation of these services due to implementation of the proposed listing would be managed by redeploying existing services rather than being realised as financial implications. Moreover, the hospitalisation savings accruing to the Australian Government budget were unclear as these would be expected to largely impact state/territory budgets. GP and hospital savings are not presented in the table below.</w:t>
      </w:r>
    </w:p>
    <w:bookmarkEnd w:id="90"/>
    <w:p w14:paraId="14E8E174" w14:textId="7CE6116A" w:rsidR="009C29A2" w:rsidRPr="00001499" w:rsidRDefault="009C29A2" w:rsidP="009C29A2">
      <w:pPr>
        <w:pStyle w:val="TableHeading0"/>
      </w:pPr>
      <w:r w:rsidRPr="00001499">
        <w:t xml:space="preserve">Table </w:t>
      </w:r>
      <w:fldSimple w:instr=" SEQ Table \* ARABIC " w:fldLock="1">
        <w:r w:rsidR="005C1FE9">
          <w:rPr>
            <w:noProof/>
          </w:rPr>
          <w:t>21</w:t>
        </w:r>
      </w:fldSimple>
      <w:r w:rsidRPr="00001499">
        <w:rPr>
          <w:rStyle w:val="CommentReference"/>
          <w:b/>
          <w:szCs w:val="24"/>
        </w:rPr>
        <w:t>: Estimated use and financial implications</w:t>
      </w:r>
      <w:r w:rsidR="00E33E66">
        <w:rPr>
          <w:rStyle w:val="CommentReference"/>
          <w:b/>
          <w:szCs w:val="24"/>
        </w:rPr>
        <w:t xml:space="preserve"> (based on price per dose of $</w:t>
      </w:r>
      <w:r w:rsidR="00D76B55" w:rsidRPr="004602EA">
        <w:rPr>
          <w:rStyle w:val="CommentReference"/>
          <w:b/>
          <w:color w:val="000000"/>
          <w:spacing w:val="40"/>
          <w:szCs w:val="24"/>
          <w:shd w:val="solid" w:color="000000" w:fill="000000"/>
          <w:fitText w:val="477" w:id="-1404292603"/>
          <w14:textFill>
            <w14:solidFill>
              <w14:srgbClr w14:val="000000">
                <w14:alpha w14:val="100000"/>
              </w14:srgbClr>
            </w14:solidFill>
          </w14:textFill>
        </w:rPr>
        <w:t>|||||</w:t>
      </w:r>
      <w:r w:rsidR="00D76B55" w:rsidRPr="004602EA">
        <w:rPr>
          <w:rStyle w:val="CommentReference"/>
          <w:b/>
          <w:color w:val="000000"/>
          <w:spacing w:val="2"/>
          <w:szCs w:val="24"/>
          <w:shd w:val="solid" w:color="000000" w:fill="000000"/>
          <w:fitText w:val="477" w:id="-1404292603"/>
          <w14:textFill>
            <w14:solidFill>
              <w14:srgbClr w14:val="000000">
                <w14:alpha w14:val="100000"/>
              </w14:srgbClr>
            </w14:solidFill>
          </w14:textFill>
        </w:rPr>
        <w:t>|</w:t>
      </w:r>
      <w:r w:rsidR="00E33E66">
        <w:rPr>
          <w:rStyle w:val="CommentReference"/>
          <w:b/>
          <w:szCs w:val="24"/>
        </w:rPr>
        <w:t xml:space="preserve"> proposed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Estimated use and financial implications (based on price per dose of $|||||| proposed in the submission)"/>
      </w:tblPr>
      <w:tblGrid>
        <w:gridCol w:w="2405"/>
        <w:gridCol w:w="1102"/>
        <w:gridCol w:w="1102"/>
        <w:gridCol w:w="1102"/>
        <w:gridCol w:w="1102"/>
        <w:gridCol w:w="1102"/>
        <w:gridCol w:w="1102"/>
      </w:tblGrid>
      <w:tr w:rsidR="009C29A2" w:rsidRPr="00001499" w14:paraId="2551D524" w14:textId="77777777" w:rsidTr="00FC7A97">
        <w:trPr>
          <w:tblHeader/>
        </w:trPr>
        <w:tc>
          <w:tcPr>
            <w:tcW w:w="1334" w:type="pct"/>
            <w:shd w:val="clear" w:color="auto" w:fill="auto"/>
            <w:vAlign w:val="center"/>
          </w:tcPr>
          <w:p w14:paraId="451DDD8E" w14:textId="77777777" w:rsidR="009C29A2" w:rsidRPr="00001499" w:rsidRDefault="009C29A2" w:rsidP="00FC7A97">
            <w:pPr>
              <w:pStyle w:val="TableText0"/>
            </w:pPr>
          </w:p>
        </w:tc>
        <w:tc>
          <w:tcPr>
            <w:tcW w:w="611" w:type="pct"/>
            <w:shd w:val="clear" w:color="auto" w:fill="auto"/>
          </w:tcPr>
          <w:p w14:paraId="25C97631" w14:textId="77777777" w:rsidR="009C29A2" w:rsidRPr="00001499" w:rsidRDefault="009C29A2" w:rsidP="00FC7A97">
            <w:pPr>
              <w:pStyle w:val="TableText0"/>
              <w:jc w:val="center"/>
              <w:rPr>
                <w:b/>
                <w:bCs w:val="0"/>
              </w:rPr>
            </w:pPr>
            <w:r w:rsidRPr="00001499">
              <w:rPr>
                <w:b/>
                <w:bCs w:val="0"/>
              </w:rPr>
              <w:t>2023</w:t>
            </w:r>
          </w:p>
        </w:tc>
        <w:tc>
          <w:tcPr>
            <w:tcW w:w="611" w:type="pct"/>
            <w:shd w:val="clear" w:color="auto" w:fill="auto"/>
          </w:tcPr>
          <w:p w14:paraId="3CC7F4F7" w14:textId="77777777" w:rsidR="009C29A2" w:rsidRPr="00001499" w:rsidRDefault="009C29A2" w:rsidP="00FC7A97">
            <w:pPr>
              <w:pStyle w:val="TableText0"/>
              <w:jc w:val="center"/>
              <w:rPr>
                <w:b/>
                <w:bCs w:val="0"/>
              </w:rPr>
            </w:pPr>
            <w:r w:rsidRPr="00001499">
              <w:rPr>
                <w:b/>
                <w:bCs w:val="0"/>
              </w:rPr>
              <w:t>2024</w:t>
            </w:r>
          </w:p>
        </w:tc>
        <w:tc>
          <w:tcPr>
            <w:tcW w:w="611" w:type="pct"/>
            <w:shd w:val="clear" w:color="auto" w:fill="auto"/>
          </w:tcPr>
          <w:p w14:paraId="5E0D864A" w14:textId="77777777" w:rsidR="009C29A2" w:rsidRPr="00001499" w:rsidRDefault="009C29A2" w:rsidP="00FC7A97">
            <w:pPr>
              <w:pStyle w:val="TableText0"/>
              <w:jc w:val="center"/>
              <w:rPr>
                <w:b/>
                <w:bCs w:val="0"/>
              </w:rPr>
            </w:pPr>
            <w:r w:rsidRPr="00001499">
              <w:rPr>
                <w:b/>
                <w:bCs w:val="0"/>
              </w:rPr>
              <w:t>2025</w:t>
            </w:r>
          </w:p>
        </w:tc>
        <w:tc>
          <w:tcPr>
            <w:tcW w:w="611" w:type="pct"/>
            <w:shd w:val="clear" w:color="auto" w:fill="auto"/>
          </w:tcPr>
          <w:p w14:paraId="47E5A790" w14:textId="77777777" w:rsidR="009C29A2" w:rsidRPr="00001499" w:rsidRDefault="009C29A2" w:rsidP="00FC7A97">
            <w:pPr>
              <w:pStyle w:val="TableText0"/>
              <w:jc w:val="center"/>
              <w:rPr>
                <w:b/>
                <w:bCs w:val="0"/>
              </w:rPr>
            </w:pPr>
            <w:r w:rsidRPr="00001499">
              <w:rPr>
                <w:b/>
                <w:bCs w:val="0"/>
              </w:rPr>
              <w:t>2026</w:t>
            </w:r>
          </w:p>
        </w:tc>
        <w:tc>
          <w:tcPr>
            <w:tcW w:w="611" w:type="pct"/>
            <w:shd w:val="clear" w:color="auto" w:fill="auto"/>
          </w:tcPr>
          <w:p w14:paraId="505A219E" w14:textId="77777777" w:rsidR="009C29A2" w:rsidRPr="00001499" w:rsidRDefault="009C29A2" w:rsidP="00FC7A97">
            <w:pPr>
              <w:pStyle w:val="TableText0"/>
              <w:jc w:val="center"/>
              <w:rPr>
                <w:b/>
                <w:bCs w:val="0"/>
              </w:rPr>
            </w:pPr>
            <w:r w:rsidRPr="00001499">
              <w:rPr>
                <w:b/>
                <w:bCs w:val="0"/>
              </w:rPr>
              <w:t>2027</w:t>
            </w:r>
          </w:p>
        </w:tc>
        <w:tc>
          <w:tcPr>
            <w:tcW w:w="611" w:type="pct"/>
          </w:tcPr>
          <w:p w14:paraId="2CC8903A" w14:textId="77777777" w:rsidR="009C29A2" w:rsidRPr="00001499" w:rsidRDefault="009C29A2" w:rsidP="00FC7A97">
            <w:pPr>
              <w:pStyle w:val="TableText0"/>
              <w:jc w:val="center"/>
              <w:rPr>
                <w:b/>
                <w:bCs w:val="0"/>
              </w:rPr>
            </w:pPr>
            <w:r w:rsidRPr="00001499">
              <w:rPr>
                <w:b/>
                <w:bCs w:val="0"/>
              </w:rPr>
              <w:t>2028</w:t>
            </w:r>
          </w:p>
        </w:tc>
      </w:tr>
      <w:tr w:rsidR="009C29A2" w:rsidRPr="00001499" w14:paraId="4760993C" w14:textId="77777777" w:rsidTr="00FC7A97">
        <w:tc>
          <w:tcPr>
            <w:tcW w:w="5000" w:type="pct"/>
            <w:gridSpan w:val="7"/>
            <w:shd w:val="clear" w:color="auto" w:fill="auto"/>
            <w:vAlign w:val="center"/>
          </w:tcPr>
          <w:p w14:paraId="4F6A9846" w14:textId="77777777" w:rsidR="009C29A2" w:rsidRPr="00001499" w:rsidRDefault="009C29A2" w:rsidP="00FC7A97">
            <w:pPr>
              <w:pStyle w:val="TableText0"/>
              <w:rPr>
                <w:b/>
                <w:bCs w:val="0"/>
                <w:color w:val="000000"/>
              </w:rPr>
            </w:pPr>
            <w:r w:rsidRPr="00001499">
              <w:rPr>
                <w:b/>
                <w:bCs w:val="0"/>
                <w:color w:val="000000"/>
              </w:rPr>
              <w:t>Estimated extent of use</w:t>
            </w:r>
          </w:p>
        </w:tc>
      </w:tr>
      <w:tr w:rsidR="009C29A2" w:rsidRPr="00001499" w14:paraId="327AFE82" w14:textId="77777777" w:rsidTr="00FC7A97">
        <w:tc>
          <w:tcPr>
            <w:tcW w:w="5000" w:type="pct"/>
            <w:gridSpan w:val="7"/>
            <w:shd w:val="clear" w:color="auto" w:fill="auto"/>
            <w:vAlign w:val="center"/>
          </w:tcPr>
          <w:p w14:paraId="5FE36A89" w14:textId="77777777" w:rsidR="009C29A2" w:rsidRPr="00001499" w:rsidRDefault="009C29A2" w:rsidP="00FC7A97">
            <w:pPr>
              <w:pStyle w:val="TableText0"/>
              <w:rPr>
                <w:b/>
                <w:color w:val="000000"/>
              </w:rPr>
            </w:pPr>
            <w:r w:rsidRPr="00001499">
              <w:rPr>
                <w:b/>
              </w:rPr>
              <w:t>Number of patients vaccinated</w:t>
            </w:r>
          </w:p>
        </w:tc>
      </w:tr>
      <w:tr w:rsidR="009C29A2" w:rsidRPr="00001499" w14:paraId="7B2834D7" w14:textId="77777777" w:rsidTr="00FC7A97">
        <w:tc>
          <w:tcPr>
            <w:tcW w:w="1334" w:type="pct"/>
            <w:shd w:val="clear" w:color="auto" w:fill="auto"/>
            <w:vAlign w:val="center"/>
          </w:tcPr>
          <w:p w14:paraId="33829AEB" w14:textId="77777777" w:rsidR="009C29A2" w:rsidRPr="00001499" w:rsidRDefault="009C29A2" w:rsidP="00FC7A97">
            <w:pPr>
              <w:pStyle w:val="TableText0"/>
            </w:pPr>
            <w:r w:rsidRPr="00001499">
              <w:t xml:space="preserve">Children 2-4 years </w:t>
            </w:r>
          </w:p>
        </w:tc>
        <w:tc>
          <w:tcPr>
            <w:tcW w:w="611" w:type="pct"/>
            <w:shd w:val="clear" w:color="auto" w:fill="auto"/>
          </w:tcPr>
          <w:p w14:paraId="347DED1B" w14:textId="3DAE5D57"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2"/>
                <w14:textFill>
                  <w14:solidFill>
                    <w14:srgbClr w14:val="000000">
                      <w14:alpha w14:val="100000"/>
                    </w14:srgbClr>
                  </w14:solidFill>
                </w14:textFill>
              </w:rPr>
              <w:t>|||</w:t>
            </w:r>
            <w:r w:rsidR="00D76B55" w:rsidRPr="00D76B55">
              <w:rPr>
                <w:color w:val="000000"/>
                <w:spacing w:val="1"/>
                <w:shd w:val="solid" w:color="000000" w:fill="000000"/>
                <w:fitText w:val="366" w:id="-1404292602"/>
                <w14:textFill>
                  <w14:solidFill>
                    <w14:srgbClr w14:val="000000">
                      <w14:alpha w14:val="100000"/>
                    </w14:srgbClr>
                  </w14:solidFill>
                </w14:textFill>
              </w:rPr>
              <w:t>|</w:t>
            </w:r>
            <w:r w:rsidR="00A10EE5">
              <w:rPr>
                <w:vertAlign w:val="superscript"/>
              </w:rPr>
              <w:t>1</w:t>
            </w:r>
            <w:r w:rsidRPr="00001499">
              <w:t xml:space="preserve"> </w:t>
            </w:r>
          </w:p>
        </w:tc>
        <w:tc>
          <w:tcPr>
            <w:tcW w:w="611" w:type="pct"/>
            <w:shd w:val="clear" w:color="auto" w:fill="auto"/>
          </w:tcPr>
          <w:p w14:paraId="5DFE0670" w14:textId="4CBCD620"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1"/>
                <w14:textFill>
                  <w14:solidFill>
                    <w14:srgbClr w14:val="000000">
                      <w14:alpha w14:val="100000"/>
                    </w14:srgbClr>
                  </w14:solidFill>
                </w14:textFill>
              </w:rPr>
              <w:t>|||</w:t>
            </w:r>
            <w:r w:rsidR="00D76B55" w:rsidRPr="00D76B55">
              <w:rPr>
                <w:color w:val="000000"/>
                <w:spacing w:val="1"/>
                <w:shd w:val="solid" w:color="000000" w:fill="000000"/>
                <w:fitText w:val="366" w:id="-1404292601"/>
                <w14:textFill>
                  <w14:solidFill>
                    <w14:srgbClr w14:val="000000">
                      <w14:alpha w14:val="100000"/>
                    </w14:srgbClr>
                  </w14:solidFill>
                </w14:textFill>
              </w:rPr>
              <w:t>|</w:t>
            </w:r>
            <w:r w:rsidR="00A10EE5">
              <w:rPr>
                <w:vertAlign w:val="superscript"/>
              </w:rPr>
              <w:t>1</w:t>
            </w:r>
            <w:r w:rsidRPr="00001499">
              <w:t xml:space="preserve"> </w:t>
            </w:r>
          </w:p>
        </w:tc>
        <w:tc>
          <w:tcPr>
            <w:tcW w:w="611" w:type="pct"/>
            <w:shd w:val="clear" w:color="auto" w:fill="auto"/>
          </w:tcPr>
          <w:p w14:paraId="7549EA86" w14:textId="33A0C2A3"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600"/>
                <w14:textFill>
                  <w14:solidFill>
                    <w14:srgbClr w14:val="000000">
                      <w14:alpha w14:val="100000"/>
                    </w14:srgbClr>
                  </w14:solidFill>
                </w14:textFill>
              </w:rPr>
              <w:t>|||</w:t>
            </w:r>
            <w:r w:rsidR="00D76B55" w:rsidRPr="00D76B55">
              <w:rPr>
                <w:color w:val="000000"/>
                <w:spacing w:val="3"/>
                <w:shd w:val="solid" w:color="000000" w:fill="000000"/>
                <w:fitText w:val="365" w:id="-1404292600"/>
                <w14:textFill>
                  <w14:solidFill>
                    <w14:srgbClr w14:val="000000">
                      <w14:alpha w14:val="100000"/>
                    </w14:srgbClr>
                  </w14:solidFill>
                </w14:textFill>
              </w:rPr>
              <w:t>|</w:t>
            </w:r>
            <w:r w:rsidR="00A10EE5">
              <w:rPr>
                <w:vertAlign w:val="superscript"/>
              </w:rPr>
              <w:t>1</w:t>
            </w:r>
            <w:r w:rsidRPr="00001499">
              <w:t xml:space="preserve"> </w:t>
            </w:r>
          </w:p>
        </w:tc>
        <w:tc>
          <w:tcPr>
            <w:tcW w:w="611" w:type="pct"/>
            <w:shd w:val="clear" w:color="auto" w:fill="auto"/>
          </w:tcPr>
          <w:p w14:paraId="2FB70FD7" w14:textId="345F3DFB"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9"/>
                <w14:textFill>
                  <w14:solidFill>
                    <w14:srgbClr w14:val="000000">
                      <w14:alpha w14:val="100000"/>
                    </w14:srgbClr>
                  </w14:solidFill>
                </w14:textFill>
              </w:rPr>
              <w:t>|||</w:t>
            </w:r>
            <w:r w:rsidR="00D76B55" w:rsidRPr="00D76B55">
              <w:rPr>
                <w:color w:val="000000"/>
                <w:spacing w:val="1"/>
                <w:shd w:val="solid" w:color="000000" w:fill="000000"/>
                <w:fitText w:val="366" w:id="-1404292599"/>
                <w14:textFill>
                  <w14:solidFill>
                    <w14:srgbClr w14:val="000000">
                      <w14:alpha w14:val="100000"/>
                    </w14:srgbClr>
                  </w14:solidFill>
                </w14:textFill>
              </w:rPr>
              <w:t>|</w:t>
            </w:r>
            <w:r w:rsidR="00A10EE5">
              <w:rPr>
                <w:vertAlign w:val="superscript"/>
              </w:rPr>
              <w:t>1</w:t>
            </w:r>
            <w:r w:rsidRPr="00001499">
              <w:t xml:space="preserve"> </w:t>
            </w:r>
          </w:p>
        </w:tc>
        <w:tc>
          <w:tcPr>
            <w:tcW w:w="611" w:type="pct"/>
            <w:shd w:val="clear" w:color="auto" w:fill="auto"/>
          </w:tcPr>
          <w:p w14:paraId="1CE77A02" w14:textId="5E25DA3C"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8"/>
                <w14:textFill>
                  <w14:solidFill>
                    <w14:srgbClr w14:val="000000">
                      <w14:alpha w14:val="100000"/>
                    </w14:srgbClr>
                  </w14:solidFill>
                </w14:textFill>
              </w:rPr>
              <w:t>|||</w:t>
            </w:r>
            <w:r w:rsidR="00D76B55" w:rsidRPr="00D76B55">
              <w:rPr>
                <w:color w:val="000000"/>
                <w:spacing w:val="1"/>
                <w:shd w:val="solid" w:color="000000" w:fill="000000"/>
                <w:fitText w:val="366" w:id="-1404292598"/>
                <w14:textFill>
                  <w14:solidFill>
                    <w14:srgbClr w14:val="000000">
                      <w14:alpha w14:val="100000"/>
                    </w14:srgbClr>
                  </w14:solidFill>
                </w14:textFill>
              </w:rPr>
              <w:t>|</w:t>
            </w:r>
            <w:r w:rsidR="00A10EE5">
              <w:rPr>
                <w:vertAlign w:val="superscript"/>
              </w:rPr>
              <w:t>1</w:t>
            </w:r>
            <w:r w:rsidRPr="00001499">
              <w:t xml:space="preserve"> </w:t>
            </w:r>
          </w:p>
        </w:tc>
        <w:tc>
          <w:tcPr>
            <w:tcW w:w="611" w:type="pct"/>
          </w:tcPr>
          <w:p w14:paraId="77405C77" w14:textId="09139A60"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597"/>
                <w14:textFill>
                  <w14:solidFill>
                    <w14:srgbClr w14:val="000000">
                      <w14:alpha w14:val="100000"/>
                    </w14:srgbClr>
                  </w14:solidFill>
                </w14:textFill>
              </w:rPr>
              <w:t>|||</w:t>
            </w:r>
            <w:r w:rsidR="00D76B55" w:rsidRPr="00D76B55">
              <w:rPr>
                <w:color w:val="000000"/>
                <w:spacing w:val="3"/>
                <w:shd w:val="solid" w:color="000000" w:fill="000000"/>
                <w:fitText w:val="365" w:id="-1404292597"/>
                <w14:textFill>
                  <w14:solidFill>
                    <w14:srgbClr w14:val="000000">
                      <w14:alpha w14:val="100000"/>
                    </w14:srgbClr>
                  </w14:solidFill>
                </w14:textFill>
              </w:rPr>
              <w:t>|</w:t>
            </w:r>
            <w:r w:rsidR="00A10EE5">
              <w:rPr>
                <w:vertAlign w:val="superscript"/>
              </w:rPr>
              <w:t>1</w:t>
            </w:r>
            <w:r w:rsidRPr="00001499">
              <w:t xml:space="preserve"> </w:t>
            </w:r>
          </w:p>
        </w:tc>
      </w:tr>
      <w:tr w:rsidR="009C29A2" w:rsidRPr="00001499" w14:paraId="53563246" w14:textId="77777777" w:rsidTr="00FC7A97">
        <w:tc>
          <w:tcPr>
            <w:tcW w:w="1334" w:type="pct"/>
            <w:shd w:val="clear" w:color="auto" w:fill="auto"/>
            <w:vAlign w:val="center"/>
          </w:tcPr>
          <w:p w14:paraId="508026CC" w14:textId="77777777" w:rsidR="009C29A2" w:rsidRPr="00001499" w:rsidRDefault="009C29A2" w:rsidP="00FC7A97">
            <w:pPr>
              <w:pStyle w:val="TableText0"/>
            </w:pPr>
            <w:r w:rsidRPr="00001499">
              <w:t>Aboriginal and Torres Strait Islander</w:t>
            </w:r>
            <w:r w:rsidRPr="00001499" w:rsidDel="000F73C2">
              <w:t xml:space="preserve"> </w:t>
            </w:r>
            <w:r w:rsidRPr="00001499">
              <w:t xml:space="preserve">population 5-14 years </w:t>
            </w:r>
          </w:p>
        </w:tc>
        <w:tc>
          <w:tcPr>
            <w:tcW w:w="611" w:type="pct"/>
            <w:shd w:val="clear" w:color="auto" w:fill="auto"/>
          </w:tcPr>
          <w:p w14:paraId="5F5D4257" w14:textId="0D699B51"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6"/>
                <w14:textFill>
                  <w14:solidFill>
                    <w14:srgbClr w14:val="000000">
                      <w14:alpha w14:val="100000"/>
                    </w14:srgbClr>
                  </w14:solidFill>
                </w14:textFill>
              </w:rPr>
              <w:t>|||</w:t>
            </w:r>
            <w:r w:rsidR="00D76B55" w:rsidRPr="00D76B55">
              <w:rPr>
                <w:color w:val="000000"/>
                <w:spacing w:val="1"/>
                <w:shd w:val="solid" w:color="000000" w:fill="000000"/>
                <w:fitText w:val="366" w:id="-1404292596"/>
                <w14:textFill>
                  <w14:solidFill>
                    <w14:srgbClr w14:val="000000">
                      <w14:alpha w14:val="100000"/>
                    </w14:srgbClr>
                  </w14:solidFill>
                </w14:textFill>
              </w:rPr>
              <w:t>|</w:t>
            </w:r>
            <w:r w:rsidR="00A10EE5">
              <w:rPr>
                <w:vertAlign w:val="superscript"/>
              </w:rPr>
              <w:t>2</w:t>
            </w:r>
            <w:r w:rsidRPr="00001499">
              <w:t xml:space="preserve"> </w:t>
            </w:r>
          </w:p>
        </w:tc>
        <w:tc>
          <w:tcPr>
            <w:tcW w:w="611" w:type="pct"/>
            <w:shd w:val="clear" w:color="auto" w:fill="auto"/>
          </w:tcPr>
          <w:p w14:paraId="17C6E278" w14:textId="4E8883BD"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5"/>
                <w14:textFill>
                  <w14:solidFill>
                    <w14:srgbClr w14:val="000000">
                      <w14:alpha w14:val="100000"/>
                    </w14:srgbClr>
                  </w14:solidFill>
                </w14:textFill>
              </w:rPr>
              <w:t>|||</w:t>
            </w:r>
            <w:r w:rsidR="00D76B55" w:rsidRPr="00D76B55">
              <w:rPr>
                <w:color w:val="000000"/>
                <w:spacing w:val="1"/>
                <w:shd w:val="solid" w:color="000000" w:fill="000000"/>
                <w:fitText w:val="366" w:id="-1404292595"/>
                <w14:textFill>
                  <w14:solidFill>
                    <w14:srgbClr w14:val="000000">
                      <w14:alpha w14:val="100000"/>
                    </w14:srgbClr>
                  </w14:solidFill>
                </w14:textFill>
              </w:rPr>
              <w:t>|</w:t>
            </w:r>
            <w:r w:rsidR="00A10EE5">
              <w:rPr>
                <w:vertAlign w:val="superscript"/>
              </w:rPr>
              <w:t>2</w:t>
            </w:r>
            <w:r w:rsidRPr="00001499">
              <w:t xml:space="preserve"> </w:t>
            </w:r>
          </w:p>
        </w:tc>
        <w:tc>
          <w:tcPr>
            <w:tcW w:w="611" w:type="pct"/>
            <w:shd w:val="clear" w:color="auto" w:fill="auto"/>
          </w:tcPr>
          <w:p w14:paraId="43EAC76C" w14:textId="634AE3CC"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594"/>
                <w14:textFill>
                  <w14:solidFill>
                    <w14:srgbClr w14:val="000000">
                      <w14:alpha w14:val="100000"/>
                    </w14:srgbClr>
                  </w14:solidFill>
                </w14:textFill>
              </w:rPr>
              <w:t>|||</w:t>
            </w:r>
            <w:r w:rsidR="00D76B55" w:rsidRPr="00D76B55">
              <w:rPr>
                <w:color w:val="000000"/>
                <w:spacing w:val="3"/>
                <w:shd w:val="solid" w:color="000000" w:fill="000000"/>
                <w:fitText w:val="365" w:id="-1404292594"/>
                <w14:textFill>
                  <w14:solidFill>
                    <w14:srgbClr w14:val="000000">
                      <w14:alpha w14:val="100000"/>
                    </w14:srgbClr>
                  </w14:solidFill>
                </w14:textFill>
              </w:rPr>
              <w:t>|</w:t>
            </w:r>
            <w:r w:rsidR="00A10EE5">
              <w:rPr>
                <w:vertAlign w:val="superscript"/>
              </w:rPr>
              <w:t>2</w:t>
            </w:r>
            <w:r w:rsidRPr="00001499">
              <w:t xml:space="preserve"> </w:t>
            </w:r>
          </w:p>
        </w:tc>
        <w:tc>
          <w:tcPr>
            <w:tcW w:w="611" w:type="pct"/>
            <w:shd w:val="clear" w:color="auto" w:fill="auto"/>
          </w:tcPr>
          <w:p w14:paraId="20F14C0F" w14:textId="6CE73534"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3"/>
                <w14:textFill>
                  <w14:solidFill>
                    <w14:srgbClr w14:val="000000">
                      <w14:alpha w14:val="100000"/>
                    </w14:srgbClr>
                  </w14:solidFill>
                </w14:textFill>
              </w:rPr>
              <w:t>|||</w:t>
            </w:r>
            <w:r w:rsidR="00D76B55" w:rsidRPr="00D76B55">
              <w:rPr>
                <w:color w:val="000000"/>
                <w:spacing w:val="1"/>
                <w:shd w:val="solid" w:color="000000" w:fill="000000"/>
                <w:fitText w:val="366" w:id="-1404292593"/>
                <w14:textFill>
                  <w14:solidFill>
                    <w14:srgbClr w14:val="000000">
                      <w14:alpha w14:val="100000"/>
                    </w14:srgbClr>
                  </w14:solidFill>
                </w14:textFill>
              </w:rPr>
              <w:t>|</w:t>
            </w:r>
            <w:r w:rsidR="00A10EE5">
              <w:rPr>
                <w:vertAlign w:val="superscript"/>
              </w:rPr>
              <w:t>2</w:t>
            </w:r>
            <w:r w:rsidRPr="00001499">
              <w:t xml:space="preserve"> </w:t>
            </w:r>
          </w:p>
        </w:tc>
        <w:tc>
          <w:tcPr>
            <w:tcW w:w="611" w:type="pct"/>
            <w:shd w:val="clear" w:color="auto" w:fill="auto"/>
          </w:tcPr>
          <w:p w14:paraId="63FF9C69" w14:textId="4CD7A6C0"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2"/>
                <w14:textFill>
                  <w14:solidFill>
                    <w14:srgbClr w14:val="000000">
                      <w14:alpha w14:val="100000"/>
                    </w14:srgbClr>
                  </w14:solidFill>
                </w14:textFill>
              </w:rPr>
              <w:t>|||</w:t>
            </w:r>
            <w:r w:rsidR="00D76B55" w:rsidRPr="00D76B55">
              <w:rPr>
                <w:color w:val="000000"/>
                <w:spacing w:val="1"/>
                <w:shd w:val="solid" w:color="000000" w:fill="000000"/>
                <w:fitText w:val="366" w:id="-1404292592"/>
                <w14:textFill>
                  <w14:solidFill>
                    <w14:srgbClr w14:val="000000">
                      <w14:alpha w14:val="100000"/>
                    </w14:srgbClr>
                  </w14:solidFill>
                </w14:textFill>
              </w:rPr>
              <w:t>|</w:t>
            </w:r>
            <w:r w:rsidR="00A10EE5">
              <w:rPr>
                <w:vertAlign w:val="superscript"/>
              </w:rPr>
              <w:t>2</w:t>
            </w:r>
            <w:r w:rsidRPr="00001499">
              <w:t xml:space="preserve"> </w:t>
            </w:r>
          </w:p>
        </w:tc>
        <w:tc>
          <w:tcPr>
            <w:tcW w:w="611" w:type="pct"/>
          </w:tcPr>
          <w:p w14:paraId="6020547D" w14:textId="3DB80E17"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608"/>
                <w14:textFill>
                  <w14:solidFill>
                    <w14:srgbClr w14:val="000000">
                      <w14:alpha w14:val="100000"/>
                    </w14:srgbClr>
                  </w14:solidFill>
                </w14:textFill>
              </w:rPr>
              <w:t>|||</w:t>
            </w:r>
            <w:r w:rsidR="00D76B55" w:rsidRPr="00D76B55">
              <w:rPr>
                <w:color w:val="000000"/>
                <w:spacing w:val="3"/>
                <w:shd w:val="solid" w:color="000000" w:fill="000000"/>
                <w:fitText w:val="365" w:id="-1404292608"/>
                <w14:textFill>
                  <w14:solidFill>
                    <w14:srgbClr w14:val="000000">
                      <w14:alpha w14:val="100000"/>
                    </w14:srgbClr>
                  </w14:solidFill>
                </w14:textFill>
              </w:rPr>
              <w:t>|</w:t>
            </w:r>
            <w:r w:rsidR="00A10EE5">
              <w:rPr>
                <w:vertAlign w:val="superscript"/>
              </w:rPr>
              <w:t>2</w:t>
            </w:r>
            <w:r w:rsidRPr="00001499">
              <w:t xml:space="preserve"> </w:t>
            </w:r>
          </w:p>
        </w:tc>
      </w:tr>
      <w:tr w:rsidR="009C29A2" w:rsidRPr="00001499" w14:paraId="4CF2764C" w14:textId="77777777" w:rsidTr="00FC7A97">
        <w:tc>
          <w:tcPr>
            <w:tcW w:w="1334" w:type="pct"/>
            <w:shd w:val="clear" w:color="auto" w:fill="auto"/>
          </w:tcPr>
          <w:p w14:paraId="2CD392BA" w14:textId="77777777" w:rsidR="009C29A2" w:rsidRPr="00001499" w:rsidRDefault="009C29A2" w:rsidP="00FC7A97">
            <w:pPr>
              <w:pStyle w:val="TableText0"/>
            </w:pPr>
            <w:r w:rsidRPr="00001499">
              <w:t>Aboriginal and Torres Strait Islander</w:t>
            </w:r>
            <w:r w:rsidRPr="00001499" w:rsidDel="000F73C2">
              <w:t xml:space="preserve"> </w:t>
            </w:r>
            <w:r w:rsidRPr="00001499">
              <w:t xml:space="preserve">population 15-49 years </w:t>
            </w:r>
          </w:p>
        </w:tc>
        <w:tc>
          <w:tcPr>
            <w:tcW w:w="611" w:type="pct"/>
            <w:shd w:val="clear" w:color="auto" w:fill="auto"/>
          </w:tcPr>
          <w:p w14:paraId="4BB0C79B" w14:textId="11637E47"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7"/>
                <w14:textFill>
                  <w14:solidFill>
                    <w14:srgbClr w14:val="000000">
                      <w14:alpha w14:val="100000"/>
                    </w14:srgbClr>
                  </w14:solidFill>
                </w14:textFill>
              </w:rPr>
              <w:t>|||</w:t>
            </w:r>
            <w:r w:rsidR="00D76B55" w:rsidRPr="00D76B55">
              <w:rPr>
                <w:color w:val="000000"/>
                <w:spacing w:val="1"/>
                <w:shd w:val="solid" w:color="000000" w:fill="000000"/>
                <w:fitText w:val="366" w:id="-1404292607"/>
                <w14:textFill>
                  <w14:solidFill>
                    <w14:srgbClr w14:val="000000">
                      <w14:alpha w14:val="100000"/>
                    </w14:srgbClr>
                  </w14:solidFill>
                </w14:textFill>
              </w:rPr>
              <w:t>|</w:t>
            </w:r>
            <w:r w:rsidR="00A10EE5">
              <w:rPr>
                <w:vertAlign w:val="superscript"/>
              </w:rPr>
              <w:t>3</w:t>
            </w:r>
            <w:r w:rsidRPr="00001499">
              <w:t xml:space="preserve"> </w:t>
            </w:r>
          </w:p>
        </w:tc>
        <w:tc>
          <w:tcPr>
            <w:tcW w:w="611" w:type="pct"/>
            <w:shd w:val="clear" w:color="auto" w:fill="auto"/>
          </w:tcPr>
          <w:p w14:paraId="57E65D93" w14:textId="514EA1EE"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6"/>
                <w14:textFill>
                  <w14:solidFill>
                    <w14:srgbClr w14:val="000000">
                      <w14:alpha w14:val="100000"/>
                    </w14:srgbClr>
                  </w14:solidFill>
                </w14:textFill>
              </w:rPr>
              <w:t>|||</w:t>
            </w:r>
            <w:r w:rsidR="00D76B55" w:rsidRPr="00D76B55">
              <w:rPr>
                <w:color w:val="000000"/>
                <w:spacing w:val="1"/>
                <w:shd w:val="solid" w:color="000000" w:fill="000000"/>
                <w:fitText w:val="366" w:id="-1404292606"/>
                <w14:textFill>
                  <w14:solidFill>
                    <w14:srgbClr w14:val="000000">
                      <w14:alpha w14:val="100000"/>
                    </w14:srgbClr>
                  </w14:solidFill>
                </w14:textFill>
              </w:rPr>
              <w:t>|</w:t>
            </w:r>
            <w:r w:rsidR="00A10EE5">
              <w:rPr>
                <w:vertAlign w:val="superscript"/>
              </w:rPr>
              <w:t>3</w:t>
            </w:r>
            <w:r w:rsidRPr="00001499">
              <w:t xml:space="preserve"> </w:t>
            </w:r>
          </w:p>
        </w:tc>
        <w:tc>
          <w:tcPr>
            <w:tcW w:w="611" w:type="pct"/>
            <w:shd w:val="clear" w:color="auto" w:fill="auto"/>
          </w:tcPr>
          <w:p w14:paraId="3BA0A931" w14:textId="18122E8C"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605"/>
                <w14:textFill>
                  <w14:solidFill>
                    <w14:srgbClr w14:val="000000">
                      <w14:alpha w14:val="100000"/>
                    </w14:srgbClr>
                  </w14:solidFill>
                </w14:textFill>
              </w:rPr>
              <w:t>|||</w:t>
            </w:r>
            <w:r w:rsidR="00D76B55" w:rsidRPr="00D76B55">
              <w:rPr>
                <w:color w:val="000000"/>
                <w:spacing w:val="3"/>
                <w:shd w:val="solid" w:color="000000" w:fill="000000"/>
                <w:fitText w:val="365" w:id="-1404292605"/>
                <w14:textFill>
                  <w14:solidFill>
                    <w14:srgbClr w14:val="000000">
                      <w14:alpha w14:val="100000"/>
                    </w14:srgbClr>
                  </w14:solidFill>
                </w14:textFill>
              </w:rPr>
              <w:t>|</w:t>
            </w:r>
            <w:r w:rsidR="00A10EE5">
              <w:rPr>
                <w:vertAlign w:val="superscript"/>
              </w:rPr>
              <w:t>3</w:t>
            </w:r>
            <w:r w:rsidRPr="00001499">
              <w:t xml:space="preserve"> </w:t>
            </w:r>
          </w:p>
        </w:tc>
        <w:tc>
          <w:tcPr>
            <w:tcW w:w="611" w:type="pct"/>
            <w:shd w:val="clear" w:color="auto" w:fill="auto"/>
          </w:tcPr>
          <w:p w14:paraId="1D87A002" w14:textId="2918979A"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4"/>
                <w14:textFill>
                  <w14:solidFill>
                    <w14:srgbClr w14:val="000000">
                      <w14:alpha w14:val="100000"/>
                    </w14:srgbClr>
                  </w14:solidFill>
                </w14:textFill>
              </w:rPr>
              <w:t>|||</w:t>
            </w:r>
            <w:r w:rsidR="00D76B55" w:rsidRPr="00D76B55">
              <w:rPr>
                <w:color w:val="000000"/>
                <w:spacing w:val="1"/>
                <w:shd w:val="solid" w:color="000000" w:fill="000000"/>
                <w:fitText w:val="366" w:id="-1404292604"/>
                <w14:textFill>
                  <w14:solidFill>
                    <w14:srgbClr w14:val="000000">
                      <w14:alpha w14:val="100000"/>
                    </w14:srgbClr>
                  </w14:solidFill>
                </w14:textFill>
              </w:rPr>
              <w:t>|</w:t>
            </w:r>
            <w:r w:rsidR="00A10EE5">
              <w:rPr>
                <w:vertAlign w:val="superscript"/>
              </w:rPr>
              <w:t>3</w:t>
            </w:r>
            <w:r w:rsidRPr="00001499">
              <w:t xml:space="preserve"> </w:t>
            </w:r>
          </w:p>
        </w:tc>
        <w:tc>
          <w:tcPr>
            <w:tcW w:w="611" w:type="pct"/>
            <w:shd w:val="clear" w:color="auto" w:fill="auto"/>
          </w:tcPr>
          <w:p w14:paraId="77123315" w14:textId="4D928E5A" w:rsidR="009C29A2" w:rsidRPr="00C26341" w:rsidRDefault="009C29A2" w:rsidP="00FC7A97">
            <w:pPr>
              <w:pStyle w:val="TableText0"/>
              <w:jc w:val="center"/>
              <w:rPr>
                <w:color w:val="000000"/>
              </w:rPr>
            </w:pPr>
            <w:r w:rsidRPr="00C26341">
              <w:t xml:space="preserve"> </w:t>
            </w:r>
            <w:r w:rsidR="00D76B55" w:rsidRPr="00D76B55">
              <w:rPr>
                <w:color w:val="000000"/>
                <w:spacing w:val="65"/>
                <w:shd w:val="solid" w:color="000000" w:fill="000000"/>
                <w:fitText w:val="366" w:id="-1404292603"/>
                <w14:textFill>
                  <w14:solidFill>
                    <w14:srgbClr w14:val="000000">
                      <w14:alpha w14:val="100000"/>
                    </w14:srgbClr>
                  </w14:solidFill>
                </w14:textFill>
              </w:rPr>
              <w:t>|||</w:t>
            </w:r>
            <w:r w:rsidR="00D76B55" w:rsidRPr="00D76B55">
              <w:rPr>
                <w:color w:val="000000"/>
                <w:spacing w:val="1"/>
                <w:shd w:val="solid" w:color="000000" w:fill="000000"/>
                <w:fitText w:val="366" w:id="-1404292603"/>
                <w14:textFill>
                  <w14:solidFill>
                    <w14:srgbClr w14:val="000000">
                      <w14:alpha w14:val="100000"/>
                    </w14:srgbClr>
                  </w14:solidFill>
                </w14:textFill>
              </w:rPr>
              <w:t>|</w:t>
            </w:r>
            <w:r w:rsidR="00A10EE5">
              <w:rPr>
                <w:vertAlign w:val="superscript"/>
              </w:rPr>
              <w:t>3</w:t>
            </w:r>
            <w:r w:rsidRPr="00C26341">
              <w:t xml:space="preserve"> </w:t>
            </w:r>
          </w:p>
        </w:tc>
        <w:tc>
          <w:tcPr>
            <w:tcW w:w="611" w:type="pct"/>
          </w:tcPr>
          <w:p w14:paraId="103E9BFA" w14:textId="26A308A4"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602"/>
                <w14:textFill>
                  <w14:solidFill>
                    <w14:srgbClr w14:val="000000">
                      <w14:alpha w14:val="100000"/>
                    </w14:srgbClr>
                  </w14:solidFill>
                </w14:textFill>
              </w:rPr>
              <w:t>|||</w:t>
            </w:r>
            <w:r w:rsidR="00D76B55" w:rsidRPr="00D76B55">
              <w:rPr>
                <w:color w:val="000000"/>
                <w:spacing w:val="3"/>
                <w:shd w:val="solid" w:color="000000" w:fill="000000"/>
                <w:fitText w:val="365" w:id="-1404292602"/>
                <w14:textFill>
                  <w14:solidFill>
                    <w14:srgbClr w14:val="000000">
                      <w14:alpha w14:val="100000"/>
                    </w14:srgbClr>
                  </w14:solidFill>
                </w14:textFill>
              </w:rPr>
              <w:t>|</w:t>
            </w:r>
            <w:r w:rsidR="00A10EE5">
              <w:rPr>
                <w:vertAlign w:val="superscript"/>
              </w:rPr>
              <w:t>3</w:t>
            </w:r>
            <w:r w:rsidRPr="00001499">
              <w:t xml:space="preserve"> </w:t>
            </w:r>
          </w:p>
        </w:tc>
      </w:tr>
      <w:tr w:rsidR="009C29A2" w:rsidRPr="00001499" w14:paraId="79C9454E" w14:textId="77777777" w:rsidTr="00FC7A97">
        <w:tc>
          <w:tcPr>
            <w:tcW w:w="1334" w:type="pct"/>
            <w:shd w:val="clear" w:color="auto" w:fill="auto"/>
            <w:vAlign w:val="center"/>
          </w:tcPr>
          <w:p w14:paraId="0CB12F75" w14:textId="77777777" w:rsidR="009C29A2" w:rsidRPr="00001499" w:rsidRDefault="009C29A2" w:rsidP="00FC7A97">
            <w:pPr>
              <w:pStyle w:val="TableText0"/>
            </w:pPr>
            <w:r w:rsidRPr="00001499">
              <w:t>Aboriginal and Torres Strait Islander</w:t>
            </w:r>
            <w:r w:rsidRPr="00001499" w:rsidDel="000F73C2">
              <w:t xml:space="preserve"> </w:t>
            </w:r>
            <w:r w:rsidRPr="00001499">
              <w:t xml:space="preserve">population 50-64 years </w:t>
            </w:r>
          </w:p>
        </w:tc>
        <w:tc>
          <w:tcPr>
            <w:tcW w:w="611" w:type="pct"/>
            <w:shd w:val="clear" w:color="auto" w:fill="auto"/>
          </w:tcPr>
          <w:p w14:paraId="047659EC" w14:textId="5C727DBB"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1"/>
                <w14:textFill>
                  <w14:solidFill>
                    <w14:srgbClr w14:val="000000">
                      <w14:alpha w14:val="100000"/>
                    </w14:srgbClr>
                  </w14:solidFill>
                </w14:textFill>
              </w:rPr>
              <w:t>|||</w:t>
            </w:r>
            <w:r w:rsidR="00D76B55" w:rsidRPr="00D76B55">
              <w:rPr>
                <w:color w:val="000000"/>
                <w:spacing w:val="1"/>
                <w:shd w:val="solid" w:color="000000" w:fill="000000"/>
                <w:fitText w:val="366" w:id="-1404292601"/>
                <w14:textFill>
                  <w14:solidFill>
                    <w14:srgbClr w14:val="000000">
                      <w14:alpha w14:val="100000"/>
                    </w14:srgbClr>
                  </w14:solidFill>
                </w14:textFill>
              </w:rPr>
              <w:t>|</w:t>
            </w:r>
            <w:r w:rsidR="00A10EE5">
              <w:rPr>
                <w:vertAlign w:val="superscript"/>
              </w:rPr>
              <w:t>4</w:t>
            </w:r>
            <w:r w:rsidRPr="00001499">
              <w:t xml:space="preserve"> </w:t>
            </w:r>
          </w:p>
        </w:tc>
        <w:tc>
          <w:tcPr>
            <w:tcW w:w="611" w:type="pct"/>
            <w:shd w:val="clear" w:color="auto" w:fill="auto"/>
          </w:tcPr>
          <w:p w14:paraId="4B6471F9" w14:textId="712CBA54"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0"/>
                <w14:textFill>
                  <w14:solidFill>
                    <w14:srgbClr w14:val="000000">
                      <w14:alpha w14:val="100000"/>
                    </w14:srgbClr>
                  </w14:solidFill>
                </w14:textFill>
              </w:rPr>
              <w:t>|||</w:t>
            </w:r>
            <w:r w:rsidR="00D76B55" w:rsidRPr="00D76B55">
              <w:rPr>
                <w:color w:val="000000"/>
                <w:spacing w:val="1"/>
                <w:shd w:val="solid" w:color="000000" w:fill="000000"/>
                <w:fitText w:val="366" w:id="-1404292600"/>
                <w14:textFill>
                  <w14:solidFill>
                    <w14:srgbClr w14:val="000000">
                      <w14:alpha w14:val="100000"/>
                    </w14:srgbClr>
                  </w14:solidFill>
                </w14:textFill>
              </w:rPr>
              <w:t>|</w:t>
            </w:r>
            <w:r w:rsidR="00A10EE5">
              <w:rPr>
                <w:vertAlign w:val="superscript"/>
              </w:rPr>
              <w:t>4</w:t>
            </w:r>
            <w:r w:rsidRPr="00001499">
              <w:t xml:space="preserve"> </w:t>
            </w:r>
          </w:p>
        </w:tc>
        <w:tc>
          <w:tcPr>
            <w:tcW w:w="611" w:type="pct"/>
            <w:shd w:val="clear" w:color="auto" w:fill="auto"/>
          </w:tcPr>
          <w:p w14:paraId="677542FC" w14:textId="3B67DC23"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599"/>
                <w14:textFill>
                  <w14:solidFill>
                    <w14:srgbClr w14:val="000000">
                      <w14:alpha w14:val="100000"/>
                    </w14:srgbClr>
                  </w14:solidFill>
                </w14:textFill>
              </w:rPr>
              <w:t>|||</w:t>
            </w:r>
            <w:r w:rsidR="00D76B55" w:rsidRPr="00D76B55">
              <w:rPr>
                <w:color w:val="000000"/>
                <w:spacing w:val="3"/>
                <w:shd w:val="solid" w:color="000000" w:fill="000000"/>
                <w:fitText w:val="365" w:id="-1404292599"/>
                <w14:textFill>
                  <w14:solidFill>
                    <w14:srgbClr w14:val="000000">
                      <w14:alpha w14:val="100000"/>
                    </w14:srgbClr>
                  </w14:solidFill>
                </w14:textFill>
              </w:rPr>
              <w:t>|</w:t>
            </w:r>
            <w:r w:rsidR="00A10EE5">
              <w:rPr>
                <w:vertAlign w:val="superscript"/>
              </w:rPr>
              <w:t>2</w:t>
            </w:r>
            <w:r w:rsidRPr="00001499">
              <w:t xml:space="preserve"> </w:t>
            </w:r>
          </w:p>
        </w:tc>
        <w:tc>
          <w:tcPr>
            <w:tcW w:w="611" w:type="pct"/>
            <w:shd w:val="clear" w:color="auto" w:fill="auto"/>
          </w:tcPr>
          <w:p w14:paraId="18979C1C" w14:textId="7A09E657"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8"/>
                <w14:textFill>
                  <w14:solidFill>
                    <w14:srgbClr w14:val="000000">
                      <w14:alpha w14:val="100000"/>
                    </w14:srgbClr>
                  </w14:solidFill>
                </w14:textFill>
              </w:rPr>
              <w:t>|||</w:t>
            </w:r>
            <w:r w:rsidR="00D76B55" w:rsidRPr="00D76B55">
              <w:rPr>
                <w:color w:val="000000"/>
                <w:spacing w:val="1"/>
                <w:shd w:val="solid" w:color="000000" w:fill="000000"/>
                <w:fitText w:val="366" w:id="-1404292598"/>
                <w14:textFill>
                  <w14:solidFill>
                    <w14:srgbClr w14:val="000000">
                      <w14:alpha w14:val="100000"/>
                    </w14:srgbClr>
                  </w14:solidFill>
                </w14:textFill>
              </w:rPr>
              <w:t>|</w:t>
            </w:r>
            <w:r w:rsidR="00A10EE5">
              <w:rPr>
                <w:vertAlign w:val="superscript"/>
              </w:rPr>
              <w:t>2</w:t>
            </w:r>
            <w:r w:rsidRPr="00001499">
              <w:t xml:space="preserve"> </w:t>
            </w:r>
          </w:p>
        </w:tc>
        <w:tc>
          <w:tcPr>
            <w:tcW w:w="611" w:type="pct"/>
            <w:shd w:val="clear" w:color="auto" w:fill="auto"/>
          </w:tcPr>
          <w:p w14:paraId="0B4C9A7E" w14:textId="4FD57309"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7"/>
                <w14:textFill>
                  <w14:solidFill>
                    <w14:srgbClr w14:val="000000">
                      <w14:alpha w14:val="100000"/>
                    </w14:srgbClr>
                  </w14:solidFill>
                </w14:textFill>
              </w:rPr>
              <w:t>|||</w:t>
            </w:r>
            <w:r w:rsidR="00D76B55" w:rsidRPr="00D76B55">
              <w:rPr>
                <w:color w:val="000000"/>
                <w:spacing w:val="1"/>
                <w:shd w:val="solid" w:color="000000" w:fill="000000"/>
                <w:fitText w:val="366" w:id="-1404292597"/>
                <w14:textFill>
                  <w14:solidFill>
                    <w14:srgbClr w14:val="000000">
                      <w14:alpha w14:val="100000"/>
                    </w14:srgbClr>
                  </w14:solidFill>
                </w14:textFill>
              </w:rPr>
              <w:t>|</w:t>
            </w:r>
            <w:r w:rsidR="00A10EE5">
              <w:rPr>
                <w:vertAlign w:val="superscript"/>
              </w:rPr>
              <w:t>2</w:t>
            </w:r>
            <w:r w:rsidRPr="00001499">
              <w:t xml:space="preserve"> </w:t>
            </w:r>
          </w:p>
        </w:tc>
        <w:tc>
          <w:tcPr>
            <w:tcW w:w="611" w:type="pct"/>
          </w:tcPr>
          <w:p w14:paraId="14CF8FB8" w14:textId="0E9CF8FB"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596"/>
                <w14:textFill>
                  <w14:solidFill>
                    <w14:srgbClr w14:val="000000">
                      <w14:alpha w14:val="100000"/>
                    </w14:srgbClr>
                  </w14:solidFill>
                </w14:textFill>
              </w:rPr>
              <w:t>|||</w:t>
            </w:r>
            <w:r w:rsidR="00D76B55" w:rsidRPr="00D76B55">
              <w:rPr>
                <w:color w:val="000000"/>
                <w:spacing w:val="3"/>
                <w:shd w:val="solid" w:color="000000" w:fill="000000"/>
                <w:fitText w:val="365" w:id="-1404292596"/>
                <w14:textFill>
                  <w14:solidFill>
                    <w14:srgbClr w14:val="000000">
                      <w14:alpha w14:val="100000"/>
                    </w14:srgbClr>
                  </w14:solidFill>
                </w14:textFill>
              </w:rPr>
              <w:t>|</w:t>
            </w:r>
            <w:r w:rsidR="00A10EE5">
              <w:rPr>
                <w:vertAlign w:val="superscript"/>
              </w:rPr>
              <w:t>2</w:t>
            </w:r>
            <w:r w:rsidRPr="00001499">
              <w:t xml:space="preserve"> </w:t>
            </w:r>
          </w:p>
        </w:tc>
      </w:tr>
      <w:tr w:rsidR="009C29A2" w:rsidRPr="00001499" w14:paraId="59B300D3" w14:textId="77777777" w:rsidTr="00FC7A97">
        <w:tc>
          <w:tcPr>
            <w:tcW w:w="1334" w:type="pct"/>
            <w:shd w:val="clear" w:color="auto" w:fill="auto"/>
            <w:vAlign w:val="center"/>
          </w:tcPr>
          <w:p w14:paraId="3974BBC5" w14:textId="77777777" w:rsidR="009C29A2" w:rsidRPr="00001499" w:rsidRDefault="009C29A2" w:rsidP="00FC7A97">
            <w:pPr>
              <w:pStyle w:val="TableText0"/>
            </w:pPr>
            <w:r w:rsidRPr="00001499">
              <w:t xml:space="preserve">Increased risk aged 5-17 years </w:t>
            </w:r>
          </w:p>
        </w:tc>
        <w:tc>
          <w:tcPr>
            <w:tcW w:w="611" w:type="pct"/>
            <w:shd w:val="clear" w:color="auto" w:fill="auto"/>
          </w:tcPr>
          <w:p w14:paraId="4E5446E9" w14:textId="48F5246E"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5"/>
                <w14:textFill>
                  <w14:solidFill>
                    <w14:srgbClr w14:val="000000">
                      <w14:alpha w14:val="100000"/>
                    </w14:srgbClr>
                  </w14:solidFill>
                </w14:textFill>
              </w:rPr>
              <w:t>|||</w:t>
            </w:r>
            <w:r w:rsidR="00D76B55" w:rsidRPr="00D76B55">
              <w:rPr>
                <w:color w:val="000000"/>
                <w:spacing w:val="1"/>
                <w:shd w:val="solid" w:color="000000" w:fill="000000"/>
                <w:fitText w:val="366" w:id="-1404292595"/>
                <w14:textFill>
                  <w14:solidFill>
                    <w14:srgbClr w14:val="000000">
                      <w14:alpha w14:val="100000"/>
                    </w14:srgbClr>
                  </w14:solidFill>
                </w14:textFill>
              </w:rPr>
              <w:t>|</w:t>
            </w:r>
            <w:r w:rsidR="00A10EE5">
              <w:rPr>
                <w:vertAlign w:val="superscript"/>
              </w:rPr>
              <w:t>4</w:t>
            </w:r>
            <w:r w:rsidRPr="00001499">
              <w:t xml:space="preserve"> </w:t>
            </w:r>
          </w:p>
        </w:tc>
        <w:tc>
          <w:tcPr>
            <w:tcW w:w="611" w:type="pct"/>
            <w:shd w:val="clear" w:color="auto" w:fill="auto"/>
          </w:tcPr>
          <w:p w14:paraId="12314A64" w14:textId="0C3985E8"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4"/>
                <w14:textFill>
                  <w14:solidFill>
                    <w14:srgbClr w14:val="000000">
                      <w14:alpha w14:val="100000"/>
                    </w14:srgbClr>
                  </w14:solidFill>
                </w14:textFill>
              </w:rPr>
              <w:t>|||</w:t>
            </w:r>
            <w:r w:rsidR="00D76B55" w:rsidRPr="00D76B55">
              <w:rPr>
                <w:color w:val="000000"/>
                <w:spacing w:val="1"/>
                <w:shd w:val="solid" w:color="000000" w:fill="000000"/>
                <w:fitText w:val="366" w:id="-1404292594"/>
                <w14:textFill>
                  <w14:solidFill>
                    <w14:srgbClr w14:val="000000">
                      <w14:alpha w14:val="100000"/>
                    </w14:srgbClr>
                  </w14:solidFill>
                </w14:textFill>
              </w:rPr>
              <w:t>|</w:t>
            </w:r>
            <w:r w:rsidR="00A10EE5">
              <w:rPr>
                <w:vertAlign w:val="superscript"/>
              </w:rPr>
              <w:t>4</w:t>
            </w:r>
            <w:r w:rsidRPr="00001499">
              <w:t xml:space="preserve"> </w:t>
            </w:r>
          </w:p>
        </w:tc>
        <w:tc>
          <w:tcPr>
            <w:tcW w:w="611" w:type="pct"/>
            <w:shd w:val="clear" w:color="auto" w:fill="auto"/>
          </w:tcPr>
          <w:p w14:paraId="07FF8778" w14:textId="3B1224EE"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593"/>
                <w14:textFill>
                  <w14:solidFill>
                    <w14:srgbClr w14:val="000000">
                      <w14:alpha w14:val="100000"/>
                    </w14:srgbClr>
                  </w14:solidFill>
                </w14:textFill>
              </w:rPr>
              <w:t>|||</w:t>
            </w:r>
            <w:r w:rsidR="00D76B55" w:rsidRPr="00D76B55">
              <w:rPr>
                <w:color w:val="000000"/>
                <w:spacing w:val="3"/>
                <w:shd w:val="solid" w:color="000000" w:fill="000000"/>
                <w:fitText w:val="365" w:id="-1404292593"/>
                <w14:textFill>
                  <w14:solidFill>
                    <w14:srgbClr w14:val="000000">
                      <w14:alpha w14:val="100000"/>
                    </w14:srgbClr>
                  </w14:solidFill>
                </w14:textFill>
              </w:rPr>
              <w:t>|</w:t>
            </w:r>
            <w:r w:rsidR="00A10EE5">
              <w:rPr>
                <w:vertAlign w:val="superscript"/>
              </w:rPr>
              <w:t>4</w:t>
            </w:r>
            <w:r w:rsidRPr="00001499">
              <w:t xml:space="preserve"> </w:t>
            </w:r>
          </w:p>
        </w:tc>
        <w:tc>
          <w:tcPr>
            <w:tcW w:w="611" w:type="pct"/>
            <w:shd w:val="clear" w:color="auto" w:fill="auto"/>
          </w:tcPr>
          <w:p w14:paraId="70FCAF5A" w14:textId="39D597DA"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2"/>
                <w14:textFill>
                  <w14:solidFill>
                    <w14:srgbClr w14:val="000000">
                      <w14:alpha w14:val="100000"/>
                    </w14:srgbClr>
                  </w14:solidFill>
                </w14:textFill>
              </w:rPr>
              <w:t>|||</w:t>
            </w:r>
            <w:r w:rsidR="00D76B55" w:rsidRPr="00D76B55">
              <w:rPr>
                <w:color w:val="000000"/>
                <w:spacing w:val="1"/>
                <w:shd w:val="solid" w:color="000000" w:fill="000000"/>
                <w:fitText w:val="366" w:id="-1404292592"/>
                <w14:textFill>
                  <w14:solidFill>
                    <w14:srgbClr w14:val="000000">
                      <w14:alpha w14:val="100000"/>
                    </w14:srgbClr>
                  </w14:solidFill>
                </w14:textFill>
              </w:rPr>
              <w:t>|</w:t>
            </w:r>
            <w:r w:rsidR="00A10EE5">
              <w:rPr>
                <w:vertAlign w:val="superscript"/>
              </w:rPr>
              <w:t>4</w:t>
            </w:r>
            <w:r w:rsidRPr="00001499">
              <w:t xml:space="preserve"> </w:t>
            </w:r>
          </w:p>
        </w:tc>
        <w:tc>
          <w:tcPr>
            <w:tcW w:w="611" w:type="pct"/>
            <w:shd w:val="clear" w:color="auto" w:fill="auto"/>
          </w:tcPr>
          <w:p w14:paraId="28E008B5" w14:textId="76361466"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8"/>
                <w14:textFill>
                  <w14:solidFill>
                    <w14:srgbClr w14:val="000000">
                      <w14:alpha w14:val="100000"/>
                    </w14:srgbClr>
                  </w14:solidFill>
                </w14:textFill>
              </w:rPr>
              <w:t>|||</w:t>
            </w:r>
            <w:r w:rsidR="00D76B55" w:rsidRPr="00D76B55">
              <w:rPr>
                <w:color w:val="000000"/>
                <w:spacing w:val="1"/>
                <w:shd w:val="solid" w:color="000000" w:fill="000000"/>
                <w:fitText w:val="366" w:id="-1404292608"/>
                <w14:textFill>
                  <w14:solidFill>
                    <w14:srgbClr w14:val="000000">
                      <w14:alpha w14:val="100000"/>
                    </w14:srgbClr>
                  </w14:solidFill>
                </w14:textFill>
              </w:rPr>
              <w:t>|</w:t>
            </w:r>
            <w:r w:rsidR="00A10EE5">
              <w:rPr>
                <w:vertAlign w:val="superscript"/>
              </w:rPr>
              <w:t>4</w:t>
            </w:r>
            <w:r w:rsidRPr="00001499">
              <w:t xml:space="preserve"> </w:t>
            </w:r>
          </w:p>
        </w:tc>
        <w:tc>
          <w:tcPr>
            <w:tcW w:w="611" w:type="pct"/>
          </w:tcPr>
          <w:p w14:paraId="35BAC8B8" w14:textId="14282D5B"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607"/>
                <w14:textFill>
                  <w14:solidFill>
                    <w14:srgbClr w14:val="000000">
                      <w14:alpha w14:val="100000"/>
                    </w14:srgbClr>
                  </w14:solidFill>
                </w14:textFill>
              </w:rPr>
              <w:t>|||</w:t>
            </w:r>
            <w:r w:rsidR="00D76B55" w:rsidRPr="00D76B55">
              <w:rPr>
                <w:color w:val="000000"/>
                <w:spacing w:val="3"/>
                <w:shd w:val="solid" w:color="000000" w:fill="000000"/>
                <w:fitText w:val="365" w:id="-1404292607"/>
                <w14:textFill>
                  <w14:solidFill>
                    <w14:srgbClr w14:val="000000">
                      <w14:alpha w14:val="100000"/>
                    </w14:srgbClr>
                  </w14:solidFill>
                </w14:textFill>
              </w:rPr>
              <w:t>|</w:t>
            </w:r>
            <w:r w:rsidR="00A10EE5">
              <w:rPr>
                <w:vertAlign w:val="superscript"/>
              </w:rPr>
              <w:t>4</w:t>
            </w:r>
            <w:r w:rsidRPr="00001499">
              <w:t xml:space="preserve"> </w:t>
            </w:r>
          </w:p>
        </w:tc>
      </w:tr>
      <w:tr w:rsidR="009C29A2" w:rsidRPr="00001499" w14:paraId="1ACB8E10" w14:textId="77777777" w:rsidTr="00FC7A97">
        <w:tc>
          <w:tcPr>
            <w:tcW w:w="1334" w:type="pct"/>
            <w:shd w:val="clear" w:color="auto" w:fill="auto"/>
            <w:vAlign w:val="center"/>
          </w:tcPr>
          <w:p w14:paraId="43339184" w14:textId="77777777" w:rsidR="009C29A2" w:rsidRPr="00001499" w:rsidRDefault="009C29A2" w:rsidP="00FC7A97">
            <w:pPr>
              <w:pStyle w:val="TableText0"/>
            </w:pPr>
            <w:r w:rsidRPr="00001499">
              <w:t xml:space="preserve">Increased risk aged 18-64 years </w:t>
            </w:r>
          </w:p>
        </w:tc>
        <w:tc>
          <w:tcPr>
            <w:tcW w:w="611" w:type="pct"/>
            <w:shd w:val="clear" w:color="auto" w:fill="auto"/>
          </w:tcPr>
          <w:p w14:paraId="2C626041" w14:textId="0B710CA7"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6"/>
                <w14:textFill>
                  <w14:solidFill>
                    <w14:srgbClr w14:val="000000">
                      <w14:alpha w14:val="100000"/>
                    </w14:srgbClr>
                  </w14:solidFill>
                </w14:textFill>
              </w:rPr>
              <w:t>|||</w:t>
            </w:r>
            <w:r w:rsidR="00D76B55" w:rsidRPr="00D76B55">
              <w:rPr>
                <w:color w:val="000000"/>
                <w:spacing w:val="1"/>
                <w:shd w:val="solid" w:color="000000" w:fill="000000"/>
                <w:fitText w:val="366" w:id="-1404292606"/>
                <w14:textFill>
                  <w14:solidFill>
                    <w14:srgbClr w14:val="000000">
                      <w14:alpha w14:val="100000"/>
                    </w14:srgbClr>
                  </w14:solidFill>
                </w14:textFill>
              </w:rPr>
              <w:t>|</w:t>
            </w:r>
            <w:r w:rsidR="009F28C6">
              <w:rPr>
                <w:vertAlign w:val="superscript"/>
              </w:rPr>
              <w:t>5</w:t>
            </w:r>
            <w:r w:rsidRPr="00001499">
              <w:t xml:space="preserve"> </w:t>
            </w:r>
          </w:p>
        </w:tc>
        <w:tc>
          <w:tcPr>
            <w:tcW w:w="611" w:type="pct"/>
            <w:shd w:val="clear" w:color="auto" w:fill="auto"/>
          </w:tcPr>
          <w:p w14:paraId="55135549" w14:textId="37E7C6FC"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5"/>
                <w14:textFill>
                  <w14:solidFill>
                    <w14:srgbClr w14:val="000000">
                      <w14:alpha w14:val="100000"/>
                    </w14:srgbClr>
                  </w14:solidFill>
                </w14:textFill>
              </w:rPr>
              <w:t>|||</w:t>
            </w:r>
            <w:r w:rsidR="00D76B55" w:rsidRPr="00D76B55">
              <w:rPr>
                <w:color w:val="000000"/>
                <w:spacing w:val="1"/>
                <w:shd w:val="solid" w:color="000000" w:fill="000000"/>
                <w:fitText w:val="366" w:id="-1404292605"/>
                <w14:textFill>
                  <w14:solidFill>
                    <w14:srgbClr w14:val="000000">
                      <w14:alpha w14:val="100000"/>
                    </w14:srgbClr>
                  </w14:solidFill>
                </w14:textFill>
              </w:rPr>
              <w:t>|</w:t>
            </w:r>
            <w:r w:rsidR="009F28C6">
              <w:rPr>
                <w:vertAlign w:val="superscript"/>
              </w:rPr>
              <w:t>5</w:t>
            </w:r>
            <w:r w:rsidRPr="00001499">
              <w:t xml:space="preserve"> </w:t>
            </w:r>
          </w:p>
        </w:tc>
        <w:tc>
          <w:tcPr>
            <w:tcW w:w="611" w:type="pct"/>
            <w:shd w:val="clear" w:color="auto" w:fill="auto"/>
          </w:tcPr>
          <w:p w14:paraId="61BBA9C9" w14:textId="320696B6"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604"/>
                <w14:textFill>
                  <w14:solidFill>
                    <w14:srgbClr w14:val="000000">
                      <w14:alpha w14:val="100000"/>
                    </w14:srgbClr>
                  </w14:solidFill>
                </w14:textFill>
              </w:rPr>
              <w:t>|||</w:t>
            </w:r>
            <w:r w:rsidR="00D76B55" w:rsidRPr="00D76B55">
              <w:rPr>
                <w:color w:val="000000"/>
                <w:spacing w:val="3"/>
                <w:shd w:val="solid" w:color="000000" w:fill="000000"/>
                <w:fitText w:val="365" w:id="-1404292604"/>
                <w14:textFill>
                  <w14:solidFill>
                    <w14:srgbClr w14:val="000000">
                      <w14:alpha w14:val="100000"/>
                    </w14:srgbClr>
                  </w14:solidFill>
                </w14:textFill>
              </w:rPr>
              <w:t>|</w:t>
            </w:r>
            <w:r w:rsidR="009F28C6">
              <w:rPr>
                <w:vertAlign w:val="superscript"/>
              </w:rPr>
              <w:t>5</w:t>
            </w:r>
            <w:r w:rsidRPr="00001499">
              <w:t xml:space="preserve"> </w:t>
            </w:r>
          </w:p>
        </w:tc>
        <w:tc>
          <w:tcPr>
            <w:tcW w:w="611" w:type="pct"/>
            <w:shd w:val="clear" w:color="auto" w:fill="auto"/>
          </w:tcPr>
          <w:p w14:paraId="776D5CCE" w14:textId="629DE46A"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3"/>
                <w14:textFill>
                  <w14:solidFill>
                    <w14:srgbClr w14:val="000000">
                      <w14:alpha w14:val="100000"/>
                    </w14:srgbClr>
                  </w14:solidFill>
                </w14:textFill>
              </w:rPr>
              <w:t>|||</w:t>
            </w:r>
            <w:r w:rsidR="00D76B55" w:rsidRPr="00D76B55">
              <w:rPr>
                <w:color w:val="000000"/>
                <w:spacing w:val="1"/>
                <w:shd w:val="solid" w:color="000000" w:fill="000000"/>
                <w:fitText w:val="366" w:id="-1404292603"/>
                <w14:textFill>
                  <w14:solidFill>
                    <w14:srgbClr w14:val="000000">
                      <w14:alpha w14:val="100000"/>
                    </w14:srgbClr>
                  </w14:solidFill>
                </w14:textFill>
              </w:rPr>
              <w:t>|</w:t>
            </w:r>
            <w:r w:rsidR="009F28C6">
              <w:rPr>
                <w:vertAlign w:val="superscript"/>
              </w:rPr>
              <w:t>5</w:t>
            </w:r>
            <w:r w:rsidRPr="00001499">
              <w:t xml:space="preserve"> </w:t>
            </w:r>
          </w:p>
        </w:tc>
        <w:tc>
          <w:tcPr>
            <w:tcW w:w="611" w:type="pct"/>
            <w:shd w:val="clear" w:color="auto" w:fill="auto"/>
          </w:tcPr>
          <w:p w14:paraId="398E5468" w14:textId="1ECCFDF0"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2"/>
                <w14:textFill>
                  <w14:solidFill>
                    <w14:srgbClr w14:val="000000">
                      <w14:alpha w14:val="100000"/>
                    </w14:srgbClr>
                  </w14:solidFill>
                </w14:textFill>
              </w:rPr>
              <w:t>|||</w:t>
            </w:r>
            <w:r w:rsidR="00D76B55" w:rsidRPr="00D76B55">
              <w:rPr>
                <w:color w:val="000000"/>
                <w:spacing w:val="1"/>
                <w:shd w:val="solid" w:color="000000" w:fill="000000"/>
                <w:fitText w:val="366" w:id="-1404292602"/>
                <w14:textFill>
                  <w14:solidFill>
                    <w14:srgbClr w14:val="000000">
                      <w14:alpha w14:val="100000"/>
                    </w14:srgbClr>
                  </w14:solidFill>
                </w14:textFill>
              </w:rPr>
              <w:t>|</w:t>
            </w:r>
            <w:r w:rsidR="009F28C6">
              <w:rPr>
                <w:vertAlign w:val="superscript"/>
              </w:rPr>
              <w:t>5</w:t>
            </w:r>
            <w:r w:rsidRPr="00001499">
              <w:t xml:space="preserve"> </w:t>
            </w:r>
          </w:p>
        </w:tc>
        <w:tc>
          <w:tcPr>
            <w:tcW w:w="611" w:type="pct"/>
          </w:tcPr>
          <w:p w14:paraId="2448E024" w14:textId="7212641B"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601"/>
                <w14:textFill>
                  <w14:solidFill>
                    <w14:srgbClr w14:val="000000">
                      <w14:alpha w14:val="100000"/>
                    </w14:srgbClr>
                  </w14:solidFill>
                </w14:textFill>
              </w:rPr>
              <w:t>|||</w:t>
            </w:r>
            <w:r w:rsidR="00D76B55" w:rsidRPr="00D76B55">
              <w:rPr>
                <w:color w:val="000000"/>
                <w:spacing w:val="3"/>
                <w:shd w:val="solid" w:color="000000" w:fill="000000"/>
                <w:fitText w:val="365" w:id="-1404292601"/>
                <w14:textFill>
                  <w14:solidFill>
                    <w14:srgbClr w14:val="000000">
                      <w14:alpha w14:val="100000"/>
                    </w14:srgbClr>
                  </w14:solidFill>
                </w14:textFill>
              </w:rPr>
              <w:t>|</w:t>
            </w:r>
            <w:r w:rsidR="009F28C6">
              <w:rPr>
                <w:vertAlign w:val="superscript"/>
              </w:rPr>
              <w:t>5</w:t>
            </w:r>
            <w:r w:rsidRPr="00001499">
              <w:t xml:space="preserve"> </w:t>
            </w:r>
          </w:p>
        </w:tc>
      </w:tr>
      <w:tr w:rsidR="009C29A2" w:rsidRPr="00001499" w14:paraId="446AB0DB" w14:textId="77777777" w:rsidTr="00FC7A97">
        <w:tc>
          <w:tcPr>
            <w:tcW w:w="1334" w:type="pct"/>
            <w:shd w:val="clear" w:color="auto" w:fill="auto"/>
            <w:vAlign w:val="center"/>
          </w:tcPr>
          <w:p w14:paraId="0E15AC25" w14:textId="77777777" w:rsidR="009C29A2" w:rsidRPr="00001499" w:rsidRDefault="009C29A2" w:rsidP="00FC7A97">
            <w:pPr>
              <w:pStyle w:val="TableText0"/>
            </w:pPr>
            <w:r w:rsidRPr="00001499">
              <w:t xml:space="preserve">Pregnant women </w:t>
            </w:r>
          </w:p>
        </w:tc>
        <w:tc>
          <w:tcPr>
            <w:tcW w:w="611" w:type="pct"/>
            <w:shd w:val="clear" w:color="auto" w:fill="auto"/>
          </w:tcPr>
          <w:p w14:paraId="7079C0FC" w14:textId="79E5BB82"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600"/>
                <w14:textFill>
                  <w14:solidFill>
                    <w14:srgbClr w14:val="000000">
                      <w14:alpha w14:val="100000"/>
                    </w14:srgbClr>
                  </w14:solidFill>
                </w14:textFill>
              </w:rPr>
              <w:t>|||</w:t>
            </w:r>
            <w:r w:rsidR="00D76B55" w:rsidRPr="00D76B55">
              <w:rPr>
                <w:color w:val="000000"/>
                <w:spacing w:val="1"/>
                <w:shd w:val="solid" w:color="000000" w:fill="000000"/>
                <w:fitText w:val="366" w:id="-1404292600"/>
                <w14:textFill>
                  <w14:solidFill>
                    <w14:srgbClr w14:val="000000">
                      <w14:alpha w14:val="100000"/>
                    </w14:srgbClr>
                  </w14:solidFill>
                </w14:textFill>
              </w:rPr>
              <w:t>|</w:t>
            </w:r>
            <w:r w:rsidR="009F28C6">
              <w:rPr>
                <w:vertAlign w:val="superscript"/>
              </w:rPr>
              <w:t>3</w:t>
            </w:r>
            <w:r w:rsidRPr="00001499">
              <w:t xml:space="preserve"> </w:t>
            </w:r>
          </w:p>
        </w:tc>
        <w:tc>
          <w:tcPr>
            <w:tcW w:w="611" w:type="pct"/>
            <w:shd w:val="clear" w:color="auto" w:fill="auto"/>
          </w:tcPr>
          <w:p w14:paraId="09ED7092" w14:textId="5D36A9FD"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9"/>
                <w14:textFill>
                  <w14:solidFill>
                    <w14:srgbClr w14:val="000000">
                      <w14:alpha w14:val="100000"/>
                    </w14:srgbClr>
                  </w14:solidFill>
                </w14:textFill>
              </w:rPr>
              <w:t>|||</w:t>
            </w:r>
            <w:r w:rsidR="00D76B55" w:rsidRPr="00D76B55">
              <w:rPr>
                <w:color w:val="000000"/>
                <w:spacing w:val="1"/>
                <w:shd w:val="solid" w:color="000000" w:fill="000000"/>
                <w:fitText w:val="366" w:id="-1404292599"/>
                <w14:textFill>
                  <w14:solidFill>
                    <w14:srgbClr w14:val="000000">
                      <w14:alpha w14:val="100000"/>
                    </w14:srgbClr>
                  </w14:solidFill>
                </w14:textFill>
              </w:rPr>
              <w:t>|</w:t>
            </w:r>
            <w:r w:rsidR="009F28C6">
              <w:rPr>
                <w:vertAlign w:val="superscript"/>
              </w:rPr>
              <w:t>3</w:t>
            </w:r>
            <w:r w:rsidRPr="00001499">
              <w:t xml:space="preserve"> </w:t>
            </w:r>
          </w:p>
        </w:tc>
        <w:tc>
          <w:tcPr>
            <w:tcW w:w="611" w:type="pct"/>
            <w:shd w:val="clear" w:color="auto" w:fill="auto"/>
          </w:tcPr>
          <w:p w14:paraId="75044F9A" w14:textId="15DFE331"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598"/>
                <w14:textFill>
                  <w14:solidFill>
                    <w14:srgbClr w14:val="000000">
                      <w14:alpha w14:val="100000"/>
                    </w14:srgbClr>
                  </w14:solidFill>
                </w14:textFill>
              </w:rPr>
              <w:t>|||</w:t>
            </w:r>
            <w:r w:rsidR="00D76B55" w:rsidRPr="00D76B55">
              <w:rPr>
                <w:color w:val="000000"/>
                <w:spacing w:val="3"/>
                <w:shd w:val="solid" w:color="000000" w:fill="000000"/>
                <w:fitText w:val="365" w:id="-1404292598"/>
                <w14:textFill>
                  <w14:solidFill>
                    <w14:srgbClr w14:val="000000">
                      <w14:alpha w14:val="100000"/>
                    </w14:srgbClr>
                  </w14:solidFill>
                </w14:textFill>
              </w:rPr>
              <w:t>|</w:t>
            </w:r>
            <w:r w:rsidR="009F28C6">
              <w:rPr>
                <w:vertAlign w:val="superscript"/>
              </w:rPr>
              <w:t>3</w:t>
            </w:r>
            <w:r w:rsidRPr="00001499">
              <w:t xml:space="preserve"> </w:t>
            </w:r>
          </w:p>
        </w:tc>
        <w:tc>
          <w:tcPr>
            <w:tcW w:w="611" w:type="pct"/>
            <w:shd w:val="clear" w:color="auto" w:fill="auto"/>
          </w:tcPr>
          <w:p w14:paraId="416EBA7C" w14:textId="612E34DA"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7"/>
                <w14:textFill>
                  <w14:solidFill>
                    <w14:srgbClr w14:val="000000">
                      <w14:alpha w14:val="100000"/>
                    </w14:srgbClr>
                  </w14:solidFill>
                </w14:textFill>
              </w:rPr>
              <w:t>|||</w:t>
            </w:r>
            <w:r w:rsidR="00D76B55" w:rsidRPr="00D76B55">
              <w:rPr>
                <w:color w:val="000000"/>
                <w:spacing w:val="1"/>
                <w:shd w:val="solid" w:color="000000" w:fill="000000"/>
                <w:fitText w:val="366" w:id="-1404292597"/>
                <w14:textFill>
                  <w14:solidFill>
                    <w14:srgbClr w14:val="000000">
                      <w14:alpha w14:val="100000"/>
                    </w14:srgbClr>
                  </w14:solidFill>
                </w14:textFill>
              </w:rPr>
              <w:t>|</w:t>
            </w:r>
            <w:r w:rsidR="009F28C6">
              <w:rPr>
                <w:vertAlign w:val="superscript"/>
              </w:rPr>
              <w:t>3</w:t>
            </w:r>
            <w:r w:rsidRPr="00001499">
              <w:t xml:space="preserve"> </w:t>
            </w:r>
          </w:p>
        </w:tc>
        <w:tc>
          <w:tcPr>
            <w:tcW w:w="611" w:type="pct"/>
            <w:shd w:val="clear" w:color="auto" w:fill="auto"/>
          </w:tcPr>
          <w:p w14:paraId="4FF5047B" w14:textId="3A8AEC8B" w:rsidR="009C29A2" w:rsidRPr="00001499" w:rsidRDefault="009C29A2" w:rsidP="00FC7A97">
            <w:pPr>
              <w:pStyle w:val="TableText0"/>
              <w:jc w:val="center"/>
              <w:rPr>
                <w:color w:val="000000"/>
              </w:rPr>
            </w:pPr>
            <w:r w:rsidRPr="00001499">
              <w:t xml:space="preserve"> </w:t>
            </w:r>
            <w:r w:rsidR="00D76B55" w:rsidRPr="00D76B55">
              <w:rPr>
                <w:color w:val="000000"/>
                <w:spacing w:val="65"/>
                <w:shd w:val="solid" w:color="000000" w:fill="000000"/>
                <w:fitText w:val="366" w:id="-1404292596"/>
                <w14:textFill>
                  <w14:solidFill>
                    <w14:srgbClr w14:val="000000">
                      <w14:alpha w14:val="100000"/>
                    </w14:srgbClr>
                  </w14:solidFill>
                </w14:textFill>
              </w:rPr>
              <w:t>|||</w:t>
            </w:r>
            <w:r w:rsidR="00D76B55" w:rsidRPr="00D76B55">
              <w:rPr>
                <w:color w:val="000000"/>
                <w:spacing w:val="1"/>
                <w:shd w:val="solid" w:color="000000" w:fill="000000"/>
                <w:fitText w:val="366" w:id="-1404292596"/>
                <w14:textFill>
                  <w14:solidFill>
                    <w14:srgbClr w14:val="000000">
                      <w14:alpha w14:val="100000"/>
                    </w14:srgbClr>
                  </w14:solidFill>
                </w14:textFill>
              </w:rPr>
              <w:t>|</w:t>
            </w:r>
            <w:r w:rsidR="009F28C6">
              <w:rPr>
                <w:vertAlign w:val="superscript"/>
              </w:rPr>
              <w:t>3</w:t>
            </w:r>
            <w:r w:rsidRPr="00001499">
              <w:t xml:space="preserve"> </w:t>
            </w:r>
          </w:p>
        </w:tc>
        <w:tc>
          <w:tcPr>
            <w:tcW w:w="611" w:type="pct"/>
          </w:tcPr>
          <w:p w14:paraId="05B9CFEF" w14:textId="396A8A5D" w:rsidR="009C29A2" w:rsidRPr="00001499" w:rsidRDefault="009C29A2" w:rsidP="00FC7A97">
            <w:pPr>
              <w:pStyle w:val="TableText0"/>
              <w:jc w:val="center"/>
              <w:rPr>
                <w:color w:val="000000"/>
              </w:rPr>
            </w:pPr>
            <w:r w:rsidRPr="00001499">
              <w:t xml:space="preserve"> </w:t>
            </w:r>
            <w:r w:rsidR="00D76B55" w:rsidRPr="00D76B55">
              <w:rPr>
                <w:color w:val="000000"/>
                <w:spacing w:val="64"/>
                <w:shd w:val="solid" w:color="000000" w:fill="000000"/>
                <w:fitText w:val="365" w:id="-1404292595"/>
                <w14:textFill>
                  <w14:solidFill>
                    <w14:srgbClr w14:val="000000">
                      <w14:alpha w14:val="100000"/>
                    </w14:srgbClr>
                  </w14:solidFill>
                </w14:textFill>
              </w:rPr>
              <w:t>|||</w:t>
            </w:r>
            <w:r w:rsidR="00D76B55" w:rsidRPr="00D76B55">
              <w:rPr>
                <w:color w:val="000000"/>
                <w:spacing w:val="3"/>
                <w:shd w:val="solid" w:color="000000" w:fill="000000"/>
                <w:fitText w:val="365" w:id="-1404292595"/>
                <w14:textFill>
                  <w14:solidFill>
                    <w14:srgbClr w14:val="000000">
                      <w14:alpha w14:val="100000"/>
                    </w14:srgbClr>
                  </w14:solidFill>
                </w14:textFill>
              </w:rPr>
              <w:t>|</w:t>
            </w:r>
            <w:r w:rsidR="009F28C6">
              <w:rPr>
                <w:vertAlign w:val="superscript"/>
              </w:rPr>
              <w:t>3</w:t>
            </w:r>
            <w:r w:rsidRPr="00001499">
              <w:t xml:space="preserve"> </w:t>
            </w:r>
          </w:p>
        </w:tc>
      </w:tr>
      <w:tr w:rsidR="009C29A2" w:rsidRPr="00001499" w14:paraId="5D60D13C" w14:textId="77777777" w:rsidTr="00FC7A97">
        <w:tc>
          <w:tcPr>
            <w:tcW w:w="1334" w:type="pct"/>
            <w:shd w:val="clear" w:color="auto" w:fill="auto"/>
            <w:vAlign w:val="center"/>
          </w:tcPr>
          <w:p w14:paraId="4C0FA1C4" w14:textId="54F439A5" w:rsidR="009C29A2" w:rsidRPr="00001499" w:rsidRDefault="009C29A2" w:rsidP="00FC7A97">
            <w:pPr>
              <w:pStyle w:val="TableText0"/>
              <w:rPr>
                <w:rFonts w:ascii="Times" w:hAnsi="Times"/>
              </w:rPr>
            </w:pPr>
            <w:r w:rsidRPr="00001499">
              <w:t xml:space="preserve">Number of </w:t>
            </w:r>
            <w:r w:rsidR="00E33E66">
              <w:t>doses</w:t>
            </w:r>
            <w:r w:rsidRPr="00001499">
              <w:rPr>
                <w:vertAlign w:val="superscript"/>
              </w:rPr>
              <w:t>a</w:t>
            </w:r>
          </w:p>
        </w:tc>
        <w:tc>
          <w:tcPr>
            <w:tcW w:w="611" w:type="pct"/>
            <w:shd w:val="clear" w:color="auto" w:fill="auto"/>
          </w:tcPr>
          <w:p w14:paraId="0EBDBEBD" w14:textId="74BC00FE" w:rsidR="009C29A2" w:rsidRPr="00001499" w:rsidRDefault="00D76B55" w:rsidP="00FC7A97">
            <w:pPr>
              <w:pStyle w:val="TableText0"/>
              <w:jc w:val="center"/>
              <w:rPr>
                <w:color w:val="000000"/>
              </w:rPr>
            </w:pPr>
            <w:r w:rsidRPr="00D76B55">
              <w:rPr>
                <w:color w:val="000000"/>
                <w:spacing w:val="57"/>
                <w:shd w:val="solid" w:color="000000" w:fill="000000"/>
                <w:fitText w:val="344" w:id="-1404292594"/>
                <w14:textFill>
                  <w14:solidFill>
                    <w14:srgbClr w14:val="000000">
                      <w14:alpha w14:val="100000"/>
                    </w14:srgbClr>
                  </w14:solidFill>
                </w14:textFill>
              </w:rPr>
              <w:t>|||</w:t>
            </w:r>
            <w:r w:rsidRPr="00D76B55">
              <w:rPr>
                <w:color w:val="000000"/>
                <w:spacing w:val="3"/>
                <w:shd w:val="solid" w:color="000000" w:fill="000000"/>
                <w:fitText w:val="344" w:id="-1404292594"/>
                <w14:textFill>
                  <w14:solidFill>
                    <w14:srgbClr w14:val="000000">
                      <w14:alpha w14:val="100000"/>
                    </w14:srgbClr>
                  </w14:solidFill>
                </w14:textFill>
              </w:rPr>
              <w:t>|</w:t>
            </w:r>
            <w:r w:rsidR="009F28C6">
              <w:rPr>
                <w:vertAlign w:val="superscript"/>
              </w:rPr>
              <w:t>6</w:t>
            </w:r>
            <w:r w:rsidR="009C29A2" w:rsidRPr="00001499">
              <w:t xml:space="preserve"> </w:t>
            </w:r>
          </w:p>
        </w:tc>
        <w:tc>
          <w:tcPr>
            <w:tcW w:w="611" w:type="pct"/>
            <w:shd w:val="clear" w:color="auto" w:fill="auto"/>
          </w:tcPr>
          <w:p w14:paraId="204B06AB" w14:textId="73AFDCD8" w:rsidR="009C29A2" w:rsidRPr="001D6304" w:rsidRDefault="00D76B55" w:rsidP="00FC7A97">
            <w:pPr>
              <w:pStyle w:val="TableText0"/>
              <w:jc w:val="center"/>
              <w:rPr>
                <w:color w:val="000000"/>
                <w:vertAlign w:val="superscript"/>
              </w:rPr>
            </w:pPr>
            <w:r w:rsidRPr="00D76B55">
              <w:rPr>
                <w:color w:val="000000"/>
                <w:spacing w:val="57"/>
                <w:shd w:val="solid" w:color="000000" w:fill="000000"/>
                <w:fitText w:val="343" w:id="-1404292593"/>
                <w14:textFill>
                  <w14:solidFill>
                    <w14:srgbClr w14:val="000000">
                      <w14:alpha w14:val="100000"/>
                    </w14:srgbClr>
                  </w14:solidFill>
                </w14:textFill>
              </w:rPr>
              <w:t>|||</w:t>
            </w:r>
            <w:r w:rsidRPr="00D76B55">
              <w:rPr>
                <w:color w:val="000000"/>
                <w:spacing w:val="2"/>
                <w:shd w:val="solid" w:color="000000" w:fill="000000"/>
                <w:fitText w:val="343" w:id="-1404292593"/>
                <w14:textFill>
                  <w14:solidFill>
                    <w14:srgbClr w14:val="000000">
                      <w14:alpha w14:val="100000"/>
                    </w14:srgbClr>
                  </w14:solidFill>
                </w14:textFill>
              </w:rPr>
              <w:t>|</w:t>
            </w:r>
            <w:r w:rsidR="009F28C6">
              <w:rPr>
                <w:vertAlign w:val="superscript"/>
              </w:rPr>
              <w:t>6</w:t>
            </w:r>
          </w:p>
        </w:tc>
        <w:tc>
          <w:tcPr>
            <w:tcW w:w="611" w:type="pct"/>
            <w:shd w:val="clear" w:color="auto" w:fill="auto"/>
          </w:tcPr>
          <w:p w14:paraId="794B95D3" w14:textId="32AD6AB1" w:rsidR="009C29A2" w:rsidRPr="001D6304" w:rsidRDefault="00D76B55" w:rsidP="00FC7A97">
            <w:pPr>
              <w:pStyle w:val="TableText0"/>
              <w:jc w:val="center"/>
              <w:rPr>
                <w:color w:val="000000"/>
                <w:vertAlign w:val="superscript"/>
              </w:rPr>
            </w:pPr>
            <w:r w:rsidRPr="00D76B55">
              <w:rPr>
                <w:color w:val="000000"/>
                <w:spacing w:val="57"/>
                <w:shd w:val="solid" w:color="000000" w:fill="000000"/>
                <w:fitText w:val="343" w:id="-1404292592"/>
                <w14:textFill>
                  <w14:solidFill>
                    <w14:srgbClr w14:val="000000">
                      <w14:alpha w14:val="100000"/>
                    </w14:srgbClr>
                  </w14:solidFill>
                </w14:textFill>
              </w:rPr>
              <w:t>|||</w:t>
            </w:r>
            <w:r w:rsidRPr="00D76B55">
              <w:rPr>
                <w:color w:val="000000"/>
                <w:spacing w:val="2"/>
                <w:shd w:val="solid" w:color="000000" w:fill="000000"/>
                <w:fitText w:val="343" w:id="-1404292592"/>
                <w14:textFill>
                  <w14:solidFill>
                    <w14:srgbClr w14:val="000000">
                      <w14:alpha w14:val="100000"/>
                    </w14:srgbClr>
                  </w14:solidFill>
                </w14:textFill>
              </w:rPr>
              <w:t>|</w:t>
            </w:r>
            <w:r w:rsidR="009F28C6">
              <w:rPr>
                <w:vertAlign w:val="superscript"/>
              </w:rPr>
              <w:t>6</w:t>
            </w:r>
          </w:p>
        </w:tc>
        <w:tc>
          <w:tcPr>
            <w:tcW w:w="611" w:type="pct"/>
            <w:shd w:val="clear" w:color="auto" w:fill="auto"/>
          </w:tcPr>
          <w:p w14:paraId="63BFB956" w14:textId="6480A084" w:rsidR="009C29A2" w:rsidRPr="001D6304" w:rsidRDefault="00D76B55" w:rsidP="00FC7A97">
            <w:pPr>
              <w:pStyle w:val="TableText0"/>
              <w:jc w:val="center"/>
              <w:rPr>
                <w:color w:val="000000"/>
                <w:vertAlign w:val="superscript"/>
              </w:rPr>
            </w:pPr>
            <w:r w:rsidRPr="00D76B55">
              <w:rPr>
                <w:color w:val="000000"/>
                <w:spacing w:val="57"/>
                <w:shd w:val="solid" w:color="000000" w:fill="000000"/>
                <w:fitText w:val="344" w:id="-1404292608"/>
                <w14:textFill>
                  <w14:solidFill>
                    <w14:srgbClr w14:val="000000">
                      <w14:alpha w14:val="100000"/>
                    </w14:srgbClr>
                  </w14:solidFill>
                </w14:textFill>
              </w:rPr>
              <w:t>|||</w:t>
            </w:r>
            <w:r w:rsidRPr="00D76B55">
              <w:rPr>
                <w:color w:val="000000"/>
                <w:spacing w:val="3"/>
                <w:shd w:val="solid" w:color="000000" w:fill="000000"/>
                <w:fitText w:val="344" w:id="-1404292608"/>
                <w14:textFill>
                  <w14:solidFill>
                    <w14:srgbClr w14:val="000000">
                      <w14:alpha w14:val="100000"/>
                    </w14:srgbClr>
                  </w14:solidFill>
                </w14:textFill>
              </w:rPr>
              <w:t>|</w:t>
            </w:r>
            <w:r w:rsidR="009F28C6">
              <w:rPr>
                <w:vertAlign w:val="superscript"/>
              </w:rPr>
              <w:t>6</w:t>
            </w:r>
          </w:p>
        </w:tc>
        <w:tc>
          <w:tcPr>
            <w:tcW w:w="611" w:type="pct"/>
            <w:shd w:val="clear" w:color="auto" w:fill="auto"/>
          </w:tcPr>
          <w:p w14:paraId="4D35F17B" w14:textId="6FF86875" w:rsidR="009C29A2" w:rsidRPr="001D6304" w:rsidRDefault="00D76B55" w:rsidP="00FC7A97">
            <w:pPr>
              <w:pStyle w:val="TableText0"/>
              <w:jc w:val="center"/>
              <w:rPr>
                <w:color w:val="000000"/>
                <w:vertAlign w:val="superscript"/>
              </w:rPr>
            </w:pPr>
            <w:r w:rsidRPr="00D76B55">
              <w:rPr>
                <w:color w:val="000000"/>
                <w:spacing w:val="57"/>
                <w:shd w:val="solid" w:color="000000" w:fill="000000"/>
                <w:fitText w:val="343" w:id="-1404292607"/>
                <w14:textFill>
                  <w14:solidFill>
                    <w14:srgbClr w14:val="000000">
                      <w14:alpha w14:val="100000"/>
                    </w14:srgbClr>
                  </w14:solidFill>
                </w14:textFill>
              </w:rPr>
              <w:t>|||</w:t>
            </w:r>
            <w:r w:rsidRPr="00D76B55">
              <w:rPr>
                <w:color w:val="000000"/>
                <w:spacing w:val="2"/>
                <w:shd w:val="solid" w:color="000000" w:fill="000000"/>
                <w:fitText w:val="343" w:id="-1404292607"/>
                <w14:textFill>
                  <w14:solidFill>
                    <w14:srgbClr w14:val="000000">
                      <w14:alpha w14:val="100000"/>
                    </w14:srgbClr>
                  </w14:solidFill>
                </w14:textFill>
              </w:rPr>
              <w:t>|</w:t>
            </w:r>
            <w:r w:rsidR="009F28C6">
              <w:rPr>
                <w:vertAlign w:val="superscript"/>
              </w:rPr>
              <w:t>6</w:t>
            </w:r>
          </w:p>
        </w:tc>
        <w:tc>
          <w:tcPr>
            <w:tcW w:w="611" w:type="pct"/>
          </w:tcPr>
          <w:p w14:paraId="297DE256" w14:textId="5933DB7A" w:rsidR="009C29A2" w:rsidRPr="001D6304" w:rsidRDefault="00D76B55" w:rsidP="00FC7A97">
            <w:pPr>
              <w:pStyle w:val="TableText0"/>
              <w:jc w:val="center"/>
              <w:rPr>
                <w:color w:val="000000"/>
                <w:vertAlign w:val="superscript"/>
              </w:rPr>
            </w:pPr>
            <w:r w:rsidRPr="00D76B55">
              <w:rPr>
                <w:color w:val="000000"/>
                <w:spacing w:val="57"/>
                <w:shd w:val="solid" w:color="000000" w:fill="000000"/>
                <w:fitText w:val="343" w:id="-1404292606"/>
                <w14:textFill>
                  <w14:solidFill>
                    <w14:srgbClr w14:val="000000">
                      <w14:alpha w14:val="100000"/>
                    </w14:srgbClr>
                  </w14:solidFill>
                </w14:textFill>
              </w:rPr>
              <w:t>|||</w:t>
            </w:r>
            <w:r w:rsidRPr="00D76B55">
              <w:rPr>
                <w:color w:val="000000"/>
                <w:spacing w:val="2"/>
                <w:shd w:val="solid" w:color="000000" w:fill="000000"/>
                <w:fitText w:val="343" w:id="-1404292606"/>
                <w14:textFill>
                  <w14:solidFill>
                    <w14:srgbClr w14:val="000000">
                      <w14:alpha w14:val="100000"/>
                    </w14:srgbClr>
                  </w14:solidFill>
                </w14:textFill>
              </w:rPr>
              <w:t>|</w:t>
            </w:r>
            <w:r w:rsidR="009F28C6">
              <w:rPr>
                <w:vertAlign w:val="superscript"/>
              </w:rPr>
              <w:t>6</w:t>
            </w:r>
          </w:p>
        </w:tc>
      </w:tr>
      <w:tr w:rsidR="009C29A2" w:rsidRPr="00001499" w14:paraId="6DDEA9E3" w14:textId="77777777" w:rsidTr="00FC7A97">
        <w:tc>
          <w:tcPr>
            <w:tcW w:w="5000" w:type="pct"/>
            <w:gridSpan w:val="7"/>
            <w:shd w:val="clear" w:color="auto" w:fill="auto"/>
            <w:vAlign w:val="center"/>
          </w:tcPr>
          <w:p w14:paraId="6647DC63" w14:textId="77777777" w:rsidR="009C29A2" w:rsidRPr="00001499" w:rsidRDefault="009C29A2" w:rsidP="00FC7A97">
            <w:pPr>
              <w:pStyle w:val="TableText0"/>
              <w:rPr>
                <w:b/>
                <w:bCs w:val="0"/>
              </w:rPr>
            </w:pPr>
            <w:r w:rsidRPr="00001499">
              <w:rPr>
                <w:b/>
                <w:bCs w:val="0"/>
              </w:rPr>
              <w:t>Estimated financial implications of QIVc</w:t>
            </w:r>
          </w:p>
        </w:tc>
      </w:tr>
      <w:tr w:rsidR="009C29A2" w:rsidRPr="00001499" w14:paraId="5183B326" w14:textId="77777777" w:rsidTr="00FC7A97">
        <w:tc>
          <w:tcPr>
            <w:tcW w:w="1334" w:type="pct"/>
            <w:shd w:val="clear" w:color="auto" w:fill="auto"/>
            <w:vAlign w:val="center"/>
          </w:tcPr>
          <w:p w14:paraId="12286733" w14:textId="77777777" w:rsidR="009C29A2" w:rsidRPr="00001499" w:rsidRDefault="009C29A2" w:rsidP="00FC7A97">
            <w:pPr>
              <w:pStyle w:val="TableText0"/>
              <w:rPr>
                <w:b/>
                <w:bCs w:val="0"/>
              </w:rPr>
            </w:pPr>
            <w:r w:rsidRPr="00001499">
              <w:rPr>
                <w:b/>
                <w:bCs w:val="0"/>
              </w:rPr>
              <w:t>Cost to NIP</w:t>
            </w:r>
          </w:p>
        </w:tc>
        <w:tc>
          <w:tcPr>
            <w:tcW w:w="611" w:type="pct"/>
            <w:shd w:val="clear" w:color="auto" w:fill="auto"/>
          </w:tcPr>
          <w:p w14:paraId="330BBB36" w14:textId="3DAF0DB3" w:rsidR="009C29A2" w:rsidRPr="001D6304" w:rsidRDefault="009C29A2" w:rsidP="00FC7A97">
            <w:pPr>
              <w:pStyle w:val="TableText0"/>
              <w:jc w:val="center"/>
              <w:rPr>
                <w:vertAlign w:val="superscript"/>
              </w:rPr>
            </w:pPr>
            <w:r w:rsidRPr="00001499">
              <w:rPr>
                <w:b/>
                <w:bCs w:val="0"/>
              </w:rPr>
              <w:t>$</w:t>
            </w:r>
            <w:r w:rsidR="00D76B55" w:rsidRPr="00D76B55">
              <w:rPr>
                <w:b/>
                <w:bCs w:val="0"/>
                <w:color w:val="000000"/>
                <w:spacing w:val="56"/>
                <w:shd w:val="solid" w:color="000000" w:fill="000000"/>
                <w:fitText w:val="354" w:id="-1404292605"/>
                <w14:textFill>
                  <w14:solidFill>
                    <w14:srgbClr w14:val="000000">
                      <w14:alpha w14:val="100000"/>
                    </w14:srgbClr>
                  </w14:solidFill>
                </w14:textFill>
              </w:rPr>
              <w:t>|||</w:t>
            </w:r>
            <w:r w:rsidR="00D76B55" w:rsidRPr="00D76B55">
              <w:rPr>
                <w:b/>
                <w:bCs w:val="0"/>
                <w:color w:val="000000"/>
                <w:spacing w:val="3"/>
                <w:shd w:val="solid" w:color="000000" w:fill="000000"/>
                <w:fitText w:val="354" w:id="-1404292605"/>
                <w14:textFill>
                  <w14:solidFill>
                    <w14:srgbClr w14:val="000000">
                      <w14:alpha w14:val="100000"/>
                    </w14:srgbClr>
                  </w14:solidFill>
                </w14:textFill>
              </w:rPr>
              <w:t>|</w:t>
            </w:r>
            <w:r w:rsidR="009F28C6">
              <w:rPr>
                <w:vertAlign w:val="superscript"/>
              </w:rPr>
              <w:t>7</w:t>
            </w:r>
          </w:p>
        </w:tc>
        <w:tc>
          <w:tcPr>
            <w:tcW w:w="611" w:type="pct"/>
            <w:shd w:val="clear" w:color="auto" w:fill="auto"/>
          </w:tcPr>
          <w:p w14:paraId="6419DC7C" w14:textId="1B70E2C6" w:rsidR="009C29A2" w:rsidRPr="001D6304" w:rsidRDefault="009C29A2" w:rsidP="00FC7A97">
            <w:pPr>
              <w:pStyle w:val="TableText0"/>
              <w:jc w:val="center"/>
              <w:rPr>
                <w:b/>
                <w:bCs w:val="0"/>
                <w:vertAlign w:val="superscript"/>
              </w:rPr>
            </w:pPr>
            <w:r w:rsidRPr="00001499">
              <w:rPr>
                <w:b/>
                <w:bCs w:val="0"/>
              </w:rPr>
              <w:t>$</w:t>
            </w:r>
            <w:r w:rsidR="00D76B55" w:rsidRPr="00D76B55">
              <w:rPr>
                <w:b/>
                <w:bCs w:val="0"/>
                <w:color w:val="000000"/>
                <w:spacing w:val="57"/>
                <w:shd w:val="solid" w:color="000000" w:fill="000000"/>
                <w:fitText w:val="355" w:id="-1404292604"/>
                <w14:textFill>
                  <w14:solidFill>
                    <w14:srgbClr w14:val="000000">
                      <w14:alpha w14:val="100000"/>
                    </w14:srgbClr>
                  </w14:solidFill>
                </w14:textFill>
              </w:rPr>
              <w:t>|||</w:t>
            </w:r>
            <w:r w:rsidR="00D76B55" w:rsidRPr="00D76B55">
              <w:rPr>
                <w:b/>
                <w:bCs w:val="0"/>
                <w:color w:val="000000"/>
                <w:spacing w:val="1"/>
                <w:shd w:val="solid" w:color="000000" w:fill="000000"/>
                <w:fitText w:val="355" w:id="-1404292604"/>
                <w14:textFill>
                  <w14:solidFill>
                    <w14:srgbClr w14:val="000000">
                      <w14:alpha w14:val="100000"/>
                    </w14:srgbClr>
                  </w14:solidFill>
                </w14:textFill>
              </w:rPr>
              <w:t>|</w:t>
            </w:r>
            <w:r w:rsidR="009F28C6">
              <w:rPr>
                <w:b/>
                <w:bCs w:val="0"/>
                <w:vertAlign w:val="superscript"/>
              </w:rPr>
              <w:t>7</w:t>
            </w:r>
          </w:p>
        </w:tc>
        <w:tc>
          <w:tcPr>
            <w:tcW w:w="611" w:type="pct"/>
            <w:shd w:val="clear" w:color="auto" w:fill="auto"/>
          </w:tcPr>
          <w:p w14:paraId="4F2C6108" w14:textId="4B195409" w:rsidR="009C29A2" w:rsidRPr="001D6304" w:rsidRDefault="009C29A2" w:rsidP="00FC7A97">
            <w:pPr>
              <w:pStyle w:val="TableText0"/>
              <w:jc w:val="center"/>
              <w:rPr>
                <w:vertAlign w:val="superscript"/>
              </w:rPr>
            </w:pPr>
            <w:r w:rsidRPr="00001499">
              <w:rPr>
                <w:b/>
                <w:bCs w:val="0"/>
              </w:rPr>
              <w:t>$</w:t>
            </w:r>
            <w:r w:rsidR="00D76B55" w:rsidRPr="00D76B55">
              <w:rPr>
                <w:b/>
                <w:bCs w:val="0"/>
                <w:color w:val="000000"/>
                <w:spacing w:val="56"/>
                <w:shd w:val="solid" w:color="000000" w:fill="000000"/>
                <w:fitText w:val="354" w:id="-1404292603"/>
                <w14:textFill>
                  <w14:solidFill>
                    <w14:srgbClr w14:val="000000">
                      <w14:alpha w14:val="100000"/>
                    </w14:srgbClr>
                  </w14:solidFill>
                </w14:textFill>
              </w:rPr>
              <w:t>|||</w:t>
            </w:r>
            <w:r w:rsidR="00D76B55" w:rsidRPr="00D76B55">
              <w:rPr>
                <w:b/>
                <w:bCs w:val="0"/>
                <w:color w:val="000000"/>
                <w:spacing w:val="3"/>
                <w:shd w:val="solid" w:color="000000" w:fill="000000"/>
                <w:fitText w:val="354" w:id="-1404292603"/>
                <w14:textFill>
                  <w14:solidFill>
                    <w14:srgbClr w14:val="000000">
                      <w14:alpha w14:val="100000"/>
                    </w14:srgbClr>
                  </w14:solidFill>
                </w14:textFill>
              </w:rPr>
              <w:t>|</w:t>
            </w:r>
            <w:r w:rsidR="009F28C6">
              <w:rPr>
                <w:vertAlign w:val="superscript"/>
              </w:rPr>
              <w:t>8</w:t>
            </w:r>
          </w:p>
        </w:tc>
        <w:tc>
          <w:tcPr>
            <w:tcW w:w="611" w:type="pct"/>
            <w:shd w:val="clear" w:color="auto" w:fill="auto"/>
          </w:tcPr>
          <w:p w14:paraId="74933D87" w14:textId="62F41E18" w:rsidR="009C29A2" w:rsidRPr="001D6304" w:rsidRDefault="009C29A2" w:rsidP="00FC7A97">
            <w:pPr>
              <w:pStyle w:val="TableText0"/>
              <w:jc w:val="center"/>
              <w:rPr>
                <w:vertAlign w:val="superscript"/>
              </w:rPr>
            </w:pPr>
            <w:r w:rsidRPr="00001499">
              <w:rPr>
                <w:b/>
                <w:bCs w:val="0"/>
              </w:rPr>
              <w:t>$</w:t>
            </w:r>
            <w:r w:rsidR="00D76B55" w:rsidRPr="00D76B55">
              <w:rPr>
                <w:b/>
                <w:bCs w:val="0"/>
                <w:color w:val="000000"/>
                <w:spacing w:val="56"/>
                <w:shd w:val="solid" w:color="000000" w:fill="000000"/>
                <w:fitText w:val="354" w:id="-1404292602"/>
                <w14:textFill>
                  <w14:solidFill>
                    <w14:srgbClr w14:val="000000">
                      <w14:alpha w14:val="100000"/>
                    </w14:srgbClr>
                  </w14:solidFill>
                </w14:textFill>
              </w:rPr>
              <w:t>|||</w:t>
            </w:r>
            <w:r w:rsidR="00D76B55" w:rsidRPr="00D76B55">
              <w:rPr>
                <w:b/>
                <w:bCs w:val="0"/>
                <w:color w:val="000000"/>
                <w:spacing w:val="3"/>
                <w:shd w:val="solid" w:color="000000" w:fill="000000"/>
                <w:fitText w:val="354" w:id="-1404292602"/>
                <w14:textFill>
                  <w14:solidFill>
                    <w14:srgbClr w14:val="000000">
                      <w14:alpha w14:val="100000"/>
                    </w14:srgbClr>
                  </w14:solidFill>
                </w14:textFill>
              </w:rPr>
              <w:t>|</w:t>
            </w:r>
            <w:r w:rsidR="009F28C6">
              <w:rPr>
                <w:vertAlign w:val="superscript"/>
              </w:rPr>
              <w:t>8</w:t>
            </w:r>
          </w:p>
        </w:tc>
        <w:tc>
          <w:tcPr>
            <w:tcW w:w="611" w:type="pct"/>
            <w:shd w:val="clear" w:color="auto" w:fill="auto"/>
          </w:tcPr>
          <w:p w14:paraId="4FAC6B23" w14:textId="151E0E90" w:rsidR="009C29A2" w:rsidRPr="001D6304" w:rsidRDefault="009C29A2" w:rsidP="00FC7A97">
            <w:pPr>
              <w:pStyle w:val="TableText0"/>
              <w:jc w:val="center"/>
              <w:rPr>
                <w:vertAlign w:val="superscript"/>
              </w:rPr>
            </w:pPr>
            <w:r w:rsidRPr="00001499">
              <w:rPr>
                <w:b/>
                <w:bCs w:val="0"/>
              </w:rPr>
              <w:t>$</w:t>
            </w:r>
            <w:r w:rsidR="00D76B55" w:rsidRPr="00D76B55">
              <w:rPr>
                <w:b/>
                <w:bCs w:val="0"/>
                <w:color w:val="000000"/>
                <w:spacing w:val="57"/>
                <w:shd w:val="solid" w:color="000000" w:fill="000000"/>
                <w:fitText w:val="355" w:id="-1404292601"/>
                <w14:textFill>
                  <w14:solidFill>
                    <w14:srgbClr w14:val="000000">
                      <w14:alpha w14:val="100000"/>
                    </w14:srgbClr>
                  </w14:solidFill>
                </w14:textFill>
              </w:rPr>
              <w:t>|||</w:t>
            </w:r>
            <w:r w:rsidR="00D76B55" w:rsidRPr="00D76B55">
              <w:rPr>
                <w:b/>
                <w:bCs w:val="0"/>
                <w:color w:val="000000"/>
                <w:spacing w:val="1"/>
                <w:shd w:val="solid" w:color="000000" w:fill="000000"/>
                <w:fitText w:val="355" w:id="-1404292601"/>
                <w14:textFill>
                  <w14:solidFill>
                    <w14:srgbClr w14:val="000000">
                      <w14:alpha w14:val="100000"/>
                    </w14:srgbClr>
                  </w14:solidFill>
                </w14:textFill>
              </w:rPr>
              <w:t>|</w:t>
            </w:r>
            <w:r w:rsidR="009F28C6">
              <w:rPr>
                <w:vertAlign w:val="superscript"/>
              </w:rPr>
              <w:t>8</w:t>
            </w:r>
          </w:p>
        </w:tc>
        <w:tc>
          <w:tcPr>
            <w:tcW w:w="611" w:type="pct"/>
          </w:tcPr>
          <w:p w14:paraId="24970ABD" w14:textId="4FDD9567" w:rsidR="009C29A2" w:rsidRPr="001D6304" w:rsidRDefault="009C29A2" w:rsidP="00FC7A97">
            <w:pPr>
              <w:pStyle w:val="TableText0"/>
              <w:jc w:val="center"/>
              <w:rPr>
                <w:vertAlign w:val="superscript"/>
              </w:rPr>
            </w:pPr>
            <w:r w:rsidRPr="00001499">
              <w:rPr>
                <w:b/>
                <w:bCs w:val="0"/>
              </w:rPr>
              <w:t>$</w:t>
            </w:r>
            <w:r w:rsidR="00D76B55" w:rsidRPr="00D76B55">
              <w:rPr>
                <w:b/>
                <w:bCs w:val="0"/>
                <w:color w:val="000000"/>
                <w:spacing w:val="56"/>
                <w:shd w:val="solid" w:color="000000" w:fill="000000"/>
                <w:fitText w:val="354" w:id="-1404292600"/>
                <w14:textFill>
                  <w14:solidFill>
                    <w14:srgbClr w14:val="000000">
                      <w14:alpha w14:val="100000"/>
                    </w14:srgbClr>
                  </w14:solidFill>
                </w14:textFill>
              </w:rPr>
              <w:t>|||</w:t>
            </w:r>
            <w:r w:rsidR="00D76B55" w:rsidRPr="00D76B55">
              <w:rPr>
                <w:b/>
                <w:bCs w:val="0"/>
                <w:color w:val="000000"/>
                <w:spacing w:val="3"/>
                <w:shd w:val="solid" w:color="000000" w:fill="000000"/>
                <w:fitText w:val="354" w:id="-1404292600"/>
                <w14:textFill>
                  <w14:solidFill>
                    <w14:srgbClr w14:val="000000">
                      <w14:alpha w14:val="100000"/>
                    </w14:srgbClr>
                  </w14:solidFill>
                </w14:textFill>
              </w:rPr>
              <w:t>|</w:t>
            </w:r>
            <w:r w:rsidR="009F28C6">
              <w:rPr>
                <w:vertAlign w:val="superscript"/>
              </w:rPr>
              <w:t>8</w:t>
            </w:r>
          </w:p>
        </w:tc>
      </w:tr>
    </w:tbl>
    <w:p w14:paraId="447CA560" w14:textId="77777777" w:rsidR="009C29A2" w:rsidRPr="00001499" w:rsidRDefault="009C29A2" w:rsidP="009C29A2">
      <w:pPr>
        <w:pStyle w:val="TableFigureFooter"/>
      </w:pPr>
      <w:r w:rsidRPr="00001499">
        <w:t>Source: Table 4.4.1, p224 of the submission</w:t>
      </w:r>
    </w:p>
    <w:p w14:paraId="7CE13547" w14:textId="77777777" w:rsidR="009C29A2" w:rsidRPr="00001499" w:rsidRDefault="009C29A2" w:rsidP="009C29A2">
      <w:pPr>
        <w:pStyle w:val="TableFigureFooter"/>
        <w:rPr>
          <w:rStyle w:val="CommentReference"/>
        </w:rPr>
      </w:pPr>
      <w:r w:rsidRPr="00001499">
        <w:t xml:space="preserve">QIVc=cell-based quadrivalent subunit influenza virus vaccine, </w:t>
      </w:r>
    </w:p>
    <w:p w14:paraId="66C5EA17" w14:textId="3F6B5459" w:rsidR="009C29A2" w:rsidRDefault="009C29A2" w:rsidP="009C29A2">
      <w:pPr>
        <w:pStyle w:val="TableFigureFooter"/>
      </w:pPr>
      <w:r w:rsidRPr="00001499">
        <w:rPr>
          <w:vertAlign w:val="superscript"/>
        </w:rPr>
        <w:t>a</w:t>
      </w:r>
      <w:r w:rsidRPr="00001499">
        <w:t xml:space="preserve"> Assuming 1 script per year for all populations considered except for children aged 2-4 where 1.17 scripts per year as estimated by the submission.</w:t>
      </w:r>
    </w:p>
    <w:p w14:paraId="138FBA2B" w14:textId="6DD75431" w:rsidR="00A10EE5" w:rsidRDefault="00A10EE5" w:rsidP="009C29A2">
      <w:pPr>
        <w:pStyle w:val="TableFigureFooter"/>
        <w:rPr>
          <w:i/>
          <w:iCs/>
        </w:rPr>
      </w:pPr>
      <w:r w:rsidRPr="001D6304">
        <w:rPr>
          <w:i/>
          <w:iCs/>
        </w:rPr>
        <w:t>The redacted values correspond to the following ranges:</w:t>
      </w:r>
    </w:p>
    <w:p w14:paraId="78C5C55F" w14:textId="25E01618" w:rsidR="00A10EE5" w:rsidRDefault="00A10EE5" w:rsidP="009C29A2">
      <w:pPr>
        <w:pStyle w:val="TableFigureFooter"/>
        <w:rPr>
          <w:i/>
          <w:iCs/>
        </w:rPr>
      </w:pPr>
      <w:r>
        <w:rPr>
          <w:i/>
          <w:iCs/>
          <w:vertAlign w:val="superscript"/>
        </w:rPr>
        <w:t>1</w:t>
      </w:r>
      <w:r w:rsidRPr="00A10EE5">
        <w:rPr>
          <w:i/>
          <w:iCs/>
        </w:rPr>
        <w:t>600,000 to &lt; 700,000</w:t>
      </w:r>
    </w:p>
    <w:p w14:paraId="20BC5B95" w14:textId="763506EE" w:rsidR="00A10EE5" w:rsidRDefault="00A10EE5" w:rsidP="009C29A2">
      <w:pPr>
        <w:pStyle w:val="TableFigureFooter"/>
        <w:rPr>
          <w:i/>
          <w:iCs/>
        </w:rPr>
      </w:pPr>
      <w:r>
        <w:rPr>
          <w:i/>
          <w:iCs/>
          <w:vertAlign w:val="superscript"/>
        </w:rPr>
        <w:t>2</w:t>
      </w:r>
      <w:r w:rsidRPr="00A10EE5">
        <w:rPr>
          <w:i/>
          <w:iCs/>
        </w:rPr>
        <w:t>60,000 to &lt; 70,000</w:t>
      </w:r>
    </w:p>
    <w:p w14:paraId="6B57D00B" w14:textId="77D6556F" w:rsidR="00A10EE5" w:rsidRDefault="00A10EE5" w:rsidP="009C29A2">
      <w:pPr>
        <w:pStyle w:val="TableFigureFooter"/>
        <w:rPr>
          <w:i/>
          <w:iCs/>
        </w:rPr>
      </w:pPr>
      <w:r>
        <w:rPr>
          <w:i/>
          <w:iCs/>
          <w:vertAlign w:val="superscript"/>
        </w:rPr>
        <w:t>3</w:t>
      </w:r>
      <w:r w:rsidRPr="00A10EE5">
        <w:rPr>
          <w:i/>
          <w:iCs/>
        </w:rPr>
        <w:t>100,000 to &lt; 200,000</w:t>
      </w:r>
    </w:p>
    <w:p w14:paraId="7498736A" w14:textId="2E24CFCA" w:rsidR="00A10EE5" w:rsidRDefault="00A10EE5" w:rsidP="009C29A2">
      <w:pPr>
        <w:pStyle w:val="TableFigureFooter"/>
        <w:rPr>
          <w:i/>
          <w:iCs/>
        </w:rPr>
      </w:pPr>
      <w:r>
        <w:rPr>
          <w:i/>
          <w:iCs/>
          <w:vertAlign w:val="superscript"/>
        </w:rPr>
        <w:t>4</w:t>
      </w:r>
      <w:r w:rsidRPr="00A10EE5">
        <w:rPr>
          <w:i/>
          <w:iCs/>
        </w:rPr>
        <w:t>50,000 to &lt; 60,000</w:t>
      </w:r>
    </w:p>
    <w:p w14:paraId="554432AD" w14:textId="387C9679" w:rsidR="009F28C6" w:rsidRDefault="009F28C6" w:rsidP="009C29A2">
      <w:pPr>
        <w:pStyle w:val="TableFigureFooter"/>
        <w:rPr>
          <w:i/>
          <w:iCs/>
        </w:rPr>
      </w:pPr>
      <w:r>
        <w:rPr>
          <w:i/>
          <w:iCs/>
          <w:vertAlign w:val="superscript"/>
        </w:rPr>
        <w:t>5</w:t>
      </w:r>
      <w:r w:rsidRPr="009F28C6">
        <w:rPr>
          <w:i/>
          <w:iCs/>
        </w:rPr>
        <w:t>2,000,000 to &lt; 3,000,000</w:t>
      </w:r>
    </w:p>
    <w:p w14:paraId="1EA56CD6" w14:textId="451F6F7A" w:rsidR="009F28C6" w:rsidRDefault="009F28C6" w:rsidP="009C29A2">
      <w:pPr>
        <w:pStyle w:val="TableFigureFooter"/>
        <w:rPr>
          <w:i/>
          <w:iCs/>
        </w:rPr>
      </w:pPr>
      <w:r>
        <w:rPr>
          <w:i/>
          <w:iCs/>
          <w:vertAlign w:val="superscript"/>
        </w:rPr>
        <w:t>6</w:t>
      </w:r>
      <w:r w:rsidRPr="009F28C6">
        <w:rPr>
          <w:i/>
          <w:iCs/>
        </w:rPr>
        <w:t>3,000,000 to &lt; 4,000,000</w:t>
      </w:r>
    </w:p>
    <w:p w14:paraId="620466B2" w14:textId="4124AAF8" w:rsidR="009F28C6" w:rsidRDefault="009F28C6" w:rsidP="009C29A2">
      <w:pPr>
        <w:pStyle w:val="TableFigureFooter"/>
        <w:rPr>
          <w:i/>
          <w:iCs/>
        </w:rPr>
      </w:pPr>
      <w:r>
        <w:rPr>
          <w:i/>
          <w:iCs/>
          <w:vertAlign w:val="superscript"/>
        </w:rPr>
        <w:t>7</w:t>
      </w:r>
      <w:r w:rsidRPr="009F28C6">
        <w:rPr>
          <w:i/>
          <w:iCs/>
        </w:rPr>
        <w:t>$10 million to &lt; $20 million</w:t>
      </w:r>
    </w:p>
    <w:p w14:paraId="36BFD5E5" w14:textId="34F83B67" w:rsidR="009F28C6" w:rsidRPr="001D6304" w:rsidRDefault="009F28C6" w:rsidP="009C29A2">
      <w:pPr>
        <w:pStyle w:val="TableFigureFooter"/>
        <w:rPr>
          <w:i/>
          <w:iCs/>
        </w:rPr>
      </w:pPr>
      <w:r>
        <w:rPr>
          <w:i/>
          <w:iCs/>
          <w:vertAlign w:val="superscript"/>
        </w:rPr>
        <w:t>8</w:t>
      </w:r>
      <w:r w:rsidRPr="009F28C6">
        <w:rPr>
          <w:i/>
          <w:iCs/>
        </w:rPr>
        <w:t>$20 million to &lt; $30 million</w:t>
      </w:r>
    </w:p>
    <w:p w14:paraId="1A237407" w14:textId="0E4AF6B0" w:rsidR="00A477BA" w:rsidRDefault="009C29A2" w:rsidP="00A477BA">
      <w:pPr>
        <w:pStyle w:val="3-BodyText"/>
        <w:ind w:left="709"/>
      </w:pPr>
      <w:r w:rsidRPr="00001499">
        <w:t xml:space="preserve">The total cost to the NIP of listing QIVc was estimated </w:t>
      </w:r>
      <w:r w:rsidR="00A477BA">
        <w:t xml:space="preserve">in the submission </w:t>
      </w:r>
      <w:r w:rsidRPr="00001499">
        <w:t xml:space="preserve">to be </w:t>
      </w:r>
      <w:r w:rsidR="009F28C6" w:rsidRPr="009F28C6">
        <w:t>$20</w:t>
      </w:r>
      <w:r w:rsidR="00FC3094">
        <w:t> </w:t>
      </w:r>
      <w:r w:rsidR="009F28C6" w:rsidRPr="009F28C6">
        <w:t>million to &lt; $30 million</w:t>
      </w:r>
      <w:r w:rsidR="009F28C6">
        <w:t xml:space="preserve"> </w:t>
      </w:r>
      <w:r w:rsidRPr="00001499">
        <w:t xml:space="preserve">in Year 6, and a total of </w:t>
      </w:r>
      <w:r w:rsidR="009F28C6" w:rsidRPr="009F28C6">
        <w:t>$100 million to &lt; $200 million</w:t>
      </w:r>
      <w:r w:rsidR="009F28C6">
        <w:t xml:space="preserve"> </w:t>
      </w:r>
      <w:r w:rsidRPr="00001499">
        <w:t>in the first 6 years of listin</w:t>
      </w:r>
      <w:r w:rsidRPr="00A477BA">
        <w:t>g</w:t>
      </w:r>
      <w:r w:rsidRPr="005C568B">
        <w:t xml:space="preserve">. </w:t>
      </w:r>
      <w:r w:rsidRPr="00001499">
        <w:t xml:space="preserve">The cost to the NIP from QIVc was estimated to exceed </w:t>
      </w:r>
      <w:r w:rsidR="009F28C6" w:rsidRPr="009F28C6">
        <w:t>$20</w:t>
      </w:r>
      <w:r w:rsidR="00FC3094">
        <w:t> </w:t>
      </w:r>
      <w:r w:rsidR="009F28C6" w:rsidRPr="009F28C6">
        <w:t>million to &lt; $30 million</w:t>
      </w:r>
      <w:r w:rsidR="009F28C6">
        <w:t xml:space="preserve"> </w:t>
      </w:r>
      <w:r w:rsidRPr="00001499">
        <w:t xml:space="preserve">per year from Year 3 onwards. </w:t>
      </w:r>
      <w:r w:rsidR="00BE756F">
        <w:t>The pre-PBAC Response did not provide revised financial estimates incorporating the reduced price per dose of $</w:t>
      </w:r>
      <w:r w:rsidR="00D76B55" w:rsidRPr="0020701F">
        <w:rPr>
          <w:color w:val="000000"/>
          <w:w w:val="15"/>
          <w:shd w:val="solid" w:color="000000" w:fill="000000"/>
          <w:fitText w:val="-20" w:id="-1404292599"/>
          <w14:textFill>
            <w14:solidFill>
              <w14:srgbClr w14:val="000000">
                <w14:alpha w14:val="100000"/>
              </w14:srgbClr>
            </w14:solidFill>
          </w14:textFill>
        </w:rPr>
        <w:t xml:space="preserve">|  </w:t>
      </w:r>
      <w:r w:rsidR="00D76B55" w:rsidRPr="0020701F">
        <w:rPr>
          <w:color w:val="000000"/>
          <w:spacing w:val="-69"/>
          <w:w w:val="15"/>
          <w:shd w:val="solid" w:color="000000" w:fill="000000"/>
          <w:fitText w:val="-20" w:id="-1404292599"/>
          <w14:textFill>
            <w14:solidFill>
              <w14:srgbClr w14:val="000000">
                <w14:alpha w14:val="100000"/>
              </w14:srgbClr>
            </w14:solidFill>
          </w14:textFill>
        </w:rPr>
        <w:t>|</w:t>
      </w:r>
      <w:r w:rsidR="00BE756F">
        <w:t xml:space="preserve"> and the revised population which excludes children between 2-4</w:t>
      </w:r>
      <w:r w:rsidR="00FC3094">
        <w:t> </w:t>
      </w:r>
      <w:r w:rsidR="00BE756F">
        <w:t>years of age.</w:t>
      </w:r>
    </w:p>
    <w:p w14:paraId="413D9C86" w14:textId="2CC0FFCA" w:rsidR="009C29A2" w:rsidRPr="00001499" w:rsidRDefault="009C29A2" w:rsidP="00AA46C6">
      <w:pPr>
        <w:pStyle w:val="3-BodyText"/>
        <w:ind w:left="709"/>
      </w:pPr>
      <w:r w:rsidRPr="00001499">
        <w:t>Costs may be underestimated based on uncertain coverage and uptake rates (there may also be some minor double counting depending on the overlap between subpopulations).</w:t>
      </w:r>
    </w:p>
    <w:p w14:paraId="73AAA442" w14:textId="7F94F65F" w:rsidR="009C29A2" w:rsidRPr="00001499" w:rsidRDefault="009C29A2" w:rsidP="00AA46C6">
      <w:pPr>
        <w:pStyle w:val="3-BodyText"/>
        <w:ind w:left="709"/>
        <w:rPr>
          <w:iCs/>
        </w:rPr>
      </w:pPr>
      <w:r w:rsidRPr="00001499">
        <w:rPr>
          <w:iCs/>
        </w:rPr>
        <w:lastRenderedPageBreak/>
        <w:t>Vaccine coverage</w:t>
      </w:r>
      <w:r w:rsidRPr="00001499">
        <w:t xml:space="preserve"> is a key driver of the financial estimates. For example, increasing vaccine </w:t>
      </w:r>
      <w:r w:rsidRPr="00001499">
        <w:rPr>
          <w:iCs/>
        </w:rPr>
        <w:t>coverage</w:t>
      </w:r>
      <w:r w:rsidRPr="00001499">
        <w:t xml:space="preserve"> for non-elderly adults with medical comorbidities to 58% from 51% increased the net cost to NIP to </w:t>
      </w:r>
      <w:r w:rsidR="009F28C6" w:rsidRPr="009F28C6">
        <w:t>$100 million to &lt; $200 million</w:t>
      </w:r>
      <w:r w:rsidR="009F28C6">
        <w:t xml:space="preserve"> </w:t>
      </w:r>
      <w:r w:rsidRPr="00001499">
        <w:t xml:space="preserve">over 6 years. The submission did not test the impact of </w:t>
      </w:r>
      <w:r w:rsidRPr="00001499">
        <w:rPr>
          <w:iCs/>
        </w:rPr>
        <w:t>vaccine coverage</w:t>
      </w:r>
      <w:r w:rsidRPr="00001499">
        <w:t xml:space="preserve"> in pregnant women as suggested by ATAGI.</w:t>
      </w:r>
      <w:r w:rsidRPr="00001499">
        <w:rPr>
          <w:iCs/>
        </w:rPr>
        <w:t xml:space="preserve"> </w:t>
      </w:r>
      <w:r w:rsidRPr="00001499">
        <w:t>Overall</w:t>
      </w:r>
      <w:r w:rsidRPr="00001499">
        <w:rPr>
          <w:iCs/>
        </w:rPr>
        <w:t xml:space="preserve">, </w:t>
      </w:r>
      <w:r w:rsidRPr="00001499">
        <w:t xml:space="preserve">the robustness of the estimates is unknown, in view of the uncertainty associated with the </w:t>
      </w:r>
      <w:r w:rsidRPr="00001499">
        <w:rPr>
          <w:iCs/>
        </w:rPr>
        <w:t>likely substitution rates,</w:t>
      </w:r>
      <w:r w:rsidRPr="00001499">
        <w:t xml:space="preserve"> population numbers and vaccine coverage.</w:t>
      </w:r>
    </w:p>
    <w:p w14:paraId="746C612C" w14:textId="77777777" w:rsidR="009C29A2" w:rsidRPr="00001499" w:rsidRDefault="009C29A2" w:rsidP="009C29A2">
      <w:pPr>
        <w:pStyle w:val="4-SubsectionHeading"/>
      </w:pPr>
      <w:bookmarkStart w:id="91" w:name="_Toc22897648"/>
      <w:bookmarkStart w:id="92" w:name="_Toc22898860"/>
      <w:bookmarkStart w:id="93" w:name="_Toc93410961"/>
      <w:r w:rsidRPr="00001499">
        <w:t>Quality Use of Medicines</w:t>
      </w:r>
      <w:bookmarkEnd w:id="91"/>
      <w:bookmarkEnd w:id="92"/>
      <w:bookmarkEnd w:id="93"/>
    </w:p>
    <w:p w14:paraId="7CD8D615" w14:textId="52903637" w:rsidR="009C29A2" w:rsidRPr="00001499" w:rsidRDefault="009C29A2" w:rsidP="00AA46C6">
      <w:pPr>
        <w:pStyle w:val="3-BodyText"/>
        <w:ind w:left="709"/>
      </w:pPr>
      <w:bookmarkStart w:id="94" w:name="_Hlk93475110"/>
      <w:r w:rsidRPr="00001499">
        <w:t xml:space="preserve">The submission did not provide quality use of medicines information. Given that this is a new vaccine formulation, consideration should be provided to inform public and training health professionals regarding use, storage and waste, and difference age coverage of QIVc compared to other currently available influenza vaccines. </w:t>
      </w:r>
    </w:p>
    <w:bookmarkEnd w:id="94"/>
    <w:p w14:paraId="508A954C" w14:textId="7B95B4E4" w:rsidR="00F217DE" w:rsidRPr="00001499" w:rsidRDefault="0083660F" w:rsidP="00F217DE">
      <w:pPr>
        <w:pStyle w:val="3-BodyText"/>
        <w:numPr>
          <w:ilvl w:val="0"/>
          <w:numId w:val="0"/>
        </w:numPr>
        <w:rPr>
          <w:i/>
          <w:iCs/>
        </w:rPr>
      </w:pPr>
      <w:r w:rsidRPr="00001499">
        <w:rPr>
          <w:i/>
          <w:iCs/>
        </w:rPr>
        <w:t>For more detail on PBAC’s view, see section 7 PBAC outcome.</w:t>
      </w:r>
    </w:p>
    <w:p w14:paraId="6F8E5A2D" w14:textId="77777777" w:rsidR="00F217DE" w:rsidRPr="00001499" w:rsidRDefault="00F217DE" w:rsidP="002047D1">
      <w:pPr>
        <w:pStyle w:val="2-SectionHeading"/>
      </w:pPr>
      <w:bookmarkStart w:id="95" w:name="_Hlk76381249"/>
      <w:bookmarkStart w:id="96" w:name="_Hlk76377955"/>
      <w:r w:rsidRPr="00001499">
        <w:t>PBAC Outcome</w:t>
      </w:r>
    </w:p>
    <w:p w14:paraId="68888FA7" w14:textId="33246264" w:rsidR="007A3FA9" w:rsidRPr="00864858" w:rsidRDefault="007A3FA9" w:rsidP="007A3FA9">
      <w:pPr>
        <w:widowControl w:val="0"/>
        <w:numPr>
          <w:ilvl w:val="1"/>
          <w:numId w:val="1"/>
        </w:numPr>
        <w:spacing w:after="120" w:line="240" w:lineRule="auto"/>
        <w:ind w:left="720"/>
        <w:jc w:val="both"/>
        <w:rPr>
          <w:sz w:val="24"/>
          <w:szCs w:val="24"/>
        </w:rPr>
      </w:pPr>
      <w:r w:rsidRPr="00F70C4F">
        <w:rPr>
          <w:rFonts w:cs="Arial"/>
          <w:snapToGrid w:val="0"/>
          <w:sz w:val="24"/>
          <w:szCs w:val="24"/>
        </w:rPr>
        <w:t xml:space="preserve">The PBAC recommended that quadrivalent influenza virus vaccine, surface antigen, inactivated, </w:t>
      </w:r>
      <w:proofErr w:type="gramStart"/>
      <w:r w:rsidRPr="00F70C4F">
        <w:rPr>
          <w:rFonts w:cs="Arial"/>
          <w:snapToGrid w:val="0"/>
          <w:sz w:val="24"/>
          <w:szCs w:val="24"/>
        </w:rPr>
        <w:t>cell-based</w:t>
      </w:r>
      <w:proofErr w:type="gramEnd"/>
      <w:r w:rsidRPr="00F70C4F">
        <w:rPr>
          <w:rFonts w:cs="Arial"/>
          <w:snapToGrid w:val="0"/>
          <w:sz w:val="24"/>
          <w:szCs w:val="24"/>
        </w:rPr>
        <w:t xml:space="preserve"> (QIVc, Flucelvax® Quad) be a designated vaccine for the purposes of the </w:t>
      </w:r>
      <w:r w:rsidRPr="00F70C4F">
        <w:rPr>
          <w:rFonts w:cs="Arial"/>
          <w:i/>
          <w:iCs/>
          <w:snapToGrid w:val="0"/>
          <w:sz w:val="24"/>
          <w:szCs w:val="24"/>
        </w:rPr>
        <w:t>National Health Act 1953</w:t>
      </w:r>
      <w:r w:rsidRPr="00F70C4F">
        <w:rPr>
          <w:rFonts w:cs="Arial"/>
          <w:snapToGrid w:val="0"/>
          <w:sz w:val="24"/>
          <w:szCs w:val="24"/>
        </w:rPr>
        <w:t>, for the vaccination against</w:t>
      </w:r>
      <w:r w:rsidRPr="00F70C4F">
        <w:rPr>
          <w:sz w:val="24"/>
          <w:szCs w:val="24"/>
        </w:rPr>
        <w:t xml:space="preserve"> influenza in Aboriginal and Torres Strait Islander people aged ≥5 to &lt;65 years, people at increased risk of influenza disease complications aged ≥5 to &lt;65 years and pregnant women.</w:t>
      </w:r>
      <w:r w:rsidRPr="00F70C4F">
        <w:rPr>
          <w:rFonts w:cs="Arial"/>
          <w:snapToGrid w:val="0"/>
          <w:sz w:val="24"/>
          <w:szCs w:val="24"/>
        </w:rPr>
        <w:t xml:space="preserve"> The PBAC’s recommendation for listing was based on, among other matters,</w:t>
      </w:r>
      <w:r w:rsidR="00087B94" w:rsidRPr="00F70C4F">
        <w:rPr>
          <w:rFonts w:cs="Arial"/>
          <w:snapToGrid w:val="0"/>
          <w:sz w:val="24"/>
          <w:szCs w:val="24"/>
        </w:rPr>
        <w:t xml:space="preserve"> </w:t>
      </w:r>
      <w:r w:rsidRPr="00F70C4F">
        <w:rPr>
          <w:rFonts w:cs="Arial"/>
          <w:snapToGrid w:val="0"/>
          <w:sz w:val="24"/>
          <w:szCs w:val="24"/>
        </w:rPr>
        <w:t xml:space="preserve">its assessment that the cost-effectiveness of QIVc would be acceptable </w:t>
      </w:r>
      <w:bookmarkStart w:id="97" w:name="_Hlk114517443"/>
      <w:r w:rsidR="00087B94" w:rsidRPr="00F70C4F">
        <w:rPr>
          <w:rFonts w:cs="Arial"/>
          <w:snapToGrid w:val="0"/>
          <w:sz w:val="24"/>
          <w:szCs w:val="24"/>
        </w:rPr>
        <w:t>with a</w:t>
      </w:r>
      <w:r w:rsidR="007220D3">
        <w:rPr>
          <w:rFonts w:cs="Arial"/>
          <w:snapToGrid w:val="0"/>
          <w:sz w:val="24"/>
          <w:szCs w:val="24"/>
        </w:rPr>
        <w:t xml:space="preserve"> </w:t>
      </w:r>
      <w:r w:rsidR="008B74D2">
        <w:rPr>
          <w:rFonts w:cs="Arial"/>
          <w:snapToGrid w:val="0"/>
          <w:sz w:val="24"/>
          <w:szCs w:val="24"/>
        </w:rPr>
        <w:t>price</w:t>
      </w:r>
      <w:r w:rsidR="007220D3">
        <w:rPr>
          <w:rFonts w:cs="Arial"/>
          <w:snapToGrid w:val="0"/>
          <w:sz w:val="24"/>
          <w:szCs w:val="24"/>
        </w:rPr>
        <w:t xml:space="preserve"> premium compared to egg-based quadrivalent influenza virus vaccines</w:t>
      </w:r>
      <w:bookmarkEnd w:id="97"/>
      <w:r w:rsidR="008B74D2">
        <w:rPr>
          <w:rFonts w:cs="Arial"/>
          <w:snapToGrid w:val="0"/>
          <w:sz w:val="24"/>
          <w:szCs w:val="24"/>
        </w:rPr>
        <w:t xml:space="preserve"> </w:t>
      </w:r>
      <w:r w:rsidR="003C0F18" w:rsidRPr="00F70C4F">
        <w:rPr>
          <w:rFonts w:cs="Arial"/>
          <w:snapToGrid w:val="0"/>
          <w:sz w:val="24"/>
          <w:szCs w:val="24"/>
        </w:rPr>
        <w:t xml:space="preserve">and the acknowledgment of </w:t>
      </w:r>
      <w:r w:rsidR="00FE5B7B">
        <w:rPr>
          <w:rFonts w:cs="Arial"/>
          <w:snapToGrid w:val="0"/>
          <w:sz w:val="24"/>
          <w:szCs w:val="24"/>
        </w:rPr>
        <w:t>potential</w:t>
      </w:r>
      <w:r w:rsidR="005869B2" w:rsidRPr="00F70C4F">
        <w:rPr>
          <w:rFonts w:cs="Arial"/>
          <w:snapToGrid w:val="0"/>
          <w:sz w:val="24"/>
          <w:szCs w:val="24"/>
        </w:rPr>
        <w:t xml:space="preserve"> </w:t>
      </w:r>
      <w:r w:rsidR="005869B2" w:rsidRPr="00F70C4F">
        <w:rPr>
          <w:sz w:val="24"/>
          <w:szCs w:val="24"/>
        </w:rPr>
        <w:t xml:space="preserve">benefits </w:t>
      </w:r>
      <w:r w:rsidR="005869B2">
        <w:rPr>
          <w:sz w:val="24"/>
          <w:szCs w:val="24"/>
        </w:rPr>
        <w:t>associated with</w:t>
      </w:r>
      <w:r w:rsidR="005869B2" w:rsidRPr="00F70C4F">
        <w:rPr>
          <w:sz w:val="24"/>
          <w:szCs w:val="24"/>
        </w:rPr>
        <w:t xml:space="preserve"> </w:t>
      </w:r>
      <w:r w:rsidR="005869B2">
        <w:rPr>
          <w:sz w:val="24"/>
          <w:szCs w:val="24"/>
        </w:rPr>
        <w:t xml:space="preserve">the </w:t>
      </w:r>
      <w:r w:rsidR="005869B2" w:rsidRPr="00F70C4F">
        <w:rPr>
          <w:sz w:val="24"/>
          <w:szCs w:val="24"/>
        </w:rPr>
        <w:t xml:space="preserve">diversification </w:t>
      </w:r>
      <w:r w:rsidR="005869B2">
        <w:rPr>
          <w:sz w:val="24"/>
          <w:szCs w:val="24"/>
        </w:rPr>
        <w:t xml:space="preserve">of </w:t>
      </w:r>
      <w:r w:rsidR="005869B2" w:rsidRPr="00F70C4F">
        <w:rPr>
          <w:sz w:val="24"/>
          <w:szCs w:val="24"/>
        </w:rPr>
        <w:t>vaccine manufacturing</w:t>
      </w:r>
      <w:r w:rsidR="005869B2" w:rsidRPr="00F70C4F">
        <w:rPr>
          <w:rFonts w:cs="Arial"/>
          <w:snapToGrid w:val="0"/>
          <w:sz w:val="24"/>
          <w:szCs w:val="24"/>
        </w:rPr>
        <w:t>.</w:t>
      </w:r>
    </w:p>
    <w:p w14:paraId="18E7FFE0" w14:textId="0E811EC2" w:rsidR="00FE0FA8" w:rsidRPr="00864858" w:rsidRDefault="00FE0FA8" w:rsidP="00CF57F4">
      <w:pPr>
        <w:widowControl w:val="0"/>
        <w:numPr>
          <w:ilvl w:val="1"/>
          <w:numId w:val="1"/>
        </w:numPr>
        <w:spacing w:after="120" w:line="240" w:lineRule="auto"/>
        <w:ind w:left="720"/>
        <w:jc w:val="both"/>
        <w:rPr>
          <w:sz w:val="24"/>
          <w:szCs w:val="24"/>
        </w:rPr>
      </w:pPr>
      <w:r>
        <w:rPr>
          <w:sz w:val="24"/>
          <w:szCs w:val="24"/>
        </w:rPr>
        <w:t xml:space="preserve">The PBAC acknowledged there were advantages of cell-based </w:t>
      </w:r>
      <w:r w:rsidR="00E7515B">
        <w:rPr>
          <w:sz w:val="24"/>
          <w:szCs w:val="24"/>
        </w:rPr>
        <w:t xml:space="preserve">vaccine production </w:t>
      </w:r>
      <w:r>
        <w:rPr>
          <w:sz w:val="24"/>
          <w:szCs w:val="24"/>
        </w:rPr>
        <w:t>technology</w:t>
      </w:r>
      <w:r w:rsidR="00E7515B">
        <w:rPr>
          <w:sz w:val="24"/>
          <w:szCs w:val="24"/>
        </w:rPr>
        <w:t xml:space="preserve"> over the egg</w:t>
      </w:r>
      <w:r w:rsidR="00F061B6">
        <w:rPr>
          <w:sz w:val="24"/>
          <w:szCs w:val="24"/>
        </w:rPr>
        <w:t>-</w:t>
      </w:r>
      <w:r w:rsidR="00E7515B">
        <w:rPr>
          <w:sz w:val="24"/>
          <w:szCs w:val="24"/>
        </w:rPr>
        <w:t>based technology</w:t>
      </w:r>
      <w:r w:rsidR="00F061B6">
        <w:rPr>
          <w:sz w:val="24"/>
          <w:szCs w:val="24"/>
        </w:rPr>
        <w:t xml:space="preserve"> and in diversifying vaccine production platforms. The PBAC noted </w:t>
      </w:r>
      <w:r w:rsidR="00BB3785">
        <w:rPr>
          <w:sz w:val="24"/>
          <w:szCs w:val="24"/>
        </w:rPr>
        <w:t xml:space="preserve">that cell-based technology may allow faster </w:t>
      </w:r>
      <w:r w:rsidR="002F5B52">
        <w:rPr>
          <w:sz w:val="24"/>
          <w:szCs w:val="24"/>
        </w:rPr>
        <w:t>start-up</w:t>
      </w:r>
      <w:r w:rsidR="00BB3785">
        <w:rPr>
          <w:sz w:val="24"/>
          <w:szCs w:val="24"/>
        </w:rPr>
        <w:t xml:space="preserve"> of vaccine production when needed (for </w:t>
      </w:r>
      <w:r w:rsidR="002F5B52">
        <w:rPr>
          <w:sz w:val="24"/>
          <w:szCs w:val="24"/>
        </w:rPr>
        <w:t>example</w:t>
      </w:r>
      <w:r w:rsidR="00BB3785">
        <w:rPr>
          <w:sz w:val="24"/>
          <w:szCs w:val="24"/>
        </w:rPr>
        <w:t xml:space="preserve"> in the event of a pandemic) and production would not be dependent on egg supply.  </w:t>
      </w:r>
    </w:p>
    <w:p w14:paraId="6437287D" w14:textId="6DB60C94" w:rsidR="004A001B" w:rsidRPr="008C65E6" w:rsidRDefault="004A001B" w:rsidP="00286E49">
      <w:pPr>
        <w:widowControl w:val="0"/>
        <w:numPr>
          <w:ilvl w:val="1"/>
          <w:numId w:val="1"/>
        </w:numPr>
        <w:spacing w:after="120"/>
        <w:ind w:left="720"/>
        <w:jc w:val="both"/>
        <w:rPr>
          <w:sz w:val="24"/>
          <w:szCs w:val="24"/>
        </w:rPr>
      </w:pPr>
      <w:r>
        <w:rPr>
          <w:rFonts w:cs="Arial"/>
          <w:snapToGrid w:val="0"/>
          <w:sz w:val="24"/>
          <w:szCs w:val="24"/>
        </w:rPr>
        <w:t xml:space="preserve">The PBAC noted that the clinical claim of superior effectiveness was based on </w:t>
      </w:r>
      <w:r w:rsidR="008C65E6">
        <w:rPr>
          <w:rFonts w:cs="Arial"/>
          <w:snapToGrid w:val="0"/>
          <w:sz w:val="24"/>
          <w:szCs w:val="24"/>
        </w:rPr>
        <w:t xml:space="preserve">6 </w:t>
      </w:r>
      <w:r>
        <w:rPr>
          <w:rFonts w:cs="Arial"/>
          <w:snapToGrid w:val="0"/>
          <w:sz w:val="24"/>
          <w:szCs w:val="24"/>
        </w:rPr>
        <w:t>retrospective cohort observation</w:t>
      </w:r>
      <w:r w:rsidR="007E47EF">
        <w:rPr>
          <w:rFonts w:cs="Arial"/>
          <w:snapToGrid w:val="0"/>
          <w:sz w:val="24"/>
          <w:szCs w:val="24"/>
        </w:rPr>
        <w:t>al</w:t>
      </w:r>
      <w:r>
        <w:rPr>
          <w:rFonts w:cs="Arial"/>
          <w:snapToGrid w:val="0"/>
          <w:sz w:val="24"/>
          <w:szCs w:val="24"/>
        </w:rPr>
        <w:t xml:space="preserve"> studies comparing QIVc to QIVe. </w:t>
      </w:r>
      <w:r w:rsidR="003E21A8">
        <w:rPr>
          <w:rFonts w:cs="Arial"/>
          <w:snapToGrid w:val="0"/>
          <w:sz w:val="24"/>
          <w:szCs w:val="24"/>
        </w:rPr>
        <w:t>The PBAC</w:t>
      </w:r>
      <w:r w:rsidR="004B7231">
        <w:rPr>
          <w:rFonts w:cs="Arial"/>
          <w:snapToGrid w:val="0"/>
          <w:sz w:val="24"/>
          <w:szCs w:val="24"/>
        </w:rPr>
        <w:t xml:space="preserve"> noted that</w:t>
      </w:r>
      <w:r w:rsidR="0064602B" w:rsidRPr="0064602B">
        <w:rPr>
          <w:rFonts w:cs="Arial"/>
          <w:snapToGrid w:val="0"/>
          <w:sz w:val="24"/>
          <w:szCs w:val="24"/>
        </w:rPr>
        <w:t xml:space="preserve"> </w:t>
      </w:r>
      <w:r w:rsidR="0064602B">
        <w:rPr>
          <w:rFonts w:cs="Arial"/>
          <w:snapToGrid w:val="0"/>
          <w:sz w:val="24"/>
          <w:szCs w:val="24"/>
        </w:rPr>
        <w:t xml:space="preserve">based </w:t>
      </w:r>
      <w:r w:rsidR="00850D60">
        <w:rPr>
          <w:rFonts w:cs="Arial"/>
          <w:snapToGrid w:val="0"/>
          <w:sz w:val="24"/>
          <w:szCs w:val="24"/>
        </w:rPr>
        <w:t xml:space="preserve">on </w:t>
      </w:r>
      <w:r w:rsidR="0064602B">
        <w:rPr>
          <w:rFonts w:cs="Arial"/>
          <w:snapToGrid w:val="0"/>
          <w:sz w:val="24"/>
          <w:szCs w:val="24"/>
        </w:rPr>
        <w:t>the ROBINS-I tool</w:t>
      </w:r>
      <w:r w:rsidR="00850D60">
        <w:rPr>
          <w:rFonts w:cs="Arial"/>
          <w:snapToGrid w:val="0"/>
          <w:sz w:val="24"/>
          <w:szCs w:val="24"/>
        </w:rPr>
        <w:t>,</w:t>
      </w:r>
      <w:r w:rsidR="004B7231">
        <w:rPr>
          <w:rFonts w:cs="Arial"/>
          <w:snapToGrid w:val="0"/>
          <w:sz w:val="24"/>
          <w:szCs w:val="24"/>
        </w:rPr>
        <w:t xml:space="preserve"> </w:t>
      </w:r>
      <w:r w:rsidR="003E21A8">
        <w:rPr>
          <w:rFonts w:cs="Arial"/>
          <w:snapToGrid w:val="0"/>
          <w:sz w:val="24"/>
          <w:szCs w:val="24"/>
        </w:rPr>
        <w:t>the observational</w:t>
      </w:r>
      <w:r w:rsidR="004B7231">
        <w:rPr>
          <w:rFonts w:cs="Arial"/>
          <w:snapToGrid w:val="0"/>
          <w:sz w:val="24"/>
          <w:szCs w:val="24"/>
        </w:rPr>
        <w:t xml:space="preserve"> studies </w:t>
      </w:r>
      <w:r w:rsidR="003E21A8">
        <w:rPr>
          <w:rFonts w:cs="Arial"/>
          <w:snapToGrid w:val="0"/>
          <w:sz w:val="24"/>
          <w:szCs w:val="24"/>
        </w:rPr>
        <w:t xml:space="preserve">were </w:t>
      </w:r>
      <w:r w:rsidR="004B7231">
        <w:rPr>
          <w:rFonts w:cs="Arial"/>
          <w:snapToGrid w:val="0"/>
          <w:sz w:val="24"/>
          <w:szCs w:val="24"/>
        </w:rPr>
        <w:t xml:space="preserve">scored </w:t>
      </w:r>
      <w:r w:rsidR="003E21A8">
        <w:rPr>
          <w:rFonts w:cs="Arial"/>
          <w:snapToGrid w:val="0"/>
          <w:sz w:val="24"/>
          <w:szCs w:val="24"/>
        </w:rPr>
        <w:t>by the submission as having an overall moderate risk</w:t>
      </w:r>
      <w:r w:rsidR="000E458A">
        <w:rPr>
          <w:rFonts w:cs="Arial"/>
          <w:snapToGrid w:val="0"/>
          <w:sz w:val="24"/>
          <w:szCs w:val="24"/>
        </w:rPr>
        <w:t xml:space="preserve"> of bias due to a moderate risk of confound</w:t>
      </w:r>
      <w:r w:rsidR="00481B5A">
        <w:rPr>
          <w:rFonts w:cs="Arial"/>
          <w:snapToGrid w:val="0"/>
          <w:sz w:val="24"/>
          <w:szCs w:val="24"/>
        </w:rPr>
        <w:t>ing</w:t>
      </w:r>
      <w:r w:rsidR="000E458A">
        <w:rPr>
          <w:rFonts w:cs="Arial"/>
          <w:snapToGrid w:val="0"/>
          <w:sz w:val="24"/>
          <w:szCs w:val="24"/>
        </w:rPr>
        <w:t xml:space="preserve">. Although the sponsor </w:t>
      </w:r>
      <w:r w:rsidR="000E458A" w:rsidRPr="00E33E66">
        <w:rPr>
          <w:rFonts w:cs="Arial"/>
          <w:snapToGrid w:val="0"/>
          <w:sz w:val="24"/>
          <w:szCs w:val="24"/>
        </w:rPr>
        <w:t>presented analyses that</w:t>
      </w:r>
      <w:r w:rsidR="00AD60B6">
        <w:rPr>
          <w:rFonts w:cs="Arial"/>
          <w:snapToGrid w:val="0"/>
          <w:sz w:val="24"/>
          <w:szCs w:val="24"/>
        </w:rPr>
        <w:t xml:space="preserve"> attempted to</w:t>
      </w:r>
      <w:r w:rsidR="000E458A" w:rsidRPr="00E33E66">
        <w:rPr>
          <w:rFonts w:cs="Arial"/>
          <w:snapToGrid w:val="0"/>
          <w:sz w:val="24"/>
          <w:szCs w:val="24"/>
        </w:rPr>
        <w:t xml:space="preserve"> statistically adjust for the potential confounding</w:t>
      </w:r>
      <w:r w:rsidR="000E458A">
        <w:rPr>
          <w:rFonts w:cs="Arial"/>
          <w:snapToGrid w:val="0"/>
          <w:sz w:val="24"/>
          <w:szCs w:val="24"/>
        </w:rPr>
        <w:t>, t</w:t>
      </w:r>
      <w:r w:rsidR="0064602B">
        <w:rPr>
          <w:rFonts w:cs="Arial"/>
          <w:snapToGrid w:val="0"/>
          <w:sz w:val="24"/>
          <w:szCs w:val="24"/>
        </w:rPr>
        <w:t>he</w:t>
      </w:r>
      <w:r w:rsidR="003E21A8">
        <w:rPr>
          <w:rFonts w:cs="Arial"/>
          <w:snapToGrid w:val="0"/>
          <w:sz w:val="24"/>
          <w:szCs w:val="24"/>
        </w:rPr>
        <w:t xml:space="preserve"> PBAC agreed with the ESC and considered that the </w:t>
      </w:r>
      <w:r w:rsidR="003E21A8" w:rsidRPr="007A35ED">
        <w:rPr>
          <w:rFonts w:cs="Arial"/>
          <w:snapToGrid w:val="0"/>
          <w:sz w:val="24"/>
          <w:szCs w:val="24"/>
        </w:rPr>
        <w:t xml:space="preserve">size of </w:t>
      </w:r>
      <w:r w:rsidR="00AD60B6">
        <w:rPr>
          <w:rFonts w:cs="Arial"/>
          <w:snapToGrid w:val="0"/>
          <w:sz w:val="24"/>
          <w:szCs w:val="24"/>
        </w:rPr>
        <w:t xml:space="preserve">the comparative </w:t>
      </w:r>
      <w:r w:rsidR="003E21A8">
        <w:rPr>
          <w:rFonts w:cs="Arial"/>
          <w:snapToGrid w:val="0"/>
          <w:sz w:val="24"/>
          <w:szCs w:val="24"/>
        </w:rPr>
        <w:t xml:space="preserve">effect reported for QIVc in these studies </w:t>
      </w:r>
      <w:r w:rsidR="00286E49">
        <w:rPr>
          <w:rFonts w:cs="Arial"/>
          <w:snapToGrid w:val="0"/>
          <w:sz w:val="24"/>
          <w:szCs w:val="24"/>
        </w:rPr>
        <w:t>for</w:t>
      </w:r>
      <w:r w:rsidR="003E21A8" w:rsidRPr="007A35ED">
        <w:rPr>
          <w:rFonts w:cs="Arial"/>
          <w:snapToGrid w:val="0"/>
          <w:sz w:val="24"/>
          <w:szCs w:val="24"/>
        </w:rPr>
        <w:t xml:space="preserve"> any particular year</w:t>
      </w:r>
      <w:r w:rsidR="00AD60B6">
        <w:rPr>
          <w:rFonts w:cs="Arial"/>
          <w:snapToGrid w:val="0"/>
          <w:sz w:val="24"/>
          <w:szCs w:val="24"/>
        </w:rPr>
        <w:t xml:space="preserve"> was modest, and </w:t>
      </w:r>
      <w:r w:rsidR="003E21A8" w:rsidRPr="007A35ED">
        <w:rPr>
          <w:rFonts w:cs="Arial"/>
          <w:snapToGrid w:val="0"/>
          <w:sz w:val="24"/>
          <w:szCs w:val="24"/>
        </w:rPr>
        <w:t>subject to some uncertainty</w:t>
      </w:r>
      <w:r w:rsidR="003E21A8">
        <w:rPr>
          <w:rFonts w:cs="Arial"/>
          <w:snapToGrid w:val="0"/>
          <w:sz w:val="24"/>
          <w:szCs w:val="24"/>
        </w:rPr>
        <w:t xml:space="preserve"> due to </w:t>
      </w:r>
      <w:r w:rsidR="000E458A">
        <w:rPr>
          <w:rFonts w:cs="Arial"/>
          <w:snapToGrid w:val="0"/>
          <w:sz w:val="24"/>
          <w:szCs w:val="24"/>
        </w:rPr>
        <w:t xml:space="preserve">potential </w:t>
      </w:r>
      <w:r w:rsidR="00AD60B6">
        <w:rPr>
          <w:rFonts w:cs="Arial"/>
          <w:snapToGrid w:val="0"/>
          <w:sz w:val="24"/>
          <w:szCs w:val="24"/>
        </w:rPr>
        <w:t xml:space="preserve">residual </w:t>
      </w:r>
      <w:r w:rsidR="003E21A8">
        <w:rPr>
          <w:rFonts w:cs="Arial"/>
          <w:snapToGrid w:val="0"/>
          <w:sz w:val="24"/>
          <w:szCs w:val="24"/>
        </w:rPr>
        <w:t>confounding.</w:t>
      </w:r>
    </w:p>
    <w:p w14:paraId="038330EA" w14:textId="65F5CDF2" w:rsidR="008C65E6" w:rsidRPr="00AE3543" w:rsidRDefault="008C65E6" w:rsidP="00286E49">
      <w:pPr>
        <w:widowControl w:val="0"/>
        <w:numPr>
          <w:ilvl w:val="1"/>
          <w:numId w:val="1"/>
        </w:numPr>
        <w:spacing w:after="120"/>
        <w:ind w:left="720"/>
        <w:jc w:val="both"/>
        <w:rPr>
          <w:sz w:val="24"/>
          <w:szCs w:val="24"/>
        </w:rPr>
      </w:pPr>
      <w:r>
        <w:rPr>
          <w:rFonts w:cs="Arial"/>
          <w:snapToGrid w:val="0"/>
          <w:sz w:val="24"/>
          <w:szCs w:val="24"/>
        </w:rPr>
        <w:lastRenderedPageBreak/>
        <w:t xml:space="preserve">The PBAC </w:t>
      </w:r>
      <w:r w:rsidR="00844EA6">
        <w:rPr>
          <w:rFonts w:cs="Arial"/>
          <w:snapToGrid w:val="0"/>
          <w:sz w:val="24"/>
          <w:szCs w:val="24"/>
        </w:rPr>
        <w:t>noted</w:t>
      </w:r>
      <w:r w:rsidR="00F54473">
        <w:rPr>
          <w:rFonts w:cs="Arial"/>
          <w:snapToGrid w:val="0"/>
          <w:sz w:val="24"/>
          <w:szCs w:val="24"/>
        </w:rPr>
        <w:t xml:space="preserve"> that</w:t>
      </w:r>
      <w:r w:rsidR="003E21A8">
        <w:rPr>
          <w:rFonts w:cs="Arial"/>
          <w:snapToGrid w:val="0"/>
          <w:sz w:val="24"/>
          <w:szCs w:val="24"/>
        </w:rPr>
        <w:t xml:space="preserve"> </w:t>
      </w:r>
      <w:r w:rsidR="00844EA6" w:rsidRPr="00844EA6">
        <w:rPr>
          <w:rFonts w:cs="Arial"/>
          <w:snapToGrid w:val="0"/>
          <w:sz w:val="24"/>
          <w:szCs w:val="24"/>
        </w:rPr>
        <w:t>different</w:t>
      </w:r>
      <w:r w:rsidR="003D1171">
        <w:rPr>
          <w:rFonts w:cs="Arial"/>
          <w:snapToGrid w:val="0"/>
          <w:sz w:val="24"/>
          <w:szCs w:val="24"/>
        </w:rPr>
        <w:t xml:space="preserve"> clinical</w:t>
      </w:r>
      <w:r w:rsidR="00844EA6" w:rsidRPr="00844EA6">
        <w:rPr>
          <w:rFonts w:cs="Arial"/>
          <w:snapToGrid w:val="0"/>
          <w:sz w:val="24"/>
          <w:szCs w:val="24"/>
        </w:rPr>
        <w:t xml:space="preserve"> endpoints were used across the </w:t>
      </w:r>
      <w:r w:rsidR="00844EA6">
        <w:rPr>
          <w:rFonts w:cs="Arial"/>
          <w:snapToGrid w:val="0"/>
          <w:sz w:val="24"/>
          <w:szCs w:val="24"/>
        </w:rPr>
        <w:t>6 retrospective observational studies</w:t>
      </w:r>
      <w:r w:rsidR="00AE3543">
        <w:rPr>
          <w:rFonts w:cs="Arial"/>
          <w:snapToGrid w:val="0"/>
          <w:sz w:val="24"/>
          <w:szCs w:val="24"/>
        </w:rPr>
        <w:t xml:space="preserve"> (primary care presentation and hospital encounters) and </w:t>
      </w:r>
      <w:r w:rsidR="0003317B">
        <w:rPr>
          <w:rFonts w:cs="Arial"/>
          <w:snapToGrid w:val="0"/>
          <w:sz w:val="24"/>
          <w:szCs w:val="24"/>
        </w:rPr>
        <w:t xml:space="preserve">that these outcomes </w:t>
      </w:r>
      <w:r w:rsidR="00844EA6" w:rsidRPr="00844EA6">
        <w:rPr>
          <w:rFonts w:cs="Arial"/>
          <w:snapToGrid w:val="0"/>
          <w:sz w:val="24"/>
          <w:szCs w:val="24"/>
        </w:rPr>
        <w:t>reflect</w:t>
      </w:r>
      <w:r w:rsidR="00AE3543">
        <w:rPr>
          <w:rFonts w:cs="Arial"/>
          <w:snapToGrid w:val="0"/>
          <w:sz w:val="24"/>
          <w:szCs w:val="24"/>
        </w:rPr>
        <w:t>ed</w:t>
      </w:r>
      <w:r w:rsidR="00844EA6" w:rsidRPr="00844EA6">
        <w:rPr>
          <w:rFonts w:cs="Arial"/>
          <w:snapToGrid w:val="0"/>
          <w:sz w:val="24"/>
          <w:szCs w:val="24"/>
        </w:rPr>
        <w:t xml:space="preserve"> </w:t>
      </w:r>
      <w:r w:rsidR="00AE3543">
        <w:rPr>
          <w:rFonts w:cs="Arial"/>
          <w:snapToGrid w:val="0"/>
          <w:sz w:val="24"/>
          <w:szCs w:val="24"/>
        </w:rPr>
        <w:t>varying</w:t>
      </w:r>
      <w:r w:rsidR="00844EA6" w:rsidRPr="00844EA6">
        <w:rPr>
          <w:rFonts w:cs="Arial"/>
          <w:snapToGrid w:val="0"/>
          <w:sz w:val="24"/>
          <w:szCs w:val="24"/>
        </w:rPr>
        <w:t xml:space="preserve"> </w:t>
      </w:r>
      <w:r w:rsidR="00AE3543">
        <w:rPr>
          <w:rFonts w:cs="Arial"/>
          <w:snapToGrid w:val="0"/>
          <w:sz w:val="24"/>
          <w:szCs w:val="24"/>
        </w:rPr>
        <w:t>severit</w:t>
      </w:r>
      <w:r w:rsidR="00286E49">
        <w:rPr>
          <w:rFonts w:cs="Arial"/>
          <w:snapToGrid w:val="0"/>
          <w:sz w:val="24"/>
          <w:szCs w:val="24"/>
        </w:rPr>
        <w:t>ies</w:t>
      </w:r>
      <w:r w:rsidR="00AE3543">
        <w:rPr>
          <w:rFonts w:cs="Arial"/>
          <w:snapToGrid w:val="0"/>
          <w:sz w:val="24"/>
          <w:szCs w:val="24"/>
        </w:rPr>
        <w:t xml:space="preserve"> of influenza</w:t>
      </w:r>
      <w:r w:rsidR="00844EA6" w:rsidRPr="00844EA6">
        <w:rPr>
          <w:rFonts w:cs="Arial"/>
          <w:snapToGrid w:val="0"/>
          <w:sz w:val="24"/>
          <w:szCs w:val="24"/>
        </w:rPr>
        <w:t>.</w:t>
      </w:r>
      <w:r w:rsidR="00F54473">
        <w:rPr>
          <w:rFonts w:cs="Arial"/>
          <w:snapToGrid w:val="0"/>
          <w:sz w:val="24"/>
          <w:szCs w:val="24"/>
        </w:rPr>
        <w:t xml:space="preserve"> </w:t>
      </w:r>
      <w:r w:rsidR="00C26C71">
        <w:rPr>
          <w:rFonts w:cs="Arial"/>
          <w:snapToGrid w:val="0"/>
          <w:sz w:val="24"/>
          <w:szCs w:val="24"/>
        </w:rPr>
        <w:t>The estimated r</w:t>
      </w:r>
      <w:r w:rsidR="006260F3">
        <w:rPr>
          <w:rFonts w:cs="Arial"/>
          <w:snapToGrid w:val="0"/>
          <w:sz w:val="24"/>
          <w:szCs w:val="24"/>
        </w:rPr>
        <w:t>VE</w:t>
      </w:r>
      <w:r w:rsidR="0094583D">
        <w:rPr>
          <w:rFonts w:cs="Arial"/>
          <w:snapToGrid w:val="0"/>
          <w:sz w:val="24"/>
          <w:szCs w:val="24"/>
        </w:rPr>
        <w:t xml:space="preserve"> </w:t>
      </w:r>
      <w:r w:rsidR="006260F3">
        <w:rPr>
          <w:rFonts w:cs="Arial"/>
          <w:snapToGrid w:val="0"/>
          <w:sz w:val="24"/>
          <w:szCs w:val="24"/>
        </w:rPr>
        <w:t xml:space="preserve">for QIVc </w:t>
      </w:r>
      <w:r w:rsidR="0003317B">
        <w:rPr>
          <w:rFonts w:cs="Arial"/>
          <w:snapToGrid w:val="0"/>
          <w:sz w:val="24"/>
          <w:szCs w:val="24"/>
        </w:rPr>
        <w:t xml:space="preserve">was </w:t>
      </w:r>
      <w:r w:rsidR="00C26C71">
        <w:rPr>
          <w:rFonts w:cs="Arial"/>
          <w:snapToGrid w:val="0"/>
          <w:sz w:val="24"/>
          <w:szCs w:val="24"/>
        </w:rPr>
        <w:t>higher</w:t>
      </w:r>
      <w:r w:rsidR="006D4B7E">
        <w:rPr>
          <w:rFonts w:cs="Arial"/>
          <w:snapToGrid w:val="0"/>
          <w:sz w:val="24"/>
          <w:szCs w:val="24"/>
        </w:rPr>
        <w:t xml:space="preserve"> overall</w:t>
      </w:r>
      <w:r w:rsidR="00C26C71">
        <w:rPr>
          <w:rFonts w:cs="Arial"/>
          <w:snapToGrid w:val="0"/>
          <w:sz w:val="24"/>
          <w:szCs w:val="24"/>
        </w:rPr>
        <w:t xml:space="preserve"> for primary care </w:t>
      </w:r>
      <w:r w:rsidR="0094583D">
        <w:rPr>
          <w:rFonts w:cs="Arial"/>
          <w:snapToGrid w:val="0"/>
          <w:sz w:val="24"/>
          <w:szCs w:val="24"/>
        </w:rPr>
        <w:t xml:space="preserve">encounters </w:t>
      </w:r>
      <w:r w:rsidR="0003317B">
        <w:rPr>
          <w:rFonts w:cs="Arial"/>
          <w:snapToGrid w:val="0"/>
          <w:sz w:val="24"/>
          <w:szCs w:val="24"/>
        </w:rPr>
        <w:t>compared with</w:t>
      </w:r>
      <w:r w:rsidR="00C26C71">
        <w:rPr>
          <w:rFonts w:cs="Arial"/>
          <w:snapToGrid w:val="0"/>
          <w:sz w:val="24"/>
          <w:szCs w:val="24"/>
        </w:rPr>
        <w:t xml:space="preserve"> hospitalisation</w:t>
      </w:r>
      <w:r w:rsidR="0094583D">
        <w:rPr>
          <w:rFonts w:cs="Arial"/>
          <w:snapToGrid w:val="0"/>
          <w:sz w:val="24"/>
          <w:szCs w:val="24"/>
        </w:rPr>
        <w:t xml:space="preserve">. </w:t>
      </w:r>
      <w:r w:rsidR="0003317B">
        <w:rPr>
          <w:rFonts w:cs="Arial"/>
          <w:snapToGrid w:val="0"/>
          <w:sz w:val="24"/>
          <w:szCs w:val="24"/>
        </w:rPr>
        <w:t>The PBAC considered that</w:t>
      </w:r>
      <w:r w:rsidR="00CC7F2A">
        <w:rPr>
          <w:rFonts w:cs="Arial"/>
          <w:snapToGrid w:val="0"/>
          <w:sz w:val="24"/>
          <w:szCs w:val="24"/>
        </w:rPr>
        <w:t xml:space="preserve"> combining the outcomes in the meta-analyses was not appropriate as</w:t>
      </w:r>
      <w:r w:rsidR="0003317B">
        <w:rPr>
          <w:rFonts w:cs="Arial"/>
          <w:snapToGrid w:val="0"/>
          <w:sz w:val="24"/>
          <w:szCs w:val="24"/>
        </w:rPr>
        <w:t xml:space="preserve"> the pooled outcomes</w:t>
      </w:r>
      <w:r w:rsidR="00CC7F2A">
        <w:rPr>
          <w:rFonts w:cs="Arial"/>
          <w:snapToGrid w:val="0"/>
          <w:sz w:val="24"/>
          <w:szCs w:val="24"/>
        </w:rPr>
        <w:t xml:space="preserve"> may</w:t>
      </w:r>
      <w:r w:rsidR="0003317B">
        <w:rPr>
          <w:rFonts w:cs="Arial"/>
          <w:snapToGrid w:val="0"/>
          <w:sz w:val="24"/>
          <w:szCs w:val="24"/>
        </w:rPr>
        <w:t xml:space="preserve"> overestimate </w:t>
      </w:r>
      <w:r w:rsidR="0094583D">
        <w:rPr>
          <w:rFonts w:cs="Arial"/>
          <w:snapToGrid w:val="0"/>
          <w:sz w:val="24"/>
          <w:szCs w:val="24"/>
        </w:rPr>
        <w:t xml:space="preserve">the efficacy of QIVc to prevent </w:t>
      </w:r>
      <w:r w:rsidR="0003317B">
        <w:rPr>
          <w:rFonts w:cs="Arial"/>
          <w:snapToGrid w:val="0"/>
          <w:sz w:val="24"/>
          <w:szCs w:val="24"/>
        </w:rPr>
        <w:t xml:space="preserve">more severe presentations of </w:t>
      </w:r>
      <w:r w:rsidR="0094583D">
        <w:rPr>
          <w:rFonts w:cs="Arial"/>
          <w:snapToGrid w:val="0"/>
          <w:sz w:val="24"/>
          <w:szCs w:val="24"/>
        </w:rPr>
        <w:t>illness</w:t>
      </w:r>
      <w:r w:rsidR="0003317B">
        <w:rPr>
          <w:rFonts w:cs="Arial"/>
          <w:snapToGrid w:val="0"/>
          <w:sz w:val="24"/>
          <w:szCs w:val="24"/>
        </w:rPr>
        <w:t xml:space="preserve"> (hospitalisation)</w:t>
      </w:r>
      <w:r w:rsidR="0094583D">
        <w:rPr>
          <w:rFonts w:cs="Arial"/>
          <w:snapToGrid w:val="0"/>
          <w:sz w:val="24"/>
          <w:szCs w:val="24"/>
        </w:rPr>
        <w:t xml:space="preserve">. </w:t>
      </w:r>
    </w:p>
    <w:p w14:paraId="1B29D8F1" w14:textId="3E013B7C" w:rsidR="00F54473" w:rsidRPr="00924D8E" w:rsidRDefault="00C67929" w:rsidP="00F54473">
      <w:pPr>
        <w:pStyle w:val="3-BodyText"/>
        <w:ind w:left="709"/>
      </w:pPr>
      <w:r w:rsidRPr="00986534">
        <w:rPr>
          <w:rFonts w:eastAsiaTheme="minorHAnsi"/>
          <w:lang w:eastAsia="en-US"/>
        </w:rPr>
        <w:t xml:space="preserve">The PBAC considered that the size of </w:t>
      </w:r>
      <w:r w:rsidR="00AD60B6">
        <w:rPr>
          <w:rFonts w:eastAsiaTheme="minorHAnsi"/>
          <w:lang w:eastAsia="en-US"/>
        </w:rPr>
        <w:t xml:space="preserve">any comparative </w:t>
      </w:r>
      <w:r w:rsidRPr="00986534">
        <w:rPr>
          <w:rFonts w:eastAsiaTheme="minorHAnsi"/>
          <w:lang w:eastAsia="en-US"/>
        </w:rPr>
        <w:t xml:space="preserve">effect </w:t>
      </w:r>
      <w:r w:rsidR="00AD60B6" w:rsidRPr="00AD60B6">
        <w:rPr>
          <w:rFonts w:eastAsiaTheme="minorHAnsi"/>
          <w:lang w:eastAsia="en-US"/>
        </w:rPr>
        <w:t xml:space="preserve">of QIVc versus QIVe </w:t>
      </w:r>
      <w:r w:rsidRPr="00986534">
        <w:rPr>
          <w:rFonts w:eastAsiaTheme="minorHAnsi"/>
          <w:lang w:eastAsia="en-US"/>
        </w:rPr>
        <w:t>was depend</w:t>
      </w:r>
      <w:r w:rsidR="00986534">
        <w:rPr>
          <w:rFonts w:eastAsiaTheme="minorHAnsi"/>
          <w:lang w:eastAsia="en-US"/>
        </w:rPr>
        <w:t>ent</w:t>
      </w:r>
      <w:r w:rsidR="007B65AD">
        <w:rPr>
          <w:rFonts w:eastAsiaTheme="minorHAnsi"/>
          <w:lang w:eastAsia="en-US"/>
        </w:rPr>
        <w:t xml:space="preserve"> on</w:t>
      </w:r>
      <w:r w:rsidR="00285244">
        <w:rPr>
          <w:rFonts w:eastAsiaTheme="minorHAnsi"/>
          <w:lang w:eastAsia="en-US"/>
        </w:rPr>
        <w:t xml:space="preserve"> several </w:t>
      </w:r>
      <w:r w:rsidR="007B65AD">
        <w:rPr>
          <w:rFonts w:eastAsiaTheme="minorHAnsi"/>
          <w:lang w:eastAsia="en-US"/>
        </w:rPr>
        <w:t>variables</w:t>
      </w:r>
      <w:r w:rsidR="00285244">
        <w:rPr>
          <w:rFonts w:eastAsiaTheme="minorHAnsi"/>
          <w:lang w:eastAsia="en-US"/>
        </w:rPr>
        <w:t xml:space="preserve"> including</w:t>
      </w:r>
      <w:r w:rsidRPr="00986534">
        <w:rPr>
          <w:rFonts w:eastAsiaTheme="minorHAnsi"/>
          <w:lang w:eastAsia="en-US"/>
        </w:rPr>
        <w:t xml:space="preserve"> </w:t>
      </w:r>
      <w:r w:rsidR="00285244">
        <w:rPr>
          <w:rFonts w:eastAsiaTheme="minorHAnsi"/>
          <w:lang w:eastAsia="en-US"/>
        </w:rPr>
        <w:t>the</w:t>
      </w:r>
      <w:r w:rsidR="007B65AD">
        <w:rPr>
          <w:rFonts w:eastAsiaTheme="minorHAnsi"/>
          <w:lang w:eastAsia="en-US"/>
        </w:rPr>
        <w:t xml:space="preserve"> degree to which </w:t>
      </w:r>
      <w:r w:rsidR="00285244">
        <w:rPr>
          <w:rFonts w:eastAsiaTheme="minorHAnsi"/>
          <w:lang w:eastAsia="en-US"/>
        </w:rPr>
        <w:t>antigenic drift and egg adaptation</w:t>
      </w:r>
      <w:r w:rsidR="007B65AD">
        <w:rPr>
          <w:rFonts w:eastAsiaTheme="minorHAnsi"/>
          <w:lang w:eastAsia="en-US"/>
        </w:rPr>
        <w:t xml:space="preserve"> affects the differential match of vaccine viruses to circulating strains </w:t>
      </w:r>
      <w:r w:rsidR="00285244">
        <w:rPr>
          <w:rFonts w:eastAsiaTheme="minorHAnsi"/>
          <w:lang w:eastAsia="en-US"/>
        </w:rPr>
        <w:t xml:space="preserve">and the severity of the flu season, </w:t>
      </w:r>
      <w:r w:rsidRPr="00986534">
        <w:rPr>
          <w:rFonts w:eastAsiaTheme="minorHAnsi"/>
          <w:lang w:eastAsia="en-US"/>
        </w:rPr>
        <w:t>which varies from year</w:t>
      </w:r>
      <w:r w:rsidR="00800F9D">
        <w:rPr>
          <w:rFonts w:eastAsiaTheme="minorHAnsi"/>
          <w:lang w:eastAsia="en-US"/>
        </w:rPr>
        <w:t>-</w:t>
      </w:r>
      <w:r w:rsidRPr="00986534">
        <w:rPr>
          <w:rFonts w:eastAsiaTheme="minorHAnsi"/>
          <w:lang w:eastAsia="en-US"/>
        </w:rPr>
        <w:t>to</w:t>
      </w:r>
      <w:r w:rsidR="00800F9D">
        <w:rPr>
          <w:rFonts w:eastAsiaTheme="minorHAnsi"/>
          <w:lang w:eastAsia="en-US"/>
        </w:rPr>
        <w:t>-</w:t>
      </w:r>
      <w:r w:rsidRPr="00986534">
        <w:rPr>
          <w:rFonts w:eastAsiaTheme="minorHAnsi"/>
          <w:lang w:eastAsia="en-US"/>
        </w:rPr>
        <w:t>year.</w:t>
      </w:r>
      <w:r w:rsidRPr="00986534">
        <w:t xml:space="preserve"> </w:t>
      </w:r>
      <w:r w:rsidR="00E73948">
        <w:t>The PBAC agreed with the ESC advice that this</w:t>
      </w:r>
      <w:r w:rsidRPr="00986534">
        <w:t xml:space="preserve"> year-to-year variation makes it difficult to estimate the average benefit that could apply across all years and inform the cost-effectiveness.</w:t>
      </w:r>
      <w:r w:rsidRPr="00364EA2">
        <w:rPr>
          <w:i/>
        </w:rPr>
        <w:t xml:space="preserve"> </w:t>
      </w:r>
    </w:p>
    <w:p w14:paraId="6B5D04A2" w14:textId="58BC94B5" w:rsidR="00E32C99" w:rsidRPr="005869B2" w:rsidRDefault="00347993" w:rsidP="00CC7F2A">
      <w:pPr>
        <w:widowControl w:val="0"/>
        <w:numPr>
          <w:ilvl w:val="1"/>
          <w:numId w:val="1"/>
        </w:numPr>
        <w:spacing w:after="120"/>
        <w:ind w:left="720"/>
        <w:jc w:val="both"/>
        <w:rPr>
          <w:sz w:val="24"/>
          <w:szCs w:val="24"/>
        </w:rPr>
      </w:pPr>
      <w:r>
        <w:rPr>
          <w:rFonts w:cs="Arial"/>
          <w:snapToGrid w:val="0"/>
          <w:sz w:val="24"/>
          <w:szCs w:val="24"/>
        </w:rPr>
        <w:t>Although</w:t>
      </w:r>
      <w:r w:rsidR="003E21A8">
        <w:rPr>
          <w:rFonts w:cs="Arial"/>
          <w:snapToGrid w:val="0"/>
          <w:sz w:val="24"/>
          <w:szCs w:val="24"/>
        </w:rPr>
        <w:t xml:space="preserve"> the PBAC considered that the </w:t>
      </w:r>
      <w:r w:rsidR="00754911">
        <w:rPr>
          <w:rFonts w:cs="Arial"/>
          <w:snapToGrid w:val="0"/>
          <w:sz w:val="24"/>
          <w:szCs w:val="24"/>
        </w:rPr>
        <w:t>clinical claim of superior efficacy</w:t>
      </w:r>
      <w:r w:rsidR="00391458">
        <w:rPr>
          <w:rFonts w:cs="Arial"/>
          <w:snapToGrid w:val="0"/>
          <w:sz w:val="24"/>
          <w:szCs w:val="24"/>
        </w:rPr>
        <w:t xml:space="preserve"> </w:t>
      </w:r>
      <w:r w:rsidR="00754911">
        <w:rPr>
          <w:rFonts w:cs="Arial"/>
          <w:snapToGrid w:val="0"/>
          <w:sz w:val="24"/>
          <w:szCs w:val="24"/>
        </w:rPr>
        <w:t xml:space="preserve">was </w:t>
      </w:r>
      <w:r w:rsidR="00806883">
        <w:rPr>
          <w:rFonts w:cs="Arial"/>
          <w:snapToGrid w:val="0"/>
          <w:sz w:val="24"/>
          <w:szCs w:val="24"/>
        </w:rPr>
        <w:t>plausible,</w:t>
      </w:r>
      <w:r w:rsidR="00754911">
        <w:rPr>
          <w:rFonts w:cs="Arial"/>
          <w:snapToGrid w:val="0"/>
          <w:sz w:val="24"/>
          <w:szCs w:val="24"/>
        </w:rPr>
        <w:t xml:space="preserve"> </w:t>
      </w:r>
      <w:r>
        <w:rPr>
          <w:rFonts w:cs="Arial"/>
          <w:snapToGrid w:val="0"/>
          <w:sz w:val="24"/>
          <w:szCs w:val="24"/>
        </w:rPr>
        <w:t xml:space="preserve">it considered that </w:t>
      </w:r>
      <w:r w:rsidR="00671290">
        <w:rPr>
          <w:rFonts w:cs="Arial"/>
          <w:snapToGrid w:val="0"/>
          <w:sz w:val="24"/>
          <w:szCs w:val="24"/>
        </w:rPr>
        <w:t>the comparative benefit was</w:t>
      </w:r>
      <w:r w:rsidR="00754911">
        <w:rPr>
          <w:rFonts w:cs="Arial"/>
          <w:snapToGrid w:val="0"/>
          <w:sz w:val="24"/>
          <w:szCs w:val="24"/>
        </w:rPr>
        <w:t xml:space="preserve"> </w:t>
      </w:r>
      <w:r w:rsidR="00391458">
        <w:rPr>
          <w:rFonts w:cs="Arial"/>
          <w:snapToGrid w:val="0"/>
          <w:sz w:val="24"/>
          <w:szCs w:val="24"/>
        </w:rPr>
        <w:t>difficult</w:t>
      </w:r>
      <w:r w:rsidR="00F70C4F">
        <w:rPr>
          <w:rFonts w:cs="Arial"/>
          <w:snapToGrid w:val="0"/>
          <w:sz w:val="24"/>
          <w:szCs w:val="24"/>
        </w:rPr>
        <w:t xml:space="preserve"> to quantify and subject to </w:t>
      </w:r>
      <w:r w:rsidR="00391458">
        <w:rPr>
          <w:rFonts w:cs="Arial"/>
          <w:snapToGrid w:val="0"/>
          <w:sz w:val="24"/>
          <w:szCs w:val="24"/>
        </w:rPr>
        <w:t xml:space="preserve">a moderate level of </w:t>
      </w:r>
      <w:r w:rsidR="00F70C4F">
        <w:rPr>
          <w:rFonts w:cs="Arial"/>
          <w:snapToGrid w:val="0"/>
          <w:sz w:val="24"/>
          <w:szCs w:val="24"/>
        </w:rPr>
        <w:t>uncertainty.</w:t>
      </w:r>
      <w:r w:rsidR="005869B2">
        <w:rPr>
          <w:rFonts w:cs="Arial"/>
          <w:snapToGrid w:val="0"/>
          <w:sz w:val="24"/>
          <w:szCs w:val="24"/>
        </w:rPr>
        <w:t xml:space="preserve"> </w:t>
      </w:r>
      <w:r w:rsidR="009C0F2F">
        <w:rPr>
          <w:rFonts w:cs="Arial"/>
          <w:snapToGrid w:val="0"/>
          <w:sz w:val="24"/>
          <w:szCs w:val="24"/>
        </w:rPr>
        <w:t>However</w:t>
      </w:r>
      <w:r w:rsidR="005869B2">
        <w:rPr>
          <w:rFonts w:cs="Arial"/>
          <w:snapToGrid w:val="0"/>
          <w:sz w:val="24"/>
          <w:szCs w:val="24"/>
        </w:rPr>
        <w:t xml:space="preserve">, </w:t>
      </w:r>
      <w:r w:rsidR="009C0F2F">
        <w:rPr>
          <w:rFonts w:cs="Arial"/>
          <w:snapToGrid w:val="0"/>
          <w:sz w:val="24"/>
          <w:szCs w:val="24"/>
        </w:rPr>
        <w:t xml:space="preserve">the </w:t>
      </w:r>
      <w:r w:rsidR="00E32C99" w:rsidRPr="005869B2">
        <w:rPr>
          <w:rFonts w:cs="Arial"/>
          <w:snapToGrid w:val="0"/>
          <w:sz w:val="24"/>
          <w:szCs w:val="24"/>
        </w:rPr>
        <w:t>PBAC</w:t>
      </w:r>
      <w:r w:rsidR="007A40BB">
        <w:rPr>
          <w:rFonts w:cs="Arial"/>
          <w:snapToGrid w:val="0"/>
          <w:sz w:val="24"/>
          <w:szCs w:val="24"/>
        </w:rPr>
        <w:t xml:space="preserve"> considered that a cell-based influenza vaccine may have certain advantages over the traditional egg-based technology and </w:t>
      </w:r>
      <w:r w:rsidR="00E32C99" w:rsidRPr="005869B2">
        <w:rPr>
          <w:rFonts w:cs="Arial"/>
          <w:snapToGrid w:val="0"/>
          <w:sz w:val="24"/>
          <w:szCs w:val="24"/>
        </w:rPr>
        <w:t>was supportive of the diversification of vaccine manufacturing.</w:t>
      </w:r>
    </w:p>
    <w:p w14:paraId="36D95F25" w14:textId="3234DF7A" w:rsidR="00285244" w:rsidRPr="00F70C4F" w:rsidRDefault="00285244" w:rsidP="00285244">
      <w:pPr>
        <w:pStyle w:val="3-BodyText"/>
        <w:ind w:left="709"/>
      </w:pPr>
      <w:r>
        <w:t>The PBAC considered that the clinical data provided supported the claim of non</w:t>
      </w:r>
      <w:r w:rsidR="006260F3">
        <w:t>-</w:t>
      </w:r>
      <w:r>
        <w:t>inferior safety of QIVc compared to QIVe.</w:t>
      </w:r>
    </w:p>
    <w:p w14:paraId="64A5C0FE" w14:textId="316E22FD" w:rsidR="00391BAA" w:rsidRDefault="00391BAA" w:rsidP="00391BAA">
      <w:pPr>
        <w:pStyle w:val="3-BodyText"/>
        <w:ind w:left="709"/>
      </w:pPr>
      <w:r>
        <w:t xml:space="preserve">The PBAC considered that </w:t>
      </w:r>
      <w:r w:rsidRPr="00391BAA">
        <w:t>a QIVc vaccination program was not likely to</w:t>
      </w:r>
      <w:r>
        <w:t xml:space="preserve"> be associated with significant indirect effects</w:t>
      </w:r>
      <w:r w:rsidRPr="00391BAA">
        <w:t xml:space="preserve"> </w:t>
      </w:r>
      <w:r>
        <w:t xml:space="preserve">and a change </w:t>
      </w:r>
      <w:r w:rsidRPr="00391BAA">
        <w:t>in force of infection</w:t>
      </w:r>
      <w:r>
        <w:t xml:space="preserve">. For this reason the PBAC </w:t>
      </w:r>
      <w:r w:rsidRPr="00391BAA">
        <w:t>considered that the static economic model was more reliable for decision making than the dynamic model</w:t>
      </w:r>
      <w:r>
        <w:t>.</w:t>
      </w:r>
    </w:p>
    <w:p w14:paraId="6DB3DD34" w14:textId="70E942C1" w:rsidR="00391BAA" w:rsidRDefault="00391BAA" w:rsidP="00391BAA">
      <w:pPr>
        <w:pStyle w:val="3-BodyText"/>
        <w:ind w:left="709"/>
      </w:pPr>
      <w:r>
        <w:t>The PBAC noted the</w:t>
      </w:r>
      <w:r w:rsidR="005A3576">
        <w:t xml:space="preserve"> main</w:t>
      </w:r>
      <w:r>
        <w:t xml:space="preserve"> issues with the economic</w:t>
      </w:r>
      <w:r w:rsidR="005A3576">
        <w:t xml:space="preserve"> model</w:t>
      </w:r>
      <w:r>
        <w:t xml:space="preserve"> that had been raised by the evaluation and the ESC, including:</w:t>
      </w:r>
    </w:p>
    <w:p w14:paraId="0723D509" w14:textId="1670F475" w:rsidR="00391BAA" w:rsidRDefault="00E2324D" w:rsidP="005A3576">
      <w:pPr>
        <w:pStyle w:val="3-BodyText"/>
        <w:numPr>
          <w:ilvl w:val="0"/>
          <w:numId w:val="51"/>
        </w:numPr>
      </w:pPr>
      <w:r>
        <w:t>Pooling of influenza-like illness outcomes with differing definitions (i.e. primary care presentation and hospital encounters) in the</w:t>
      </w:r>
      <w:r w:rsidR="005A3576" w:rsidRPr="005A3576">
        <w:t xml:space="preserve"> meta-analysis used to obtain </w:t>
      </w:r>
      <w:r w:rsidR="005A3576">
        <w:t>the</w:t>
      </w:r>
      <w:r w:rsidR="005A3576" w:rsidRPr="005A3576">
        <w:t xml:space="preserve"> </w:t>
      </w:r>
      <w:r w:rsidR="006260F3">
        <w:t>rVE</w:t>
      </w:r>
      <w:r w:rsidR="005A3576" w:rsidRPr="005A3576">
        <w:t xml:space="preserve"> in the economic model</w:t>
      </w:r>
      <w:r w:rsidR="005A3576">
        <w:t>.</w:t>
      </w:r>
    </w:p>
    <w:p w14:paraId="3585DA1B" w14:textId="5F67152F" w:rsidR="005A3576" w:rsidRPr="005A3576" w:rsidRDefault="005A3576" w:rsidP="005A3576">
      <w:pPr>
        <w:pStyle w:val="3-BodyText"/>
        <w:numPr>
          <w:ilvl w:val="0"/>
          <w:numId w:val="51"/>
        </w:numPr>
      </w:pPr>
      <w:r w:rsidRPr="005A3576">
        <w:t xml:space="preserve">Case fatality rates were based on modelled age-dependent rates of pooled influenza-associated respiratory and cardiovascular hospitalisations and deaths from Leung et al. (2021), and not those recommended in the ATAGI’s advice that were based on observed data from AIHW for ICD-10 coded deaths from influenza. </w:t>
      </w:r>
    </w:p>
    <w:p w14:paraId="76538A54" w14:textId="4E41FC90" w:rsidR="005C568B" w:rsidRDefault="005C568B" w:rsidP="00E33E66">
      <w:pPr>
        <w:widowControl w:val="0"/>
        <w:numPr>
          <w:ilvl w:val="1"/>
          <w:numId w:val="1"/>
        </w:numPr>
        <w:spacing w:after="120"/>
        <w:ind w:left="720"/>
        <w:jc w:val="both"/>
        <w:rPr>
          <w:rFonts w:cs="Arial"/>
          <w:snapToGrid w:val="0"/>
          <w:sz w:val="24"/>
          <w:szCs w:val="24"/>
        </w:rPr>
      </w:pPr>
      <w:r>
        <w:rPr>
          <w:rFonts w:cs="Arial"/>
          <w:snapToGrid w:val="0"/>
          <w:sz w:val="24"/>
          <w:szCs w:val="24"/>
        </w:rPr>
        <w:t xml:space="preserve">The PBAC noted that </w:t>
      </w:r>
      <w:r w:rsidR="00F44B09">
        <w:rPr>
          <w:rFonts w:cs="Arial"/>
          <w:snapToGrid w:val="0"/>
          <w:sz w:val="24"/>
          <w:szCs w:val="24"/>
        </w:rPr>
        <w:t xml:space="preserve">in the pre-PBAC Response, </w:t>
      </w:r>
      <w:r>
        <w:rPr>
          <w:rFonts w:cs="Arial"/>
          <w:snapToGrid w:val="0"/>
          <w:sz w:val="24"/>
          <w:szCs w:val="24"/>
        </w:rPr>
        <w:t>the sponsor</w:t>
      </w:r>
      <w:r w:rsidR="00F44B09">
        <w:rPr>
          <w:rFonts w:cs="Arial"/>
          <w:snapToGrid w:val="0"/>
          <w:sz w:val="24"/>
          <w:szCs w:val="24"/>
        </w:rPr>
        <w:t xml:space="preserve"> </w:t>
      </w:r>
      <w:r>
        <w:rPr>
          <w:rFonts w:cs="Arial"/>
          <w:snapToGrid w:val="0"/>
          <w:sz w:val="24"/>
          <w:szCs w:val="24"/>
        </w:rPr>
        <w:t xml:space="preserve">proposed a reduced price </w:t>
      </w:r>
      <w:r w:rsidR="00A749FC">
        <w:rPr>
          <w:rFonts w:cs="Arial"/>
          <w:snapToGrid w:val="0"/>
          <w:sz w:val="24"/>
          <w:szCs w:val="24"/>
        </w:rPr>
        <w:t xml:space="preserve">per dose </w:t>
      </w:r>
      <w:r>
        <w:rPr>
          <w:rFonts w:cs="Arial"/>
          <w:snapToGrid w:val="0"/>
          <w:sz w:val="24"/>
          <w:szCs w:val="24"/>
        </w:rPr>
        <w:t>for QIVc</w:t>
      </w:r>
      <w:r w:rsidR="00A749FC">
        <w:rPr>
          <w:rFonts w:cs="Arial"/>
          <w:snapToGrid w:val="0"/>
          <w:sz w:val="24"/>
          <w:szCs w:val="24"/>
        </w:rPr>
        <w:t xml:space="preserve"> of $</w:t>
      </w:r>
      <w:r w:rsidR="00D76B55" w:rsidRPr="0020701F">
        <w:rPr>
          <w:rFonts w:cs="Arial"/>
          <w:snapToGrid w:val="0"/>
          <w:color w:val="000000"/>
          <w:w w:val="15"/>
          <w:sz w:val="24"/>
          <w:szCs w:val="24"/>
          <w:shd w:val="solid" w:color="000000" w:fill="000000"/>
          <w:fitText w:val="-20" w:id="-1404292598"/>
          <w14:textFill>
            <w14:solidFill>
              <w14:srgbClr w14:val="000000">
                <w14:alpha w14:val="100000"/>
              </w14:srgbClr>
            </w14:solidFill>
          </w14:textFill>
        </w:rPr>
        <w:t xml:space="preserve">|  </w:t>
      </w:r>
      <w:r w:rsidR="00D76B55" w:rsidRPr="0020701F">
        <w:rPr>
          <w:rFonts w:cs="Arial"/>
          <w:snapToGrid w:val="0"/>
          <w:color w:val="000000"/>
          <w:spacing w:val="-69"/>
          <w:w w:val="15"/>
          <w:sz w:val="24"/>
          <w:szCs w:val="24"/>
          <w:shd w:val="solid" w:color="000000" w:fill="000000"/>
          <w:fitText w:val="-20" w:id="-1404292598"/>
          <w14:textFill>
            <w14:solidFill>
              <w14:srgbClr w14:val="000000">
                <w14:alpha w14:val="100000"/>
              </w14:srgbClr>
            </w14:solidFill>
          </w14:textFill>
        </w:rPr>
        <w:t>|</w:t>
      </w:r>
      <w:r>
        <w:rPr>
          <w:rFonts w:cs="Arial"/>
          <w:snapToGrid w:val="0"/>
          <w:sz w:val="24"/>
          <w:szCs w:val="24"/>
        </w:rPr>
        <w:t xml:space="preserve"> and provided an </w:t>
      </w:r>
      <w:r w:rsidR="005A3576" w:rsidRPr="00B46075">
        <w:rPr>
          <w:rFonts w:cs="Arial"/>
          <w:snapToGrid w:val="0"/>
          <w:sz w:val="24"/>
          <w:szCs w:val="24"/>
        </w:rPr>
        <w:t>updated</w:t>
      </w:r>
      <w:r w:rsidR="00B46075">
        <w:rPr>
          <w:rFonts w:cs="Arial"/>
          <w:snapToGrid w:val="0"/>
          <w:sz w:val="24"/>
          <w:szCs w:val="24"/>
        </w:rPr>
        <w:t xml:space="preserve"> economic</w:t>
      </w:r>
      <w:r w:rsidR="005A3576" w:rsidRPr="00B46075">
        <w:rPr>
          <w:rFonts w:cs="Arial"/>
          <w:snapToGrid w:val="0"/>
          <w:sz w:val="24"/>
          <w:szCs w:val="24"/>
        </w:rPr>
        <w:t xml:space="preserve"> model</w:t>
      </w:r>
      <w:r w:rsidR="00A749FC">
        <w:rPr>
          <w:rFonts w:cs="Arial"/>
          <w:snapToGrid w:val="0"/>
          <w:sz w:val="24"/>
          <w:szCs w:val="24"/>
        </w:rPr>
        <w:t xml:space="preserve"> which</w:t>
      </w:r>
      <w:r w:rsidR="005A3576" w:rsidRPr="00B46075">
        <w:rPr>
          <w:rFonts w:cs="Arial"/>
          <w:snapToGrid w:val="0"/>
          <w:sz w:val="24"/>
          <w:szCs w:val="24"/>
        </w:rPr>
        <w:t xml:space="preserve"> </w:t>
      </w:r>
      <w:r w:rsidR="00B46075">
        <w:rPr>
          <w:rFonts w:cs="Arial"/>
          <w:snapToGrid w:val="0"/>
          <w:sz w:val="24"/>
          <w:szCs w:val="24"/>
        </w:rPr>
        <w:t xml:space="preserve">excluded the population aged 2 to 4 years old and </w:t>
      </w:r>
      <w:r w:rsidR="005A3576" w:rsidRPr="00B46075">
        <w:rPr>
          <w:rFonts w:cs="Arial"/>
          <w:snapToGrid w:val="0"/>
          <w:sz w:val="24"/>
          <w:szCs w:val="24"/>
        </w:rPr>
        <w:t>addressed</w:t>
      </w:r>
      <w:r w:rsidR="00B46075">
        <w:rPr>
          <w:rFonts w:cs="Arial"/>
          <w:snapToGrid w:val="0"/>
          <w:sz w:val="24"/>
          <w:szCs w:val="24"/>
        </w:rPr>
        <w:t xml:space="preserve"> </w:t>
      </w:r>
      <w:r w:rsidR="007864FE">
        <w:rPr>
          <w:rFonts w:cs="Arial"/>
          <w:snapToGrid w:val="0"/>
          <w:sz w:val="24"/>
          <w:szCs w:val="24"/>
        </w:rPr>
        <w:t>some of the</w:t>
      </w:r>
      <w:r w:rsidR="00B46075">
        <w:rPr>
          <w:rFonts w:cs="Arial"/>
          <w:snapToGrid w:val="0"/>
          <w:sz w:val="24"/>
          <w:szCs w:val="24"/>
        </w:rPr>
        <w:t xml:space="preserve"> uncertain inputs</w:t>
      </w:r>
      <w:r w:rsidR="00A749FC">
        <w:rPr>
          <w:rFonts w:cs="Arial"/>
          <w:snapToGrid w:val="0"/>
          <w:sz w:val="24"/>
          <w:szCs w:val="24"/>
        </w:rPr>
        <w:t xml:space="preserve"> (see paragraph 6.62)</w:t>
      </w:r>
      <w:r w:rsidR="00B46075">
        <w:rPr>
          <w:rFonts w:cs="Arial"/>
          <w:snapToGrid w:val="0"/>
          <w:sz w:val="24"/>
          <w:szCs w:val="24"/>
        </w:rPr>
        <w:t xml:space="preserve">. However, </w:t>
      </w:r>
      <w:r>
        <w:rPr>
          <w:rFonts w:cs="Arial"/>
          <w:snapToGrid w:val="0"/>
          <w:sz w:val="24"/>
          <w:szCs w:val="24"/>
        </w:rPr>
        <w:t xml:space="preserve">the PBAC </w:t>
      </w:r>
      <w:r w:rsidR="00B46075">
        <w:rPr>
          <w:rFonts w:cs="Arial"/>
          <w:snapToGrid w:val="0"/>
          <w:sz w:val="24"/>
          <w:szCs w:val="24"/>
        </w:rPr>
        <w:t xml:space="preserve">noted that the updated model did not address the main issues </w:t>
      </w:r>
      <w:r w:rsidR="00A663D1">
        <w:rPr>
          <w:rFonts w:cs="Arial"/>
          <w:snapToGrid w:val="0"/>
          <w:sz w:val="24"/>
          <w:szCs w:val="24"/>
        </w:rPr>
        <w:t xml:space="preserve">previously </w:t>
      </w:r>
      <w:r w:rsidR="00B46075">
        <w:rPr>
          <w:rFonts w:cs="Arial"/>
          <w:snapToGrid w:val="0"/>
          <w:sz w:val="24"/>
          <w:szCs w:val="24"/>
        </w:rPr>
        <w:t>raised by the ESC and the evaluation</w:t>
      </w:r>
      <w:r>
        <w:rPr>
          <w:rFonts w:cs="Arial"/>
          <w:snapToGrid w:val="0"/>
          <w:sz w:val="24"/>
          <w:szCs w:val="24"/>
        </w:rPr>
        <w:t>.</w:t>
      </w:r>
      <w:r w:rsidR="007864FE">
        <w:rPr>
          <w:rFonts w:cs="Arial"/>
          <w:snapToGrid w:val="0"/>
          <w:sz w:val="24"/>
          <w:szCs w:val="24"/>
        </w:rPr>
        <w:t xml:space="preserve"> Overall, the PBAC did </w:t>
      </w:r>
      <w:r w:rsidR="007864FE">
        <w:rPr>
          <w:rFonts w:cs="Arial"/>
          <w:snapToGrid w:val="0"/>
          <w:sz w:val="24"/>
          <w:szCs w:val="24"/>
        </w:rPr>
        <w:lastRenderedPageBreak/>
        <w:t xml:space="preserve">not consider the economic model to be reliable for </w:t>
      </w:r>
      <w:r w:rsidR="00650E2B">
        <w:rPr>
          <w:rFonts w:cs="Arial"/>
          <w:snapToGrid w:val="0"/>
          <w:sz w:val="24"/>
          <w:szCs w:val="24"/>
        </w:rPr>
        <w:t>informing a cost-effective price of QIVc noting the difficulties associated with quantifying an estimate of the rVE.</w:t>
      </w:r>
    </w:p>
    <w:p w14:paraId="58E210C3" w14:textId="727878FB" w:rsidR="00A953E0" w:rsidRPr="005C568B" w:rsidRDefault="0099582B" w:rsidP="00E33E66">
      <w:pPr>
        <w:widowControl w:val="0"/>
        <w:numPr>
          <w:ilvl w:val="1"/>
          <w:numId w:val="1"/>
        </w:numPr>
        <w:spacing w:after="120"/>
        <w:ind w:left="720"/>
        <w:jc w:val="both"/>
        <w:rPr>
          <w:rFonts w:cs="Arial"/>
          <w:snapToGrid w:val="0"/>
          <w:sz w:val="24"/>
          <w:szCs w:val="24"/>
        </w:rPr>
      </w:pPr>
      <w:r>
        <w:rPr>
          <w:rFonts w:cs="Arial"/>
          <w:snapToGrid w:val="0"/>
          <w:sz w:val="24"/>
          <w:szCs w:val="24"/>
        </w:rPr>
        <w:t>The PBAC considered that given the uncertainties around the comparative benefit of QIVc versus QIVe,</w:t>
      </w:r>
      <w:r w:rsidR="00BA1E43">
        <w:rPr>
          <w:rFonts w:cs="Arial"/>
          <w:snapToGrid w:val="0"/>
          <w:sz w:val="24"/>
          <w:szCs w:val="24"/>
        </w:rPr>
        <w:t xml:space="preserve"> it could not recommend QIVc at a substantially higher price than QIVe.</w:t>
      </w:r>
      <w:r w:rsidR="008B5590">
        <w:rPr>
          <w:rFonts w:cs="Arial"/>
          <w:snapToGrid w:val="0"/>
          <w:sz w:val="24"/>
          <w:szCs w:val="24"/>
        </w:rPr>
        <w:t xml:space="preserve"> However,</w:t>
      </w:r>
      <w:r>
        <w:rPr>
          <w:rFonts w:cs="Arial"/>
          <w:snapToGrid w:val="0"/>
          <w:sz w:val="24"/>
          <w:szCs w:val="24"/>
        </w:rPr>
        <w:t xml:space="preserve"> </w:t>
      </w:r>
      <w:r w:rsidR="008B5590">
        <w:rPr>
          <w:rFonts w:cs="Arial"/>
          <w:snapToGrid w:val="0"/>
          <w:sz w:val="24"/>
          <w:szCs w:val="24"/>
        </w:rPr>
        <w:t>t</w:t>
      </w:r>
      <w:r w:rsidR="005C568B">
        <w:rPr>
          <w:rFonts w:cs="Arial"/>
          <w:snapToGrid w:val="0"/>
          <w:sz w:val="24"/>
          <w:szCs w:val="24"/>
        </w:rPr>
        <w:t xml:space="preserve">he PBAC </w:t>
      </w:r>
      <w:r w:rsidR="005C568B" w:rsidRPr="005C568B">
        <w:rPr>
          <w:rFonts w:cs="Arial"/>
          <w:snapToGrid w:val="0"/>
          <w:sz w:val="24"/>
          <w:szCs w:val="24"/>
        </w:rPr>
        <w:t>considered</w:t>
      </w:r>
      <w:r w:rsidR="00A953E0" w:rsidRPr="005C568B">
        <w:rPr>
          <w:rFonts w:cs="Arial"/>
          <w:snapToGrid w:val="0"/>
          <w:sz w:val="24"/>
          <w:szCs w:val="24"/>
        </w:rPr>
        <w:t xml:space="preserve"> that</w:t>
      </w:r>
      <w:r w:rsidR="00211D9A">
        <w:rPr>
          <w:rFonts w:cs="Arial"/>
          <w:snapToGrid w:val="0"/>
          <w:sz w:val="24"/>
          <w:szCs w:val="24"/>
        </w:rPr>
        <w:t xml:space="preserve"> a premium of no more than </w:t>
      </w:r>
      <w:r w:rsidR="00D76B55" w:rsidRPr="0020701F">
        <w:rPr>
          <w:rFonts w:cs="Arial"/>
          <w:snapToGrid w:val="0"/>
          <w:color w:val="000000"/>
          <w:w w:val="15"/>
          <w:sz w:val="24"/>
          <w:szCs w:val="24"/>
          <w:shd w:val="solid" w:color="000000" w:fill="000000"/>
          <w:fitText w:val="-20" w:id="-1404292597"/>
          <w14:textFill>
            <w14:solidFill>
              <w14:srgbClr w14:val="000000">
                <w14:alpha w14:val="100000"/>
              </w14:srgbClr>
            </w14:solidFill>
          </w14:textFill>
        </w:rPr>
        <w:t xml:space="preserve">|  </w:t>
      </w:r>
      <w:r w:rsidR="00D76B55" w:rsidRPr="0020701F">
        <w:rPr>
          <w:rFonts w:cs="Arial"/>
          <w:snapToGrid w:val="0"/>
          <w:color w:val="000000"/>
          <w:spacing w:val="-69"/>
          <w:w w:val="15"/>
          <w:sz w:val="24"/>
          <w:szCs w:val="24"/>
          <w:shd w:val="solid" w:color="000000" w:fill="000000"/>
          <w:fitText w:val="-20" w:id="-1404292597"/>
          <w14:textFill>
            <w14:solidFill>
              <w14:srgbClr w14:val="000000">
                <w14:alpha w14:val="100000"/>
              </w14:srgbClr>
            </w14:solidFill>
          </w14:textFill>
        </w:rPr>
        <w:t>|</w:t>
      </w:r>
      <w:r w:rsidR="00211D9A">
        <w:rPr>
          <w:rFonts w:cs="Arial"/>
          <w:snapToGrid w:val="0"/>
          <w:sz w:val="24"/>
          <w:szCs w:val="24"/>
        </w:rPr>
        <w:t>%</w:t>
      </w:r>
      <w:r w:rsidR="00BB2F40">
        <w:rPr>
          <w:rFonts w:cs="Arial"/>
          <w:snapToGrid w:val="0"/>
          <w:sz w:val="24"/>
          <w:szCs w:val="24"/>
        </w:rPr>
        <w:t xml:space="preserve"> </w:t>
      </w:r>
      <w:r w:rsidR="00211D9A">
        <w:rPr>
          <w:rFonts w:cs="Arial"/>
          <w:snapToGrid w:val="0"/>
          <w:sz w:val="24"/>
          <w:szCs w:val="24"/>
        </w:rPr>
        <w:t>compared to QIVe</w:t>
      </w:r>
      <w:r w:rsidR="00BB2F40">
        <w:rPr>
          <w:rFonts w:cs="Arial"/>
          <w:snapToGrid w:val="0"/>
          <w:sz w:val="24"/>
          <w:szCs w:val="24"/>
        </w:rPr>
        <w:t xml:space="preserve"> (equating to maximum price of $</w:t>
      </w:r>
      <w:r w:rsidR="00D76B55" w:rsidRPr="0020701F">
        <w:rPr>
          <w:rFonts w:cs="Arial"/>
          <w:snapToGrid w:val="0"/>
          <w:color w:val="000000"/>
          <w:w w:val="15"/>
          <w:sz w:val="24"/>
          <w:szCs w:val="24"/>
          <w:shd w:val="solid" w:color="000000" w:fill="000000"/>
          <w:fitText w:val="-20" w:id="-1404292596"/>
          <w14:textFill>
            <w14:solidFill>
              <w14:srgbClr w14:val="000000">
                <w14:alpha w14:val="100000"/>
              </w14:srgbClr>
            </w14:solidFill>
          </w14:textFill>
        </w:rPr>
        <w:t xml:space="preserve">|  </w:t>
      </w:r>
      <w:r w:rsidR="00D76B55" w:rsidRPr="0020701F">
        <w:rPr>
          <w:rFonts w:cs="Arial"/>
          <w:snapToGrid w:val="0"/>
          <w:color w:val="000000"/>
          <w:spacing w:val="-69"/>
          <w:w w:val="15"/>
          <w:sz w:val="24"/>
          <w:szCs w:val="24"/>
          <w:shd w:val="solid" w:color="000000" w:fill="000000"/>
          <w:fitText w:val="-20" w:id="-1404292596"/>
          <w14:textFill>
            <w14:solidFill>
              <w14:srgbClr w14:val="000000">
                <w14:alpha w14:val="100000"/>
              </w14:srgbClr>
            </w14:solidFill>
          </w14:textFill>
        </w:rPr>
        <w:t>|</w:t>
      </w:r>
      <w:r w:rsidR="00BB2F40" w:rsidRPr="00BB2F40">
        <w:rPr>
          <w:rFonts w:cs="Arial"/>
          <w:snapToGrid w:val="0"/>
          <w:sz w:val="24"/>
          <w:szCs w:val="24"/>
        </w:rPr>
        <w:t>)</w:t>
      </w:r>
      <w:r w:rsidR="00211D9A">
        <w:rPr>
          <w:rFonts w:cs="Arial"/>
          <w:snapToGrid w:val="0"/>
          <w:sz w:val="24"/>
          <w:szCs w:val="24"/>
        </w:rPr>
        <w:t xml:space="preserve"> for the potential advantages of cell-based vaccine production technology compared to egg-based </w:t>
      </w:r>
      <w:r w:rsidR="00BA1E43">
        <w:rPr>
          <w:rFonts w:cs="Arial"/>
          <w:snapToGrid w:val="0"/>
          <w:sz w:val="24"/>
          <w:szCs w:val="24"/>
        </w:rPr>
        <w:t>technology, would</w:t>
      </w:r>
      <w:r w:rsidR="00211D9A">
        <w:rPr>
          <w:rFonts w:cs="Arial"/>
          <w:snapToGrid w:val="0"/>
          <w:sz w:val="24"/>
          <w:szCs w:val="24"/>
        </w:rPr>
        <w:t xml:space="preserve"> be reasonable.</w:t>
      </w:r>
      <w:r w:rsidR="00A953E0" w:rsidRPr="005C568B">
        <w:rPr>
          <w:rFonts w:cs="Arial"/>
          <w:snapToGrid w:val="0"/>
          <w:sz w:val="24"/>
          <w:szCs w:val="24"/>
        </w:rPr>
        <w:t xml:space="preserve"> </w:t>
      </w:r>
    </w:p>
    <w:p w14:paraId="6999BEE9" w14:textId="0A9FDDC1" w:rsidR="00BA0777" w:rsidRPr="00F70C4F" w:rsidRDefault="00A953E0" w:rsidP="00E33E66">
      <w:pPr>
        <w:widowControl w:val="0"/>
        <w:numPr>
          <w:ilvl w:val="1"/>
          <w:numId w:val="1"/>
        </w:numPr>
        <w:spacing w:after="120"/>
        <w:ind w:left="720"/>
        <w:jc w:val="both"/>
        <w:rPr>
          <w:rFonts w:cs="Arial"/>
          <w:snapToGrid w:val="0"/>
          <w:sz w:val="24"/>
          <w:szCs w:val="24"/>
        </w:rPr>
      </w:pPr>
      <w:r>
        <w:rPr>
          <w:rFonts w:cs="Arial"/>
          <w:snapToGrid w:val="0"/>
          <w:sz w:val="24"/>
          <w:szCs w:val="24"/>
        </w:rPr>
        <w:t xml:space="preserve">The </w:t>
      </w:r>
      <w:r w:rsidR="00E5387C" w:rsidRPr="00F70C4F">
        <w:rPr>
          <w:rFonts w:cs="Arial"/>
          <w:snapToGrid w:val="0"/>
          <w:sz w:val="24"/>
          <w:szCs w:val="24"/>
        </w:rPr>
        <w:t>PBAC noted that this submission is not eligible for an independent review as independent review is only relevant to requests for PBS listing.</w:t>
      </w:r>
    </w:p>
    <w:p w14:paraId="60717F8B" w14:textId="77777777" w:rsidR="00E5387C" w:rsidRPr="00361A30" w:rsidRDefault="00E5387C" w:rsidP="00E5387C">
      <w:pPr>
        <w:spacing w:after="0"/>
        <w:rPr>
          <w:b/>
          <w:bCs/>
          <w:snapToGrid w:val="0"/>
          <w:sz w:val="24"/>
          <w:szCs w:val="24"/>
          <w:lang w:val="en-GB"/>
        </w:rPr>
      </w:pPr>
      <w:r w:rsidRPr="00361A30">
        <w:rPr>
          <w:b/>
          <w:bCs/>
          <w:snapToGrid w:val="0"/>
          <w:sz w:val="24"/>
          <w:szCs w:val="24"/>
          <w:lang w:val="en-GB"/>
        </w:rPr>
        <w:t>Outcome:</w:t>
      </w:r>
    </w:p>
    <w:p w14:paraId="0B49F27F" w14:textId="38E4A8A1" w:rsidR="00E5387C" w:rsidRPr="00361A30" w:rsidRDefault="00E5387C" w:rsidP="00E5387C">
      <w:pPr>
        <w:spacing w:after="0"/>
        <w:rPr>
          <w:snapToGrid w:val="0"/>
          <w:sz w:val="24"/>
          <w:szCs w:val="24"/>
          <w:lang w:val="en-GB"/>
        </w:rPr>
      </w:pPr>
      <w:r w:rsidRPr="00361A30">
        <w:rPr>
          <w:snapToGrid w:val="0"/>
          <w:sz w:val="24"/>
          <w:szCs w:val="24"/>
          <w:lang w:val="en-GB"/>
        </w:rPr>
        <w:t>Recommended</w:t>
      </w:r>
    </w:p>
    <w:p w14:paraId="3726034D" w14:textId="1BF6F113" w:rsidR="00215C93" w:rsidRDefault="00215C93" w:rsidP="00E5387C">
      <w:pPr>
        <w:spacing w:after="0"/>
        <w:rPr>
          <w:snapToGrid w:val="0"/>
          <w:lang w:val="en-GB"/>
        </w:rPr>
      </w:pPr>
    </w:p>
    <w:bookmarkEnd w:id="95"/>
    <w:p w14:paraId="092D9D36" w14:textId="77777777" w:rsidR="00F217DE" w:rsidRPr="00001499" w:rsidRDefault="00F217DE" w:rsidP="002047D1">
      <w:pPr>
        <w:pStyle w:val="2-SectionHeading"/>
        <w:rPr>
          <w:b w:val="0"/>
          <w:iCs/>
        </w:rPr>
      </w:pPr>
      <w:r w:rsidRPr="00001499">
        <w:t>Recommended listing</w:t>
      </w:r>
    </w:p>
    <w:p w14:paraId="6EF34D01" w14:textId="08D27E66" w:rsidR="00533E3B" w:rsidRPr="00361A30" w:rsidRDefault="00533E3B" w:rsidP="00533E3B">
      <w:pPr>
        <w:widowControl w:val="0"/>
        <w:numPr>
          <w:ilvl w:val="1"/>
          <w:numId w:val="1"/>
        </w:numPr>
        <w:spacing w:before="120" w:after="120" w:line="240" w:lineRule="auto"/>
        <w:ind w:left="720"/>
        <w:jc w:val="both"/>
        <w:rPr>
          <w:rFonts w:cs="Arial"/>
          <w:b/>
          <w:bCs/>
          <w:snapToGrid w:val="0"/>
          <w:sz w:val="24"/>
          <w:szCs w:val="24"/>
        </w:rPr>
      </w:pPr>
      <w:r w:rsidRPr="00361A30">
        <w:rPr>
          <w:rFonts w:cs="Arial"/>
          <w:bCs/>
          <w:snapToGrid w:val="0"/>
          <w:sz w:val="24"/>
          <w:szCs w:val="24"/>
        </w:rPr>
        <w:t xml:space="preserve">Add new item to the Determination: </w:t>
      </w:r>
    </w:p>
    <w:tbl>
      <w:tblPr>
        <w:tblW w:w="5000" w:type="pct"/>
        <w:tblInd w:w="28" w:type="dxa"/>
        <w:tblCellMar>
          <w:left w:w="28" w:type="dxa"/>
          <w:right w:w="28" w:type="dxa"/>
        </w:tblCellMar>
        <w:tblLook w:val="0000" w:firstRow="0" w:lastRow="0" w:firstColumn="0" w:lastColumn="0" w:noHBand="0" w:noVBand="0"/>
      </w:tblPr>
      <w:tblGrid>
        <w:gridCol w:w="2100"/>
        <w:gridCol w:w="1415"/>
        <w:gridCol w:w="1419"/>
        <w:gridCol w:w="4093"/>
      </w:tblGrid>
      <w:tr w:rsidR="00533E3B" w:rsidRPr="00001499" w14:paraId="25E87F54" w14:textId="77777777" w:rsidTr="00B40A81">
        <w:trPr>
          <w:cantSplit/>
          <w:trHeight w:val="463"/>
        </w:trPr>
        <w:tc>
          <w:tcPr>
            <w:tcW w:w="1163" w:type="pct"/>
            <w:tcBorders>
              <w:top w:val="single" w:sz="4" w:space="0" w:color="auto"/>
              <w:bottom w:val="single" w:sz="4" w:space="0" w:color="auto"/>
            </w:tcBorders>
            <w:vAlign w:val="center"/>
          </w:tcPr>
          <w:p w14:paraId="650F5B82" w14:textId="77777777" w:rsidR="00533E3B" w:rsidRPr="00001499" w:rsidRDefault="00533E3B" w:rsidP="00B40A81">
            <w:pPr>
              <w:keepNext/>
              <w:keepLines/>
              <w:rPr>
                <w:rFonts w:ascii="Arial Narrow" w:hAnsi="Arial Narrow"/>
                <w:b/>
                <w:sz w:val="20"/>
              </w:rPr>
            </w:pPr>
            <w:r w:rsidRPr="00001499">
              <w:rPr>
                <w:rFonts w:ascii="Arial Narrow" w:hAnsi="Arial Narrow"/>
                <w:b/>
                <w:sz w:val="20"/>
              </w:rPr>
              <w:t>Vaccine and the circumstances in which vaccine may be provided</w:t>
            </w:r>
          </w:p>
        </w:tc>
        <w:tc>
          <w:tcPr>
            <w:tcW w:w="784" w:type="pct"/>
            <w:tcBorders>
              <w:top w:val="single" w:sz="4" w:space="0" w:color="auto"/>
              <w:bottom w:val="single" w:sz="4" w:space="0" w:color="auto"/>
            </w:tcBorders>
            <w:vAlign w:val="center"/>
          </w:tcPr>
          <w:p w14:paraId="1936845D" w14:textId="77777777" w:rsidR="00533E3B" w:rsidRPr="00001499" w:rsidRDefault="00533E3B" w:rsidP="00B40A81">
            <w:pPr>
              <w:keepNext/>
              <w:keepLines/>
              <w:jc w:val="center"/>
              <w:rPr>
                <w:rFonts w:ascii="Arial Narrow" w:hAnsi="Arial Narrow"/>
                <w:b/>
                <w:sz w:val="20"/>
              </w:rPr>
            </w:pPr>
            <w:r w:rsidRPr="00001499">
              <w:rPr>
                <w:rFonts w:ascii="Arial Narrow" w:hAnsi="Arial Narrow"/>
                <w:b/>
                <w:sz w:val="20"/>
              </w:rPr>
              <w:t>Brand</w:t>
            </w:r>
          </w:p>
        </w:tc>
        <w:tc>
          <w:tcPr>
            <w:tcW w:w="786" w:type="pct"/>
            <w:tcBorders>
              <w:top w:val="single" w:sz="4" w:space="0" w:color="auto"/>
              <w:bottom w:val="single" w:sz="4" w:space="0" w:color="auto"/>
            </w:tcBorders>
            <w:vAlign w:val="center"/>
          </w:tcPr>
          <w:p w14:paraId="5B809A1B" w14:textId="77777777" w:rsidR="00533E3B" w:rsidRPr="00001499" w:rsidRDefault="00533E3B" w:rsidP="00B40A81">
            <w:pPr>
              <w:keepNext/>
              <w:keepLines/>
              <w:jc w:val="center"/>
              <w:rPr>
                <w:rFonts w:ascii="Arial Narrow" w:hAnsi="Arial Narrow"/>
                <w:b/>
                <w:sz w:val="20"/>
              </w:rPr>
            </w:pPr>
            <w:r w:rsidRPr="00001499">
              <w:rPr>
                <w:rFonts w:ascii="Arial Narrow" w:hAnsi="Arial Narrow"/>
                <w:b/>
                <w:sz w:val="20"/>
              </w:rPr>
              <w:t>Formulation</w:t>
            </w:r>
          </w:p>
        </w:tc>
        <w:tc>
          <w:tcPr>
            <w:tcW w:w="2267" w:type="pct"/>
            <w:tcBorders>
              <w:top w:val="single" w:sz="4" w:space="0" w:color="auto"/>
              <w:bottom w:val="single" w:sz="4" w:space="0" w:color="auto"/>
            </w:tcBorders>
            <w:vAlign w:val="center"/>
          </w:tcPr>
          <w:p w14:paraId="6FA4F218" w14:textId="77777777" w:rsidR="00533E3B" w:rsidRPr="00001499" w:rsidRDefault="00533E3B" w:rsidP="00B40A81">
            <w:pPr>
              <w:keepNext/>
              <w:keepLines/>
              <w:jc w:val="center"/>
              <w:rPr>
                <w:rFonts w:ascii="Arial Narrow" w:hAnsi="Arial Narrow"/>
                <w:b/>
                <w:sz w:val="20"/>
              </w:rPr>
            </w:pPr>
            <w:r w:rsidRPr="00001499">
              <w:rPr>
                <w:rFonts w:ascii="Arial Narrow" w:hAnsi="Arial Narrow"/>
                <w:b/>
                <w:sz w:val="20"/>
              </w:rPr>
              <w:t>Number and timing of doses</w:t>
            </w:r>
          </w:p>
        </w:tc>
      </w:tr>
      <w:tr w:rsidR="00533E3B" w:rsidRPr="00001499" w14:paraId="119EC55B" w14:textId="77777777" w:rsidTr="00B40A81">
        <w:trPr>
          <w:cantSplit/>
          <w:trHeight w:val="567"/>
        </w:trPr>
        <w:tc>
          <w:tcPr>
            <w:tcW w:w="1163" w:type="pct"/>
            <w:vAlign w:val="center"/>
          </w:tcPr>
          <w:p w14:paraId="63696FB0" w14:textId="77777777" w:rsidR="00533E3B" w:rsidRPr="00001499" w:rsidRDefault="00533E3B" w:rsidP="00B40A81">
            <w:pPr>
              <w:keepNext/>
              <w:keepLines/>
              <w:rPr>
                <w:rFonts w:ascii="Arial Narrow" w:hAnsi="Arial Narrow"/>
                <w:sz w:val="20"/>
              </w:rPr>
            </w:pPr>
            <w:r w:rsidRPr="00001499">
              <w:rPr>
                <w:rFonts w:ascii="Arial Narrow" w:hAnsi="Arial Narrow"/>
                <w:sz w:val="20"/>
              </w:rPr>
              <w:t>Influenza</w:t>
            </w:r>
          </w:p>
        </w:tc>
        <w:tc>
          <w:tcPr>
            <w:tcW w:w="784" w:type="pct"/>
            <w:vAlign w:val="center"/>
          </w:tcPr>
          <w:p w14:paraId="5EEE994A" w14:textId="4F6DF049" w:rsidR="00533E3B" w:rsidRPr="00001499" w:rsidRDefault="00533E3B" w:rsidP="00B40A81">
            <w:pPr>
              <w:keepNext/>
              <w:keepLines/>
              <w:jc w:val="center"/>
              <w:rPr>
                <w:rFonts w:ascii="Arial Narrow" w:hAnsi="Arial Narrow"/>
                <w:sz w:val="20"/>
              </w:rPr>
            </w:pPr>
            <w:r w:rsidRPr="00001499">
              <w:rPr>
                <w:rFonts w:ascii="Arial Narrow" w:hAnsi="Arial Narrow"/>
                <w:sz w:val="20"/>
              </w:rPr>
              <w:t>Flucelvax Quad</w:t>
            </w:r>
          </w:p>
        </w:tc>
        <w:tc>
          <w:tcPr>
            <w:tcW w:w="786" w:type="pct"/>
            <w:vAlign w:val="center"/>
          </w:tcPr>
          <w:p w14:paraId="027B8A5F" w14:textId="77777777" w:rsidR="00533E3B" w:rsidRPr="00001499" w:rsidRDefault="00533E3B" w:rsidP="00B40A81">
            <w:pPr>
              <w:keepNext/>
              <w:keepLines/>
              <w:jc w:val="center"/>
              <w:rPr>
                <w:rFonts w:ascii="Arial Narrow" w:hAnsi="Arial Narrow"/>
                <w:sz w:val="20"/>
              </w:rPr>
            </w:pPr>
            <w:r w:rsidRPr="00001499">
              <w:rPr>
                <w:rFonts w:ascii="Arial Narrow" w:hAnsi="Arial Narrow"/>
                <w:sz w:val="20"/>
              </w:rPr>
              <w:t>Injection (0.5mL)</w:t>
            </w:r>
          </w:p>
        </w:tc>
        <w:tc>
          <w:tcPr>
            <w:tcW w:w="2267" w:type="pct"/>
            <w:vAlign w:val="center"/>
          </w:tcPr>
          <w:p w14:paraId="587813DC" w14:textId="396D5A0C" w:rsidR="00533E3B" w:rsidRPr="00001499" w:rsidRDefault="00533E3B" w:rsidP="00B40A81">
            <w:pPr>
              <w:keepNext/>
              <w:keepLines/>
              <w:rPr>
                <w:rFonts w:ascii="Arial Narrow" w:hAnsi="Arial Narrow"/>
                <w:sz w:val="20"/>
              </w:rPr>
            </w:pPr>
            <w:r w:rsidRPr="00001499">
              <w:rPr>
                <w:rFonts w:ascii="Arial Narrow" w:hAnsi="Arial Narrow"/>
                <w:sz w:val="20"/>
              </w:rPr>
              <w:t xml:space="preserve">For children older than </w:t>
            </w:r>
            <w:r>
              <w:rPr>
                <w:rFonts w:ascii="Arial Narrow" w:hAnsi="Arial Narrow"/>
                <w:sz w:val="20"/>
              </w:rPr>
              <w:t>5</w:t>
            </w:r>
            <w:r w:rsidRPr="00001499">
              <w:rPr>
                <w:rFonts w:ascii="Arial Narrow" w:hAnsi="Arial Narrow"/>
                <w:sz w:val="20"/>
              </w:rPr>
              <w:t xml:space="preserve"> years but less than 9 years, 2 doses at least 1 month apart for the first vaccination and 1 dose per calendar year after that. For persons 9 years and </w:t>
            </w:r>
            <w:r w:rsidR="00481B5A">
              <w:rPr>
                <w:rFonts w:ascii="Arial Narrow" w:hAnsi="Arial Narrow"/>
                <w:sz w:val="20"/>
              </w:rPr>
              <w:t>less than 65 years</w:t>
            </w:r>
            <w:r w:rsidRPr="00001499">
              <w:rPr>
                <w:rFonts w:ascii="Arial Narrow" w:hAnsi="Arial Narrow"/>
                <w:sz w:val="20"/>
              </w:rPr>
              <w:t>, 1 dose per calendar year.</w:t>
            </w:r>
          </w:p>
        </w:tc>
      </w:tr>
      <w:tr w:rsidR="00533E3B" w:rsidRPr="00001499" w14:paraId="3C1C4371" w14:textId="77777777" w:rsidTr="00B40A81">
        <w:trPr>
          <w:cantSplit/>
          <w:trHeight w:val="567"/>
        </w:trPr>
        <w:tc>
          <w:tcPr>
            <w:tcW w:w="5000" w:type="pct"/>
            <w:gridSpan w:val="4"/>
            <w:vAlign w:val="center"/>
          </w:tcPr>
          <w:p w14:paraId="1305E3CA" w14:textId="77777777" w:rsidR="00533E3B" w:rsidRPr="00001499" w:rsidRDefault="00533E3B" w:rsidP="00B40A81">
            <w:pPr>
              <w:keepNext/>
              <w:keepLines/>
              <w:rPr>
                <w:rFonts w:ascii="Arial Narrow" w:hAnsi="Arial Narrow"/>
                <w:sz w:val="20"/>
              </w:rPr>
            </w:pPr>
            <w:r w:rsidRPr="00001499">
              <w:rPr>
                <w:rFonts w:ascii="Arial Narrow" w:hAnsi="Arial Narrow"/>
                <w:sz w:val="20"/>
              </w:rPr>
              <w:t>Circumstances</w:t>
            </w:r>
          </w:p>
          <w:p w14:paraId="64008AE8" w14:textId="77777777" w:rsidR="00533E3B" w:rsidRPr="00001499" w:rsidRDefault="00533E3B" w:rsidP="00B40A81">
            <w:pPr>
              <w:keepNext/>
              <w:keepLines/>
              <w:rPr>
                <w:rFonts w:ascii="Arial Narrow" w:hAnsi="Arial Narrow"/>
                <w:sz w:val="20"/>
              </w:rPr>
            </w:pPr>
            <w:r w:rsidRPr="00001499">
              <w:rPr>
                <w:rFonts w:ascii="Arial Narrow" w:hAnsi="Arial Narrow"/>
                <w:sz w:val="20"/>
              </w:rPr>
              <w:t>Vaccine may be provided to any of the following:</w:t>
            </w:r>
          </w:p>
          <w:p w14:paraId="03DDCDE9" w14:textId="77777777" w:rsidR="00533E3B" w:rsidRPr="00001499" w:rsidRDefault="00533E3B" w:rsidP="00533E3B">
            <w:pPr>
              <w:keepNext/>
              <w:keepLines/>
              <w:numPr>
                <w:ilvl w:val="0"/>
                <w:numId w:val="54"/>
              </w:numPr>
              <w:spacing w:after="0" w:line="240" w:lineRule="auto"/>
              <w:ind w:left="649"/>
              <w:rPr>
                <w:rFonts w:ascii="Arial Narrow" w:hAnsi="Arial Narrow"/>
                <w:sz w:val="20"/>
              </w:rPr>
            </w:pPr>
            <w:r w:rsidRPr="00001499">
              <w:rPr>
                <w:rFonts w:ascii="Arial Narrow" w:hAnsi="Arial Narrow"/>
                <w:sz w:val="20"/>
              </w:rPr>
              <w:t xml:space="preserve">an Aboriginal or Torres Strait Islander person who is at least </w:t>
            </w:r>
            <w:r>
              <w:rPr>
                <w:rFonts w:ascii="Arial Narrow" w:hAnsi="Arial Narrow"/>
                <w:sz w:val="20"/>
              </w:rPr>
              <w:t>5</w:t>
            </w:r>
            <w:r w:rsidRPr="00001499">
              <w:rPr>
                <w:rFonts w:ascii="Arial Narrow" w:hAnsi="Arial Narrow"/>
                <w:sz w:val="20"/>
              </w:rPr>
              <w:t xml:space="preserve"> years old but less than 65 years old; or </w:t>
            </w:r>
          </w:p>
          <w:p w14:paraId="6F311F23" w14:textId="77777777" w:rsidR="00533E3B" w:rsidRPr="00001499" w:rsidRDefault="00533E3B" w:rsidP="00533E3B">
            <w:pPr>
              <w:keepNext/>
              <w:keepLines/>
              <w:numPr>
                <w:ilvl w:val="0"/>
                <w:numId w:val="54"/>
              </w:numPr>
              <w:spacing w:after="0" w:line="240" w:lineRule="auto"/>
              <w:ind w:left="649" w:hanging="357"/>
              <w:rPr>
                <w:rFonts w:ascii="Arial Narrow" w:hAnsi="Arial Narrow"/>
                <w:sz w:val="20"/>
              </w:rPr>
            </w:pPr>
            <w:r w:rsidRPr="00001499">
              <w:rPr>
                <w:rFonts w:ascii="Arial Narrow" w:hAnsi="Arial Narrow"/>
                <w:sz w:val="20"/>
              </w:rPr>
              <w:t xml:space="preserve">a person who is at least </w:t>
            </w:r>
            <w:r>
              <w:rPr>
                <w:rFonts w:ascii="Arial Narrow" w:hAnsi="Arial Narrow"/>
                <w:sz w:val="20"/>
              </w:rPr>
              <w:t>5</w:t>
            </w:r>
            <w:r w:rsidRPr="00001499">
              <w:rPr>
                <w:rFonts w:ascii="Arial Narrow" w:hAnsi="Arial Narrow"/>
                <w:sz w:val="20"/>
              </w:rPr>
              <w:t xml:space="preserve"> years old but less than 65 years old and who:</w:t>
            </w:r>
          </w:p>
          <w:p w14:paraId="4A846418" w14:textId="77777777" w:rsidR="00533E3B" w:rsidRPr="00001499" w:rsidRDefault="00533E3B" w:rsidP="00533E3B">
            <w:pPr>
              <w:keepNext/>
              <w:keepLines/>
              <w:numPr>
                <w:ilvl w:val="0"/>
                <w:numId w:val="55"/>
              </w:numPr>
              <w:spacing w:after="0" w:line="240" w:lineRule="auto"/>
              <w:ind w:left="933"/>
              <w:rPr>
                <w:rFonts w:ascii="Arial Narrow" w:hAnsi="Arial Narrow"/>
                <w:sz w:val="20"/>
              </w:rPr>
            </w:pPr>
            <w:r w:rsidRPr="00001499">
              <w:rPr>
                <w:rFonts w:ascii="Arial Narrow" w:hAnsi="Arial Narrow"/>
                <w:sz w:val="20"/>
              </w:rPr>
              <w:t>has cardiac disease including cyanotic congenital heart disease, coronary artery disease and congestive heart failure; or</w:t>
            </w:r>
          </w:p>
          <w:p w14:paraId="5400D997" w14:textId="77777777" w:rsidR="00533E3B" w:rsidRPr="00001499" w:rsidRDefault="00533E3B" w:rsidP="00533E3B">
            <w:pPr>
              <w:keepNext/>
              <w:keepLines/>
              <w:numPr>
                <w:ilvl w:val="0"/>
                <w:numId w:val="55"/>
              </w:numPr>
              <w:spacing w:after="0" w:line="240" w:lineRule="auto"/>
              <w:ind w:left="933"/>
              <w:rPr>
                <w:rFonts w:ascii="Arial Narrow" w:hAnsi="Arial Narrow"/>
                <w:sz w:val="20"/>
              </w:rPr>
            </w:pPr>
            <w:r w:rsidRPr="00001499">
              <w:rPr>
                <w:rFonts w:ascii="Arial Narrow" w:hAnsi="Arial Narrow"/>
                <w:sz w:val="20"/>
              </w:rPr>
              <w:t>has a chronic respiratory condition including suppurative lung disease, bronchiectasis, cystic fibrosis, chronic obstructive pulmonary disease, chronic emphysema and severe asthma; or</w:t>
            </w:r>
          </w:p>
          <w:p w14:paraId="3FA84CC6" w14:textId="77777777" w:rsidR="00533E3B" w:rsidRPr="00001499" w:rsidRDefault="00533E3B" w:rsidP="00533E3B">
            <w:pPr>
              <w:keepNext/>
              <w:keepLines/>
              <w:numPr>
                <w:ilvl w:val="0"/>
                <w:numId w:val="55"/>
              </w:numPr>
              <w:spacing w:after="0" w:line="240" w:lineRule="auto"/>
              <w:ind w:left="933"/>
              <w:rPr>
                <w:rFonts w:ascii="Arial Narrow" w:hAnsi="Arial Narrow"/>
                <w:sz w:val="20"/>
              </w:rPr>
            </w:pPr>
            <w:r w:rsidRPr="00001499">
              <w:rPr>
                <w:rFonts w:ascii="Arial Narrow" w:hAnsi="Arial Narrow"/>
                <w:sz w:val="20"/>
              </w:rPr>
              <w:t>has another chronic illness requiring regular medical follow-up or hospitalisation in the preceding year, including diabetes mellitus, chronic metabolic diseases, chronic renal failure, haemoglobinopathies and impaired immunity (including drug-induced immune impairment); or</w:t>
            </w:r>
          </w:p>
          <w:p w14:paraId="36961661" w14:textId="77777777" w:rsidR="00533E3B" w:rsidRPr="00001499" w:rsidRDefault="00533E3B" w:rsidP="00533E3B">
            <w:pPr>
              <w:keepNext/>
              <w:keepLines/>
              <w:numPr>
                <w:ilvl w:val="0"/>
                <w:numId w:val="55"/>
              </w:numPr>
              <w:spacing w:after="0" w:line="240" w:lineRule="auto"/>
              <w:ind w:left="933"/>
              <w:rPr>
                <w:rFonts w:ascii="Arial Narrow" w:hAnsi="Arial Narrow"/>
                <w:sz w:val="20"/>
              </w:rPr>
            </w:pPr>
            <w:r w:rsidRPr="00001499">
              <w:rPr>
                <w:rFonts w:ascii="Arial Narrow" w:hAnsi="Arial Narrow"/>
                <w:sz w:val="20"/>
              </w:rPr>
              <w:t>has a chronic neurological condition, including multiple sclerosis, spinal cord injuries, seizure disorders or other neuromuscular disorders; or</w:t>
            </w:r>
          </w:p>
          <w:p w14:paraId="36E567E6" w14:textId="77777777" w:rsidR="00533E3B" w:rsidRPr="00001499" w:rsidRDefault="00533E3B" w:rsidP="00533E3B">
            <w:pPr>
              <w:keepNext/>
              <w:keepLines/>
              <w:numPr>
                <w:ilvl w:val="0"/>
                <w:numId w:val="55"/>
              </w:numPr>
              <w:spacing w:after="0" w:line="240" w:lineRule="auto"/>
              <w:ind w:left="933"/>
              <w:rPr>
                <w:rFonts w:ascii="Arial Narrow" w:hAnsi="Arial Narrow"/>
                <w:sz w:val="20"/>
              </w:rPr>
            </w:pPr>
            <w:r w:rsidRPr="00001499">
              <w:rPr>
                <w:rFonts w:ascii="Arial Narrow" w:hAnsi="Arial Narrow"/>
                <w:sz w:val="20"/>
              </w:rPr>
              <w:t>has impaired immunity, including HIV infection; or</w:t>
            </w:r>
          </w:p>
          <w:p w14:paraId="19CFA22C" w14:textId="77777777" w:rsidR="00533E3B" w:rsidRPr="00001499" w:rsidRDefault="00533E3B" w:rsidP="00533E3B">
            <w:pPr>
              <w:keepNext/>
              <w:keepLines/>
              <w:numPr>
                <w:ilvl w:val="0"/>
                <w:numId w:val="54"/>
              </w:numPr>
              <w:spacing w:after="0" w:line="240" w:lineRule="auto"/>
              <w:ind w:left="649" w:hanging="357"/>
              <w:rPr>
                <w:rFonts w:ascii="Arial Narrow" w:hAnsi="Arial Narrow"/>
                <w:sz w:val="20"/>
              </w:rPr>
            </w:pPr>
            <w:r w:rsidRPr="00001499">
              <w:rPr>
                <w:rFonts w:ascii="Arial Narrow" w:hAnsi="Arial Narrow"/>
                <w:sz w:val="20"/>
              </w:rPr>
              <w:t xml:space="preserve">a person who is at least </w:t>
            </w:r>
            <w:r>
              <w:rPr>
                <w:rFonts w:ascii="Arial Narrow" w:hAnsi="Arial Narrow"/>
                <w:sz w:val="20"/>
              </w:rPr>
              <w:t>5</w:t>
            </w:r>
            <w:r w:rsidRPr="00001499">
              <w:rPr>
                <w:rFonts w:ascii="Arial Narrow" w:hAnsi="Arial Narrow"/>
                <w:sz w:val="20"/>
              </w:rPr>
              <w:t xml:space="preserve"> years old but is less than 11 years old and is receiving long-term aspirin therapy; or</w:t>
            </w:r>
          </w:p>
          <w:p w14:paraId="4D8D2DA0" w14:textId="77777777" w:rsidR="00533E3B" w:rsidRPr="00001499" w:rsidRDefault="00533E3B" w:rsidP="00533E3B">
            <w:pPr>
              <w:keepNext/>
              <w:keepLines/>
              <w:numPr>
                <w:ilvl w:val="0"/>
                <w:numId w:val="54"/>
              </w:numPr>
              <w:spacing w:after="0" w:line="240" w:lineRule="auto"/>
              <w:ind w:left="649" w:hanging="357"/>
              <w:rPr>
                <w:rFonts w:ascii="Arial Narrow" w:hAnsi="Arial Narrow"/>
                <w:sz w:val="20"/>
              </w:rPr>
            </w:pPr>
            <w:r w:rsidRPr="00001499">
              <w:rPr>
                <w:rFonts w:ascii="Arial Narrow" w:hAnsi="Arial Narrow"/>
                <w:sz w:val="20"/>
              </w:rPr>
              <w:t>a woman who is pregnant.</w:t>
            </w:r>
          </w:p>
        </w:tc>
      </w:tr>
    </w:tbl>
    <w:p w14:paraId="1319EFC0" w14:textId="77777777" w:rsidR="00533E3B" w:rsidRDefault="00533E3B" w:rsidP="00533E3B">
      <w:pPr>
        <w:widowControl w:val="0"/>
        <w:spacing w:after="120" w:line="240" w:lineRule="auto"/>
        <w:contextualSpacing/>
        <w:jc w:val="both"/>
        <w:rPr>
          <w:rFonts w:cs="Arial"/>
          <w:b/>
          <w:bCs/>
          <w:snapToGrid w:val="0"/>
        </w:rPr>
      </w:pPr>
    </w:p>
    <w:p w14:paraId="4E31A47B" w14:textId="77777777" w:rsidR="00533E3B" w:rsidRPr="00361A30" w:rsidRDefault="00533E3B" w:rsidP="00533E3B">
      <w:pPr>
        <w:widowControl w:val="0"/>
        <w:spacing w:after="120" w:line="240" w:lineRule="auto"/>
        <w:contextualSpacing/>
        <w:jc w:val="both"/>
        <w:rPr>
          <w:rFonts w:cs="Arial"/>
          <w:b/>
          <w:bCs/>
          <w:snapToGrid w:val="0"/>
          <w:sz w:val="24"/>
          <w:szCs w:val="24"/>
        </w:rPr>
      </w:pPr>
    </w:p>
    <w:bookmarkEnd w:id="96"/>
    <w:p w14:paraId="16769323" w14:textId="6B361487" w:rsidR="00F217DE" w:rsidRPr="00361A30" w:rsidRDefault="00533E3B" w:rsidP="00533E3B">
      <w:pPr>
        <w:rPr>
          <w:b/>
          <w:i/>
          <w:sz w:val="24"/>
          <w:szCs w:val="24"/>
        </w:rPr>
      </w:pPr>
      <w:r w:rsidRPr="00361A30">
        <w:rPr>
          <w:b/>
          <w:i/>
          <w:sz w:val="24"/>
          <w:szCs w:val="24"/>
        </w:rPr>
        <w:lastRenderedPageBreak/>
        <w:t xml:space="preserve">This restriction may be subject to further review. Should there be any changes made to the restriction the </w:t>
      </w:r>
      <w:r w:rsidR="00361A30" w:rsidRPr="00361A30">
        <w:rPr>
          <w:b/>
          <w:i/>
          <w:sz w:val="24"/>
          <w:szCs w:val="24"/>
        </w:rPr>
        <w:t>s</w:t>
      </w:r>
      <w:r w:rsidRPr="00361A30">
        <w:rPr>
          <w:b/>
          <w:i/>
          <w:sz w:val="24"/>
          <w:szCs w:val="24"/>
        </w:rPr>
        <w:t>ponsor will be informed.</w:t>
      </w:r>
    </w:p>
    <w:p w14:paraId="0032DAA6" w14:textId="65EAA317" w:rsidR="00416FE3" w:rsidRDefault="00416FE3" w:rsidP="001D6304">
      <w:pPr>
        <w:pStyle w:val="2-SectionHeading"/>
        <w:rPr>
          <w:bCs/>
          <w:lang w:val="en-GB"/>
        </w:rPr>
      </w:pPr>
      <w:r w:rsidRPr="00C07617">
        <w:t>Context for Decision</w:t>
      </w:r>
    </w:p>
    <w:p w14:paraId="39FACE06" w14:textId="77777777" w:rsidR="00416FE3" w:rsidRPr="001D6304" w:rsidRDefault="00416FE3" w:rsidP="00416FE3">
      <w:pPr>
        <w:spacing w:after="120"/>
        <w:ind w:left="426"/>
        <w:jc w:val="both"/>
        <w:rPr>
          <w:rFonts w:cs="Arial"/>
          <w:bCs/>
          <w:sz w:val="24"/>
          <w:szCs w:val="24"/>
          <w:lang w:val="en-GB"/>
        </w:rPr>
      </w:pPr>
      <w:r w:rsidRPr="001D6304">
        <w:rPr>
          <w:rFonts w:cs="Arial"/>
          <w:bCs/>
          <w:sz w:val="24"/>
          <w:szCs w:val="24"/>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5BE8D1A" w14:textId="095BD5C7" w:rsidR="00416FE3" w:rsidRPr="00C07617" w:rsidRDefault="00416FE3" w:rsidP="001D6304">
      <w:pPr>
        <w:pStyle w:val="2-SectionHeading"/>
      </w:pPr>
      <w:r>
        <w:t>Sponsor’s Comment</w:t>
      </w:r>
    </w:p>
    <w:p w14:paraId="3361B5FB" w14:textId="77777777" w:rsidR="00416FE3" w:rsidRPr="001D6304" w:rsidRDefault="00416FE3" w:rsidP="00416FE3">
      <w:pPr>
        <w:spacing w:after="120"/>
        <w:ind w:left="426"/>
        <w:jc w:val="both"/>
        <w:rPr>
          <w:rFonts w:cs="Arial"/>
          <w:bCs/>
          <w:sz w:val="24"/>
          <w:szCs w:val="24"/>
        </w:rPr>
      </w:pPr>
      <w:r w:rsidRPr="001D6304">
        <w:rPr>
          <w:rFonts w:cs="Arial"/>
          <w:bCs/>
          <w:sz w:val="24"/>
          <w:szCs w:val="24"/>
        </w:rPr>
        <w:t>The sponsor had no comment.</w:t>
      </w:r>
    </w:p>
    <w:p w14:paraId="7ABEAD96" w14:textId="77777777" w:rsidR="009C29A2" w:rsidRPr="00001499" w:rsidRDefault="009C29A2" w:rsidP="00533E3B"/>
    <w:sectPr w:rsidR="009C29A2" w:rsidRPr="00001499" w:rsidSect="00FC7A97">
      <w:headerReference w:type="default" r:id="rId16"/>
      <w:footerReference w:type="default" r:id="rId17"/>
      <w:footnotePr>
        <w:numRestart w:val="eachPage"/>
      </w:footnotePr>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07C4" w14:textId="77777777" w:rsidR="00A77DC7" w:rsidRDefault="00A77DC7" w:rsidP="009C29A2">
      <w:pPr>
        <w:spacing w:after="0" w:line="240" w:lineRule="auto"/>
      </w:pPr>
      <w:r>
        <w:separator/>
      </w:r>
    </w:p>
  </w:endnote>
  <w:endnote w:type="continuationSeparator" w:id="0">
    <w:p w14:paraId="4954CAC3" w14:textId="77777777" w:rsidR="00A77DC7" w:rsidRDefault="00A77DC7" w:rsidP="009C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206241"/>
      <w:docPartObj>
        <w:docPartGallery w:val="Page Numbers (Bottom of Page)"/>
        <w:docPartUnique/>
      </w:docPartObj>
    </w:sdtPr>
    <w:sdtEndPr>
      <w:rPr>
        <w:b/>
        <w:bCs/>
        <w:noProof/>
      </w:rPr>
    </w:sdtEndPr>
    <w:sdtContent>
      <w:p w14:paraId="1431DB0C" w14:textId="77777777" w:rsidR="00911F29" w:rsidRDefault="00911F29" w:rsidP="00911F29">
        <w:pPr>
          <w:pStyle w:val="Footer"/>
          <w:jc w:val="center"/>
        </w:pPr>
      </w:p>
      <w:p w14:paraId="7BD45F51" w14:textId="53E94B82" w:rsidR="00911F29" w:rsidRPr="00911F29" w:rsidRDefault="00911F29" w:rsidP="00911F29">
        <w:pPr>
          <w:pStyle w:val="Footer"/>
          <w:tabs>
            <w:tab w:val="left" w:pos="5217"/>
          </w:tabs>
          <w:rPr>
            <w:b/>
            <w:bCs/>
          </w:rPr>
        </w:pPr>
        <w:r>
          <w:rPr>
            <w:b/>
            <w:bCs/>
          </w:rPr>
          <w:tab/>
        </w:r>
        <w:r w:rsidRPr="00FC1474">
          <w:rPr>
            <w:b/>
            <w:bCs/>
          </w:rPr>
          <w:fldChar w:fldCharType="begin"/>
        </w:r>
        <w:r w:rsidRPr="00FC1474">
          <w:rPr>
            <w:b/>
            <w:bCs/>
          </w:rPr>
          <w:instrText xml:space="preserve"> PAGE   \* MERGEFORMAT </w:instrText>
        </w:r>
        <w:r w:rsidRPr="00FC1474">
          <w:rPr>
            <w:b/>
            <w:bCs/>
          </w:rPr>
          <w:fldChar w:fldCharType="separate"/>
        </w:r>
        <w:r>
          <w:rPr>
            <w:b/>
            <w:bCs/>
          </w:rPr>
          <w:t>1</w:t>
        </w:r>
        <w:r w:rsidRPr="00FC1474">
          <w:rPr>
            <w:b/>
            <w:bCs/>
            <w:noProof/>
          </w:rPr>
          <w:fldChar w:fldCharType="end"/>
        </w:r>
        <w:r>
          <w:rPr>
            <w:b/>
            <w:bCs/>
            <w:noProof/>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1AC3" w14:textId="77777777" w:rsidR="00A77DC7" w:rsidRDefault="00A77DC7" w:rsidP="009C29A2">
      <w:pPr>
        <w:spacing w:after="0" w:line="240" w:lineRule="auto"/>
      </w:pPr>
      <w:r>
        <w:separator/>
      </w:r>
    </w:p>
  </w:footnote>
  <w:footnote w:type="continuationSeparator" w:id="0">
    <w:p w14:paraId="3623CA96" w14:textId="77777777" w:rsidR="00A77DC7" w:rsidRDefault="00A77DC7" w:rsidP="009C29A2">
      <w:pPr>
        <w:spacing w:after="0" w:line="240" w:lineRule="auto"/>
      </w:pPr>
      <w:r>
        <w:continuationSeparator/>
      </w:r>
    </w:p>
  </w:footnote>
  <w:footnote w:id="1">
    <w:p w14:paraId="19877786" w14:textId="77777777" w:rsidR="00A77DC7" w:rsidRPr="003F11E1" w:rsidRDefault="00A77DC7" w:rsidP="009C29A2">
      <w:pPr>
        <w:pStyle w:val="FootnoteText"/>
        <w:rPr>
          <w:rFonts w:cstheme="minorHAnsi"/>
          <w:i/>
          <w:iCs/>
          <w:sz w:val="20"/>
          <w:szCs w:val="20"/>
        </w:rPr>
      </w:pPr>
      <w:r w:rsidRPr="003F11E1">
        <w:rPr>
          <w:rStyle w:val="FootnoteReference"/>
          <w:rFonts w:cstheme="minorHAnsi"/>
          <w:i/>
          <w:iCs/>
          <w:sz w:val="20"/>
          <w:szCs w:val="20"/>
        </w:rPr>
        <w:footnoteRef/>
      </w:r>
      <w:r w:rsidRPr="003F11E1">
        <w:rPr>
          <w:rFonts w:cstheme="minorHAnsi"/>
          <w:i/>
          <w:iCs/>
          <w:sz w:val="20"/>
          <w:szCs w:val="20"/>
        </w:rPr>
        <w:t xml:space="preserve"> https://www.tga.gov.au/aivc-terms-reference</w:t>
      </w:r>
    </w:p>
  </w:footnote>
  <w:footnote w:id="2">
    <w:p w14:paraId="7D0106E6" w14:textId="77777777" w:rsidR="00A77DC7" w:rsidRPr="003F11E1" w:rsidRDefault="00A77DC7" w:rsidP="009C29A2">
      <w:pPr>
        <w:pStyle w:val="FootnoteText"/>
        <w:rPr>
          <w:rFonts w:cstheme="minorHAnsi"/>
          <w:sz w:val="20"/>
          <w:szCs w:val="20"/>
        </w:rPr>
      </w:pPr>
      <w:r w:rsidRPr="003F11E1">
        <w:rPr>
          <w:rStyle w:val="FootnoteReference"/>
          <w:rFonts w:cstheme="minorHAnsi"/>
          <w:sz w:val="20"/>
          <w:szCs w:val="20"/>
        </w:rPr>
        <w:footnoteRef/>
      </w:r>
      <w:r w:rsidRPr="003F11E1">
        <w:rPr>
          <w:rFonts w:cstheme="minorHAnsi"/>
          <w:sz w:val="20"/>
          <w:szCs w:val="20"/>
        </w:rPr>
        <w:t xml:space="preserve"> </w:t>
      </w:r>
      <w:r w:rsidRPr="003F11E1">
        <w:rPr>
          <w:rFonts w:cstheme="minorHAnsi"/>
          <w:i/>
          <w:iCs/>
          <w:sz w:val="20"/>
          <w:szCs w:val="20"/>
        </w:rPr>
        <w:t>https://cdn.who.int/media/docs/default-source/influenza/who-influenza-recommendations/vcm-southern-hemisphere-recommendation-2022/202109_qanda_recommendation.pdf</w:t>
      </w:r>
    </w:p>
  </w:footnote>
  <w:footnote w:id="3">
    <w:p w14:paraId="75898C8F" w14:textId="11F6BC91" w:rsidR="00F4130A" w:rsidRDefault="00F4130A">
      <w:pPr>
        <w:pStyle w:val="FootnoteText"/>
      </w:pPr>
      <w:r>
        <w:rPr>
          <w:rStyle w:val="FootnoteReference"/>
        </w:rPr>
        <w:footnoteRef/>
      </w:r>
      <w:r>
        <w:t xml:space="preserve"> </w:t>
      </w:r>
      <w:r w:rsidRPr="00F4130A">
        <w:rPr>
          <w:sz w:val="20"/>
          <w:szCs w:val="20"/>
        </w:rPr>
        <w:t>Eick-Cost AA, Hunt DJ. Assessment of ICD-9-based case definitions for influenza-like illness surveillance. MSMR 2015; 22:2</w:t>
      </w:r>
      <w:r w:rsidRPr="00F4130A">
        <w:rPr>
          <w:rFonts w:hint="eastAsia"/>
          <w:sz w:val="20"/>
          <w:szCs w:val="20"/>
        </w:rPr>
        <w:t>–</w:t>
      </w:r>
      <w:r w:rsidRPr="00F4130A">
        <w:rPr>
          <w:sz w:val="20"/>
          <w:szCs w:val="20"/>
        </w:rPr>
        <w:t>7</w:t>
      </w:r>
    </w:p>
  </w:footnote>
  <w:footnote w:id="4">
    <w:p w14:paraId="678D3DD0" w14:textId="4E07158A" w:rsidR="00A77DC7" w:rsidRPr="003F11E1" w:rsidRDefault="00A77DC7" w:rsidP="003F11E1">
      <w:pPr>
        <w:spacing w:after="0"/>
        <w:rPr>
          <w:rFonts w:cstheme="minorHAnsi"/>
          <w:sz w:val="20"/>
          <w:szCs w:val="20"/>
        </w:rPr>
      </w:pPr>
      <w:r w:rsidRPr="003F11E1">
        <w:rPr>
          <w:rStyle w:val="FootnoteReference"/>
          <w:rFonts w:cstheme="minorHAnsi"/>
          <w:sz w:val="20"/>
          <w:szCs w:val="20"/>
        </w:rPr>
        <w:footnoteRef/>
      </w:r>
      <w:r w:rsidRPr="003F11E1">
        <w:rPr>
          <w:rFonts w:cstheme="minorHAnsi"/>
          <w:sz w:val="20"/>
          <w:szCs w:val="20"/>
        </w:rPr>
        <w:t xml:space="preserve"> World Health Organization (2019) ‘Recommended composition of influenza virus vaccines for use in the 2019- 2020 northern hemisphere influenza season’,</w:t>
      </w:r>
      <w:r>
        <w:rPr>
          <w:rFonts w:cstheme="minorHAnsi"/>
          <w:sz w:val="20"/>
          <w:szCs w:val="20"/>
        </w:rPr>
        <w:t xml:space="preserve"> </w:t>
      </w:r>
      <w:r w:rsidRPr="003F11E1">
        <w:rPr>
          <w:rFonts w:cstheme="minorHAnsi"/>
          <w:sz w:val="20"/>
          <w:szCs w:val="20"/>
        </w:rPr>
        <w:t>(</w:t>
      </w:r>
      <w:hyperlink r:id="rId1">
        <w:r w:rsidRPr="003F11E1">
          <w:rPr>
            <w:rStyle w:val="Hyperlink"/>
            <w:rFonts w:cstheme="minorHAnsi"/>
            <w:sz w:val="20"/>
            <w:szCs w:val="20"/>
          </w:rPr>
          <w:t>https://www.who.int/influenza/vaccines/virus/recommendations/201902_recommendation.pdf?ua=1</w:t>
        </w:r>
      </w:hyperlink>
      <w:r w:rsidRPr="003F11E1">
        <w:rPr>
          <w:rFonts w:cstheme="minorHAnsi"/>
          <w:sz w:val="20"/>
          <w:szCs w:val="20"/>
        </w:rPr>
        <w:t>)</w:t>
      </w:r>
    </w:p>
  </w:footnote>
  <w:footnote w:id="5">
    <w:p w14:paraId="30893585" w14:textId="77777777" w:rsidR="00A77DC7" w:rsidRPr="003F11E1" w:rsidRDefault="00A77DC7" w:rsidP="009C29A2">
      <w:pPr>
        <w:pStyle w:val="FootnoteText"/>
        <w:rPr>
          <w:rFonts w:cstheme="minorHAnsi"/>
          <w:sz w:val="20"/>
          <w:szCs w:val="20"/>
        </w:rPr>
      </w:pPr>
      <w:r w:rsidRPr="003F11E1">
        <w:rPr>
          <w:rStyle w:val="FootnoteReference"/>
          <w:rFonts w:cstheme="minorHAnsi"/>
          <w:sz w:val="20"/>
          <w:szCs w:val="20"/>
        </w:rPr>
        <w:footnoteRef/>
      </w:r>
      <w:r w:rsidRPr="003F11E1">
        <w:rPr>
          <w:rFonts w:cstheme="minorHAnsi"/>
          <w:sz w:val="20"/>
          <w:szCs w:val="20"/>
        </w:rPr>
        <w:t xml:space="preserve"> Skowronski DM, Leir S, et al (2019) ‘Interim estimates of 2018/19 vaccine effectiveness against influenza A(H1N1)pdm09, Canada, January 2019’. </w:t>
      </w:r>
      <w:r w:rsidRPr="003F11E1">
        <w:rPr>
          <w:rFonts w:cstheme="minorHAnsi"/>
          <w:iCs/>
          <w:sz w:val="20"/>
          <w:szCs w:val="20"/>
        </w:rPr>
        <w:t>Euro Surveill</w:t>
      </w:r>
      <w:r w:rsidRPr="003F11E1">
        <w:rPr>
          <w:rFonts w:cstheme="minorHAnsi"/>
          <w:sz w:val="20"/>
          <w:szCs w:val="20"/>
        </w:rPr>
        <w:t>. 24(4):pii=1900055.</w:t>
      </w:r>
    </w:p>
    <w:p w14:paraId="1AD70ACE" w14:textId="77777777" w:rsidR="00A77DC7" w:rsidRPr="003F11E1" w:rsidRDefault="0020701F" w:rsidP="009C29A2">
      <w:pPr>
        <w:pStyle w:val="FootnoteText"/>
        <w:rPr>
          <w:rFonts w:cstheme="minorHAnsi"/>
          <w:sz w:val="20"/>
          <w:szCs w:val="20"/>
        </w:rPr>
      </w:pPr>
      <w:hyperlink r:id="rId2" w:history="1">
        <w:r w:rsidR="00A77DC7" w:rsidRPr="003F11E1">
          <w:rPr>
            <w:rStyle w:val="Hyperlink"/>
            <w:rFonts w:cstheme="minorHAnsi"/>
            <w:sz w:val="20"/>
            <w:szCs w:val="20"/>
          </w:rPr>
          <w:t>https://www.eurosurveillance.org/content/10.2807/1560-7917.ES.2019.24.4.1900055</w:t>
        </w:r>
      </w:hyperlink>
      <w:r w:rsidR="00A77DC7" w:rsidRPr="003F11E1">
        <w:rPr>
          <w:rFonts w:cstheme="minorHAnsi"/>
          <w:sz w:val="20"/>
          <w:szCs w:val="20"/>
        </w:rPr>
        <w:t xml:space="preserve"> </w:t>
      </w:r>
    </w:p>
  </w:footnote>
  <w:footnote w:id="6">
    <w:p w14:paraId="17056435" w14:textId="30794C95" w:rsidR="00F37ABF" w:rsidRDefault="00F37ABF">
      <w:pPr>
        <w:pStyle w:val="FootnoteText"/>
      </w:pPr>
      <w:r>
        <w:rPr>
          <w:rStyle w:val="FootnoteReference"/>
        </w:rPr>
        <w:footnoteRef/>
      </w:r>
      <w:r>
        <w:t xml:space="preserve"> </w:t>
      </w:r>
      <w:r w:rsidRPr="00F37ABF">
        <w:rPr>
          <w:rFonts w:cstheme="minorHAnsi"/>
          <w:sz w:val="20"/>
          <w:szCs w:val="20"/>
        </w:rPr>
        <w:t>Rajaram S, Suphaphiphat P, Boxmeer J van, Haag M, Leav B, Iheanacho I, et al. Retrospective Assessment of the Antigenic Similarity of Egg-Propagated and Cell Culture-Propagated Reference Influenza Viruses as Compared with Circulating Viruses across Influenza Seasons 2002–2003 to 2017–2018. Int J Environ Res Pu. 2020b;17(15):5423.</w:t>
      </w:r>
    </w:p>
  </w:footnote>
  <w:footnote w:id="7">
    <w:p w14:paraId="46C6525C" w14:textId="6C6D3341" w:rsidR="00A77DC7" w:rsidRPr="003F11E1" w:rsidRDefault="00A77DC7" w:rsidP="009C29A2">
      <w:pPr>
        <w:pStyle w:val="FootnoteText"/>
        <w:rPr>
          <w:rFonts w:cstheme="minorHAnsi"/>
          <w:sz w:val="20"/>
          <w:szCs w:val="20"/>
        </w:rPr>
      </w:pPr>
      <w:r w:rsidRPr="003F11E1">
        <w:rPr>
          <w:rStyle w:val="FootnoteReference"/>
          <w:rFonts w:cstheme="minorHAnsi"/>
          <w:sz w:val="20"/>
          <w:szCs w:val="20"/>
        </w:rPr>
        <w:footnoteRef/>
      </w:r>
      <w:r w:rsidRPr="003F11E1">
        <w:rPr>
          <w:rFonts w:cstheme="minorHAnsi"/>
          <w:sz w:val="20"/>
          <w:szCs w:val="20"/>
        </w:rPr>
        <w:t xml:space="preserve"> Fewell Z, Smith GD et al (2007) The Impact of Residual and Unmeasured Confounding in Epidemiologic Studies: A Simulation Study. </w:t>
      </w:r>
      <w:r w:rsidRPr="003F11E1">
        <w:rPr>
          <w:rFonts w:cstheme="minorHAnsi"/>
          <w:iCs/>
          <w:sz w:val="20"/>
          <w:szCs w:val="20"/>
        </w:rPr>
        <w:t>Am J Epi</w:t>
      </w:r>
      <w:r w:rsidRPr="003F11E1">
        <w:rPr>
          <w:rFonts w:cstheme="minorHAnsi"/>
          <w:sz w:val="20"/>
          <w:szCs w:val="20"/>
        </w:rPr>
        <w:t xml:space="preserve"> 166:646-655</w:t>
      </w:r>
    </w:p>
  </w:footnote>
  <w:footnote w:id="8">
    <w:p w14:paraId="41525EE0" w14:textId="1FA19A85" w:rsidR="00A77DC7" w:rsidRPr="003F11E1" w:rsidRDefault="00A77DC7" w:rsidP="009C29A2">
      <w:pPr>
        <w:pStyle w:val="FootnoteText"/>
        <w:rPr>
          <w:rFonts w:cstheme="minorHAnsi"/>
          <w:sz w:val="20"/>
          <w:szCs w:val="20"/>
        </w:rPr>
      </w:pPr>
      <w:r w:rsidRPr="003F11E1">
        <w:rPr>
          <w:rStyle w:val="FootnoteReference"/>
          <w:rFonts w:cstheme="minorHAnsi"/>
          <w:sz w:val="20"/>
          <w:szCs w:val="20"/>
        </w:rPr>
        <w:footnoteRef/>
      </w:r>
      <w:r w:rsidRPr="003F11E1">
        <w:rPr>
          <w:rFonts w:cstheme="minorHAnsi"/>
          <w:sz w:val="20"/>
          <w:szCs w:val="20"/>
        </w:rPr>
        <w:t xml:space="preserve"> Grimes DA and Schulz K (2002) Bias and causal associations in observational research. </w:t>
      </w:r>
      <w:r w:rsidRPr="003F11E1">
        <w:rPr>
          <w:rFonts w:cstheme="minorHAnsi"/>
          <w:iCs/>
          <w:sz w:val="20"/>
          <w:szCs w:val="20"/>
        </w:rPr>
        <w:t>Lancet</w:t>
      </w:r>
      <w:r w:rsidRPr="003F11E1">
        <w:rPr>
          <w:rFonts w:cstheme="minorHAnsi"/>
          <w:sz w:val="20"/>
          <w:szCs w:val="20"/>
        </w:rPr>
        <w:t xml:space="preserve"> 359:248-252</w:t>
      </w:r>
    </w:p>
  </w:footnote>
  <w:footnote w:id="9">
    <w:p w14:paraId="100E8DD8" w14:textId="76F4E26F" w:rsidR="00A77DC7" w:rsidRPr="00EA2BBE" w:rsidRDefault="00A77DC7" w:rsidP="009C29A2">
      <w:pPr>
        <w:pStyle w:val="FootnoteText"/>
        <w:rPr>
          <w:rFonts w:cstheme="minorHAnsi"/>
          <w:sz w:val="20"/>
          <w:szCs w:val="20"/>
        </w:rPr>
      </w:pPr>
      <w:r w:rsidRPr="00EA2BBE">
        <w:rPr>
          <w:rStyle w:val="FootnoteReference"/>
          <w:rFonts w:cstheme="minorHAnsi"/>
          <w:sz w:val="20"/>
          <w:szCs w:val="20"/>
        </w:rPr>
        <w:footnoteRef/>
      </w:r>
      <w:r w:rsidRPr="00EA2BBE">
        <w:rPr>
          <w:rFonts w:cstheme="minorHAnsi"/>
          <w:sz w:val="20"/>
          <w:szCs w:val="20"/>
        </w:rPr>
        <w:t xml:space="preserve"> </w:t>
      </w:r>
      <w:r w:rsidRPr="00EA2BBE">
        <w:rPr>
          <w:rFonts w:cstheme="minorHAnsi"/>
          <w:color w:val="212121"/>
          <w:sz w:val="20"/>
          <w:szCs w:val="20"/>
          <w:shd w:val="clear" w:color="auto" w:fill="FFFFFF"/>
        </w:rPr>
        <w:t xml:space="preserve">Lewis, N. M., Chung, J. R., Uyeki, T. M., Grohskopf, L., Ferdinands, J. M., &amp; Patel, M. M. (2021). Interpretation of Relative Efficacy and Effectiveness for Influenza Vaccines. Clinical infectious diseases: an official publication of the Infectious Diseases Society of America, ciab1016. Advance online publication. </w:t>
      </w:r>
      <w:hyperlink r:id="rId3" w:history="1">
        <w:r w:rsidRPr="00EA2BBE">
          <w:rPr>
            <w:rStyle w:val="Hyperlink"/>
            <w:rFonts w:cstheme="minorHAnsi"/>
            <w:sz w:val="20"/>
            <w:szCs w:val="20"/>
            <w:shd w:val="clear" w:color="auto" w:fill="FFFFFF"/>
          </w:rPr>
          <w:t>https://doi.org/10.1093/cid/ciab1016</w:t>
        </w:r>
      </w:hyperlink>
      <w:r w:rsidRPr="00EA2BBE">
        <w:rPr>
          <w:rFonts w:cstheme="minorHAnsi"/>
          <w:color w:val="212121"/>
          <w:sz w:val="20"/>
          <w:szCs w:val="2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2B1" w14:textId="1604DFA7" w:rsidR="00911F29" w:rsidRPr="00380813" w:rsidRDefault="00E93382" w:rsidP="00911F29">
    <w:pPr>
      <w:pStyle w:val="Header"/>
      <w:ind w:left="720"/>
      <w:rPr>
        <w:rFonts w:cs="Calibri"/>
        <w:i/>
        <w:szCs w:val="22"/>
      </w:rPr>
    </w:pPr>
    <w:r>
      <w:rPr>
        <w:rFonts w:cs="Calibri"/>
        <w:i/>
        <w:szCs w:val="22"/>
      </w:rPr>
      <w:t>Public Summary Document</w:t>
    </w:r>
    <w:r w:rsidR="00911F29" w:rsidRPr="00380813">
      <w:rPr>
        <w:rFonts w:cs="Calibri"/>
        <w:i/>
        <w:szCs w:val="22"/>
      </w:rPr>
      <w:t xml:space="preserve"> - September 2022 PBAC </w:t>
    </w:r>
    <w:r w:rsidR="00911F29">
      <w:rPr>
        <w:rFonts w:cs="Calibri"/>
        <w:i/>
        <w:szCs w:val="22"/>
      </w:rPr>
      <w:t>I</w:t>
    </w:r>
    <w:r w:rsidR="00911F29" w:rsidRPr="00380813">
      <w:rPr>
        <w:rFonts w:cs="Calibri"/>
        <w:i/>
        <w:szCs w:val="22"/>
      </w:rPr>
      <w:t xml:space="preserve">ntracycle </w:t>
    </w:r>
    <w:r w:rsidR="00911F29">
      <w:rPr>
        <w:rFonts w:cs="Calibri"/>
        <w:i/>
        <w:szCs w:val="22"/>
      </w:rPr>
      <w:t>M</w:t>
    </w:r>
    <w:r w:rsidR="00911F29" w:rsidRPr="00380813">
      <w:rPr>
        <w:rFonts w:cs="Calibri"/>
        <w:i/>
        <w:szCs w:val="22"/>
      </w:rPr>
      <w:t>eeting</w:t>
    </w:r>
  </w:p>
  <w:p w14:paraId="6C156A1E" w14:textId="77777777" w:rsidR="00A77DC7" w:rsidRDefault="00A77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7D522C"/>
    <w:multiLevelType w:val="hybridMultilevel"/>
    <w:tmpl w:val="9374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A5CAC"/>
    <w:multiLevelType w:val="hybridMultilevel"/>
    <w:tmpl w:val="0426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33D61"/>
    <w:multiLevelType w:val="hybridMultilevel"/>
    <w:tmpl w:val="D9AE9688"/>
    <w:lvl w:ilvl="0" w:tplc="659ED36E">
      <w:start w:val="1"/>
      <w:numFmt w:val="bullet"/>
      <w:lvlText w:val="•"/>
      <w:lvlJc w:val="left"/>
      <w:pPr>
        <w:tabs>
          <w:tab w:val="num" w:pos="720"/>
        </w:tabs>
        <w:ind w:left="720" w:hanging="360"/>
      </w:pPr>
      <w:rPr>
        <w:rFonts w:ascii="Arial" w:hAnsi="Arial" w:hint="default"/>
      </w:rPr>
    </w:lvl>
    <w:lvl w:ilvl="1" w:tplc="BFF2527A" w:tentative="1">
      <w:start w:val="1"/>
      <w:numFmt w:val="bullet"/>
      <w:lvlText w:val="•"/>
      <w:lvlJc w:val="left"/>
      <w:pPr>
        <w:tabs>
          <w:tab w:val="num" w:pos="1440"/>
        </w:tabs>
        <w:ind w:left="1440" w:hanging="360"/>
      </w:pPr>
      <w:rPr>
        <w:rFonts w:ascii="Arial" w:hAnsi="Arial" w:hint="default"/>
      </w:rPr>
    </w:lvl>
    <w:lvl w:ilvl="2" w:tplc="758ABC2C" w:tentative="1">
      <w:start w:val="1"/>
      <w:numFmt w:val="bullet"/>
      <w:lvlText w:val="•"/>
      <w:lvlJc w:val="left"/>
      <w:pPr>
        <w:tabs>
          <w:tab w:val="num" w:pos="2160"/>
        </w:tabs>
        <w:ind w:left="2160" w:hanging="360"/>
      </w:pPr>
      <w:rPr>
        <w:rFonts w:ascii="Arial" w:hAnsi="Arial" w:hint="default"/>
      </w:rPr>
    </w:lvl>
    <w:lvl w:ilvl="3" w:tplc="696CB69E" w:tentative="1">
      <w:start w:val="1"/>
      <w:numFmt w:val="bullet"/>
      <w:lvlText w:val="•"/>
      <w:lvlJc w:val="left"/>
      <w:pPr>
        <w:tabs>
          <w:tab w:val="num" w:pos="2880"/>
        </w:tabs>
        <w:ind w:left="2880" w:hanging="360"/>
      </w:pPr>
      <w:rPr>
        <w:rFonts w:ascii="Arial" w:hAnsi="Arial" w:hint="default"/>
      </w:rPr>
    </w:lvl>
    <w:lvl w:ilvl="4" w:tplc="45565244" w:tentative="1">
      <w:start w:val="1"/>
      <w:numFmt w:val="bullet"/>
      <w:lvlText w:val="•"/>
      <w:lvlJc w:val="left"/>
      <w:pPr>
        <w:tabs>
          <w:tab w:val="num" w:pos="3600"/>
        </w:tabs>
        <w:ind w:left="3600" w:hanging="360"/>
      </w:pPr>
      <w:rPr>
        <w:rFonts w:ascii="Arial" w:hAnsi="Arial" w:hint="default"/>
      </w:rPr>
    </w:lvl>
    <w:lvl w:ilvl="5" w:tplc="4F4A5D44" w:tentative="1">
      <w:start w:val="1"/>
      <w:numFmt w:val="bullet"/>
      <w:lvlText w:val="•"/>
      <w:lvlJc w:val="left"/>
      <w:pPr>
        <w:tabs>
          <w:tab w:val="num" w:pos="4320"/>
        </w:tabs>
        <w:ind w:left="4320" w:hanging="360"/>
      </w:pPr>
      <w:rPr>
        <w:rFonts w:ascii="Arial" w:hAnsi="Arial" w:hint="default"/>
      </w:rPr>
    </w:lvl>
    <w:lvl w:ilvl="6" w:tplc="7734622A" w:tentative="1">
      <w:start w:val="1"/>
      <w:numFmt w:val="bullet"/>
      <w:lvlText w:val="•"/>
      <w:lvlJc w:val="left"/>
      <w:pPr>
        <w:tabs>
          <w:tab w:val="num" w:pos="5040"/>
        </w:tabs>
        <w:ind w:left="5040" w:hanging="360"/>
      </w:pPr>
      <w:rPr>
        <w:rFonts w:ascii="Arial" w:hAnsi="Arial" w:hint="default"/>
      </w:rPr>
    </w:lvl>
    <w:lvl w:ilvl="7" w:tplc="5F187840" w:tentative="1">
      <w:start w:val="1"/>
      <w:numFmt w:val="bullet"/>
      <w:lvlText w:val="•"/>
      <w:lvlJc w:val="left"/>
      <w:pPr>
        <w:tabs>
          <w:tab w:val="num" w:pos="5760"/>
        </w:tabs>
        <w:ind w:left="5760" w:hanging="360"/>
      </w:pPr>
      <w:rPr>
        <w:rFonts w:ascii="Arial" w:hAnsi="Arial" w:hint="default"/>
      </w:rPr>
    </w:lvl>
    <w:lvl w:ilvl="8" w:tplc="BB309A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266140"/>
    <w:multiLevelType w:val="hybridMultilevel"/>
    <w:tmpl w:val="2FB2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A5F35"/>
    <w:multiLevelType w:val="hybridMultilevel"/>
    <w:tmpl w:val="10946374"/>
    <w:lvl w:ilvl="0" w:tplc="FF8C60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E705D"/>
    <w:multiLevelType w:val="hybridMultilevel"/>
    <w:tmpl w:val="CB40E45C"/>
    <w:lvl w:ilvl="0" w:tplc="432C3956">
      <w:start w:val="1"/>
      <w:numFmt w:val="bullet"/>
      <w:lvlText w:val="•"/>
      <w:lvlJc w:val="left"/>
      <w:pPr>
        <w:tabs>
          <w:tab w:val="num" w:pos="720"/>
        </w:tabs>
        <w:ind w:left="720" w:hanging="360"/>
      </w:pPr>
      <w:rPr>
        <w:rFonts w:ascii="Arial" w:hAnsi="Arial" w:hint="default"/>
      </w:rPr>
    </w:lvl>
    <w:lvl w:ilvl="1" w:tplc="217C1200" w:tentative="1">
      <w:start w:val="1"/>
      <w:numFmt w:val="bullet"/>
      <w:lvlText w:val="•"/>
      <w:lvlJc w:val="left"/>
      <w:pPr>
        <w:tabs>
          <w:tab w:val="num" w:pos="1440"/>
        </w:tabs>
        <w:ind w:left="1440" w:hanging="360"/>
      </w:pPr>
      <w:rPr>
        <w:rFonts w:ascii="Arial" w:hAnsi="Arial" w:hint="default"/>
      </w:rPr>
    </w:lvl>
    <w:lvl w:ilvl="2" w:tplc="E916A262" w:tentative="1">
      <w:start w:val="1"/>
      <w:numFmt w:val="bullet"/>
      <w:lvlText w:val="•"/>
      <w:lvlJc w:val="left"/>
      <w:pPr>
        <w:tabs>
          <w:tab w:val="num" w:pos="2160"/>
        </w:tabs>
        <w:ind w:left="2160" w:hanging="360"/>
      </w:pPr>
      <w:rPr>
        <w:rFonts w:ascii="Arial" w:hAnsi="Arial" w:hint="default"/>
      </w:rPr>
    </w:lvl>
    <w:lvl w:ilvl="3" w:tplc="F106FB7A" w:tentative="1">
      <w:start w:val="1"/>
      <w:numFmt w:val="bullet"/>
      <w:lvlText w:val="•"/>
      <w:lvlJc w:val="left"/>
      <w:pPr>
        <w:tabs>
          <w:tab w:val="num" w:pos="2880"/>
        </w:tabs>
        <w:ind w:left="2880" w:hanging="360"/>
      </w:pPr>
      <w:rPr>
        <w:rFonts w:ascii="Arial" w:hAnsi="Arial" w:hint="default"/>
      </w:rPr>
    </w:lvl>
    <w:lvl w:ilvl="4" w:tplc="24BEDE8C" w:tentative="1">
      <w:start w:val="1"/>
      <w:numFmt w:val="bullet"/>
      <w:lvlText w:val="•"/>
      <w:lvlJc w:val="left"/>
      <w:pPr>
        <w:tabs>
          <w:tab w:val="num" w:pos="3600"/>
        </w:tabs>
        <w:ind w:left="3600" w:hanging="360"/>
      </w:pPr>
      <w:rPr>
        <w:rFonts w:ascii="Arial" w:hAnsi="Arial" w:hint="default"/>
      </w:rPr>
    </w:lvl>
    <w:lvl w:ilvl="5" w:tplc="400A42DE" w:tentative="1">
      <w:start w:val="1"/>
      <w:numFmt w:val="bullet"/>
      <w:lvlText w:val="•"/>
      <w:lvlJc w:val="left"/>
      <w:pPr>
        <w:tabs>
          <w:tab w:val="num" w:pos="4320"/>
        </w:tabs>
        <w:ind w:left="4320" w:hanging="360"/>
      </w:pPr>
      <w:rPr>
        <w:rFonts w:ascii="Arial" w:hAnsi="Arial" w:hint="default"/>
      </w:rPr>
    </w:lvl>
    <w:lvl w:ilvl="6" w:tplc="B734BE70" w:tentative="1">
      <w:start w:val="1"/>
      <w:numFmt w:val="bullet"/>
      <w:lvlText w:val="•"/>
      <w:lvlJc w:val="left"/>
      <w:pPr>
        <w:tabs>
          <w:tab w:val="num" w:pos="5040"/>
        </w:tabs>
        <w:ind w:left="5040" w:hanging="360"/>
      </w:pPr>
      <w:rPr>
        <w:rFonts w:ascii="Arial" w:hAnsi="Arial" w:hint="default"/>
      </w:rPr>
    </w:lvl>
    <w:lvl w:ilvl="7" w:tplc="4BE6204A" w:tentative="1">
      <w:start w:val="1"/>
      <w:numFmt w:val="bullet"/>
      <w:lvlText w:val="•"/>
      <w:lvlJc w:val="left"/>
      <w:pPr>
        <w:tabs>
          <w:tab w:val="num" w:pos="5760"/>
        </w:tabs>
        <w:ind w:left="5760" w:hanging="360"/>
      </w:pPr>
      <w:rPr>
        <w:rFonts w:ascii="Arial" w:hAnsi="Arial" w:hint="default"/>
      </w:rPr>
    </w:lvl>
    <w:lvl w:ilvl="8" w:tplc="054CB4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E433C8"/>
    <w:multiLevelType w:val="hybridMultilevel"/>
    <w:tmpl w:val="728253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19743404"/>
    <w:multiLevelType w:val="hybridMultilevel"/>
    <w:tmpl w:val="58120DB8"/>
    <w:lvl w:ilvl="0" w:tplc="B636AA8E">
      <w:start w:val="1"/>
      <w:numFmt w:val="decimal"/>
      <w:lvlText w:val="%1."/>
      <w:lvlJc w:val="left"/>
      <w:pPr>
        <w:ind w:left="720" w:hanging="360"/>
      </w:pPr>
      <w:rPr>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4E512D"/>
    <w:multiLevelType w:val="hybridMultilevel"/>
    <w:tmpl w:val="30628FAC"/>
    <w:lvl w:ilvl="0" w:tplc="13A4D516">
      <w:start w:val="1"/>
      <w:numFmt w:val="lowerLetter"/>
      <w:lvlText w:val="(%1)"/>
      <w:lvlJc w:val="left"/>
      <w:pPr>
        <w:ind w:left="1440" w:hanging="360"/>
      </w:pPr>
      <w:rPr>
        <w:rFonts w:hint="default"/>
      </w:rPr>
    </w:lvl>
    <w:lvl w:ilvl="1" w:tplc="2AB01CE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ED184E"/>
    <w:multiLevelType w:val="hybridMultilevel"/>
    <w:tmpl w:val="30628FAC"/>
    <w:lvl w:ilvl="0" w:tplc="13A4D516">
      <w:start w:val="1"/>
      <w:numFmt w:val="lowerLetter"/>
      <w:lvlText w:val="(%1)"/>
      <w:lvlJc w:val="left"/>
      <w:pPr>
        <w:ind w:left="1440" w:hanging="360"/>
      </w:pPr>
      <w:rPr>
        <w:rFonts w:hint="default"/>
      </w:rPr>
    </w:lvl>
    <w:lvl w:ilvl="1" w:tplc="2AB01CE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429EE"/>
    <w:multiLevelType w:val="hybridMultilevel"/>
    <w:tmpl w:val="7C46EE7E"/>
    <w:lvl w:ilvl="0" w:tplc="2AC08A7E">
      <w:start w:val="1"/>
      <w:numFmt w:val="lowerRoman"/>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AE7FB7"/>
    <w:multiLevelType w:val="hybridMultilevel"/>
    <w:tmpl w:val="D6F077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3A6011"/>
    <w:multiLevelType w:val="hybridMultilevel"/>
    <w:tmpl w:val="85E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E902B9"/>
    <w:multiLevelType w:val="hybridMultilevel"/>
    <w:tmpl w:val="A566A426"/>
    <w:lvl w:ilvl="0" w:tplc="8990F5A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02307F"/>
    <w:multiLevelType w:val="hybridMultilevel"/>
    <w:tmpl w:val="84507858"/>
    <w:lvl w:ilvl="0" w:tplc="DBACE8E2">
      <w:start w:val="1"/>
      <w:numFmt w:val="bullet"/>
      <w:lvlText w:val=""/>
      <w:lvlJc w:val="left"/>
      <w:pPr>
        <w:ind w:left="720" w:hanging="360"/>
      </w:pPr>
      <w:rPr>
        <w:rFonts w:ascii="Symbol" w:hAnsi="Symbol" w:hint="default"/>
        <w:color w:val="auto"/>
      </w:rPr>
    </w:lvl>
    <w:lvl w:ilvl="1" w:tplc="57F2638C">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94B41"/>
    <w:multiLevelType w:val="hybridMultilevel"/>
    <w:tmpl w:val="930817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3FFC59EE"/>
    <w:multiLevelType w:val="hybridMultilevel"/>
    <w:tmpl w:val="30628FAC"/>
    <w:lvl w:ilvl="0" w:tplc="13A4D516">
      <w:start w:val="1"/>
      <w:numFmt w:val="lowerLetter"/>
      <w:lvlText w:val="(%1)"/>
      <w:lvlJc w:val="left"/>
      <w:pPr>
        <w:ind w:left="1440" w:hanging="360"/>
      </w:pPr>
      <w:rPr>
        <w:rFonts w:hint="default"/>
      </w:rPr>
    </w:lvl>
    <w:lvl w:ilvl="1" w:tplc="2AB01CE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BA6A61"/>
    <w:multiLevelType w:val="hybridMultilevel"/>
    <w:tmpl w:val="CCBA8E98"/>
    <w:lvl w:ilvl="0" w:tplc="2AC08A7E">
      <w:start w:val="1"/>
      <w:numFmt w:val="lowerRoman"/>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4F5DEA"/>
    <w:multiLevelType w:val="hybridMultilevel"/>
    <w:tmpl w:val="512C8D60"/>
    <w:lvl w:ilvl="0" w:tplc="2AC08A7E">
      <w:start w:val="1"/>
      <w:numFmt w:val="lowerRoman"/>
      <w:lvlText w:val="(%1)"/>
      <w:lvlJc w:val="left"/>
      <w:pPr>
        <w:ind w:left="2160" w:hanging="360"/>
      </w:pPr>
      <w:rPr>
        <w:rFonts w:hint="default"/>
      </w:rPr>
    </w:lvl>
    <w:lvl w:ilvl="1" w:tplc="2AC08A7E">
      <w:start w:val="1"/>
      <w:numFmt w:val="lowerRoman"/>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8208B"/>
    <w:multiLevelType w:val="hybridMultilevel"/>
    <w:tmpl w:val="61D499E0"/>
    <w:lvl w:ilvl="0" w:tplc="FF8C60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8D67A6"/>
    <w:multiLevelType w:val="hybridMultilevel"/>
    <w:tmpl w:val="A3B4B34E"/>
    <w:lvl w:ilvl="0" w:tplc="54D872C2">
      <w:start w:val="1"/>
      <w:numFmt w:val="bullet"/>
      <w:pStyle w:val="ListParagraph"/>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625C2A"/>
    <w:multiLevelType w:val="hybridMultilevel"/>
    <w:tmpl w:val="E45C3F58"/>
    <w:lvl w:ilvl="0" w:tplc="2758D07A">
      <w:numFmt w:val="bullet"/>
      <w:lvlText w:val="•"/>
      <w:lvlJc w:val="left"/>
      <w:pPr>
        <w:ind w:left="1080" w:hanging="360"/>
      </w:pPr>
      <w:rPr>
        <w:rFonts w:ascii="Calibri" w:eastAsia="Times New Roman" w:hAnsi="Calibri" w:cs="Calibr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49224F3F"/>
    <w:multiLevelType w:val="hybridMultilevel"/>
    <w:tmpl w:val="30628FAC"/>
    <w:lvl w:ilvl="0" w:tplc="13A4D516">
      <w:start w:val="1"/>
      <w:numFmt w:val="lowerLetter"/>
      <w:lvlText w:val="(%1)"/>
      <w:lvlJc w:val="left"/>
      <w:pPr>
        <w:ind w:left="1440" w:hanging="360"/>
      </w:pPr>
      <w:rPr>
        <w:rFonts w:hint="default"/>
      </w:rPr>
    </w:lvl>
    <w:lvl w:ilvl="1" w:tplc="2AB01CE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DB795A"/>
    <w:multiLevelType w:val="hybridMultilevel"/>
    <w:tmpl w:val="5C7A42D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E45BD0"/>
    <w:multiLevelType w:val="hybridMultilevel"/>
    <w:tmpl w:val="10946374"/>
    <w:lvl w:ilvl="0" w:tplc="FF8C60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454C06"/>
    <w:multiLevelType w:val="hybridMultilevel"/>
    <w:tmpl w:val="A86CA726"/>
    <w:lvl w:ilvl="0" w:tplc="FF8C60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E80371"/>
    <w:multiLevelType w:val="hybridMultilevel"/>
    <w:tmpl w:val="D7E29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60D522E7"/>
    <w:multiLevelType w:val="hybridMultilevel"/>
    <w:tmpl w:val="D1065A8A"/>
    <w:lvl w:ilvl="0" w:tplc="F5A8B1EA">
      <w:start w:val="1"/>
      <w:numFmt w:val="bullet"/>
      <w:pStyle w:val="TableTex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0F44183"/>
    <w:multiLevelType w:val="multilevel"/>
    <w:tmpl w:val="F2C29F9E"/>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41" w15:restartNumberingAfterBreak="0">
    <w:nsid w:val="630A4D1F"/>
    <w:multiLevelType w:val="hybridMultilevel"/>
    <w:tmpl w:val="9D1A8A4C"/>
    <w:lvl w:ilvl="0" w:tplc="31201A2E">
      <w:start w:val="1"/>
      <w:numFmt w:val="bullet"/>
      <w:pStyle w:val="bulletlevel2"/>
      <w:lvlText w:val="-"/>
      <w:lvlJc w:val="left"/>
      <w:pPr>
        <w:tabs>
          <w:tab w:val="num" w:pos="1134"/>
        </w:tabs>
        <w:ind w:left="1134" w:hanging="567"/>
      </w:pPr>
      <w:rPr>
        <w:rFonts w:ascii="Courier New" w:hAnsi="Courier New" w:hint="default"/>
        <w:color w:val="auto"/>
        <w:sz w:val="16"/>
        <w:szCs w:val="16"/>
      </w:rPr>
    </w:lvl>
    <w:lvl w:ilvl="1" w:tplc="8CC01B9E">
      <w:start w:val="1"/>
      <w:numFmt w:val="bullet"/>
      <w:lvlText w:val="o"/>
      <w:lvlJc w:val="left"/>
      <w:pPr>
        <w:tabs>
          <w:tab w:val="num" w:pos="2007"/>
        </w:tabs>
        <w:ind w:left="2007" w:hanging="360"/>
      </w:pPr>
      <w:rPr>
        <w:rFonts w:ascii="Courier New" w:hAnsi="Courier New" w:cs="Courier New" w:hint="default"/>
      </w:rPr>
    </w:lvl>
    <w:lvl w:ilvl="2" w:tplc="EB84AD5C" w:tentative="1">
      <w:start w:val="1"/>
      <w:numFmt w:val="bullet"/>
      <w:lvlText w:val=""/>
      <w:lvlJc w:val="left"/>
      <w:pPr>
        <w:tabs>
          <w:tab w:val="num" w:pos="2727"/>
        </w:tabs>
        <w:ind w:left="2727" w:hanging="360"/>
      </w:pPr>
      <w:rPr>
        <w:rFonts w:ascii="Wingdings" w:hAnsi="Wingdings" w:hint="default"/>
      </w:rPr>
    </w:lvl>
    <w:lvl w:ilvl="3" w:tplc="2E40CA9A" w:tentative="1">
      <w:start w:val="1"/>
      <w:numFmt w:val="bullet"/>
      <w:lvlText w:val=""/>
      <w:lvlJc w:val="left"/>
      <w:pPr>
        <w:tabs>
          <w:tab w:val="num" w:pos="3447"/>
        </w:tabs>
        <w:ind w:left="3447" w:hanging="360"/>
      </w:pPr>
      <w:rPr>
        <w:rFonts w:ascii="Symbol" w:hAnsi="Symbol" w:hint="default"/>
      </w:rPr>
    </w:lvl>
    <w:lvl w:ilvl="4" w:tplc="F21CDEFE" w:tentative="1">
      <w:start w:val="1"/>
      <w:numFmt w:val="bullet"/>
      <w:lvlText w:val="o"/>
      <w:lvlJc w:val="left"/>
      <w:pPr>
        <w:tabs>
          <w:tab w:val="num" w:pos="4167"/>
        </w:tabs>
        <w:ind w:left="4167" w:hanging="360"/>
      </w:pPr>
      <w:rPr>
        <w:rFonts w:ascii="Courier New" w:hAnsi="Courier New" w:cs="Courier New" w:hint="default"/>
      </w:rPr>
    </w:lvl>
    <w:lvl w:ilvl="5" w:tplc="706C4674" w:tentative="1">
      <w:start w:val="1"/>
      <w:numFmt w:val="bullet"/>
      <w:lvlText w:val=""/>
      <w:lvlJc w:val="left"/>
      <w:pPr>
        <w:tabs>
          <w:tab w:val="num" w:pos="4887"/>
        </w:tabs>
        <w:ind w:left="4887" w:hanging="360"/>
      </w:pPr>
      <w:rPr>
        <w:rFonts w:ascii="Wingdings" w:hAnsi="Wingdings" w:hint="default"/>
      </w:rPr>
    </w:lvl>
    <w:lvl w:ilvl="6" w:tplc="65028BEE" w:tentative="1">
      <w:start w:val="1"/>
      <w:numFmt w:val="bullet"/>
      <w:lvlText w:val=""/>
      <w:lvlJc w:val="left"/>
      <w:pPr>
        <w:tabs>
          <w:tab w:val="num" w:pos="5607"/>
        </w:tabs>
        <w:ind w:left="5607" w:hanging="360"/>
      </w:pPr>
      <w:rPr>
        <w:rFonts w:ascii="Symbol" w:hAnsi="Symbol" w:hint="default"/>
      </w:rPr>
    </w:lvl>
    <w:lvl w:ilvl="7" w:tplc="A71E9600" w:tentative="1">
      <w:start w:val="1"/>
      <w:numFmt w:val="bullet"/>
      <w:lvlText w:val="o"/>
      <w:lvlJc w:val="left"/>
      <w:pPr>
        <w:tabs>
          <w:tab w:val="num" w:pos="6327"/>
        </w:tabs>
        <w:ind w:left="6327" w:hanging="360"/>
      </w:pPr>
      <w:rPr>
        <w:rFonts w:ascii="Courier New" w:hAnsi="Courier New" w:cs="Courier New" w:hint="default"/>
      </w:rPr>
    </w:lvl>
    <w:lvl w:ilvl="8" w:tplc="1E1ECCBC"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9604D06"/>
    <w:multiLevelType w:val="hybridMultilevel"/>
    <w:tmpl w:val="460E05EA"/>
    <w:lvl w:ilvl="0" w:tplc="5F4434CE">
      <w:start w:val="1"/>
      <w:numFmt w:val="decimal"/>
      <w:lvlText w:val="%1."/>
      <w:lvlJc w:val="left"/>
      <w:pPr>
        <w:ind w:left="720" w:hanging="360"/>
      </w:pPr>
      <w:rPr>
        <w:rFonts w:eastAsia="Arial Narrow"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290883"/>
    <w:multiLevelType w:val="hybridMultilevel"/>
    <w:tmpl w:val="5B66B9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11D2E53"/>
    <w:multiLevelType w:val="hybridMultilevel"/>
    <w:tmpl w:val="41B2A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49126A3"/>
    <w:multiLevelType w:val="hybridMultilevel"/>
    <w:tmpl w:val="0AC46EEE"/>
    <w:lvl w:ilvl="0" w:tplc="FF8C60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4D033C"/>
    <w:multiLevelType w:val="multilevel"/>
    <w:tmpl w:val="7B9EF1C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855"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1C43D9"/>
    <w:multiLevelType w:val="multilevel"/>
    <w:tmpl w:val="1B08412C"/>
    <w:lvl w:ilvl="0">
      <w:start w:val="1"/>
      <w:numFmt w:val="decimal"/>
      <w:lvlText w:val="%1"/>
      <w:lvlJc w:val="left"/>
      <w:pPr>
        <w:ind w:left="720" w:hanging="720"/>
      </w:pPr>
      <w:rPr>
        <w:rFonts w:hint="default"/>
        <w:b/>
      </w:rPr>
    </w:lvl>
    <w:lvl w:ilvl="1">
      <w:start w:val="1"/>
      <w:numFmt w:val="bullet"/>
      <w:lvlText w:val=""/>
      <w:lvlJc w:val="left"/>
      <w:pPr>
        <w:ind w:left="1145"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27"/>
  </w:num>
  <w:num w:numId="3">
    <w:abstractNumId w:val="29"/>
  </w:num>
  <w:num w:numId="4">
    <w:abstractNumId w:val="13"/>
  </w:num>
  <w:num w:numId="5">
    <w:abstractNumId w:val="25"/>
  </w:num>
  <w:num w:numId="6">
    <w:abstractNumId w:val="39"/>
  </w:num>
  <w:num w:numId="7">
    <w:abstractNumId w:val="19"/>
  </w:num>
  <w:num w:numId="8">
    <w:abstractNumId w:val="43"/>
  </w:num>
  <w:num w:numId="9">
    <w:abstractNumId w:val="45"/>
  </w:num>
  <w:num w:numId="10">
    <w:abstractNumId w:val="4"/>
  </w:num>
  <w:num w:numId="11">
    <w:abstractNumId w:val="40"/>
  </w:num>
  <w:num w:numId="12">
    <w:abstractNumId w:val="30"/>
  </w:num>
  <w:num w:numId="13">
    <w:abstractNumId w:val="6"/>
  </w:num>
  <w:num w:numId="14">
    <w:abstractNumId w:val="1"/>
  </w:num>
  <w:num w:numId="15">
    <w:abstractNumId w:val="36"/>
  </w:num>
  <w:num w:numId="16">
    <w:abstractNumId w:val="28"/>
  </w:num>
  <w:num w:numId="17">
    <w:abstractNumId w:val="46"/>
  </w:num>
  <w:num w:numId="18">
    <w:abstractNumId w:val="35"/>
  </w:num>
  <w:num w:numId="19">
    <w:abstractNumId w:val="42"/>
  </w:num>
  <w:num w:numId="20">
    <w:abstractNumId w:val="11"/>
  </w:num>
  <w:num w:numId="21">
    <w:abstractNumId w:val="26"/>
  </w:num>
  <w:num w:numId="22">
    <w:abstractNumId w:val="10"/>
  </w:num>
  <w:num w:numId="23">
    <w:abstractNumId w:val="23"/>
  </w:num>
  <w:num w:numId="24">
    <w:abstractNumId w:val="14"/>
  </w:num>
  <w:num w:numId="25">
    <w:abstractNumId w:val="12"/>
  </w:num>
  <w:num w:numId="26">
    <w:abstractNumId w:val="7"/>
  </w:num>
  <w:num w:numId="27">
    <w:abstractNumId w:val="41"/>
  </w:num>
  <w:num w:numId="28">
    <w:abstractNumId w:val="2"/>
  </w:num>
  <w:num w:numId="29">
    <w:abstractNumId w:val="33"/>
  </w:num>
  <w:num w:numId="30">
    <w:abstractNumId w:val="34"/>
  </w:num>
  <w:num w:numId="31">
    <w:abstractNumId w:val="3"/>
  </w:num>
  <w:num w:numId="32">
    <w:abstractNumId w:val="0"/>
  </w:num>
  <w:num w:numId="33">
    <w:abstractNumId w:val="16"/>
  </w:num>
  <w:num w:numId="34">
    <w:abstractNumId w:val="17"/>
  </w:num>
  <w:num w:numId="35">
    <w:abstractNumId w:val="15"/>
  </w:num>
  <w:num w:numId="3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48"/>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37"/>
  </w:num>
  <w:num w:numId="42">
    <w:abstractNumId w:val="9"/>
  </w:num>
  <w:num w:numId="43">
    <w:abstractNumId w:val="47"/>
  </w:num>
  <w:num w:numId="44">
    <w:abstractNumId w:val="47"/>
  </w:num>
  <w:num w:numId="45">
    <w:abstractNumId w:val="47"/>
  </w:num>
  <w:num w:numId="46">
    <w:abstractNumId w:val="20"/>
  </w:num>
  <w:num w:numId="47">
    <w:abstractNumId w:val="8"/>
  </w:num>
  <w:num w:numId="48">
    <w:abstractNumId w:val="5"/>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32"/>
  </w:num>
  <w:num w:numId="52">
    <w:abstractNumId w:val="21"/>
  </w:num>
  <w:num w:numId="53">
    <w:abstractNumId w:val="47"/>
  </w:num>
  <w:num w:numId="54">
    <w:abstractNumId w:val="31"/>
  </w:num>
  <w:num w:numId="55">
    <w:abstractNumId w:val="24"/>
  </w:num>
  <w:num w:numId="56">
    <w:abstractNumId w:val="22"/>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737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A2"/>
    <w:rsid w:val="00001499"/>
    <w:rsid w:val="000051A7"/>
    <w:rsid w:val="00016276"/>
    <w:rsid w:val="0003317B"/>
    <w:rsid w:val="000426ED"/>
    <w:rsid w:val="00042A61"/>
    <w:rsid w:val="00050F36"/>
    <w:rsid w:val="00052EBB"/>
    <w:rsid w:val="00072190"/>
    <w:rsid w:val="00087B94"/>
    <w:rsid w:val="000B3BE8"/>
    <w:rsid w:val="000B4A11"/>
    <w:rsid w:val="000B540C"/>
    <w:rsid w:val="000B78AC"/>
    <w:rsid w:val="000C01BD"/>
    <w:rsid w:val="000D7411"/>
    <w:rsid w:val="000D7F58"/>
    <w:rsid w:val="000E321A"/>
    <w:rsid w:val="000E3637"/>
    <w:rsid w:val="000E458A"/>
    <w:rsid w:val="000F0BEE"/>
    <w:rsid w:val="000F1292"/>
    <w:rsid w:val="000F35E3"/>
    <w:rsid w:val="000F6D94"/>
    <w:rsid w:val="00100807"/>
    <w:rsid w:val="00114DA1"/>
    <w:rsid w:val="00126AB4"/>
    <w:rsid w:val="0013453B"/>
    <w:rsid w:val="0014098E"/>
    <w:rsid w:val="001411CC"/>
    <w:rsid w:val="00151EC7"/>
    <w:rsid w:val="0015236D"/>
    <w:rsid w:val="00156AF3"/>
    <w:rsid w:val="00190B4A"/>
    <w:rsid w:val="00192B2D"/>
    <w:rsid w:val="001A4BCC"/>
    <w:rsid w:val="001B0AD7"/>
    <w:rsid w:val="001B723B"/>
    <w:rsid w:val="001C10EE"/>
    <w:rsid w:val="001C162E"/>
    <w:rsid w:val="001D0E46"/>
    <w:rsid w:val="001D6304"/>
    <w:rsid w:val="001F02CD"/>
    <w:rsid w:val="001F50A2"/>
    <w:rsid w:val="002047D1"/>
    <w:rsid w:val="0020701F"/>
    <w:rsid w:val="00211474"/>
    <w:rsid w:val="00211D9A"/>
    <w:rsid w:val="00214673"/>
    <w:rsid w:val="00215C93"/>
    <w:rsid w:val="00232A07"/>
    <w:rsid w:val="00246016"/>
    <w:rsid w:val="002522CF"/>
    <w:rsid w:val="0026053E"/>
    <w:rsid w:val="00263DA6"/>
    <w:rsid w:val="002646CA"/>
    <w:rsid w:val="00266600"/>
    <w:rsid w:val="00266BC7"/>
    <w:rsid w:val="00276BB4"/>
    <w:rsid w:val="002834AC"/>
    <w:rsid w:val="00284113"/>
    <w:rsid w:val="00285244"/>
    <w:rsid w:val="00286E49"/>
    <w:rsid w:val="00291BEF"/>
    <w:rsid w:val="002A7061"/>
    <w:rsid w:val="002B43E7"/>
    <w:rsid w:val="002B5F8D"/>
    <w:rsid w:val="002C527D"/>
    <w:rsid w:val="002C5C97"/>
    <w:rsid w:val="002D1D7B"/>
    <w:rsid w:val="002D26ED"/>
    <w:rsid w:val="002F0962"/>
    <w:rsid w:val="002F0BFE"/>
    <w:rsid w:val="002F5B52"/>
    <w:rsid w:val="002F7EBC"/>
    <w:rsid w:val="00307843"/>
    <w:rsid w:val="00310D95"/>
    <w:rsid w:val="00315D20"/>
    <w:rsid w:val="003432D1"/>
    <w:rsid w:val="00346569"/>
    <w:rsid w:val="00346F28"/>
    <w:rsid w:val="00347993"/>
    <w:rsid w:val="00361A30"/>
    <w:rsid w:val="00364EA2"/>
    <w:rsid w:val="003712EB"/>
    <w:rsid w:val="003752CF"/>
    <w:rsid w:val="00385AB3"/>
    <w:rsid w:val="00391458"/>
    <w:rsid w:val="00391BAA"/>
    <w:rsid w:val="003A6BCF"/>
    <w:rsid w:val="003B1CD5"/>
    <w:rsid w:val="003B5611"/>
    <w:rsid w:val="003B79B4"/>
    <w:rsid w:val="003C0F18"/>
    <w:rsid w:val="003D08C7"/>
    <w:rsid w:val="003D1171"/>
    <w:rsid w:val="003E026D"/>
    <w:rsid w:val="003E21A8"/>
    <w:rsid w:val="003E4039"/>
    <w:rsid w:val="003F11E1"/>
    <w:rsid w:val="003F47DE"/>
    <w:rsid w:val="00400920"/>
    <w:rsid w:val="004047CC"/>
    <w:rsid w:val="00404917"/>
    <w:rsid w:val="0040534F"/>
    <w:rsid w:val="004057A0"/>
    <w:rsid w:val="00416FE3"/>
    <w:rsid w:val="00431CC7"/>
    <w:rsid w:val="004346C1"/>
    <w:rsid w:val="00436D98"/>
    <w:rsid w:val="00441BC4"/>
    <w:rsid w:val="004602EA"/>
    <w:rsid w:val="00474E6F"/>
    <w:rsid w:val="00481B5A"/>
    <w:rsid w:val="004870C1"/>
    <w:rsid w:val="004A001B"/>
    <w:rsid w:val="004A342D"/>
    <w:rsid w:val="004B3B81"/>
    <w:rsid w:val="004B7231"/>
    <w:rsid w:val="004C2CE8"/>
    <w:rsid w:val="004D6DFA"/>
    <w:rsid w:val="004E1176"/>
    <w:rsid w:val="004E2653"/>
    <w:rsid w:val="004E2FC0"/>
    <w:rsid w:val="004F220D"/>
    <w:rsid w:val="0051434B"/>
    <w:rsid w:val="00525C67"/>
    <w:rsid w:val="00533AA2"/>
    <w:rsid w:val="00533E3B"/>
    <w:rsid w:val="0054141D"/>
    <w:rsid w:val="00541F76"/>
    <w:rsid w:val="00542A20"/>
    <w:rsid w:val="00545A65"/>
    <w:rsid w:val="00546BBD"/>
    <w:rsid w:val="00554A1B"/>
    <w:rsid w:val="00571A54"/>
    <w:rsid w:val="00584E76"/>
    <w:rsid w:val="00585A55"/>
    <w:rsid w:val="005869B2"/>
    <w:rsid w:val="00596D1A"/>
    <w:rsid w:val="005A3576"/>
    <w:rsid w:val="005B123A"/>
    <w:rsid w:val="005B25F1"/>
    <w:rsid w:val="005C1FE9"/>
    <w:rsid w:val="005C568B"/>
    <w:rsid w:val="005C7232"/>
    <w:rsid w:val="005D11C6"/>
    <w:rsid w:val="005E175C"/>
    <w:rsid w:val="005F27D9"/>
    <w:rsid w:val="005F4615"/>
    <w:rsid w:val="005F5007"/>
    <w:rsid w:val="005F74C1"/>
    <w:rsid w:val="005F77FF"/>
    <w:rsid w:val="00604169"/>
    <w:rsid w:val="0061348D"/>
    <w:rsid w:val="0061573C"/>
    <w:rsid w:val="006159F1"/>
    <w:rsid w:val="0062205E"/>
    <w:rsid w:val="006260F3"/>
    <w:rsid w:val="00627804"/>
    <w:rsid w:val="00632C15"/>
    <w:rsid w:val="00635CA5"/>
    <w:rsid w:val="0064602B"/>
    <w:rsid w:val="00650E2B"/>
    <w:rsid w:val="0065146B"/>
    <w:rsid w:val="00662213"/>
    <w:rsid w:val="00665C14"/>
    <w:rsid w:val="00671290"/>
    <w:rsid w:val="006765DD"/>
    <w:rsid w:val="00676B98"/>
    <w:rsid w:val="00681B22"/>
    <w:rsid w:val="00690476"/>
    <w:rsid w:val="00690A7E"/>
    <w:rsid w:val="006950ED"/>
    <w:rsid w:val="006954FA"/>
    <w:rsid w:val="00696465"/>
    <w:rsid w:val="006A49E5"/>
    <w:rsid w:val="006B7AFF"/>
    <w:rsid w:val="006C2CA7"/>
    <w:rsid w:val="006C476A"/>
    <w:rsid w:val="006D4B7E"/>
    <w:rsid w:val="006D777B"/>
    <w:rsid w:val="006E12BC"/>
    <w:rsid w:val="006E3B23"/>
    <w:rsid w:val="006E7331"/>
    <w:rsid w:val="00713B39"/>
    <w:rsid w:val="007159B3"/>
    <w:rsid w:val="007220D3"/>
    <w:rsid w:val="00723CC0"/>
    <w:rsid w:val="00734F5F"/>
    <w:rsid w:val="00744D3C"/>
    <w:rsid w:val="00754911"/>
    <w:rsid w:val="00773DA3"/>
    <w:rsid w:val="00780870"/>
    <w:rsid w:val="007823A8"/>
    <w:rsid w:val="00783D84"/>
    <w:rsid w:val="007849BE"/>
    <w:rsid w:val="007864FE"/>
    <w:rsid w:val="00794585"/>
    <w:rsid w:val="00794E58"/>
    <w:rsid w:val="007A35ED"/>
    <w:rsid w:val="007A3FA9"/>
    <w:rsid w:val="007A40BB"/>
    <w:rsid w:val="007B069B"/>
    <w:rsid w:val="007B2B05"/>
    <w:rsid w:val="007B65AD"/>
    <w:rsid w:val="007C0AB4"/>
    <w:rsid w:val="007C709C"/>
    <w:rsid w:val="007C726E"/>
    <w:rsid w:val="007D018B"/>
    <w:rsid w:val="007D1E92"/>
    <w:rsid w:val="007E47EF"/>
    <w:rsid w:val="007F3669"/>
    <w:rsid w:val="00800F9D"/>
    <w:rsid w:val="00806883"/>
    <w:rsid w:val="00812778"/>
    <w:rsid w:val="0081292A"/>
    <w:rsid w:val="008158B1"/>
    <w:rsid w:val="00823002"/>
    <w:rsid w:val="0083660F"/>
    <w:rsid w:val="00843488"/>
    <w:rsid w:val="00844E91"/>
    <w:rsid w:val="00844EA6"/>
    <w:rsid w:val="00850D60"/>
    <w:rsid w:val="008538C8"/>
    <w:rsid w:val="00857CDD"/>
    <w:rsid w:val="008602F8"/>
    <w:rsid w:val="00864858"/>
    <w:rsid w:val="0089561D"/>
    <w:rsid w:val="008A3049"/>
    <w:rsid w:val="008B4677"/>
    <w:rsid w:val="008B5590"/>
    <w:rsid w:val="008B74D2"/>
    <w:rsid w:val="008C0F60"/>
    <w:rsid w:val="008C5B30"/>
    <w:rsid w:val="008C6423"/>
    <w:rsid w:val="008C65E6"/>
    <w:rsid w:val="008E0A39"/>
    <w:rsid w:val="008F7696"/>
    <w:rsid w:val="00911F29"/>
    <w:rsid w:val="00912372"/>
    <w:rsid w:val="00920680"/>
    <w:rsid w:val="00924D8E"/>
    <w:rsid w:val="0094583D"/>
    <w:rsid w:val="0096462F"/>
    <w:rsid w:val="0097054B"/>
    <w:rsid w:val="00974DA2"/>
    <w:rsid w:val="0098100A"/>
    <w:rsid w:val="0098558E"/>
    <w:rsid w:val="00986534"/>
    <w:rsid w:val="0099113E"/>
    <w:rsid w:val="00994FAF"/>
    <w:rsid w:val="0099582B"/>
    <w:rsid w:val="009A4C7B"/>
    <w:rsid w:val="009A505D"/>
    <w:rsid w:val="009B14A0"/>
    <w:rsid w:val="009C0F2F"/>
    <w:rsid w:val="009C29A2"/>
    <w:rsid w:val="009C4386"/>
    <w:rsid w:val="009D1EC9"/>
    <w:rsid w:val="009D6154"/>
    <w:rsid w:val="009E1845"/>
    <w:rsid w:val="009E5E0B"/>
    <w:rsid w:val="009F28C6"/>
    <w:rsid w:val="009F4976"/>
    <w:rsid w:val="00A10EE5"/>
    <w:rsid w:val="00A16BBC"/>
    <w:rsid w:val="00A1705A"/>
    <w:rsid w:val="00A23C6D"/>
    <w:rsid w:val="00A43D4A"/>
    <w:rsid w:val="00A43E64"/>
    <w:rsid w:val="00A441C9"/>
    <w:rsid w:val="00A456CF"/>
    <w:rsid w:val="00A477BA"/>
    <w:rsid w:val="00A57611"/>
    <w:rsid w:val="00A62150"/>
    <w:rsid w:val="00A63619"/>
    <w:rsid w:val="00A663D1"/>
    <w:rsid w:val="00A67347"/>
    <w:rsid w:val="00A749FC"/>
    <w:rsid w:val="00A75CA3"/>
    <w:rsid w:val="00A77DC7"/>
    <w:rsid w:val="00A77FD8"/>
    <w:rsid w:val="00A851ED"/>
    <w:rsid w:val="00A953E0"/>
    <w:rsid w:val="00A972D8"/>
    <w:rsid w:val="00AA46C6"/>
    <w:rsid w:val="00AB3CB4"/>
    <w:rsid w:val="00AB7BC8"/>
    <w:rsid w:val="00AC330C"/>
    <w:rsid w:val="00AC785A"/>
    <w:rsid w:val="00AD60B6"/>
    <w:rsid w:val="00AE3543"/>
    <w:rsid w:val="00AE41BC"/>
    <w:rsid w:val="00AE63FB"/>
    <w:rsid w:val="00AF4C4E"/>
    <w:rsid w:val="00AF59C2"/>
    <w:rsid w:val="00B03D1F"/>
    <w:rsid w:val="00B15DC3"/>
    <w:rsid w:val="00B2139B"/>
    <w:rsid w:val="00B23757"/>
    <w:rsid w:val="00B260B0"/>
    <w:rsid w:val="00B32373"/>
    <w:rsid w:val="00B46075"/>
    <w:rsid w:val="00B53B7D"/>
    <w:rsid w:val="00B541B4"/>
    <w:rsid w:val="00B578E1"/>
    <w:rsid w:val="00B610A9"/>
    <w:rsid w:val="00B82F1C"/>
    <w:rsid w:val="00B871A9"/>
    <w:rsid w:val="00B87CD1"/>
    <w:rsid w:val="00BA0777"/>
    <w:rsid w:val="00BA1E43"/>
    <w:rsid w:val="00BA1FDF"/>
    <w:rsid w:val="00BA24ED"/>
    <w:rsid w:val="00BA798E"/>
    <w:rsid w:val="00BB2F40"/>
    <w:rsid w:val="00BB3785"/>
    <w:rsid w:val="00BB6FBB"/>
    <w:rsid w:val="00BC0156"/>
    <w:rsid w:val="00BD1E1B"/>
    <w:rsid w:val="00BD3429"/>
    <w:rsid w:val="00BE027F"/>
    <w:rsid w:val="00BE4C6F"/>
    <w:rsid w:val="00BE756F"/>
    <w:rsid w:val="00BF19CA"/>
    <w:rsid w:val="00C029A9"/>
    <w:rsid w:val="00C26341"/>
    <w:rsid w:val="00C26C71"/>
    <w:rsid w:val="00C32040"/>
    <w:rsid w:val="00C33C78"/>
    <w:rsid w:val="00C4711D"/>
    <w:rsid w:val="00C51060"/>
    <w:rsid w:val="00C5184F"/>
    <w:rsid w:val="00C5357E"/>
    <w:rsid w:val="00C55C64"/>
    <w:rsid w:val="00C654A8"/>
    <w:rsid w:val="00C67929"/>
    <w:rsid w:val="00C7347F"/>
    <w:rsid w:val="00C84A18"/>
    <w:rsid w:val="00C8581C"/>
    <w:rsid w:val="00CC3315"/>
    <w:rsid w:val="00CC34A1"/>
    <w:rsid w:val="00CC4720"/>
    <w:rsid w:val="00CC56B2"/>
    <w:rsid w:val="00CC7F2A"/>
    <w:rsid w:val="00CE0DD0"/>
    <w:rsid w:val="00CE7B8D"/>
    <w:rsid w:val="00CF54D8"/>
    <w:rsid w:val="00CF57F4"/>
    <w:rsid w:val="00D00037"/>
    <w:rsid w:val="00D17426"/>
    <w:rsid w:val="00D413CD"/>
    <w:rsid w:val="00D6009A"/>
    <w:rsid w:val="00D6144C"/>
    <w:rsid w:val="00D65630"/>
    <w:rsid w:val="00D67255"/>
    <w:rsid w:val="00D76B55"/>
    <w:rsid w:val="00D806E2"/>
    <w:rsid w:val="00D81030"/>
    <w:rsid w:val="00D82DFC"/>
    <w:rsid w:val="00D8739D"/>
    <w:rsid w:val="00D90C55"/>
    <w:rsid w:val="00DA61E2"/>
    <w:rsid w:val="00DB58A9"/>
    <w:rsid w:val="00DB6D34"/>
    <w:rsid w:val="00DC0C9B"/>
    <w:rsid w:val="00DD72F7"/>
    <w:rsid w:val="00DE4C28"/>
    <w:rsid w:val="00DF052F"/>
    <w:rsid w:val="00DF1432"/>
    <w:rsid w:val="00DF14B8"/>
    <w:rsid w:val="00DF4DE9"/>
    <w:rsid w:val="00E03734"/>
    <w:rsid w:val="00E2324D"/>
    <w:rsid w:val="00E257CD"/>
    <w:rsid w:val="00E274DE"/>
    <w:rsid w:val="00E32C99"/>
    <w:rsid w:val="00E339B9"/>
    <w:rsid w:val="00E33E66"/>
    <w:rsid w:val="00E50B4A"/>
    <w:rsid w:val="00E5298D"/>
    <w:rsid w:val="00E5387C"/>
    <w:rsid w:val="00E649DD"/>
    <w:rsid w:val="00E73948"/>
    <w:rsid w:val="00E7515B"/>
    <w:rsid w:val="00E84953"/>
    <w:rsid w:val="00E93382"/>
    <w:rsid w:val="00EA2BBE"/>
    <w:rsid w:val="00EA3F6C"/>
    <w:rsid w:val="00EA52B5"/>
    <w:rsid w:val="00EB6044"/>
    <w:rsid w:val="00EC0A50"/>
    <w:rsid w:val="00EC52F5"/>
    <w:rsid w:val="00EE208F"/>
    <w:rsid w:val="00EF028B"/>
    <w:rsid w:val="00EF1E9D"/>
    <w:rsid w:val="00F0285A"/>
    <w:rsid w:val="00F052AE"/>
    <w:rsid w:val="00F061B6"/>
    <w:rsid w:val="00F14128"/>
    <w:rsid w:val="00F16BBB"/>
    <w:rsid w:val="00F217DE"/>
    <w:rsid w:val="00F31275"/>
    <w:rsid w:val="00F31E2A"/>
    <w:rsid w:val="00F37ABF"/>
    <w:rsid w:val="00F4130A"/>
    <w:rsid w:val="00F44B09"/>
    <w:rsid w:val="00F54473"/>
    <w:rsid w:val="00F630BF"/>
    <w:rsid w:val="00F672A6"/>
    <w:rsid w:val="00F70C4F"/>
    <w:rsid w:val="00F74D34"/>
    <w:rsid w:val="00F76D1D"/>
    <w:rsid w:val="00F843CB"/>
    <w:rsid w:val="00F86BC9"/>
    <w:rsid w:val="00FA0A8A"/>
    <w:rsid w:val="00FA331D"/>
    <w:rsid w:val="00FB4C67"/>
    <w:rsid w:val="00FB7F56"/>
    <w:rsid w:val="00FC3094"/>
    <w:rsid w:val="00FC7A97"/>
    <w:rsid w:val="00FE0FA8"/>
    <w:rsid w:val="00FE4546"/>
    <w:rsid w:val="00FE4AEC"/>
    <w:rsid w:val="00FE5B7B"/>
    <w:rsid w:val="00FE7E49"/>
    <w:rsid w:val="00FF3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5331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rsid w:val="009C29A2"/>
    <w:pPr>
      <w:spacing w:after="0" w:line="240" w:lineRule="auto"/>
      <w:ind w:left="720" w:hanging="720"/>
      <w:outlineLvl w:val="0"/>
    </w:pPr>
    <w:rPr>
      <w:rFonts w:ascii="Calibri" w:eastAsia="Times New Roman" w:hAnsi="Calibri" w:cs="Arial"/>
      <w:b/>
      <w:caps/>
      <w:sz w:val="32"/>
      <w:szCs w:val="24"/>
      <w:lang w:eastAsia="en-AU"/>
    </w:rPr>
  </w:style>
  <w:style w:type="paragraph" w:styleId="Heading2">
    <w:name w:val="heading 2"/>
    <w:basedOn w:val="Normal"/>
    <w:next w:val="Normal"/>
    <w:link w:val="Heading2Char"/>
    <w:rsid w:val="009C29A2"/>
    <w:pPr>
      <w:spacing w:after="0" w:line="240" w:lineRule="auto"/>
      <w:outlineLvl w:val="1"/>
    </w:pPr>
    <w:rPr>
      <w:rFonts w:ascii="Calibri" w:eastAsia="Times New Roman" w:hAnsi="Calibri" w:cs="Arial"/>
      <w:b/>
      <w:i/>
      <w:sz w:val="28"/>
      <w:szCs w:val="24"/>
      <w:lang w:eastAsia="en-AU"/>
    </w:rPr>
  </w:style>
  <w:style w:type="paragraph" w:styleId="Heading3">
    <w:name w:val="heading 3"/>
    <w:basedOn w:val="Normal"/>
    <w:next w:val="Normal"/>
    <w:link w:val="Heading3Char"/>
    <w:rsid w:val="009C29A2"/>
    <w:pPr>
      <w:spacing w:after="0" w:line="240" w:lineRule="auto"/>
      <w:outlineLvl w:val="2"/>
    </w:pPr>
    <w:rPr>
      <w:rFonts w:ascii="Calibri" w:eastAsia="Times New Roman" w:hAnsi="Calibri" w:cs="Arial"/>
      <w:sz w:val="24"/>
      <w:szCs w:val="24"/>
      <w:u w:val="single"/>
      <w:lang w:eastAsia="en-AU"/>
    </w:rPr>
  </w:style>
  <w:style w:type="paragraph" w:styleId="Heading4">
    <w:name w:val="heading 4"/>
    <w:basedOn w:val="Normal"/>
    <w:next w:val="Normal"/>
    <w:link w:val="Heading4Char"/>
    <w:rsid w:val="009C29A2"/>
    <w:pPr>
      <w:keepNext/>
      <w:spacing w:before="240" w:after="60" w:line="240" w:lineRule="auto"/>
      <w:outlineLvl w:val="3"/>
    </w:pPr>
    <w:rPr>
      <w:rFonts w:ascii="Calibri" w:eastAsia="Times New Roman" w:hAnsi="Calibri" w:cs="Arial"/>
      <w:b/>
      <w:bCs/>
      <w:i/>
      <w:sz w:val="26"/>
      <w:szCs w:val="28"/>
      <w:lang w:eastAsia="en-AU"/>
    </w:rPr>
  </w:style>
  <w:style w:type="paragraph" w:styleId="Heading5">
    <w:name w:val="heading 5"/>
    <w:basedOn w:val="Normal"/>
    <w:next w:val="Normal"/>
    <w:link w:val="Heading5Char"/>
    <w:rsid w:val="009C29A2"/>
    <w:pPr>
      <w:spacing w:before="240" w:after="60" w:line="240" w:lineRule="auto"/>
      <w:outlineLvl w:val="4"/>
    </w:pPr>
    <w:rPr>
      <w:rFonts w:ascii="Calibri" w:eastAsia="Times New Roman" w:hAnsi="Calibri" w:cs="Arial"/>
      <w:b/>
      <w:bCs/>
      <w:iCs/>
      <w:sz w:val="26"/>
      <w:szCs w:val="26"/>
      <w:lang w:eastAsia="en-AU"/>
    </w:rPr>
  </w:style>
  <w:style w:type="paragraph" w:styleId="Heading6">
    <w:name w:val="heading 6"/>
    <w:basedOn w:val="Normal"/>
    <w:next w:val="Normal"/>
    <w:link w:val="Heading6Char"/>
    <w:rsid w:val="009C29A2"/>
    <w:pPr>
      <w:spacing w:before="240" w:after="60" w:line="240" w:lineRule="auto"/>
      <w:outlineLvl w:val="5"/>
    </w:pPr>
    <w:rPr>
      <w:rFonts w:ascii="Calibri" w:eastAsia="Times New Roman" w:hAnsi="Calibri" w:cs="Arial"/>
      <w:b/>
      <w:bCs/>
      <w:i/>
      <w:sz w:val="24"/>
      <w:szCs w:val="24"/>
      <w:lang w:eastAsia="en-AU"/>
    </w:rPr>
  </w:style>
  <w:style w:type="paragraph" w:styleId="Heading7">
    <w:name w:val="heading 7"/>
    <w:basedOn w:val="Normal"/>
    <w:next w:val="Normal"/>
    <w:link w:val="Heading7Char"/>
    <w:rsid w:val="009C29A2"/>
    <w:pPr>
      <w:keepNext/>
      <w:spacing w:after="0" w:line="240" w:lineRule="auto"/>
      <w:jc w:val="center"/>
      <w:outlineLvl w:val="6"/>
    </w:pPr>
    <w:rPr>
      <w:rFonts w:ascii="Calibri" w:eastAsia="Times New Roman" w:hAnsi="Calibri" w:cs="Arial"/>
      <w:b/>
      <w:sz w:val="20"/>
      <w:szCs w:val="24"/>
      <w:lang w:eastAsia="en-AU"/>
    </w:rPr>
  </w:style>
  <w:style w:type="paragraph" w:styleId="Heading8">
    <w:name w:val="heading 8"/>
    <w:basedOn w:val="Normal"/>
    <w:next w:val="Normal"/>
    <w:link w:val="Heading8Char"/>
    <w:uiPriority w:val="7"/>
    <w:rsid w:val="009C29A2"/>
    <w:pPr>
      <w:keepNext/>
      <w:spacing w:after="0" w:line="240" w:lineRule="auto"/>
      <w:jc w:val="right"/>
      <w:outlineLvl w:val="7"/>
    </w:pPr>
    <w:rPr>
      <w:rFonts w:ascii="Calibri" w:eastAsia="Times New Roman" w:hAnsi="Calibri" w:cs="Arial"/>
      <w:b/>
      <w:sz w:val="24"/>
      <w:szCs w:val="24"/>
      <w:lang w:eastAsia="en-AU"/>
    </w:rPr>
  </w:style>
  <w:style w:type="paragraph" w:styleId="Heading9">
    <w:name w:val="heading 9"/>
    <w:basedOn w:val="Normal"/>
    <w:next w:val="Normal"/>
    <w:link w:val="Heading9Char"/>
    <w:rsid w:val="009C29A2"/>
    <w:pPr>
      <w:keepNext/>
      <w:spacing w:after="0" w:line="240" w:lineRule="auto"/>
      <w:jc w:val="center"/>
      <w:outlineLvl w:val="8"/>
    </w:pPr>
    <w:rPr>
      <w:rFonts w:ascii="Calibri" w:eastAsia="Times New Roman" w:hAnsi="Calibri" w:cs="Arial"/>
      <w:b/>
      <w:color w:val="000000"/>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29A2"/>
    <w:rPr>
      <w:rFonts w:ascii="Calibri" w:eastAsia="Times New Roman" w:hAnsi="Calibri" w:cs="Arial"/>
      <w:b/>
      <w:caps/>
      <w:sz w:val="32"/>
      <w:szCs w:val="24"/>
      <w:lang w:eastAsia="en-AU"/>
    </w:rPr>
  </w:style>
  <w:style w:type="character" w:customStyle="1" w:styleId="Heading2Char">
    <w:name w:val="Heading 2 Char"/>
    <w:basedOn w:val="DefaultParagraphFont"/>
    <w:link w:val="Heading2"/>
    <w:rsid w:val="009C29A2"/>
    <w:rPr>
      <w:rFonts w:ascii="Calibri" w:eastAsia="Times New Roman" w:hAnsi="Calibri" w:cs="Arial"/>
      <w:b/>
      <w:i/>
      <w:sz w:val="28"/>
      <w:szCs w:val="24"/>
      <w:lang w:eastAsia="en-AU"/>
    </w:rPr>
  </w:style>
  <w:style w:type="character" w:customStyle="1" w:styleId="Heading3Char">
    <w:name w:val="Heading 3 Char"/>
    <w:basedOn w:val="DefaultParagraphFont"/>
    <w:link w:val="Heading3"/>
    <w:rsid w:val="009C29A2"/>
    <w:rPr>
      <w:rFonts w:ascii="Calibri" w:eastAsia="Times New Roman" w:hAnsi="Calibri" w:cs="Arial"/>
      <w:sz w:val="24"/>
      <w:szCs w:val="24"/>
      <w:u w:val="single"/>
      <w:lang w:eastAsia="en-AU"/>
    </w:rPr>
  </w:style>
  <w:style w:type="character" w:customStyle="1" w:styleId="Heading4Char">
    <w:name w:val="Heading 4 Char"/>
    <w:basedOn w:val="DefaultParagraphFont"/>
    <w:link w:val="Heading4"/>
    <w:rsid w:val="009C29A2"/>
    <w:rPr>
      <w:rFonts w:ascii="Calibri" w:eastAsia="Times New Roman" w:hAnsi="Calibri" w:cs="Arial"/>
      <w:b/>
      <w:bCs/>
      <w:i/>
      <w:sz w:val="26"/>
      <w:szCs w:val="28"/>
      <w:lang w:eastAsia="en-AU"/>
    </w:rPr>
  </w:style>
  <w:style w:type="character" w:customStyle="1" w:styleId="Heading5Char">
    <w:name w:val="Heading 5 Char"/>
    <w:basedOn w:val="DefaultParagraphFont"/>
    <w:link w:val="Heading5"/>
    <w:rsid w:val="009C29A2"/>
    <w:rPr>
      <w:rFonts w:ascii="Calibri" w:eastAsia="Times New Roman" w:hAnsi="Calibri" w:cs="Arial"/>
      <w:b/>
      <w:bCs/>
      <w:iCs/>
      <w:sz w:val="26"/>
      <w:szCs w:val="26"/>
      <w:lang w:eastAsia="en-AU"/>
    </w:rPr>
  </w:style>
  <w:style w:type="character" w:customStyle="1" w:styleId="Heading6Char">
    <w:name w:val="Heading 6 Char"/>
    <w:basedOn w:val="DefaultParagraphFont"/>
    <w:link w:val="Heading6"/>
    <w:rsid w:val="009C29A2"/>
    <w:rPr>
      <w:rFonts w:ascii="Calibri" w:eastAsia="Times New Roman" w:hAnsi="Calibri" w:cs="Arial"/>
      <w:b/>
      <w:bCs/>
      <w:i/>
      <w:sz w:val="24"/>
      <w:szCs w:val="24"/>
      <w:lang w:eastAsia="en-AU"/>
    </w:rPr>
  </w:style>
  <w:style w:type="character" w:customStyle="1" w:styleId="Heading7Char">
    <w:name w:val="Heading 7 Char"/>
    <w:basedOn w:val="DefaultParagraphFont"/>
    <w:link w:val="Heading7"/>
    <w:rsid w:val="009C29A2"/>
    <w:rPr>
      <w:rFonts w:ascii="Calibri" w:eastAsia="Times New Roman" w:hAnsi="Calibri" w:cs="Arial"/>
      <w:b/>
      <w:sz w:val="20"/>
      <w:szCs w:val="24"/>
      <w:lang w:eastAsia="en-AU"/>
    </w:rPr>
  </w:style>
  <w:style w:type="character" w:customStyle="1" w:styleId="Heading8Char">
    <w:name w:val="Heading 8 Char"/>
    <w:basedOn w:val="DefaultParagraphFont"/>
    <w:link w:val="Heading8"/>
    <w:uiPriority w:val="7"/>
    <w:rsid w:val="009C29A2"/>
    <w:rPr>
      <w:rFonts w:ascii="Calibri" w:eastAsia="Times New Roman" w:hAnsi="Calibri" w:cs="Arial"/>
      <w:b/>
      <w:sz w:val="24"/>
      <w:szCs w:val="24"/>
      <w:lang w:eastAsia="en-AU"/>
    </w:rPr>
  </w:style>
  <w:style w:type="character" w:customStyle="1" w:styleId="Heading9Char">
    <w:name w:val="Heading 9 Char"/>
    <w:basedOn w:val="DefaultParagraphFont"/>
    <w:link w:val="Heading9"/>
    <w:rsid w:val="009C29A2"/>
    <w:rPr>
      <w:rFonts w:ascii="Calibri" w:eastAsia="Times New Roman" w:hAnsi="Calibri" w:cs="Arial"/>
      <w:b/>
      <w:color w:val="000000"/>
      <w:sz w:val="20"/>
      <w:szCs w:val="24"/>
      <w:lang w:eastAsia="en-AU"/>
    </w:rPr>
  </w:style>
  <w:style w:type="paragraph" w:customStyle="1" w:styleId="TableFooter">
    <w:name w:val="Table Footer"/>
    <w:basedOn w:val="Normal"/>
    <w:link w:val="TableFooterChar"/>
    <w:rsid w:val="009C29A2"/>
    <w:pPr>
      <w:spacing w:after="0" w:line="240" w:lineRule="auto"/>
    </w:pPr>
    <w:rPr>
      <w:rFonts w:ascii="Arial Narrow" w:eastAsia="Times New Roman" w:hAnsi="Arial Narrow" w:cs="Arial"/>
      <w:sz w:val="18"/>
      <w:szCs w:val="24"/>
      <w:lang w:eastAsia="en-AU"/>
    </w:rPr>
  </w:style>
  <w:style w:type="character" w:customStyle="1" w:styleId="TableFooterChar">
    <w:name w:val="Table Footer Char"/>
    <w:link w:val="TableFooter"/>
    <w:rsid w:val="009C29A2"/>
    <w:rPr>
      <w:rFonts w:ascii="Arial Narrow" w:eastAsia="Times New Roman" w:hAnsi="Arial Narrow" w:cs="Arial"/>
      <w:sz w:val="18"/>
      <w:szCs w:val="24"/>
      <w:lang w:eastAsia="en-AU"/>
    </w:rPr>
  </w:style>
  <w:style w:type="paragraph" w:customStyle="1" w:styleId="TableHeader">
    <w:name w:val="Table Header"/>
    <w:basedOn w:val="Normal"/>
    <w:uiPriority w:val="3"/>
    <w:rsid w:val="009C29A2"/>
    <w:pPr>
      <w:spacing w:after="0" w:line="240" w:lineRule="auto"/>
    </w:pPr>
    <w:rPr>
      <w:rFonts w:ascii="Calibri" w:eastAsia="Times New Roman" w:hAnsi="Calibri" w:cs="Arial"/>
      <w:b/>
      <w:sz w:val="20"/>
      <w:szCs w:val="24"/>
      <w:lang w:eastAsia="en-AU"/>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9C29A2"/>
    <w:pPr>
      <w:spacing w:after="200" w:line="240" w:lineRule="auto"/>
    </w:pPr>
    <w:rPr>
      <w:rFonts w:ascii="Calibri" w:eastAsia="Times New Roman" w:hAnsi="Calibri" w:cs="Arial"/>
      <w:b/>
      <w:bCs/>
      <w:color w:val="4472C4" w:themeColor="accent1"/>
      <w:sz w:val="18"/>
      <w:szCs w:val="18"/>
      <w:lang w:eastAsia="en-AU"/>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9C29A2"/>
    <w:rPr>
      <w:rFonts w:ascii="Calibri" w:eastAsia="Times New Roman" w:hAnsi="Calibri" w:cs="Arial"/>
      <w:b/>
      <w:bCs/>
      <w:color w:val="4472C4" w:themeColor="accent1"/>
      <w:sz w:val="18"/>
      <w:szCs w:val="18"/>
      <w:lang w:eastAsia="en-AU"/>
    </w:rPr>
  </w:style>
  <w:style w:type="paragraph" w:styleId="Title">
    <w:name w:val="Title"/>
    <w:basedOn w:val="Normal"/>
    <w:next w:val="Normal"/>
    <w:link w:val="TitleChar"/>
    <w:rsid w:val="009C29A2"/>
    <w:pPr>
      <w:spacing w:before="240" w:after="60" w:line="240" w:lineRule="auto"/>
      <w:jc w:val="center"/>
      <w:outlineLvl w:val="0"/>
    </w:pPr>
    <w:rPr>
      <w:rFonts w:ascii="Cambria" w:eastAsia="Times New Roman" w:hAnsi="Cambria" w:cs="Arial"/>
      <w:b/>
      <w:bCs/>
      <w:kern w:val="28"/>
      <w:sz w:val="32"/>
      <w:szCs w:val="32"/>
      <w:lang w:eastAsia="en-AU"/>
    </w:rPr>
  </w:style>
  <w:style w:type="character" w:customStyle="1" w:styleId="TitleChar">
    <w:name w:val="Title Char"/>
    <w:basedOn w:val="DefaultParagraphFont"/>
    <w:link w:val="Title"/>
    <w:rsid w:val="009C29A2"/>
    <w:rPr>
      <w:rFonts w:ascii="Cambria" w:eastAsia="Times New Roman" w:hAnsi="Cambria" w:cs="Arial"/>
      <w:b/>
      <w:bCs/>
      <w:kern w:val="28"/>
      <w:sz w:val="32"/>
      <w:szCs w:val="32"/>
      <w:lang w:eastAsia="en-AU"/>
    </w:rPr>
  </w:style>
  <w:style w:type="paragraph" w:styleId="BodyText">
    <w:name w:val="Body Text"/>
    <w:basedOn w:val="Normal"/>
    <w:link w:val="BodyTextChar"/>
    <w:rsid w:val="009C29A2"/>
    <w:pPr>
      <w:spacing w:after="0" w:line="240" w:lineRule="auto"/>
    </w:pPr>
    <w:rPr>
      <w:rFonts w:ascii="Calibri" w:eastAsia="Times New Roman" w:hAnsi="Calibri" w:cs="Arial"/>
      <w:sz w:val="24"/>
      <w:szCs w:val="24"/>
      <w:lang w:eastAsia="en-AU"/>
    </w:rPr>
  </w:style>
  <w:style w:type="character" w:customStyle="1" w:styleId="BodyTextChar">
    <w:name w:val="Body Text Char"/>
    <w:basedOn w:val="DefaultParagraphFont"/>
    <w:link w:val="BodyText"/>
    <w:rsid w:val="009C29A2"/>
    <w:rPr>
      <w:rFonts w:ascii="Calibri" w:eastAsia="Times New Roman" w:hAnsi="Calibri" w:cs="Arial"/>
      <w:sz w:val="24"/>
      <w:szCs w:val="24"/>
      <w:lang w:eastAsia="en-AU"/>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next w:val="ListBullet"/>
    <w:link w:val="ListParagraphChar"/>
    <w:uiPriority w:val="34"/>
    <w:qFormat/>
    <w:rsid w:val="009C29A2"/>
    <w:pPr>
      <w:numPr>
        <w:numId w:val="3"/>
      </w:numPr>
      <w:spacing w:after="120" w:line="240" w:lineRule="auto"/>
      <w:jc w:val="both"/>
    </w:pPr>
    <w:rPr>
      <w:rFonts w:eastAsia="Times New Roman" w:cs="Arial"/>
      <w:snapToGrid w:val="0"/>
      <w:sz w:val="24"/>
      <w:szCs w:val="24"/>
      <w:lang w:eastAsia="en-AU"/>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9C29A2"/>
    <w:rPr>
      <w:rFonts w:eastAsia="Times New Roman" w:cs="Arial"/>
      <w:snapToGrid w:val="0"/>
      <w:sz w:val="24"/>
      <w:szCs w:val="24"/>
      <w:lang w:eastAsia="en-AU"/>
    </w:rPr>
  </w:style>
  <w:style w:type="paragraph" w:customStyle="1" w:styleId="RegularText">
    <w:name w:val="Regular Text"/>
    <w:basedOn w:val="BodyText"/>
    <w:link w:val="RegularTextChar"/>
    <w:rsid w:val="009C29A2"/>
    <w:rPr>
      <w:b/>
    </w:rPr>
  </w:style>
  <w:style w:type="character" w:customStyle="1" w:styleId="RegularTextChar">
    <w:name w:val="Regular Text Char"/>
    <w:basedOn w:val="BodyTextChar"/>
    <w:link w:val="RegularText"/>
    <w:rsid w:val="009C29A2"/>
    <w:rPr>
      <w:rFonts w:ascii="Calibri" w:eastAsia="Times New Roman" w:hAnsi="Calibri" w:cs="Arial"/>
      <w:b/>
      <w:sz w:val="24"/>
      <w:szCs w:val="24"/>
      <w:lang w:eastAsia="en-AU"/>
    </w:rPr>
  </w:style>
  <w:style w:type="paragraph" w:styleId="NoSpacing">
    <w:name w:val="No Spacing"/>
    <w:uiPriority w:val="1"/>
    <w:qFormat/>
    <w:rsid w:val="009C29A2"/>
    <w:pPr>
      <w:widowControl w:val="0"/>
      <w:spacing w:after="0" w:line="240" w:lineRule="auto"/>
      <w:jc w:val="both"/>
    </w:pPr>
    <w:rPr>
      <w:rFonts w:ascii="Arial" w:eastAsia="Times New Roman" w:hAnsi="Arial" w:cs="Arial"/>
      <w:snapToGrid w:val="0"/>
      <w:szCs w:val="20"/>
    </w:rPr>
  </w:style>
  <w:style w:type="paragraph" w:styleId="Header">
    <w:name w:val="header"/>
    <w:aliases w:val="Page Header,Header title,he=header,cntr/bld"/>
    <w:basedOn w:val="Normal"/>
    <w:link w:val="HeaderChar"/>
    <w:uiPriority w:val="99"/>
    <w:qFormat/>
    <w:rsid w:val="009C29A2"/>
    <w:pPr>
      <w:keepNext/>
      <w:tabs>
        <w:tab w:val="center" w:pos="4513"/>
        <w:tab w:val="right" w:pos="9026"/>
      </w:tabs>
      <w:spacing w:after="0" w:line="240" w:lineRule="auto"/>
      <w:jc w:val="center"/>
    </w:pPr>
    <w:rPr>
      <w:rFonts w:ascii="Calibri" w:eastAsia="Times New Roman" w:hAnsi="Calibri" w:cs="Arial"/>
      <w:sz w:val="24"/>
      <w:szCs w:val="24"/>
      <w:lang w:eastAsia="en-AU"/>
    </w:rPr>
  </w:style>
  <w:style w:type="character" w:customStyle="1" w:styleId="HeaderChar">
    <w:name w:val="Header Char"/>
    <w:aliases w:val="Page Header Char,Header title Char,he=header Char,cntr/bld Char"/>
    <w:basedOn w:val="DefaultParagraphFont"/>
    <w:link w:val="Header"/>
    <w:uiPriority w:val="99"/>
    <w:rsid w:val="009C29A2"/>
    <w:rPr>
      <w:rFonts w:ascii="Calibri" w:eastAsia="Times New Roman" w:hAnsi="Calibri" w:cs="Arial"/>
      <w:sz w:val="24"/>
      <w:szCs w:val="24"/>
      <w:lang w:eastAsia="en-AU"/>
    </w:rPr>
  </w:style>
  <w:style w:type="paragraph" w:styleId="Footer">
    <w:name w:val="footer"/>
    <w:basedOn w:val="Normal"/>
    <w:link w:val="FooterChar"/>
    <w:uiPriority w:val="99"/>
    <w:rsid w:val="009C29A2"/>
    <w:pPr>
      <w:tabs>
        <w:tab w:val="center" w:pos="4513"/>
        <w:tab w:val="right" w:pos="9026"/>
      </w:tabs>
      <w:spacing w:after="0" w:line="240" w:lineRule="auto"/>
    </w:pPr>
    <w:rPr>
      <w:rFonts w:ascii="Calibri" w:eastAsia="Times New Roman" w:hAnsi="Calibri" w:cs="Arial"/>
      <w:sz w:val="24"/>
      <w:szCs w:val="24"/>
      <w:lang w:eastAsia="en-AU"/>
    </w:rPr>
  </w:style>
  <w:style w:type="character" w:customStyle="1" w:styleId="FooterChar">
    <w:name w:val="Footer Char"/>
    <w:basedOn w:val="DefaultParagraphFont"/>
    <w:link w:val="Footer"/>
    <w:uiPriority w:val="99"/>
    <w:rsid w:val="009C29A2"/>
    <w:rPr>
      <w:rFonts w:ascii="Calibri" w:eastAsia="Times New Roman" w:hAnsi="Calibri" w:cs="Arial"/>
      <w:sz w:val="24"/>
      <w:szCs w:val="24"/>
      <w:lang w:eastAsia="en-AU"/>
    </w:rPr>
  </w:style>
  <w:style w:type="table" w:styleId="TableGrid">
    <w:name w:val="Table Grid"/>
    <w:aliases w:val="Summary box,Table Gridbeth,CMA Table Template,ASD Table,new style"/>
    <w:basedOn w:val="TableNormal"/>
    <w:uiPriority w:val="39"/>
    <w:rsid w:val="009C29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9C29A2"/>
    <w:rPr>
      <w:rFonts w:ascii="Arial Narrow" w:hAnsi="Arial Narrow"/>
      <w:b/>
      <w:sz w:val="20"/>
      <w:szCs w:val="16"/>
    </w:rPr>
  </w:style>
  <w:style w:type="paragraph" w:customStyle="1" w:styleId="Tabletext">
    <w:name w:val="Table text"/>
    <w:basedOn w:val="Normal"/>
    <w:link w:val="TabletextChar"/>
    <w:rsid w:val="009C29A2"/>
    <w:pPr>
      <w:spacing w:after="0" w:line="240" w:lineRule="auto"/>
    </w:pPr>
    <w:rPr>
      <w:rFonts w:ascii="Arial Narrow" w:eastAsia="Times New Roman" w:hAnsi="Arial Narrow" w:cs="Times New Roman"/>
      <w:snapToGrid w:val="0"/>
      <w:sz w:val="20"/>
      <w:szCs w:val="24"/>
      <w:lang w:eastAsia="en-AU"/>
    </w:rPr>
  </w:style>
  <w:style w:type="character" w:customStyle="1" w:styleId="TabletextChar">
    <w:name w:val="Table text Char"/>
    <w:link w:val="Tabletext"/>
    <w:rsid w:val="009C29A2"/>
    <w:rPr>
      <w:rFonts w:ascii="Arial Narrow" w:eastAsia="Times New Roman" w:hAnsi="Arial Narrow" w:cs="Times New Roman"/>
      <w:snapToGrid w:val="0"/>
      <w:sz w:val="20"/>
      <w:szCs w:val="24"/>
      <w:lang w:eastAsia="en-AU"/>
    </w:rPr>
  </w:style>
  <w:style w:type="paragraph" w:customStyle="1" w:styleId="TableHeading">
    <w:name w:val="TableHeading"/>
    <w:basedOn w:val="Normal"/>
    <w:rsid w:val="009C29A2"/>
    <w:pPr>
      <w:keepNext/>
      <w:spacing w:before="40" w:after="40" w:line="240" w:lineRule="auto"/>
    </w:pPr>
    <w:rPr>
      <w:rFonts w:ascii="Arial Narrow" w:eastAsia="Times New Roman" w:hAnsi="Arial Narrow" w:cs="Arial Narrow"/>
      <w:b/>
      <w:bCs/>
      <w:snapToGrid w:val="0"/>
      <w:sz w:val="20"/>
      <w:szCs w:val="24"/>
      <w:lang w:eastAsia="en-AU"/>
    </w:rPr>
  </w:style>
  <w:style w:type="paragraph" w:customStyle="1" w:styleId="Corpsdetextemarge">
    <w:name w:val="Corps de texte marge"/>
    <w:basedOn w:val="BodyText"/>
    <w:uiPriority w:val="99"/>
    <w:rsid w:val="009C29A2"/>
    <w:pPr>
      <w:jc w:val="both"/>
    </w:pPr>
    <w:rPr>
      <w:rFonts w:ascii="Times" w:hAnsi="Times" w:cs="Times New Roman"/>
      <w:snapToGrid w:val="0"/>
      <w:lang w:val="en-US"/>
    </w:rPr>
  </w:style>
  <w:style w:type="paragraph" w:styleId="NormalWeb">
    <w:name w:val="Normal (Web)"/>
    <w:basedOn w:val="Normal"/>
    <w:uiPriority w:val="99"/>
    <w:rsid w:val="009C29A2"/>
    <w:pPr>
      <w:spacing w:before="100" w:after="100" w:line="240" w:lineRule="auto"/>
    </w:pPr>
    <w:rPr>
      <w:rFonts w:ascii="Times New Roman" w:eastAsia="Times New Roman" w:hAnsi="Times New Roman" w:cs="Times New Roman"/>
      <w:snapToGrid w:val="0"/>
      <w:sz w:val="24"/>
      <w:szCs w:val="24"/>
      <w:lang w:val="en-GB" w:eastAsia="en-AU"/>
    </w:rPr>
  </w:style>
  <w:style w:type="paragraph" w:styleId="TOC2">
    <w:name w:val="toc 2"/>
    <w:basedOn w:val="Normal"/>
    <w:next w:val="Normal"/>
    <w:autoRedefine/>
    <w:uiPriority w:val="39"/>
    <w:rsid w:val="009C29A2"/>
    <w:pPr>
      <w:tabs>
        <w:tab w:val="left" w:pos="713"/>
        <w:tab w:val="left" w:pos="880"/>
        <w:tab w:val="right" w:leader="dot" w:pos="9016"/>
      </w:tabs>
      <w:spacing w:before="40" w:after="0" w:line="240" w:lineRule="auto"/>
      <w:ind w:left="221"/>
    </w:pPr>
    <w:rPr>
      <w:rFonts w:ascii="Calibri" w:eastAsia="Times New Roman" w:hAnsi="Calibri" w:cs="Arial"/>
      <w:iCs/>
      <w:sz w:val="20"/>
      <w:szCs w:val="24"/>
      <w:lang w:eastAsia="en-AU"/>
    </w:rPr>
  </w:style>
  <w:style w:type="paragraph" w:styleId="TOC1">
    <w:name w:val="toc 1"/>
    <w:basedOn w:val="Normal"/>
    <w:next w:val="Normal"/>
    <w:autoRedefine/>
    <w:uiPriority w:val="39"/>
    <w:rsid w:val="009C29A2"/>
    <w:pPr>
      <w:tabs>
        <w:tab w:val="left" w:pos="440"/>
        <w:tab w:val="right" w:leader="dot" w:pos="9016"/>
      </w:tabs>
      <w:spacing w:after="120" w:line="240" w:lineRule="auto"/>
    </w:pPr>
    <w:rPr>
      <w:rFonts w:ascii="Calibri" w:eastAsia="Times New Roman" w:hAnsi="Calibri" w:cs="Arial"/>
      <w:bCs/>
      <w:sz w:val="20"/>
      <w:szCs w:val="24"/>
      <w:lang w:eastAsia="en-AU"/>
    </w:rPr>
  </w:style>
  <w:style w:type="character" w:styleId="Hyperlink">
    <w:name w:val="Hyperlink"/>
    <w:basedOn w:val="DefaultParagraphFont"/>
    <w:uiPriority w:val="99"/>
    <w:unhideWhenUsed/>
    <w:rsid w:val="009C29A2"/>
    <w:rPr>
      <w:color w:val="0563C1" w:themeColor="hyperlink"/>
      <w:u w:val="single"/>
    </w:rPr>
  </w:style>
  <w:style w:type="paragraph" w:styleId="TOCHeading">
    <w:name w:val="TOC Heading"/>
    <w:basedOn w:val="Heading1"/>
    <w:next w:val="Normal"/>
    <w:uiPriority w:val="39"/>
    <w:unhideWhenUsed/>
    <w:rsid w:val="009C29A2"/>
    <w:pPr>
      <w:keepNext/>
      <w:keepLines/>
      <w:spacing w:before="480" w:line="276" w:lineRule="auto"/>
      <w:ind w:left="0" w:firstLine="0"/>
      <w:outlineLvl w:val="9"/>
    </w:pPr>
    <w:rPr>
      <w:rFonts w:asciiTheme="majorHAnsi" w:eastAsiaTheme="majorEastAsia" w:hAnsiTheme="majorHAnsi" w:cstheme="majorBidi"/>
      <w:bCs/>
      <w:snapToGrid w:val="0"/>
      <w:color w:val="2F5496" w:themeColor="accent1" w:themeShade="BF"/>
      <w:sz w:val="28"/>
      <w:szCs w:val="28"/>
      <w:lang w:val="en-US" w:eastAsia="ja-JP"/>
    </w:rPr>
  </w:style>
  <w:style w:type="paragraph" w:styleId="TOC3">
    <w:name w:val="toc 3"/>
    <w:basedOn w:val="Normal"/>
    <w:next w:val="Normal"/>
    <w:autoRedefine/>
    <w:uiPriority w:val="39"/>
    <w:unhideWhenUsed/>
    <w:rsid w:val="009C29A2"/>
    <w:pPr>
      <w:spacing w:after="0" w:line="240" w:lineRule="auto"/>
      <w:ind w:left="440"/>
    </w:pPr>
    <w:rPr>
      <w:rFonts w:eastAsia="Times New Roman" w:cs="Arial"/>
      <w:sz w:val="20"/>
      <w:szCs w:val="24"/>
      <w:lang w:eastAsia="en-AU"/>
    </w:rPr>
  </w:style>
  <w:style w:type="paragraph" w:styleId="TOC4">
    <w:name w:val="toc 4"/>
    <w:basedOn w:val="Normal"/>
    <w:next w:val="Normal"/>
    <w:autoRedefine/>
    <w:rsid w:val="009C29A2"/>
    <w:pPr>
      <w:spacing w:after="0" w:line="240" w:lineRule="auto"/>
      <w:ind w:left="660"/>
    </w:pPr>
    <w:rPr>
      <w:rFonts w:eastAsia="Times New Roman" w:cs="Arial"/>
      <w:sz w:val="20"/>
      <w:szCs w:val="24"/>
      <w:lang w:eastAsia="en-AU"/>
    </w:rPr>
  </w:style>
  <w:style w:type="paragraph" w:styleId="TOC5">
    <w:name w:val="toc 5"/>
    <w:basedOn w:val="Normal"/>
    <w:next w:val="Normal"/>
    <w:autoRedefine/>
    <w:rsid w:val="009C29A2"/>
    <w:pPr>
      <w:spacing w:after="0" w:line="240" w:lineRule="auto"/>
      <w:ind w:left="880"/>
    </w:pPr>
    <w:rPr>
      <w:rFonts w:eastAsia="Times New Roman" w:cs="Arial"/>
      <w:sz w:val="20"/>
      <w:szCs w:val="24"/>
      <w:lang w:eastAsia="en-AU"/>
    </w:rPr>
  </w:style>
  <w:style w:type="paragraph" w:styleId="TOC6">
    <w:name w:val="toc 6"/>
    <w:basedOn w:val="Normal"/>
    <w:next w:val="Normal"/>
    <w:autoRedefine/>
    <w:rsid w:val="009C29A2"/>
    <w:pPr>
      <w:spacing w:after="0" w:line="240" w:lineRule="auto"/>
      <w:ind w:left="1100"/>
    </w:pPr>
    <w:rPr>
      <w:rFonts w:eastAsia="Times New Roman" w:cs="Arial"/>
      <w:sz w:val="20"/>
      <w:szCs w:val="24"/>
      <w:lang w:eastAsia="en-AU"/>
    </w:rPr>
  </w:style>
  <w:style w:type="paragraph" w:styleId="TOC7">
    <w:name w:val="toc 7"/>
    <w:basedOn w:val="Normal"/>
    <w:next w:val="Normal"/>
    <w:autoRedefine/>
    <w:rsid w:val="009C29A2"/>
    <w:pPr>
      <w:spacing w:after="0" w:line="240" w:lineRule="auto"/>
      <w:ind w:left="1320"/>
    </w:pPr>
    <w:rPr>
      <w:rFonts w:eastAsia="Times New Roman" w:cs="Arial"/>
      <w:sz w:val="20"/>
      <w:szCs w:val="24"/>
      <w:lang w:eastAsia="en-AU"/>
    </w:rPr>
  </w:style>
  <w:style w:type="paragraph" w:styleId="TOC8">
    <w:name w:val="toc 8"/>
    <w:basedOn w:val="Normal"/>
    <w:next w:val="Normal"/>
    <w:autoRedefine/>
    <w:rsid w:val="009C29A2"/>
    <w:pPr>
      <w:spacing w:after="0" w:line="240" w:lineRule="auto"/>
      <w:ind w:left="1540"/>
    </w:pPr>
    <w:rPr>
      <w:rFonts w:eastAsia="Times New Roman" w:cs="Arial"/>
      <w:sz w:val="20"/>
      <w:szCs w:val="24"/>
      <w:lang w:eastAsia="en-AU"/>
    </w:rPr>
  </w:style>
  <w:style w:type="paragraph" w:styleId="TOC9">
    <w:name w:val="toc 9"/>
    <w:basedOn w:val="Normal"/>
    <w:next w:val="Normal"/>
    <w:autoRedefine/>
    <w:rsid w:val="009C29A2"/>
    <w:pPr>
      <w:spacing w:after="0" w:line="240" w:lineRule="auto"/>
      <w:ind w:left="1760"/>
    </w:pPr>
    <w:rPr>
      <w:rFonts w:eastAsia="Times New Roman" w:cs="Arial"/>
      <w:sz w:val="20"/>
      <w:szCs w:val="24"/>
      <w:lang w:eastAsia="en-AU"/>
    </w:rPr>
  </w:style>
  <w:style w:type="paragraph" w:styleId="CommentText">
    <w:name w:val="annotation text"/>
    <w:aliases w:val="Comment Text Char Char Char,Comment Text Char Char"/>
    <w:basedOn w:val="Normal"/>
    <w:link w:val="CommentTextChar"/>
    <w:qFormat/>
    <w:rsid w:val="009C29A2"/>
    <w:pPr>
      <w:spacing w:after="0" w:line="240" w:lineRule="auto"/>
    </w:pPr>
    <w:rPr>
      <w:rFonts w:ascii="Times New Roman" w:eastAsia="Times New Roman" w:hAnsi="Times New Roman" w:cs="Times New Roman"/>
      <w:sz w:val="20"/>
      <w:szCs w:val="24"/>
      <w:lang w:eastAsia="en-AU"/>
    </w:rPr>
  </w:style>
  <w:style w:type="character" w:customStyle="1" w:styleId="CommentTextChar">
    <w:name w:val="Comment Text Char"/>
    <w:aliases w:val="Comment Text Char Char Char Char,Comment Text Char Char Char1"/>
    <w:basedOn w:val="DefaultParagraphFont"/>
    <w:link w:val="CommentText"/>
    <w:uiPriority w:val="99"/>
    <w:rsid w:val="009C29A2"/>
    <w:rPr>
      <w:rFonts w:ascii="Times New Roman" w:eastAsia="Times New Roman" w:hAnsi="Times New Roman" w:cs="Times New Roman"/>
      <w:sz w:val="20"/>
      <w:szCs w:val="24"/>
      <w:lang w:eastAsia="en-AU"/>
    </w:rPr>
  </w:style>
  <w:style w:type="paragraph" w:customStyle="1" w:styleId="Bulletpoints">
    <w:name w:val="Bullet points"/>
    <w:basedOn w:val="ListParagraph"/>
    <w:rsid w:val="009C29A2"/>
    <w:pPr>
      <w:numPr>
        <w:numId w:val="2"/>
      </w:numPr>
      <w:contextualSpacing/>
    </w:pPr>
  </w:style>
  <w:style w:type="paragraph" w:customStyle="1" w:styleId="TableName">
    <w:name w:val="TableName"/>
    <w:basedOn w:val="Normal"/>
    <w:rsid w:val="009C29A2"/>
    <w:pPr>
      <w:keepNext/>
      <w:spacing w:before="120" w:after="120" w:line="240" w:lineRule="auto"/>
      <w:ind w:left="1800" w:hanging="1080"/>
    </w:pPr>
    <w:rPr>
      <w:rFonts w:ascii="Arial Narrow" w:eastAsia="Times New Roman" w:hAnsi="Arial Narrow" w:cs="Arial Narrow"/>
      <w:b/>
      <w:bCs/>
      <w:snapToGrid w:val="0"/>
      <w:sz w:val="24"/>
      <w:szCs w:val="24"/>
      <w:lang w:eastAsia="en-AU"/>
    </w:rPr>
  </w:style>
  <w:style w:type="paragraph" w:customStyle="1" w:styleId="TableNotes18">
    <w:name w:val="TableNotes+18"/>
    <w:basedOn w:val="Normal"/>
    <w:rsid w:val="009C29A2"/>
    <w:pPr>
      <w:keepLines/>
      <w:spacing w:after="360" w:line="240" w:lineRule="auto"/>
      <w:ind w:left="720"/>
    </w:pPr>
    <w:rPr>
      <w:rFonts w:ascii="Arial Narrow" w:eastAsia="Times New Roman" w:hAnsi="Arial Narrow" w:cs="Arial Narrow"/>
      <w:snapToGrid w:val="0"/>
      <w:sz w:val="18"/>
      <w:szCs w:val="18"/>
      <w:lang w:eastAsia="en-AU"/>
    </w:rPr>
  </w:style>
  <w:style w:type="paragraph" w:customStyle="1" w:styleId="TableNotes0">
    <w:name w:val="TableNotes+0"/>
    <w:basedOn w:val="TableNotes18"/>
    <w:rsid w:val="009C29A2"/>
    <w:pPr>
      <w:keepNext/>
      <w:spacing w:after="0"/>
    </w:pPr>
  </w:style>
  <w:style w:type="paragraph" w:styleId="CommentSubject">
    <w:name w:val="annotation subject"/>
    <w:basedOn w:val="CommentText"/>
    <w:next w:val="CommentText"/>
    <w:link w:val="CommentSubjectChar"/>
    <w:rsid w:val="009C29A2"/>
    <w:rPr>
      <w:rFonts w:ascii="Arial" w:hAnsi="Arial" w:cs="Arial"/>
      <w:b/>
      <w:bCs/>
    </w:rPr>
  </w:style>
  <w:style w:type="character" w:customStyle="1" w:styleId="CommentSubjectChar">
    <w:name w:val="Comment Subject Char"/>
    <w:basedOn w:val="CommentTextChar"/>
    <w:link w:val="CommentSubject"/>
    <w:rsid w:val="009C29A2"/>
    <w:rPr>
      <w:rFonts w:ascii="Arial" w:eastAsia="Times New Roman" w:hAnsi="Arial" w:cs="Arial"/>
      <w:b/>
      <w:bCs/>
      <w:sz w:val="20"/>
      <w:szCs w:val="24"/>
      <w:lang w:eastAsia="en-AU"/>
    </w:rPr>
  </w:style>
  <w:style w:type="paragraph" w:styleId="Revision">
    <w:name w:val="Revision"/>
    <w:hidden/>
    <w:uiPriority w:val="99"/>
    <w:semiHidden/>
    <w:rsid w:val="009C29A2"/>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rsid w:val="009C29A2"/>
    <w:pPr>
      <w:spacing w:after="120" w:line="240" w:lineRule="auto"/>
      <w:ind w:left="283"/>
    </w:pPr>
    <w:rPr>
      <w:rFonts w:ascii="Calibri" w:eastAsia="Times New Roman" w:hAnsi="Calibri" w:cs="Arial"/>
      <w:sz w:val="24"/>
      <w:szCs w:val="24"/>
      <w:lang w:eastAsia="en-AU"/>
    </w:rPr>
  </w:style>
  <w:style w:type="character" w:customStyle="1" w:styleId="BodyTextIndentChar">
    <w:name w:val="Body Text Indent Char"/>
    <w:basedOn w:val="DefaultParagraphFont"/>
    <w:link w:val="BodyTextIndent"/>
    <w:rsid w:val="009C29A2"/>
    <w:rPr>
      <w:rFonts w:ascii="Calibri" w:eastAsia="Times New Roman" w:hAnsi="Calibri" w:cs="Arial"/>
      <w:sz w:val="24"/>
      <w:szCs w:val="24"/>
      <w:lang w:eastAsia="en-AU"/>
    </w:rPr>
  </w:style>
  <w:style w:type="paragraph" w:customStyle="1" w:styleId="Char1CharCharChar">
    <w:name w:val="Char1 Char Char Char"/>
    <w:basedOn w:val="Normal"/>
    <w:rsid w:val="009C29A2"/>
    <w:pPr>
      <w:spacing w:line="240" w:lineRule="exact"/>
    </w:pPr>
    <w:rPr>
      <w:rFonts w:ascii="Verdana" w:eastAsia="MS Mincho" w:hAnsi="Verdana" w:cs="Verdana"/>
      <w:snapToGrid w:val="0"/>
      <w:sz w:val="20"/>
      <w:szCs w:val="24"/>
      <w:lang w:val="en-US" w:eastAsia="en-AU"/>
    </w:rPr>
  </w:style>
  <w:style w:type="character" w:customStyle="1" w:styleId="SubtitleChar">
    <w:name w:val="Subtitle Char"/>
    <w:link w:val="Subtitle"/>
    <w:rsid w:val="009C29A2"/>
  </w:style>
  <w:style w:type="paragraph" w:styleId="Subtitle">
    <w:name w:val="Subtitle"/>
    <w:basedOn w:val="Normal"/>
    <w:link w:val="SubtitleChar"/>
    <w:qFormat/>
    <w:rsid w:val="009C29A2"/>
    <w:pPr>
      <w:spacing w:after="0" w:line="240" w:lineRule="auto"/>
    </w:pPr>
  </w:style>
  <w:style w:type="character" w:customStyle="1" w:styleId="SubtitleChar1">
    <w:name w:val="Subtitle Char1"/>
    <w:basedOn w:val="DefaultParagraphFont"/>
    <w:rsid w:val="009C29A2"/>
    <w:rPr>
      <w:rFonts w:eastAsiaTheme="minorEastAsia"/>
      <w:color w:val="5A5A5A" w:themeColor="text1" w:themeTint="A5"/>
      <w:spacing w:val="15"/>
    </w:rPr>
  </w:style>
  <w:style w:type="paragraph" w:customStyle="1" w:styleId="PBACHeading1">
    <w:name w:val="PBAC Heading 1"/>
    <w:qFormat/>
    <w:rsid w:val="009C29A2"/>
    <w:pPr>
      <w:spacing w:after="0" w:line="240" w:lineRule="auto"/>
      <w:outlineLvl w:val="0"/>
    </w:pPr>
    <w:rPr>
      <w:rFonts w:ascii="Calibri" w:eastAsia="Times New Roman" w:hAnsi="Calibri" w:cs="Arial"/>
      <w:b/>
      <w:snapToGrid w:val="0"/>
      <w:sz w:val="32"/>
    </w:rPr>
  </w:style>
  <w:style w:type="table" w:customStyle="1" w:styleId="PlainTable21">
    <w:name w:val="Plain Table 21"/>
    <w:basedOn w:val="TableNormal"/>
    <w:uiPriority w:val="42"/>
    <w:rsid w:val="009C29A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9C29A2"/>
    <w:rPr>
      <w:color w:val="954F72" w:themeColor="followedHyperlink"/>
      <w:u w:val="single"/>
    </w:rPr>
  </w:style>
  <w:style w:type="character" w:styleId="PageNumber">
    <w:name w:val="page number"/>
    <w:basedOn w:val="DefaultParagraphFont"/>
    <w:semiHidden/>
    <w:unhideWhenUsed/>
    <w:rsid w:val="009C29A2"/>
  </w:style>
  <w:style w:type="paragraph" w:customStyle="1" w:styleId="Commentitalics">
    <w:name w:val="Comment (italics)"/>
    <w:basedOn w:val="Normal"/>
    <w:next w:val="Normal"/>
    <w:rsid w:val="009C29A2"/>
    <w:pPr>
      <w:spacing w:after="0" w:line="240" w:lineRule="auto"/>
    </w:pPr>
    <w:rPr>
      <w:rFonts w:ascii="Calibri" w:eastAsia="Times New Roman" w:hAnsi="Calibri" w:cs="Arial"/>
      <w:i/>
      <w:sz w:val="24"/>
      <w:szCs w:val="24"/>
      <w:lang w:eastAsia="en-AU"/>
    </w:rPr>
  </w:style>
  <w:style w:type="paragraph" w:styleId="BalloonText">
    <w:name w:val="Balloon Text"/>
    <w:basedOn w:val="Normal"/>
    <w:link w:val="BalloonTextChar"/>
    <w:semiHidden/>
    <w:unhideWhenUsed/>
    <w:rsid w:val="009C29A2"/>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9C29A2"/>
    <w:rPr>
      <w:rFonts w:ascii="Tahoma" w:eastAsia="Times New Roman" w:hAnsi="Tahoma" w:cs="Tahoma"/>
      <w:sz w:val="16"/>
      <w:szCs w:val="16"/>
      <w:lang w:eastAsia="en-AU"/>
    </w:rPr>
  </w:style>
  <w:style w:type="paragraph" w:customStyle="1" w:styleId="TableText0">
    <w:name w:val="Table Text"/>
    <w:link w:val="TableTextChar0"/>
    <w:qFormat/>
    <w:rsid w:val="009C29A2"/>
    <w:pPr>
      <w:keepNext/>
      <w:spacing w:after="0" w:line="240" w:lineRule="auto"/>
    </w:pPr>
    <w:rPr>
      <w:rFonts w:ascii="Arial Narrow" w:eastAsiaTheme="majorEastAsia" w:hAnsi="Arial Narrow" w:cstheme="majorBidi"/>
      <w:bCs/>
      <w:sz w:val="20"/>
      <w:szCs w:val="24"/>
      <w:lang w:eastAsia="en-AU"/>
    </w:rPr>
  </w:style>
  <w:style w:type="paragraph" w:customStyle="1" w:styleId="V50Tablename">
    <w:name w:val="V5.0 Table name"/>
    <w:basedOn w:val="Normal"/>
    <w:link w:val="V50TablenameChar"/>
    <w:rsid w:val="009C29A2"/>
    <w:pPr>
      <w:keepNext/>
      <w:spacing w:after="0" w:line="240" w:lineRule="auto"/>
    </w:pPr>
    <w:rPr>
      <w:b/>
      <w:snapToGrid w:val="0"/>
      <w:sz w:val="20"/>
      <w:szCs w:val="24"/>
      <w:lang w:val="en-US" w:eastAsia="en-AU"/>
    </w:rPr>
  </w:style>
  <w:style w:type="character" w:customStyle="1" w:styleId="V50TablenameChar">
    <w:name w:val="V5.0 Table name Char"/>
    <w:basedOn w:val="DefaultParagraphFont"/>
    <w:link w:val="V50Tablename"/>
    <w:rsid w:val="009C29A2"/>
    <w:rPr>
      <w:b/>
      <w:snapToGrid w:val="0"/>
      <w:sz w:val="20"/>
      <w:szCs w:val="24"/>
      <w:lang w:val="en-US" w:eastAsia="en-AU"/>
    </w:rPr>
  </w:style>
  <w:style w:type="paragraph" w:customStyle="1" w:styleId="GeneralHeading">
    <w:name w:val="General Heading"/>
    <w:qFormat/>
    <w:rsid w:val="009C29A2"/>
    <w:pPr>
      <w:keepNext/>
      <w:spacing w:before="120" w:after="120" w:line="240" w:lineRule="auto"/>
      <w:ind w:left="720" w:hanging="720"/>
      <w:outlineLvl w:val="0"/>
    </w:pPr>
    <w:rPr>
      <w:rFonts w:ascii="Calibri" w:eastAsia="Times New Roman" w:hAnsi="Calibri" w:cs="Arial"/>
      <w:b/>
      <w:snapToGrid w:val="0"/>
      <w:sz w:val="28"/>
      <w:lang w:eastAsia="en-AU"/>
    </w:rPr>
  </w:style>
  <w:style w:type="paragraph" w:customStyle="1" w:styleId="In-tableHeading">
    <w:name w:val="In-table Heading"/>
    <w:qFormat/>
    <w:rsid w:val="009C29A2"/>
    <w:pPr>
      <w:keepNext/>
      <w:spacing w:after="0" w:line="240" w:lineRule="auto"/>
    </w:pPr>
    <w:rPr>
      <w:rFonts w:ascii="Arial Narrow" w:eastAsiaTheme="majorEastAsia" w:hAnsi="Arial Narrow" w:cs="Times New Roman"/>
      <w:b/>
      <w:sz w:val="20"/>
      <w:szCs w:val="24"/>
      <w:lang w:val="en-US" w:eastAsia="en-AU"/>
    </w:rPr>
  </w:style>
  <w:style w:type="paragraph" w:customStyle="1" w:styleId="2-SectionHeading">
    <w:name w:val="2-Section Heading"/>
    <w:qFormat/>
    <w:rsid w:val="009C29A2"/>
    <w:pPr>
      <w:keepNext/>
      <w:numPr>
        <w:numId w:val="1"/>
      </w:numPr>
      <w:spacing w:before="240" w:after="120" w:line="240" w:lineRule="auto"/>
      <w:outlineLvl w:val="0"/>
    </w:pPr>
    <w:rPr>
      <w:rFonts w:eastAsia="Times New Roman" w:cs="Arial"/>
      <w:b/>
      <w:snapToGrid w:val="0"/>
      <w:sz w:val="32"/>
      <w:szCs w:val="32"/>
      <w:lang w:eastAsia="en-AU"/>
    </w:rPr>
  </w:style>
  <w:style w:type="paragraph" w:customStyle="1" w:styleId="1-MainHeading">
    <w:name w:val="1-Main Heading"/>
    <w:link w:val="1-MainHeadingChar"/>
    <w:qFormat/>
    <w:rsid w:val="009C29A2"/>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9C29A2"/>
    <w:rPr>
      <w:rFonts w:eastAsiaTheme="majorEastAsia" w:cstheme="majorBidi"/>
      <w:b/>
      <w:spacing w:val="5"/>
      <w:kern w:val="28"/>
      <w:sz w:val="36"/>
      <w:szCs w:val="36"/>
      <w:lang w:eastAsia="en-AU"/>
    </w:rPr>
  </w:style>
  <w:style w:type="paragraph" w:customStyle="1" w:styleId="TableFigureHeading">
    <w:name w:val="Table/Figure Heading"/>
    <w:next w:val="In-tableHeading"/>
    <w:link w:val="TableFigureHeadingChar"/>
    <w:qFormat/>
    <w:rsid w:val="009C29A2"/>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9C29A2"/>
    <w:rPr>
      <w:rFonts w:ascii="Arial Narrow" w:eastAsiaTheme="majorEastAsia" w:hAnsi="Arial Narrow" w:cstheme="majorBidi"/>
      <w:b/>
      <w:bCs/>
      <w:sz w:val="20"/>
      <w:szCs w:val="24"/>
      <w:lang w:eastAsia="en-AU"/>
    </w:rPr>
  </w:style>
  <w:style w:type="paragraph" w:customStyle="1" w:styleId="3-BodyText">
    <w:name w:val="3-Body Text"/>
    <w:basedOn w:val="ListParagraph"/>
    <w:link w:val="3-BodyTextChar"/>
    <w:qFormat/>
    <w:rsid w:val="009C29A2"/>
    <w:pPr>
      <w:numPr>
        <w:ilvl w:val="1"/>
        <w:numId w:val="1"/>
      </w:numPr>
    </w:pPr>
  </w:style>
  <w:style w:type="character" w:customStyle="1" w:styleId="3-BodyTextChar">
    <w:name w:val="3-Body Text Char"/>
    <w:basedOn w:val="ListParagraphChar"/>
    <w:link w:val="3-BodyText"/>
    <w:rsid w:val="009C29A2"/>
    <w:rPr>
      <w:rFonts w:eastAsia="Times New Roman" w:cs="Arial"/>
      <w:snapToGrid w:val="0"/>
      <w:sz w:val="24"/>
      <w:szCs w:val="24"/>
      <w:lang w:eastAsia="en-AU"/>
    </w:rPr>
  </w:style>
  <w:style w:type="paragraph" w:customStyle="1" w:styleId="PageFooter">
    <w:name w:val="Page Footer"/>
    <w:basedOn w:val="Normal"/>
    <w:link w:val="PageFooterChar"/>
    <w:qFormat/>
    <w:rsid w:val="009C29A2"/>
    <w:pPr>
      <w:keepNext/>
      <w:tabs>
        <w:tab w:val="center" w:pos="4153"/>
        <w:tab w:val="center" w:pos="4513"/>
        <w:tab w:val="right" w:pos="8306"/>
        <w:tab w:val="right" w:pos="9026"/>
      </w:tabs>
      <w:spacing w:after="0" w:line="240" w:lineRule="auto"/>
      <w:jc w:val="center"/>
    </w:pPr>
    <w:rPr>
      <w:rFonts w:ascii="Calibri" w:eastAsia="Times New Roman" w:hAnsi="Calibri" w:cs="Arial"/>
      <w:b/>
      <w:sz w:val="24"/>
      <w:szCs w:val="24"/>
      <w:lang w:eastAsia="en-AU"/>
    </w:rPr>
  </w:style>
  <w:style w:type="character" w:customStyle="1" w:styleId="PageFooterChar">
    <w:name w:val="Page Footer Char"/>
    <w:basedOn w:val="DefaultParagraphFont"/>
    <w:link w:val="PageFooter"/>
    <w:rsid w:val="009C29A2"/>
    <w:rPr>
      <w:rFonts w:ascii="Calibri" w:eastAsia="Times New Roman" w:hAnsi="Calibri" w:cs="Arial"/>
      <w:b/>
      <w:sz w:val="24"/>
      <w:szCs w:val="24"/>
      <w:lang w:eastAsia="en-AU"/>
    </w:rPr>
  </w:style>
  <w:style w:type="paragraph" w:customStyle="1" w:styleId="TableFigureFooter">
    <w:name w:val="Table/Figure Footer"/>
    <w:basedOn w:val="Normal"/>
    <w:link w:val="TableFigureFooterChar"/>
    <w:qFormat/>
    <w:rsid w:val="009C29A2"/>
    <w:pPr>
      <w:spacing w:after="12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C29A2"/>
    <w:rPr>
      <w:rFonts w:ascii="Arial Narrow" w:eastAsia="Times New Roman" w:hAnsi="Arial Narrow" w:cs="Arial"/>
      <w:snapToGrid w:val="0"/>
      <w:sz w:val="18"/>
      <w:lang w:eastAsia="en-AU"/>
    </w:rPr>
  </w:style>
  <w:style w:type="paragraph" w:customStyle="1" w:styleId="4-SubsectionHeading">
    <w:name w:val="4-Subsection Heading"/>
    <w:basedOn w:val="Heading2"/>
    <w:next w:val="3-BodyText"/>
    <w:link w:val="4-SubsectionHeadingChar"/>
    <w:qFormat/>
    <w:rsid w:val="009C29A2"/>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9C29A2"/>
    <w:rPr>
      <w:rFonts w:ascii="Calibri" w:eastAsiaTheme="majorEastAsia" w:hAnsi="Calibri"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9C29A2"/>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9C29A2"/>
    <w:rPr>
      <w:rFonts w:eastAsiaTheme="majorEastAsia" w:cstheme="majorBidi"/>
      <w:b/>
      <w:color w:val="000000" w:themeColor="text1"/>
      <w:sz w:val="24"/>
      <w:szCs w:val="24"/>
      <w:lang w:eastAsia="en-AU"/>
    </w:rPr>
  </w:style>
  <w:style w:type="paragraph" w:styleId="ListBullet">
    <w:name w:val="List Bullet"/>
    <w:basedOn w:val="Normal"/>
    <w:uiPriority w:val="99"/>
    <w:unhideWhenUsed/>
    <w:rsid w:val="009C29A2"/>
    <w:pPr>
      <w:spacing w:after="0" w:line="240" w:lineRule="auto"/>
      <w:contextualSpacing/>
    </w:pPr>
    <w:rPr>
      <w:rFonts w:ascii="Calibri" w:eastAsia="Times New Roman" w:hAnsi="Calibri" w:cs="Arial"/>
      <w:sz w:val="24"/>
      <w:szCs w:val="24"/>
      <w:lang w:eastAsia="en-AU"/>
    </w:rPr>
  </w:style>
  <w:style w:type="character" w:customStyle="1" w:styleId="TableTextChar0">
    <w:name w:val="Table Text Char"/>
    <w:basedOn w:val="DefaultParagraphFont"/>
    <w:link w:val="TableText0"/>
    <w:rsid w:val="009C29A2"/>
    <w:rPr>
      <w:rFonts w:ascii="Arial Narrow" w:eastAsiaTheme="majorEastAsia" w:hAnsi="Arial Narrow" w:cstheme="majorBidi"/>
      <w:bCs/>
      <w:sz w:val="20"/>
      <w:szCs w:val="24"/>
      <w:lang w:eastAsia="en-AU"/>
    </w:rPr>
  </w:style>
  <w:style w:type="paragraph" w:customStyle="1" w:styleId="TableTextbullet">
    <w:name w:val="Table Text bullet"/>
    <w:basedOn w:val="Normal"/>
    <w:link w:val="TableTextbulletChar"/>
    <w:autoRedefine/>
    <w:qFormat/>
    <w:rsid w:val="009C29A2"/>
    <w:pPr>
      <w:widowControl w:val="0"/>
      <w:numPr>
        <w:numId w:val="6"/>
      </w:numPr>
      <w:tabs>
        <w:tab w:val="left" w:pos="284"/>
      </w:tabs>
      <w:spacing w:after="0" w:line="240" w:lineRule="auto"/>
    </w:pPr>
    <w:rPr>
      <w:rFonts w:ascii="Calibri" w:eastAsia="Times New Roman" w:hAnsi="Calibri" w:cs="Times New Roman"/>
      <w:sz w:val="18"/>
      <w:szCs w:val="20"/>
      <w:lang w:val="en-US"/>
    </w:rPr>
  </w:style>
  <w:style w:type="character" w:customStyle="1" w:styleId="TableTextbulletChar">
    <w:name w:val="Table Text bullet Char"/>
    <w:basedOn w:val="DefaultParagraphFont"/>
    <w:link w:val="TableTextbullet"/>
    <w:rsid w:val="009C29A2"/>
    <w:rPr>
      <w:rFonts w:ascii="Calibri" w:eastAsia="Times New Roman" w:hAnsi="Calibri" w:cs="Times New Roman"/>
      <w:sz w:val="18"/>
      <w:szCs w:val="20"/>
      <w:lang w:val="en-US"/>
    </w:rPr>
  </w:style>
  <w:style w:type="paragraph" w:customStyle="1" w:styleId="CaptionTable">
    <w:name w:val="Caption Table"/>
    <w:basedOn w:val="Normal"/>
    <w:next w:val="Normal"/>
    <w:link w:val="CaptionTableChar"/>
    <w:autoRedefine/>
    <w:rsid w:val="00C5357E"/>
    <w:pPr>
      <w:keepNext/>
      <w:spacing w:after="0" w:line="240" w:lineRule="auto"/>
    </w:pPr>
    <w:rPr>
      <w:rFonts w:ascii="Arial Narrow" w:eastAsia="Times New Roman" w:hAnsi="Arial Narrow" w:cs="Times New Roman"/>
      <w:b/>
      <w:bCs/>
      <w:sz w:val="20"/>
    </w:rPr>
  </w:style>
  <w:style w:type="paragraph" w:customStyle="1" w:styleId="TableTextleftalign">
    <w:name w:val="Table Text left align"/>
    <w:basedOn w:val="TableTitlecentred"/>
    <w:link w:val="TableTextleftalignChar"/>
    <w:qFormat/>
    <w:rsid w:val="009C29A2"/>
    <w:pPr>
      <w:jc w:val="left"/>
    </w:pPr>
    <w:rPr>
      <w:b w:val="0"/>
      <w:szCs w:val="18"/>
    </w:rPr>
  </w:style>
  <w:style w:type="paragraph" w:customStyle="1" w:styleId="TableTextcentred">
    <w:name w:val="Table Text centred"/>
    <w:basedOn w:val="Normal"/>
    <w:link w:val="TableTextcentredChar"/>
    <w:qFormat/>
    <w:rsid w:val="009C29A2"/>
    <w:pPr>
      <w:spacing w:after="0" w:line="240" w:lineRule="auto"/>
      <w:jc w:val="center"/>
    </w:pPr>
    <w:rPr>
      <w:rFonts w:ascii="Calibri" w:eastAsia="Times New Roman" w:hAnsi="Calibri" w:cs="Times New Roman"/>
      <w:sz w:val="18"/>
      <w:szCs w:val="18"/>
    </w:rPr>
  </w:style>
  <w:style w:type="character" w:customStyle="1" w:styleId="TableTextcentredChar">
    <w:name w:val="Table Text centred Char"/>
    <w:basedOn w:val="DefaultParagraphFont"/>
    <w:link w:val="TableTextcentred"/>
    <w:rsid w:val="009C29A2"/>
    <w:rPr>
      <w:rFonts w:ascii="Calibri" w:eastAsia="Times New Roman" w:hAnsi="Calibri" w:cs="Times New Roman"/>
      <w:sz w:val="18"/>
      <w:szCs w:val="18"/>
    </w:rPr>
  </w:style>
  <w:style w:type="character" w:customStyle="1" w:styleId="CaptionTableChar">
    <w:name w:val="Caption Table Char"/>
    <w:basedOn w:val="DefaultParagraphFont"/>
    <w:link w:val="CaptionTable"/>
    <w:rsid w:val="00C5357E"/>
    <w:rPr>
      <w:rFonts w:ascii="Arial Narrow" w:eastAsia="Times New Roman" w:hAnsi="Arial Narrow" w:cs="Times New Roman"/>
      <w:b/>
      <w:bCs/>
      <w:sz w:val="20"/>
    </w:rPr>
  </w:style>
  <w:style w:type="character" w:customStyle="1" w:styleId="TableTextleftalignChar">
    <w:name w:val="Table Text left align Char"/>
    <w:basedOn w:val="DefaultParagraphFont"/>
    <w:link w:val="TableTextleftalign"/>
    <w:rsid w:val="009C29A2"/>
    <w:rPr>
      <w:rFonts w:ascii="Calibri" w:eastAsia="Times New Roman" w:hAnsi="Calibri" w:cs="Times New Roman"/>
      <w:sz w:val="18"/>
      <w:szCs w:val="18"/>
    </w:rPr>
  </w:style>
  <w:style w:type="paragraph" w:customStyle="1" w:styleId="TableTitlecentred">
    <w:name w:val="Table Title centred"/>
    <w:basedOn w:val="Normal"/>
    <w:rsid w:val="009C29A2"/>
    <w:pPr>
      <w:spacing w:after="0" w:line="240" w:lineRule="auto"/>
      <w:jc w:val="center"/>
    </w:pPr>
    <w:rPr>
      <w:rFonts w:ascii="Calibri" w:eastAsia="Times New Roman" w:hAnsi="Calibri" w:cs="Times New Roman"/>
      <w:b/>
      <w:sz w:val="18"/>
      <w:szCs w:val="20"/>
    </w:rPr>
  </w:style>
  <w:style w:type="paragraph" w:customStyle="1" w:styleId="TableFootnoteindent">
    <w:name w:val="Table Footnote indent"/>
    <w:basedOn w:val="Normal"/>
    <w:next w:val="Normal"/>
    <w:link w:val="TableFootnoteindentChar"/>
    <w:qFormat/>
    <w:rsid w:val="009C29A2"/>
    <w:pPr>
      <w:tabs>
        <w:tab w:val="left" w:pos="284"/>
      </w:tabs>
      <w:spacing w:after="0" w:line="240" w:lineRule="auto"/>
      <w:ind w:left="284" w:hanging="284"/>
    </w:pPr>
    <w:rPr>
      <w:rFonts w:ascii="Calibri" w:eastAsia="Times New Roman" w:hAnsi="Calibri" w:cs="Times New Roman"/>
      <w:sz w:val="16"/>
    </w:rPr>
  </w:style>
  <w:style w:type="character" w:customStyle="1" w:styleId="TableFootnoteindentChar">
    <w:name w:val="Table Footnote indent Char"/>
    <w:basedOn w:val="DefaultParagraphFont"/>
    <w:link w:val="TableFootnoteindent"/>
    <w:rsid w:val="009C29A2"/>
    <w:rPr>
      <w:rFonts w:ascii="Calibri" w:eastAsia="Times New Roman" w:hAnsi="Calibri" w:cs="Times New Roman"/>
      <w:sz w:val="16"/>
    </w:rPr>
  </w:style>
  <w:style w:type="paragraph" w:customStyle="1" w:styleId="TableSource">
    <w:name w:val="Table Source"/>
    <w:basedOn w:val="Normal"/>
    <w:next w:val="Normal"/>
    <w:link w:val="TableSourceChar"/>
    <w:qFormat/>
    <w:rsid w:val="009C29A2"/>
    <w:pPr>
      <w:tabs>
        <w:tab w:val="left" w:pos="567"/>
      </w:tabs>
      <w:spacing w:after="0" w:line="240" w:lineRule="auto"/>
      <w:ind w:left="567" w:hanging="567"/>
    </w:pPr>
    <w:rPr>
      <w:rFonts w:ascii="Calibri" w:eastAsia="Times New Roman" w:hAnsi="Calibri" w:cs="Times New Roman"/>
      <w:i/>
      <w:iCs/>
      <w:sz w:val="16"/>
    </w:rPr>
  </w:style>
  <w:style w:type="character" w:customStyle="1" w:styleId="TableSourceChar">
    <w:name w:val="Table Source Char"/>
    <w:basedOn w:val="DefaultParagraphFont"/>
    <w:link w:val="TableSource"/>
    <w:rsid w:val="009C29A2"/>
    <w:rPr>
      <w:rFonts w:ascii="Calibri" w:eastAsia="Times New Roman" w:hAnsi="Calibri" w:cs="Times New Roman"/>
      <w:i/>
      <w:iCs/>
      <w:sz w:val="16"/>
    </w:rPr>
  </w:style>
  <w:style w:type="paragraph" w:customStyle="1" w:styleId="TableFootnotetext">
    <w:name w:val="Table Footnote text"/>
    <w:basedOn w:val="Normal"/>
    <w:qFormat/>
    <w:rsid w:val="009C29A2"/>
    <w:pPr>
      <w:spacing w:after="0" w:line="240" w:lineRule="auto"/>
    </w:pPr>
    <w:rPr>
      <w:rFonts w:ascii="Calibri" w:eastAsia="Times New Roman" w:hAnsi="Calibri" w:cs="Times New Roman"/>
      <w:sz w:val="16"/>
      <w:szCs w:val="20"/>
    </w:rPr>
  </w:style>
  <w:style w:type="paragraph" w:customStyle="1" w:styleId="CaptionFigure">
    <w:name w:val="Caption Figure"/>
    <w:basedOn w:val="Caption"/>
    <w:next w:val="Normal"/>
    <w:autoRedefine/>
    <w:rsid w:val="009C29A2"/>
    <w:pPr>
      <w:keepNext/>
      <w:spacing w:after="60"/>
      <w:ind w:left="1418" w:hanging="1418"/>
    </w:pPr>
    <w:rPr>
      <w:rFonts w:cs="Times New Roman"/>
      <w:color w:val="auto"/>
      <w:sz w:val="20"/>
      <w:szCs w:val="22"/>
      <w:lang w:eastAsia="en-US"/>
    </w:rPr>
  </w:style>
  <w:style w:type="paragraph" w:customStyle="1" w:styleId="bulletlevel1">
    <w:name w:val="bullet level 1"/>
    <w:basedOn w:val="Normal"/>
    <w:link w:val="bulletlevel1Char"/>
    <w:rsid w:val="009C29A2"/>
    <w:pPr>
      <w:tabs>
        <w:tab w:val="num" w:pos="426"/>
        <w:tab w:val="num" w:pos="567"/>
      </w:tabs>
      <w:spacing w:after="0" w:line="240" w:lineRule="auto"/>
      <w:ind w:left="426" w:hanging="426"/>
    </w:pPr>
    <w:rPr>
      <w:rFonts w:ascii="Calibri" w:eastAsia="Times New Roman" w:hAnsi="Calibri" w:cs="Times New Roman"/>
    </w:rPr>
  </w:style>
  <w:style w:type="character" w:customStyle="1" w:styleId="bulletlevel1Char">
    <w:name w:val="bullet level 1 Char"/>
    <w:basedOn w:val="DefaultParagraphFont"/>
    <w:link w:val="bulletlevel1"/>
    <w:rsid w:val="009C29A2"/>
    <w:rPr>
      <w:rFonts w:ascii="Calibri" w:eastAsia="Times New Roman" w:hAnsi="Calibri" w:cs="Times New Roman"/>
    </w:rPr>
  </w:style>
  <w:style w:type="character" w:styleId="FootnoteReference">
    <w:name w:val="footnote reference"/>
    <w:basedOn w:val="DefaultParagraphFont"/>
    <w:unhideWhenUsed/>
    <w:rsid w:val="009C29A2"/>
    <w:rPr>
      <w:vertAlign w:val="superscript"/>
    </w:rPr>
  </w:style>
  <w:style w:type="character" w:customStyle="1" w:styleId="FootnoteTextChar">
    <w:name w:val="Footnote Text Char"/>
    <w:basedOn w:val="DefaultParagraphFont"/>
    <w:link w:val="FootnoteText"/>
    <w:semiHidden/>
    <w:rsid w:val="009C29A2"/>
  </w:style>
  <w:style w:type="paragraph" w:styleId="FootnoteText">
    <w:name w:val="footnote text"/>
    <w:basedOn w:val="Normal"/>
    <w:link w:val="FootnoteTextChar"/>
    <w:semiHidden/>
    <w:unhideWhenUsed/>
    <w:rsid w:val="009C29A2"/>
    <w:pPr>
      <w:spacing w:after="0" w:line="240" w:lineRule="auto"/>
    </w:pPr>
  </w:style>
  <w:style w:type="character" w:customStyle="1" w:styleId="FootnoteTextChar1">
    <w:name w:val="Footnote Text Char1"/>
    <w:basedOn w:val="DefaultParagraphFont"/>
    <w:semiHidden/>
    <w:rsid w:val="009C29A2"/>
    <w:rPr>
      <w:sz w:val="20"/>
      <w:szCs w:val="20"/>
    </w:rPr>
  </w:style>
  <w:style w:type="paragraph" w:customStyle="1" w:styleId="Default">
    <w:name w:val="Default"/>
    <w:basedOn w:val="Normal"/>
    <w:rsid w:val="009C29A2"/>
    <w:pPr>
      <w:spacing w:after="0" w:line="240" w:lineRule="auto"/>
    </w:pPr>
    <w:rPr>
      <w:rFonts w:ascii="Calibri" w:eastAsia="Times New Roman" w:hAnsi="Calibri" w:cs="Arial"/>
      <w:color w:val="000000" w:themeColor="text1"/>
      <w:sz w:val="24"/>
      <w:szCs w:val="24"/>
      <w:lang w:eastAsia="en-AU"/>
    </w:rPr>
  </w:style>
  <w:style w:type="character" w:customStyle="1" w:styleId="PBACTableTextChar">
    <w:name w:val="PBAC Table Text Char"/>
    <w:basedOn w:val="DefaultParagraphFont"/>
    <w:link w:val="PBACTableText"/>
    <w:locked/>
    <w:rsid w:val="009C29A2"/>
    <w:rPr>
      <w:rFonts w:ascii="Arial Narrow" w:hAnsi="Arial Narrow"/>
    </w:rPr>
  </w:style>
  <w:style w:type="paragraph" w:customStyle="1" w:styleId="PBACTableText">
    <w:name w:val="PBAC Table Text"/>
    <w:basedOn w:val="Normal"/>
    <w:link w:val="PBACTableTextChar"/>
    <w:qFormat/>
    <w:rsid w:val="009C29A2"/>
    <w:pPr>
      <w:spacing w:before="40" w:after="40" w:line="240" w:lineRule="auto"/>
    </w:pPr>
    <w:rPr>
      <w:rFonts w:ascii="Arial Narrow" w:hAnsi="Arial Narrow"/>
    </w:rPr>
  </w:style>
  <w:style w:type="paragraph" w:customStyle="1" w:styleId="TableHeading0">
    <w:name w:val="Table Heading"/>
    <w:basedOn w:val="Normal"/>
    <w:qFormat/>
    <w:rsid w:val="009C29A2"/>
    <w:pPr>
      <w:keepNext/>
      <w:spacing w:after="60" w:line="240" w:lineRule="auto"/>
    </w:pPr>
    <w:rPr>
      <w:rFonts w:ascii="Arial Narrow" w:hAnsi="Arial Narrow"/>
      <w:b/>
      <w:sz w:val="20"/>
    </w:rPr>
  </w:style>
  <w:style w:type="table" w:styleId="PlainTable3">
    <w:name w:val="Plain Table 3"/>
    <w:basedOn w:val="TableNormal"/>
    <w:uiPriority w:val="43"/>
    <w:rsid w:val="009C29A2"/>
    <w:pPr>
      <w:suppressAutoHyphens/>
      <w:spacing w:after="0" w:line="240" w:lineRule="auto"/>
    </w:pPr>
    <w:rPr>
      <w:rFonts w:ascii="Times New Roman" w:eastAsia="SimSun" w:hAnsi="Times New Roman" w:cs="Tahoma"/>
      <w:kern w:val="2"/>
      <w:sz w:val="24"/>
      <w:szCs w:val="24"/>
      <w:lang w:val="en-GB" w:eastAsia="zh-CN" w:bidi="hi-I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f01">
    <w:name w:val="cf01"/>
    <w:basedOn w:val="DefaultParagraphFont"/>
    <w:rsid w:val="009C29A2"/>
    <w:rPr>
      <w:rFonts w:ascii="Segoe UI" w:hAnsi="Segoe UI" w:cs="Segoe UI" w:hint="default"/>
      <w:sz w:val="18"/>
      <w:szCs w:val="18"/>
    </w:rPr>
  </w:style>
  <w:style w:type="paragraph" w:styleId="EndnoteText">
    <w:name w:val="endnote text"/>
    <w:basedOn w:val="Normal"/>
    <w:link w:val="EndnoteTextChar"/>
    <w:semiHidden/>
    <w:unhideWhenUsed/>
    <w:rsid w:val="009C29A2"/>
    <w:pPr>
      <w:spacing w:after="0" w:line="240" w:lineRule="auto"/>
    </w:pPr>
    <w:rPr>
      <w:rFonts w:ascii="Calibri" w:eastAsia="Times New Roman" w:hAnsi="Calibri" w:cs="Arial"/>
      <w:sz w:val="20"/>
      <w:szCs w:val="20"/>
      <w:lang w:eastAsia="en-AU"/>
    </w:rPr>
  </w:style>
  <w:style w:type="character" w:customStyle="1" w:styleId="EndnoteTextChar">
    <w:name w:val="Endnote Text Char"/>
    <w:basedOn w:val="DefaultParagraphFont"/>
    <w:link w:val="EndnoteText"/>
    <w:semiHidden/>
    <w:rsid w:val="009C29A2"/>
    <w:rPr>
      <w:rFonts w:ascii="Calibri" w:eastAsia="Times New Roman" w:hAnsi="Calibri" w:cs="Arial"/>
      <w:sz w:val="20"/>
      <w:szCs w:val="20"/>
      <w:lang w:eastAsia="en-AU"/>
    </w:rPr>
  </w:style>
  <w:style w:type="character" w:styleId="EndnoteReference">
    <w:name w:val="endnote reference"/>
    <w:basedOn w:val="DefaultParagraphFont"/>
    <w:semiHidden/>
    <w:unhideWhenUsed/>
    <w:rsid w:val="009C29A2"/>
    <w:rPr>
      <w:vertAlign w:val="superscript"/>
    </w:rPr>
  </w:style>
  <w:style w:type="character" w:customStyle="1" w:styleId="UnresolvedMention1">
    <w:name w:val="Unresolved Mention1"/>
    <w:basedOn w:val="DefaultParagraphFont"/>
    <w:uiPriority w:val="99"/>
    <w:unhideWhenUsed/>
    <w:rsid w:val="009C29A2"/>
    <w:rPr>
      <w:color w:val="605E5C"/>
      <w:shd w:val="clear" w:color="auto" w:fill="E1DFDD"/>
    </w:rPr>
  </w:style>
  <w:style w:type="character" w:customStyle="1" w:styleId="Mention1">
    <w:name w:val="Mention1"/>
    <w:basedOn w:val="DefaultParagraphFont"/>
    <w:uiPriority w:val="99"/>
    <w:unhideWhenUsed/>
    <w:rsid w:val="009C29A2"/>
    <w:rPr>
      <w:color w:val="2B579A"/>
      <w:shd w:val="clear" w:color="auto" w:fill="E1DFDD"/>
    </w:rPr>
  </w:style>
  <w:style w:type="character" w:customStyle="1" w:styleId="UnresolvedMention2">
    <w:name w:val="Unresolved Mention2"/>
    <w:basedOn w:val="DefaultParagraphFont"/>
    <w:uiPriority w:val="99"/>
    <w:semiHidden/>
    <w:unhideWhenUsed/>
    <w:rsid w:val="009C29A2"/>
    <w:rPr>
      <w:color w:val="605E5C"/>
      <w:shd w:val="clear" w:color="auto" w:fill="E1DFDD"/>
    </w:rPr>
  </w:style>
  <w:style w:type="character" w:customStyle="1" w:styleId="Mention2">
    <w:name w:val="Mention2"/>
    <w:basedOn w:val="DefaultParagraphFont"/>
    <w:uiPriority w:val="99"/>
    <w:unhideWhenUsed/>
    <w:rsid w:val="009C29A2"/>
    <w:rPr>
      <w:color w:val="2B579A"/>
      <w:shd w:val="clear" w:color="auto" w:fill="E6E6E6"/>
    </w:rPr>
  </w:style>
  <w:style w:type="character" w:customStyle="1" w:styleId="UnresolvedMention3">
    <w:name w:val="Unresolved Mention3"/>
    <w:basedOn w:val="DefaultParagraphFont"/>
    <w:uiPriority w:val="99"/>
    <w:unhideWhenUsed/>
    <w:rsid w:val="009C29A2"/>
    <w:rPr>
      <w:color w:val="605E5C"/>
      <w:shd w:val="clear" w:color="auto" w:fill="E1DFDD"/>
    </w:rPr>
  </w:style>
  <w:style w:type="character" w:customStyle="1" w:styleId="UnresolvedMention4">
    <w:name w:val="Unresolved Mention4"/>
    <w:basedOn w:val="DefaultParagraphFont"/>
    <w:uiPriority w:val="99"/>
    <w:semiHidden/>
    <w:unhideWhenUsed/>
    <w:rsid w:val="009C29A2"/>
    <w:rPr>
      <w:color w:val="605E5C"/>
      <w:shd w:val="clear" w:color="auto" w:fill="E1DFDD"/>
    </w:rPr>
  </w:style>
  <w:style w:type="paragraph" w:customStyle="1" w:styleId="Tabletitlecentred0">
    <w:name w:val="Table title centred"/>
    <w:basedOn w:val="Normal"/>
    <w:rsid w:val="009C29A2"/>
    <w:pPr>
      <w:spacing w:after="0" w:line="240" w:lineRule="auto"/>
      <w:jc w:val="center"/>
    </w:pPr>
    <w:rPr>
      <w:rFonts w:ascii="Calibri" w:eastAsia="Times New Roman" w:hAnsi="Calibri" w:cs="Times New Roman"/>
      <w:b/>
      <w:sz w:val="18"/>
      <w:szCs w:val="20"/>
    </w:rPr>
  </w:style>
  <w:style w:type="table" w:customStyle="1" w:styleId="newstyle16">
    <w:name w:val="new style16"/>
    <w:basedOn w:val="TableNormal"/>
    <w:next w:val="TableGrid"/>
    <w:uiPriority w:val="39"/>
    <w:rsid w:val="009C29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link w:val="bulletlevel2Char"/>
    <w:qFormat/>
    <w:rsid w:val="009C29A2"/>
    <w:pPr>
      <w:numPr>
        <w:numId w:val="27"/>
      </w:numPr>
      <w:tabs>
        <w:tab w:val="clear" w:pos="1134"/>
        <w:tab w:val="num" w:pos="851"/>
      </w:tabs>
      <w:spacing w:after="0" w:line="240" w:lineRule="auto"/>
      <w:ind w:left="851" w:hanging="425"/>
    </w:pPr>
    <w:rPr>
      <w:rFonts w:ascii="Calibri" w:eastAsia="Times New Roman" w:hAnsi="Calibri" w:cs="Times New Roman"/>
      <w:color w:val="000000"/>
      <w:lang w:val="en-US"/>
    </w:rPr>
  </w:style>
  <w:style w:type="paragraph" w:customStyle="1" w:styleId="3-SubsectionHeading">
    <w:name w:val="3-Subsection Heading"/>
    <w:basedOn w:val="Heading2"/>
    <w:next w:val="Normal"/>
    <w:link w:val="3-SubsectionHeadingChar"/>
    <w:qFormat/>
    <w:rsid w:val="00F217DE"/>
    <w:pPr>
      <w:keepNext/>
      <w:spacing w:before="120" w:after="120"/>
      <w:jc w:val="both"/>
      <w:outlineLvl w:val="9"/>
    </w:pPr>
    <w:rPr>
      <w:rFonts w:eastAsiaTheme="majorEastAsia" w:cstheme="majorBidi"/>
      <w:spacing w:val="5"/>
      <w:kern w:val="28"/>
      <w:szCs w:val="36"/>
    </w:rPr>
  </w:style>
  <w:style w:type="character" w:customStyle="1" w:styleId="3-SubsectionHeadingChar">
    <w:name w:val="3-Subsection Heading Char"/>
    <w:basedOn w:val="Heading2Char"/>
    <w:link w:val="3-SubsectionHeading"/>
    <w:rsid w:val="00F217DE"/>
    <w:rPr>
      <w:rFonts w:ascii="Calibri" w:eastAsiaTheme="majorEastAsia" w:hAnsi="Calibri" w:cstheme="majorBidi"/>
      <w:b/>
      <w:i/>
      <w:spacing w:val="5"/>
      <w:kern w:val="28"/>
      <w:sz w:val="28"/>
      <w:szCs w:val="36"/>
      <w:lang w:eastAsia="en-AU"/>
    </w:rPr>
  </w:style>
  <w:style w:type="character" w:customStyle="1" w:styleId="bulletlevel2Char">
    <w:name w:val="bullet level 2 Char"/>
    <w:basedOn w:val="DefaultParagraphFont"/>
    <w:link w:val="bulletlevel2"/>
    <w:rsid w:val="00F843CB"/>
    <w:rPr>
      <w:rFonts w:ascii="Calibri" w:eastAsia="Times New Roman" w:hAnsi="Calibri"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347865">
      <w:bodyDiv w:val="1"/>
      <w:marLeft w:val="0"/>
      <w:marRight w:val="0"/>
      <w:marTop w:val="0"/>
      <w:marBottom w:val="0"/>
      <w:divBdr>
        <w:top w:val="none" w:sz="0" w:space="0" w:color="auto"/>
        <w:left w:val="none" w:sz="0" w:space="0" w:color="auto"/>
        <w:bottom w:val="none" w:sz="0" w:space="0" w:color="auto"/>
        <w:right w:val="none" w:sz="0" w:space="0" w:color="auto"/>
      </w:divBdr>
    </w:div>
    <w:div w:id="1351681172">
      <w:bodyDiv w:val="1"/>
      <w:marLeft w:val="0"/>
      <w:marRight w:val="0"/>
      <w:marTop w:val="0"/>
      <w:marBottom w:val="0"/>
      <w:divBdr>
        <w:top w:val="none" w:sz="0" w:space="0" w:color="auto"/>
        <w:left w:val="none" w:sz="0" w:space="0" w:color="auto"/>
        <w:bottom w:val="none" w:sz="0" w:space="0" w:color="auto"/>
        <w:right w:val="none" w:sz="0" w:space="0" w:color="auto"/>
      </w:divBdr>
      <w:divsChild>
        <w:div w:id="16199929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C01096" TargetMode="External"/><Relationship Id="rId13" Type="http://schemas.openxmlformats.org/officeDocument/2006/relationships/hyperlink" Target="https://www.cdc.gov/flu/about/classifies-flu-severity.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influenza/vaccines/virus/recommendations/202002_recommendation.pdf?ua=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drap.umn.edu/news-perspective/2018/02/who-changes-2-strains-2018-19-flu-vaccine" TargetMode="External"/><Relationship Id="rId5" Type="http://schemas.openxmlformats.org/officeDocument/2006/relationships/webSettings" Target="webSettings.xml"/><Relationship Id="rId15" Type="http://schemas.openxmlformats.org/officeDocument/2006/relationships/hyperlink" Target="https://www.cdc.gov/flu/about/burden/2018-2019.html" TargetMode="External"/><Relationship Id="rId10" Type="http://schemas.openxmlformats.org/officeDocument/2006/relationships/hyperlink" Target="https://www.cdc.gov/flu/weekly/fluviewinteractiv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flu/vaccines-work/effectiveness-studies.htm" TargetMode="External"/><Relationship Id="rId14" Type="http://schemas.openxmlformats.org/officeDocument/2006/relationships/hyperlink" Target="https://www.cdc.gov/flu/about/burden/2018-2019.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93/cid/ciab1016" TargetMode="External"/><Relationship Id="rId2" Type="http://schemas.openxmlformats.org/officeDocument/2006/relationships/hyperlink" Target="https://www.eurosurveillance.org/content/10.2807/1560-7917.ES.2019.24.4.1900055" TargetMode="External"/><Relationship Id="rId1" Type="http://schemas.openxmlformats.org/officeDocument/2006/relationships/hyperlink" Target="https://www.who.int/influenza/vaccines/virus/recommendations/201902_recommendation.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798A-F110-4F1C-932D-9151256D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16850</Words>
  <Characters>96046</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2022-12-08T22:54:00Z</dcterms:created>
  <dcterms:modified xsi:type="dcterms:W3CDTF">2022-12-16T02:02:00Z</dcterms:modified>
</cp:coreProperties>
</file>